
<file path=[Content_Types].xml><?xml version="1.0" encoding="utf-8"?>
<Types xmlns="http://schemas.openxmlformats.org/package/2006/content-types">
  <Default Extension="xml" ContentType="application/xml"/>
  <Default Extension="bin" ContentType="application/vnd.openxmlformats-officedocument.oleObject"/>
  <Default Extension="tiff" ContentType="image/tif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6695AF">
      <w:pPr>
        <w:pStyle w:val="20"/>
        <w:jc w:val="center"/>
        <w:outlineLvl w:val="0"/>
        <w:rPr>
          <w:rFonts w:hint="eastAsia" w:ascii="Times New Roman" w:hAnsi="Times New Roman"/>
          <w:snapToGrid w:val="0"/>
          <w:sz w:val="30"/>
          <w:szCs w:val="30"/>
        </w:rPr>
      </w:pPr>
      <w:r>
        <w:rPr>
          <w:rFonts w:hint="eastAsia" w:ascii="Times New Roman" w:hAnsi="Times New Roman"/>
          <w:snapToGrid w:val="0"/>
          <w:sz w:val="30"/>
          <w:szCs w:val="30"/>
        </w:rPr>
        <w:t>一、建设项目基本情况</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70"/>
        <w:gridCol w:w="2434"/>
        <w:gridCol w:w="1750"/>
        <w:gridCol w:w="2916"/>
      </w:tblGrid>
      <w:tr w14:paraId="3D2378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0" w:type="dxa"/>
            <w:noWrap w:val="0"/>
            <w:tcMar>
              <w:top w:w="16" w:type="dxa"/>
              <w:left w:w="16" w:type="dxa"/>
              <w:right w:w="16" w:type="dxa"/>
            </w:tcMar>
            <w:vAlign w:val="center"/>
          </w:tcPr>
          <w:p w14:paraId="68769C30">
            <w:pPr>
              <w:adjustRightInd w:val="0"/>
              <w:snapToGrid w:val="0"/>
              <w:jc w:val="center"/>
              <w:rPr>
                <w:sz w:val="24"/>
              </w:rPr>
            </w:pPr>
            <w:r>
              <w:rPr>
                <w:sz w:val="24"/>
              </w:rPr>
              <w:t>建设项目名称</w:t>
            </w:r>
          </w:p>
        </w:tc>
        <w:tc>
          <w:tcPr>
            <w:tcW w:w="7100" w:type="dxa"/>
            <w:gridSpan w:val="3"/>
            <w:noWrap w:val="0"/>
            <w:vAlign w:val="center"/>
          </w:tcPr>
          <w:p w14:paraId="7000E778">
            <w:pPr>
              <w:spacing w:line="240" w:lineRule="auto"/>
              <w:jc w:val="center"/>
              <w:rPr>
                <w:rFonts w:hint="default" w:eastAsia="宋体"/>
                <w:sz w:val="24"/>
                <w:lang w:val="en-US" w:eastAsia="zh-CN"/>
              </w:rPr>
            </w:pPr>
            <w:r>
              <w:rPr>
                <w:rFonts w:hint="eastAsia" w:cs="Times New Roman"/>
                <w:sz w:val="24"/>
                <w:lang w:val="en-US" w:eastAsia="zh-CN"/>
              </w:rPr>
              <w:t>宿州邦裕环保检测有限公司年12000辆报废机动车回收拆解项目</w:t>
            </w:r>
          </w:p>
        </w:tc>
      </w:tr>
      <w:tr w14:paraId="236909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0" w:type="dxa"/>
            <w:noWrap w:val="0"/>
            <w:tcMar>
              <w:top w:w="16" w:type="dxa"/>
              <w:left w:w="16" w:type="dxa"/>
              <w:right w:w="16" w:type="dxa"/>
            </w:tcMar>
            <w:vAlign w:val="center"/>
          </w:tcPr>
          <w:p w14:paraId="6D8EB95B">
            <w:pPr>
              <w:adjustRightInd w:val="0"/>
              <w:snapToGrid w:val="0"/>
              <w:jc w:val="center"/>
              <w:rPr>
                <w:sz w:val="24"/>
              </w:rPr>
            </w:pPr>
            <w:r>
              <w:rPr>
                <w:sz w:val="24"/>
              </w:rPr>
              <w:t>项目代码</w:t>
            </w:r>
          </w:p>
        </w:tc>
        <w:tc>
          <w:tcPr>
            <w:tcW w:w="7100" w:type="dxa"/>
            <w:gridSpan w:val="3"/>
            <w:noWrap w:val="0"/>
            <w:vAlign w:val="center"/>
          </w:tcPr>
          <w:p w14:paraId="3BB60391">
            <w:pPr>
              <w:adjustRightInd w:val="0"/>
              <w:snapToGrid w:val="0"/>
              <w:jc w:val="center"/>
              <w:rPr>
                <w:rFonts w:hint="default" w:eastAsia="宋体"/>
                <w:sz w:val="24"/>
                <w:lang w:val="en-US" w:eastAsia="zh-CN"/>
              </w:rPr>
            </w:pPr>
            <w:r>
              <w:rPr>
                <w:rFonts w:hint="eastAsia"/>
                <w:sz w:val="24"/>
                <w:lang w:val="en-US" w:eastAsia="zh-CN"/>
              </w:rPr>
              <w:t>2210-341302-04-01-644882</w:t>
            </w:r>
            <w:bookmarkStart w:id="3" w:name="_GoBack"/>
            <w:bookmarkEnd w:id="3"/>
          </w:p>
        </w:tc>
      </w:tr>
      <w:tr w14:paraId="3F7D71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0" w:type="dxa"/>
            <w:noWrap w:val="0"/>
            <w:tcMar>
              <w:top w:w="16" w:type="dxa"/>
              <w:left w:w="16" w:type="dxa"/>
              <w:right w:w="16" w:type="dxa"/>
            </w:tcMar>
            <w:vAlign w:val="center"/>
          </w:tcPr>
          <w:p w14:paraId="0CB94E3C">
            <w:pPr>
              <w:adjustRightInd w:val="0"/>
              <w:snapToGrid w:val="0"/>
              <w:jc w:val="center"/>
              <w:rPr>
                <w:sz w:val="24"/>
              </w:rPr>
            </w:pPr>
            <w:r>
              <w:rPr>
                <w:sz w:val="24"/>
              </w:rPr>
              <w:t>建设单位联系人</w:t>
            </w:r>
          </w:p>
        </w:tc>
        <w:tc>
          <w:tcPr>
            <w:tcW w:w="2434" w:type="dxa"/>
            <w:noWrap w:val="0"/>
            <w:vAlign w:val="center"/>
          </w:tcPr>
          <w:p w14:paraId="1A4D5554">
            <w:pPr>
              <w:adjustRightInd w:val="0"/>
              <w:snapToGrid w:val="0"/>
              <w:jc w:val="center"/>
              <w:rPr>
                <w:rFonts w:hint="default" w:eastAsia="宋体"/>
                <w:sz w:val="24"/>
                <w:lang w:val="en-US" w:eastAsia="zh-CN"/>
              </w:rPr>
            </w:pPr>
          </w:p>
        </w:tc>
        <w:tc>
          <w:tcPr>
            <w:tcW w:w="1750" w:type="dxa"/>
            <w:noWrap w:val="0"/>
            <w:vAlign w:val="center"/>
          </w:tcPr>
          <w:p w14:paraId="3D9A57D6">
            <w:pPr>
              <w:adjustRightInd w:val="0"/>
              <w:snapToGrid w:val="0"/>
              <w:jc w:val="center"/>
              <w:rPr>
                <w:sz w:val="24"/>
              </w:rPr>
            </w:pPr>
            <w:r>
              <w:rPr>
                <w:sz w:val="24"/>
              </w:rPr>
              <w:t>联系方式</w:t>
            </w:r>
          </w:p>
        </w:tc>
        <w:tc>
          <w:tcPr>
            <w:tcW w:w="2916" w:type="dxa"/>
            <w:noWrap w:val="0"/>
            <w:vAlign w:val="center"/>
          </w:tcPr>
          <w:p w14:paraId="0CAD9338">
            <w:pPr>
              <w:adjustRightInd w:val="0"/>
              <w:snapToGrid w:val="0"/>
              <w:jc w:val="center"/>
              <w:rPr>
                <w:rFonts w:hint="default" w:eastAsia="宋体"/>
                <w:sz w:val="24"/>
                <w:lang w:val="en-US" w:eastAsia="zh-CN"/>
              </w:rPr>
            </w:pPr>
          </w:p>
        </w:tc>
      </w:tr>
      <w:tr w14:paraId="0F2264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0" w:type="dxa"/>
            <w:noWrap w:val="0"/>
            <w:tcMar>
              <w:top w:w="16" w:type="dxa"/>
              <w:left w:w="16" w:type="dxa"/>
              <w:right w:w="16" w:type="dxa"/>
            </w:tcMar>
            <w:vAlign w:val="center"/>
          </w:tcPr>
          <w:p w14:paraId="6A7F4DD3">
            <w:pPr>
              <w:adjustRightInd w:val="0"/>
              <w:snapToGrid w:val="0"/>
              <w:jc w:val="center"/>
              <w:rPr>
                <w:sz w:val="24"/>
              </w:rPr>
            </w:pPr>
            <w:r>
              <w:rPr>
                <w:sz w:val="24"/>
              </w:rPr>
              <w:t>建设地点</w:t>
            </w:r>
          </w:p>
        </w:tc>
        <w:tc>
          <w:tcPr>
            <w:tcW w:w="7100" w:type="dxa"/>
            <w:gridSpan w:val="3"/>
            <w:noWrap w:val="0"/>
            <w:vAlign w:val="center"/>
          </w:tcPr>
          <w:p w14:paraId="3C9381DE">
            <w:pPr>
              <w:adjustRightInd w:val="0"/>
              <w:snapToGrid w:val="0"/>
              <w:jc w:val="center"/>
              <w:rPr>
                <w:rFonts w:hint="eastAsia" w:eastAsia="宋体"/>
                <w:sz w:val="24"/>
                <w:lang w:val="en-US" w:eastAsia="zh-CN"/>
              </w:rPr>
            </w:pPr>
            <w:r>
              <w:rPr>
                <w:rFonts w:hint="eastAsia" w:hAnsi="宋体"/>
                <w:sz w:val="24"/>
                <w:szCs w:val="24"/>
              </w:rPr>
              <w:t>宿州市埇桥区朱仙庄镇工业园区内</w:t>
            </w:r>
            <w:r>
              <w:rPr>
                <w:rFonts w:hint="eastAsia" w:hAnsi="宋体"/>
                <w:sz w:val="24"/>
                <w:szCs w:val="24"/>
                <w:lang w:eastAsia="zh-CN"/>
              </w:rPr>
              <w:t>（</w:t>
            </w:r>
            <w:r>
              <w:rPr>
                <w:rFonts w:hint="eastAsia" w:hAnsi="宋体"/>
                <w:sz w:val="24"/>
                <w:szCs w:val="24"/>
              </w:rPr>
              <w:t>303省道与东三环路交叉口西50米路北</w:t>
            </w:r>
            <w:r>
              <w:rPr>
                <w:rFonts w:hint="eastAsia" w:hAnsi="宋体"/>
                <w:sz w:val="24"/>
                <w:szCs w:val="24"/>
                <w:lang w:eastAsia="zh-CN"/>
              </w:rPr>
              <w:t>）</w:t>
            </w:r>
          </w:p>
        </w:tc>
      </w:tr>
      <w:tr w14:paraId="2C2D54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0" w:type="dxa"/>
            <w:noWrap w:val="0"/>
            <w:tcMar>
              <w:top w:w="16" w:type="dxa"/>
              <w:left w:w="16" w:type="dxa"/>
              <w:right w:w="16" w:type="dxa"/>
            </w:tcMar>
            <w:vAlign w:val="center"/>
          </w:tcPr>
          <w:p w14:paraId="434C797E">
            <w:pPr>
              <w:adjustRightInd w:val="0"/>
              <w:snapToGrid w:val="0"/>
              <w:jc w:val="center"/>
              <w:rPr>
                <w:sz w:val="24"/>
              </w:rPr>
            </w:pPr>
            <w:r>
              <w:rPr>
                <w:sz w:val="24"/>
              </w:rPr>
              <w:t>地理坐标</w:t>
            </w:r>
          </w:p>
        </w:tc>
        <w:tc>
          <w:tcPr>
            <w:tcW w:w="7100" w:type="dxa"/>
            <w:gridSpan w:val="3"/>
            <w:noWrap w:val="0"/>
            <w:vAlign w:val="center"/>
          </w:tcPr>
          <w:p w14:paraId="45570945">
            <w:pPr>
              <w:jc w:val="center"/>
              <w:rPr>
                <w:sz w:val="24"/>
              </w:rPr>
            </w:pPr>
            <w:r>
              <w:rPr>
                <w:sz w:val="24"/>
              </w:rPr>
              <w:t>（东经</w:t>
            </w:r>
            <w:r>
              <w:rPr>
                <w:sz w:val="24"/>
                <w:u w:val="single"/>
              </w:rPr>
              <w:t xml:space="preserve"> 11</w:t>
            </w:r>
            <w:r>
              <w:rPr>
                <w:rFonts w:hint="eastAsia"/>
                <w:sz w:val="24"/>
                <w:u w:val="single"/>
                <w:lang w:val="en-US" w:eastAsia="zh-CN"/>
              </w:rPr>
              <w:t>7</w:t>
            </w:r>
            <w:r>
              <w:rPr>
                <w:sz w:val="24"/>
                <w:u w:val="single"/>
              </w:rPr>
              <w:t xml:space="preserve"> </w:t>
            </w:r>
            <w:r>
              <w:rPr>
                <w:sz w:val="24"/>
              </w:rPr>
              <w:t>度</w:t>
            </w:r>
            <w:r>
              <w:rPr>
                <w:sz w:val="24"/>
                <w:u w:val="single"/>
              </w:rPr>
              <w:t xml:space="preserve"> </w:t>
            </w:r>
            <w:r>
              <w:rPr>
                <w:rFonts w:hint="eastAsia"/>
                <w:sz w:val="24"/>
                <w:u w:val="single"/>
                <w:lang w:val="en-US" w:eastAsia="zh-CN"/>
              </w:rPr>
              <w:t>5</w:t>
            </w:r>
            <w:r>
              <w:rPr>
                <w:sz w:val="24"/>
                <w:u w:val="single"/>
              </w:rPr>
              <w:t xml:space="preserve"> </w:t>
            </w:r>
            <w:r>
              <w:rPr>
                <w:sz w:val="24"/>
              </w:rPr>
              <w:t>分</w:t>
            </w:r>
            <w:r>
              <w:rPr>
                <w:sz w:val="24"/>
                <w:u w:val="single"/>
              </w:rPr>
              <w:t xml:space="preserve">  </w:t>
            </w:r>
            <w:r>
              <w:rPr>
                <w:rFonts w:hint="eastAsia"/>
                <w:sz w:val="24"/>
                <w:u w:val="single"/>
                <w:lang w:val="en-US" w:eastAsia="zh-CN"/>
              </w:rPr>
              <w:t>8.627</w:t>
            </w:r>
            <w:r>
              <w:rPr>
                <w:sz w:val="24"/>
                <w:u w:val="single"/>
              </w:rPr>
              <w:t xml:space="preserve"> </w:t>
            </w:r>
            <w:r>
              <w:rPr>
                <w:sz w:val="24"/>
              </w:rPr>
              <w:t>秒，北纬</w:t>
            </w:r>
            <w:r>
              <w:rPr>
                <w:sz w:val="24"/>
                <w:u w:val="single"/>
              </w:rPr>
              <w:t xml:space="preserve"> 3</w:t>
            </w:r>
            <w:r>
              <w:rPr>
                <w:rFonts w:hint="eastAsia"/>
                <w:sz w:val="24"/>
                <w:u w:val="single"/>
                <w:lang w:val="en-US" w:eastAsia="zh-CN"/>
              </w:rPr>
              <w:t>3</w:t>
            </w:r>
            <w:r>
              <w:rPr>
                <w:sz w:val="24"/>
                <w:u w:val="single"/>
              </w:rPr>
              <w:t xml:space="preserve"> </w:t>
            </w:r>
            <w:r>
              <w:rPr>
                <w:sz w:val="24"/>
              </w:rPr>
              <w:t>度</w:t>
            </w:r>
            <w:r>
              <w:rPr>
                <w:sz w:val="24"/>
                <w:u w:val="single"/>
              </w:rPr>
              <w:t xml:space="preserve"> </w:t>
            </w:r>
            <w:r>
              <w:rPr>
                <w:rFonts w:hint="eastAsia"/>
                <w:sz w:val="24"/>
                <w:u w:val="single"/>
                <w:lang w:val="en-US" w:eastAsia="zh-CN"/>
              </w:rPr>
              <w:t>36</w:t>
            </w:r>
            <w:r>
              <w:rPr>
                <w:sz w:val="24"/>
                <w:u w:val="single"/>
              </w:rPr>
              <w:t xml:space="preserve"> </w:t>
            </w:r>
            <w:r>
              <w:rPr>
                <w:sz w:val="24"/>
              </w:rPr>
              <w:t>分</w:t>
            </w:r>
            <w:r>
              <w:rPr>
                <w:sz w:val="24"/>
                <w:u w:val="single"/>
              </w:rPr>
              <w:t xml:space="preserve"> </w:t>
            </w:r>
            <w:r>
              <w:rPr>
                <w:rFonts w:hint="eastAsia"/>
                <w:sz w:val="24"/>
                <w:u w:val="single"/>
                <w:lang w:val="en-US" w:eastAsia="zh-CN"/>
              </w:rPr>
              <w:t>54</w:t>
            </w:r>
            <w:r>
              <w:rPr>
                <w:rFonts w:hint="eastAsia"/>
                <w:sz w:val="24"/>
                <w:u w:val="single"/>
              </w:rPr>
              <w:t>.</w:t>
            </w:r>
            <w:r>
              <w:rPr>
                <w:rFonts w:hint="eastAsia"/>
                <w:sz w:val="24"/>
                <w:u w:val="single"/>
                <w:lang w:val="en-US" w:eastAsia="zh-CN"/>
              </w:rPr>
              <w:t>624</w:t>
            </w:r>
            <w:r>
              <w:rPr>
                <w:sz w:val="24"/>
                <w:u w:val="single"/>
              </w:rPr>
              <w:t xml:space="preserve"> </w:t>
            </w:r>
            <w:r>
              <w:rPr>
                <w:sz w:val="24"/>
              </w:rPr>
              <w:t>秒）</w:t>
            </w:r>
          </w:p>
        </w:tc>
      </w:tr>
      <w:tr w14:paraId="5FB56E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1770" w:type="dxa"/>
            <w:noWrap w:val="0"/>
            <w:tcMar>
              <w:top w:w="16" w:type="dxa"/>
              <w:left w:w="16" w:type="dxa"/>
              <w:right w:w="16" w:type="dxa"/>
            </w:tcMar>
            <w:vAlign w:val="center"/>
          </w:tcPr>
          <w:p w14:paraId="3BE1426D">
            <w:pPr>
              <w:adjustRightInd w:val="0"/>
              <w:snapToGrid w:val="0"/>
              <w:jc w:val="center"/>
              <w:rPr>
                <w:sz w:val="24"/>
              </w:rPr>
            </w:pPr>
            <w:r>
              <w:rPr>
                <w:sz w:val="24"/>
              </w:rPr>
              <w:t>国民经济</w:t>
            </w:r>
          </w:p>
          <w:p w14:paraId="3716840D">
            <w:pPr>
              <w:adjustRightInd w:val="0"/>
              <w:snapToGrid w:val="0"/>
              <w:jc w:val="center"/>
              <w:rPr>
                <w:sz w:val="24"/>
              </w:rPr>
            </w:pPr>
            <w:r>
              <w:rPr>
                <w:sz w:val="24"/>
              </w:rPr>
              <w:t>行业类别</w:t>
            </w:r>
          </w:p>
        </w:tc>
        <w:tc>
          <w:tcPr>
            <w:tcW w:w="2434" w:type="dxa"/>
            <w:noWrap w:val="0"/>
            <w:vAlign w:val="center"/>
          </w:tcPr>
          <w:p w14:paraId="39BC0153">
            <w:pPr>
              <w:adjustRightInd w:val="0"/>
              <w:snapToGrid w:val="0"/>
              <w:jc w:val="center"/>
              <w:rPr>
                <w:rFonts w:hint="default" w:eastAsia="宋体"/>
                <w:sz w:val="24"/>
                <w:lang w:val="en-US" w:eastAsia="zh-CN"/>
              </w:rPr>
            </w:pPr>
            <w:r>
              <w:rPr>
                <w:rFonts w:hint="eastAsia"/>
                <w:sz w:val="24"/>
                <w:lang w:val="en-US" w:eastAsia="zh-CN"/>
              </w:rPr>
              <w:t>C4210 金属废料和碎屑加工</w:t>
            </w:r>
          </w:p>
        </w:tc>
        <w:tc>
          <w:tcPr>
            <w:tcW w:w="1750" w:type="dxa"/>
            <w:noWrap w:val="0"/>
            <w:vAlign w:val="center"/>
          </w:tcPr>
          <w:p w14:paraId="0221575B">
            <w:pPr>
              <w:adjustRightInd w:val="0"/>
              <w:snapToGrid w:val="0"/>
              <w:jc w:val="center"/>
              <w:rPr>
                <w:sz w:val="24"/>
              </w:rPr>
            </w:pPr>
            <w:bookmarkStart w:id="0" w:name="_Hlk49843745"/>
            <w:r>
              <w:rPr>
                <w:sz w:val="24"/>
              </w:rPr>
              <w:t>建设项目</w:t>
            </w:r>
          </w:p>
          <w:p w14:paraId="17C73D64">
            <w:pPr>
              <w:adjustRightInd w:val="0"/>
              <w:snapToGrid w:val="0"/>
              <w:jc w:val="center"/>
              <w:rPr>
                <w:sz w:val="24"/>
              </w:rPr>
            </w:pPr>
            <w:r>
              <w:rPr>
                <w:sz w:val="24"/>
              </w:rPr>
              <w:t>行业类别</w:t>
            </w:r>
            <w:bookmarkEnd w:id="0"/>
          </w:p>
        </w:tc>
        <w:tc>
          <w:tcPr>
            <w:tcW w:w="2916" w:type="dxa"/>
            <w:noWrap w:val="0"/>
            <w:vAlign w:val="center"/>
          </w:tcPr>
          <w:p w14:paraId="58F82DC5">
            <w:pPr>
              <w:adjustRightInd w:val="0"/>
              <w:snapToGrid w:val="0"/>
              <w:rPr>
                <w:rFonts w:hint="default"/>
                <w:sz w:val="24"/>
                <w:lang w:val="en-US"/>
              </w:rPr>
            </w:pPr>
            <w:r>
              <w:rPr>
                <w:rFonts w:hint="eastAsia"/>
                <w:sz w:val="24"/>
                <w:lang w:val="en-US" w:eastAsia="zh-CN"/>
              </w:rPr>
              <w:t>三十九</w:t>
            </w:r>
            <w:r>
              <w:rPr>
                <w:sz w:val="24"/>
              </w:rPr>
              <w:t>、</w:t>
            </w:r>
            <w:r>
              <w:rPr>
                <w:rFonts w:hint="eastAsia"/>
                <w:sz w:val="24"/>
                <w:lang w:val="en-US" w:eastAsia="zh-CN"/>
              </w:rPr>
              <w:t>废弃资源综合利用业</w:t>
            </w:r>
            <w:r>
              <w:rPr>
                <w:sz w:val="24"/>
              </w:rPr>
              <w:t>—</w:t>
            </w:r>
            <w:r>
              <w:rPr>
                <w:rFonts w:hint="eastAsia"/>
                <w:sz w:val="24"/>
                <w:lang w:val="en-US" w:eastAsia="zh-CN"/>
              </w:rPr>
              <w:t>85金属废料和碎屑加工处理421</w:t>
            </w:r>
          </w:p>
        </w:tc>
      </w:tr>
      <w:tr w14:paraId="49E49B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5" w:hRule="atLeast"/>
          <w:jc w:val="center"/>
        </w:trPr>
        <w:tc>
          <w:tcPr>
            <w:tcW w:w="1770" w:type="dxa"/>
            <w:noWrap w:val="0"/>
            <w:tcMar>
              <w:top w:w="16" w:type="dxa"/>
              <w:left w:w="16" w:type="dxa"/>
              <w:right w:w="16" w:type="dxa"/>
            </w:tcMar>
            <w:vAlign w:val="center"/>
          </w:tcPr>
          <w:p w14:paraId="54E37C40">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建设性质</w:t>
            </w:r>
          </w:p>
        </w:tc>
        <w:tc>
          <w:tcPr>
            <w:tcW w:w="2434" w:type="dxa"/>
            <w:noWrap w:val="0"/>
            <w:vAlign w:val="center"/>
          </w:tcPr>
          <w:p w14:paraId="64CDCE83">
            <w:pPr>
              <w:jc w:val="left"/>
              <w:rPr>
                <w:rFonts w:hint="default" w:ascii="Times New Roman" w:hAnsi="Times New Roman" w:cs="Times New Roman"/>
                <w:sz w:val="24"/>
              </w:rPr>
            </w:pPr>
            <w:r>
              <w:rPr>
                <w:rFonts w:hint="eastAsia" w:cs="Times New Roman"/>
                <w:sz w:val="24"/>
                <w:lang w:eastAsia="zh-CN"/>
              </w:rPr>
              <w:t>☑</w:t>
            </w:r>
            <w:r>
              <w:rPr>
                <w:rFonts w:hint="default" w:ascii="Times New Roman" w:hAnsi="Times New Roman" w:cs="Times New Roman"/>
                <w:sz w:val="24"/>
              </w:rPr>
              <w:t>新建（迁建）</w:t>
            </w:r>
          </w:p>
          <w:p w14:paraId="04F0CBD1">
            <w:pPr>
              <w:jc w:val="left"/>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改建</w:t>
            </w:r>
          </w:p>
          <w:p w14:paraId="3878096D">
            <w:pPr>
              <w:jc w:val="left"/>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扩建</w:t>
            </w:r>
          </w:p>
          <w:p w14:paraId="1775A075">
            <w:pPr>
              <w:jc w:val="left"/>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技术改造</w:t>
            </w:r>
          </w:p>
        </w:tc>
        <w:tc>
          <w:tcPr>
            <w:tcW w:w="1750" w:type="dxa"/>
            <w:noWrap w:val="0"/>
            <w:vAlign w:val="center"/>
          </w:tcPr>
          <w:p w14:paraId="7F110CB8">
            <w:pPr>
              <w:adjustRightInd w:val="0"/>
              <w:snapToGrid w:val="0"/>
              <w:jc w:val="center"/>
              <w:rPr>
                <w:sz w:val="24"/>
              </w:rPr>
            </w:pPr>
            <w:r>
              <w:rPr>
                <w:sz w:val="24"/>
              </w:rPr>
              <w:t>建设项目</w:t>
            </w:r>
          </w:p>
          <w:p w14:paraId="0E624B54">
            <w:pPr>
              <w:adjustRightInd w:val="0"/>
              <w:snapToGrid w:val="0"/>
              <w:jc w:val="center"/>
              <w:rPr>
                <w:sz w:val="24"/>
              </w:rPr>
            </w:pPr>
            <w:r>
              <w:rPr>
                <w:sz w:val="24"/>
              </w:rPr>
              <w:t>申报情形</w:t>
            </w:r>
          </w:p>
        </w:tc>
        <w:tc>
          <w:tcPr>
            <w:tcW w:w="2916" w:type="dxa"/>
            <w:noWrap w:val="0"/>
            <w:vAlign w:val="center"/>
          </w:tcPr>
          <w:p w14:paraId="2E052877">
            <w:pPr>
              <w:jc w:val="left"/>
              <w:rPr>
                <w:sz w:val="24"/>
              </w:rPr>
            </w:pPr>
            <w:r>
              <w:rPr>
                <w:rFonts w:hint="default" w:ascii="Times New Roman" w:hAnsi="Times New Roman" w:cs="Times New Roman"/>
                <w:sz w:val="24"/>
              </w:rPr>
              <w:t>☑</w:t>
            </w:r>
            <w:r>
              <w:rPr>
                <w:sz w:val="24"/>
              </w:rPr>
              <w:t xml:space="preserve">首次申报项目             </w:t>
            </w:r>
          </w:p>
          <w:p w14:paraId="793618B1">
            <w:pPr>
              <w:jc w:val="left"/>
              <w:rPr>
                <w:sz w:val="24"/>
              </w:rPr>
            </w:pPr>
            <w:r>
              <w:rPr>
                <w:rFonts w:hint="eastAsia"/>
                <w:sz w:val="24"/>
              </w:rPr>
              <w:t>□</w:t>
            </w:r>
            <w:r>
              <w:rPr>
                <w:sz w:val="24"/>
              </w:rPr>
              <w:t>不予批准后再次申报项目</w:t>
            </w:r>
          </w:p>
          <w:p w14:paraId="363C5DE0">
            <w:pPr>
              <w:jc w:val="left"/>
              <w:rPr>
                <w:sz w:val="24"/>
              </w:rPr>
            </w:pPr>
            <w:r>
              <w:rPr>
                <w:rFonts w:hint="eastAsia"/>
                <w:sz w:val="24"/>
              </w:rPr>
              <w:t>□</w:t>
            </w:r>
            <w:r>
              <w:rPr>
                <w:sz w:val="24"/>
              </w:rPr>
              <w:t xml:space="preserve">超五年重新审核项目     </w:t>
            </w:r>
          </w:p>
          <w:p w14:paraId="54991AB4">
            <w:pPr>
              <w:jc w:val="left"/>
              <w:rPr>
                <w:sz w:val="24"/>
              </w:rPr>
            </w:pPr>
            <w:r>
              <w:rPr>
                <w:rFonts w:hint="eastAsia"/>
                <w:sz w:val="24"/>
              </w:rPr>
              <w:t>□</w:t>
            </w:r>
            <w:r>
              <w:rPr>
                <w:sz w:val="24"/>
              </w:rPr>
              <w:t>重大变动重新报批项目</w:t>
            </w:r>
          </w:p>
        </w:tc>
      </w:tr>
      <w:tr w14:paraId="03ADC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37" w:hRule="atLeast"/>
          <w:jc w:val="center"/>
        </w:trPr>
        <w:tc>
          <w:tcPr>
            <w:tcW w:w="1770" w:type="dxa"/>
            <w:noWrap w:val="0"/>
            <w:tcMar>
              <w:top w:w="16" w:type="dxa"/>
              <w:left w:w="16" w:type="dxa"/>
              <w:right w:w="16" w:type="dxa"/>
            </w:tcMar>
            <w:vAlign w:val="center"/>
          </w:tcPr>
          <w:p w14:paraId="6E3CE3D3">
            <w:pPr>
              <w:adjustRightInd w:val="0"/>
              <w:snapToGrid w:val="0"/>
              <w:jc w:val="center"/>
              <w:rPr>
                <w:sz w:val="24"/>
              </w:rPr>
            </w:pPr>
            <w:r>
              <w:rPr>
                <w:sz w:val="24"/>
              </w:rPr>
              <w:t>项目审批（核准/</w:t>
            </w:r>
          </w:p>
          <w:p w14:paraId="468E5FC2">
            <w:pPr>
              <w:adjustRightInd w:val="0"/>
              <w:snapToGrid w:val="0"/>
              <w:jc w:val="center"/>
              <w:rPr>
                <w:sz w:val="24"/>
              </w:rPr>
            </w:pPr>
            <w:r>
              <w:rPr>
                <w:sz w:val="24"/>
              </w:rPr>
              <w:t>备案）部门（选填）</w:t>
            </w:r>
          </w:p>
        </w:tc>
        <w:tc>
          <w:tcPr>
            <w:tcW w:w="2434" w:type="dxa"/>
            <w:noWrap w:val="0"/>
            <w:vAlign w:val="center"/>
          </w:tcPr>
          <w:p w14:paraId="01C8B42C">
            <w:pPr>
              <w:adjustRightInd w:val="0"/>
              <w:snapToGrid w:val="0"/>
              <w:jc w:val="center"/>
              <w:rPr>
                <w:rFonts w:hint="default" w:eastAsia="宋体"/>
                <w:sz w:val="24"/>
                <w:lang w:val="en-US" w:eastAsia="zh-CN"/>
              </w:rPr>
            </w:pPr>
            <w:r>
              <w:rPr>
                <w:rFonts w:hint="eastAsia"/>
                <w:sz w:val="24"/>
                <w:lang w:val="en-US" w:eastAsia="zh-CN"/>
              </w:rPr>
              <w:t>宿州市埇桥区发展和改革委员会</w:t>
            </w:r>
          </w:p>
        </w:tc>
        <w:tc>
          <w:tcPr>
            <w:tcW w:w="1750" w:type="dxa"/>
            <w:noWrap w:val="0"/>
            <w:vAlign w:val="center"/>
          </w:tcPr>
          <w:p w14:paraId="15E32A75">
            <w:pPr>
              <w:adjustRightInd w:val="0"/>
              <w:snapToGrid w:val="0"/>
              <w:jc w:val="center"/>
              <w:rPr>
                <w:sz w:val="24"/>
              </w:rPr>
            </w:pPr>
            <w:r>
              <w:rPr>
                <w:sz w:val="24"/>
              </w:rPr>
              <w:t>项目审批（核准/</w:t>
            </w:r>
          </w:p>
          <w:p w14:paraId="0C7E98AB">
            <w:pPr>
              <w:adjustRightInd w:val="0"/>
              <w:snapToGrid w:val="0"/>
              <w:jc w:val="center"/>
              <w:rPr>
                <w:sz w:val="24"/>
              </w:rPr>
            </w:pPr>
            <w:r>
              <w:rPr>
                <w:sz w:val="24"/>
              </w:rPr>
              <w:t>备案）文号（选填）</w:t>
            </w:r>
          </w:p>
        </w:tc>
        <w:tc>
          <w:tcPr>
            <w:tcW w:w="2916" w:type="dxa"/>
            <w:noWrap w:val="0"/>
            <w:vAlign w:val="center"/>
          </w:tcPr>
          <w:p w14:paraId="08338814">
            <w:pPr>
              <w:adjustRightInd w:val="0"/>
              <w:snapToGrid w:val="0"/>
              <w:jc w:val="center"/>
              <w:rPr>
                <w:rFonts w:hint="default" w:eastAsia="宋体"/>
                <w:sz w:val="24"/>
                <w:lang w:val="en-US" w:eastAsia="zh-CN"/>
              </w:rPr>
            </w:pPr>
            <w:r>
              <w:rPr>
                <w:rFonts w:hint="eastAsia"/>
                <w:sz w:val="24"/>
                <w:lang w:val="en-US" w:eastAsia="zh-CN"/>
              </w:rPr>
              <w:t>/</w:t>
            </w:r>
          </w:p>
        </w:tc>
      </w:tr>
      <w:tr w14:paraId="64F4D3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7" w:hRule="atLeast"/>
          <w:jc w:val="center"/>
        </w:trPr>
        <w:tc>
          <w:tcPr>
            <w:tcW w:w="1770" w:type="dxa"/>
            <w:noWrap w:val="0"/>
            <w:tcMar>
              <w:top w:w="16" w:type="dxa"/>
              <w:left w:w="16" w:type="dxa"/>
              <w:right w:w="16" w:type="dxa"/>
            </w:tcMar>
            <w:vAlign w:val="center"/>
          </w:tcPr>
          <w:p w14:paraId="52E1AB19">
            <w:pPr>
              <w:adjustRightInd w:val="0"/>
              <w:snapToGrid w:val="0"/>
              <w:jc w:val="center"/>
              <w:rPr>
                <w:sz w:val="24"/>
              </w:rPr>
            </w:pPr>
            <w:r>
              <w:rPr>
                <w:sz w:val="24"/>
              </w:rPr>
              <w:t>总投资（万元）</w:t>
            </w:r>
          </w:p>
        </w:tc>
        <w:tc>
          <w:tcPr>
            <w:tcW w:w="2434" w:type="dxa"/>
            <w:noWrap w:val="0"/>
            <w:vAlign w:val="center"/>
          </w:tcPr>
          <w:p w14:paraId="3F3B749A">
            <w:pPr>
              <w:adjustRightInd w:val="0"/>
              <w:snapToGrid w:val="0"/>
              <w:jc w:val="center"/>
              <w:rPr>
                <w:rFonts w:hint="default" w:eastAsia="宋体"/>
                <w:sz w:val="24"/>
                <w:lang w:val="en-US" w:eastAsia="zh-CN"/>
              </w:rPr>
            </w:pPr>
            <w:r>
              <w:rPr>
                <w:rFonts w:hint="eastAsia"/>
                <w:sz w:val="24"/>
                <w:lang w:val="en-US" w:eastAsia="zh-CN"/>
              </w:rPr>
              <w:t>5800</w:t>
            </w:r>
          </w:p>
        </w:tc>
        <w:tc>
          <w:tcPr>
            <w:tcW w:w="1750" w:type="dxa"/>
            <w:noWrap w:val="0"/>
            <w:tcMar>
              <w:top w:w="16" w:type="dxa"/>
              <w:left w:w="16" w:type="dxa"/>
              <w:right w:w="16" w:type="dxa"/>
            </w:tcMar>
            <w:vAlign w:val="center"/>
          </w:tcPr>
          <w:p w14:paraId="03DBEEAD">
            <w:pPr>
              <w:adjustRightInd w:val="0"/>
              <w:snapToGrid w:val="0"/>
              <w:jc w:val="center"/>
              <w:rPr>
                <w:sz w:val="24"/>
              </w:rPr>
            </w:pPr>
            <w:r>
              <w:rPr>
                <w:sz w:val="24"/>
              </w:rPr>
              <w:t>环保投资（万元）</w:t>
            </w:r>
          </w:p>
        </w:tc>
        <w:tc>
          <w:tcPr>
            <w:tcW w:w="2916" w:type="dxa"/>
            <w:noWrap w:val="0"/>
            <w:vAlign w:val="center"/>
          </w:tcPr>
          <w:p w14:paraId="315E68CA">
            <w:pPr>
              <w:adjustRightInd w:val="0"/>
              <w:snapToGrid w:val="0"/>
              <w:jc w:val="center"/>
              <w:rPr>
                <w:rFonts w:hint="default" w:eastAsia="宋体"/>
                <w:sz w:val="24"/>
                <w:lang w:val="en-US" w:eastAsia="zh-CN"/>
              </w:rPr>
            </w:pPr>
            <w:r>
              <w:rPr>
                <w:rFonts w:hint="eastAsia"/>
                <w:sz w:val="24"/>
                <w:lang w:val="en-US" w:eastAsia="zh-CN"/>
              </w:rPr>
              <w:t>151</w:t>
            </w:r>
          </w:p>
        </w:tc>
      </w:tr>
      <w:tr w14:paraId="610545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6" w:hRule="atLeast"/>
          <w:jc w:val="center"/>
        </w:trPr>
        <w:tc>
          <w:tcPr>
            <w:tcW w:w="1770" w:type="dxa"/>
            <w:noWrap w:val="0"/>
            <w:tcMar>
              <w:top w:w="16" w:type="dxa"/>
              <w:left w:w="16" w:type="dxa"/>
              <w:right w:w="16" w:type="dxa"/>
            </w:tcMar>
            <w:vAlign w:val="center"/>
          </w:tcPr>
          <w:p w14:paraId="4D3A9770">
            <w:pPr>
              <w:adjustRightInd w:val="0"/>
              <w:snapToGrid w:val="0"/>
              <w:jc w:val="center"/>
              <w:rPr>
                <w:sz w:val="24"/>
              </w:rPr>
            </w:pPr>
            <w:r>
              <w:rPr>
                <w:sz w:val="24"/>
              </w:rPr>
              <w:t>环保投资占比（%）</w:t>
            </w:r>
          </w:p>
        </w:tc>
        <w:tc>
          <w:tcPr>
            <w:tcW w:w="2434" w:type="dxa"/>
            <w:noWrap w:val="0"/>
            <w:vAlign w:val="center"/>
          </w:tcPr>
          <w:p w14:paraId="41E85A2D">
            <w:pPr>
              <w:adjustRightInd w:val="0"/>
              <w:snapToGrid w:val="0"/>
              <w:jc w:val="center"/>
              <w:rPr>
                <w:rFonts w:hint="default" w:eastAsia="宋体"/>
                <w:sz w:val="24"/>
                <w:lang w:val="en-US" w:eastAsia="zh-CN"/>
              </w:rPr>
            </w:pPr>
            <w:r>
              <w:rPr>
                <w:rFonts w:hint="eastAsia"/>
                <w:sz w:val="24"/>
                <w:lang w:val="en-US" w:eastAsia="zh-CN"/>
              </w:rPr>
              <w:t>2.6</w:t>
            </w:r>
          </w:p>
        </w:tc>
        <w:tc>
          <w:tcPr>
            <w:tcW w:w="1750" w:type="dxa"/>
            <w:noWrap w:val="0"/>
            <w:tcMar>
              <w:top w:w="16" w:type="dxa"/>
              <w:left w:w="16" w:type="dxa"/>
              <w:right w:w="16" w:type="dxa"/>
            </w:tcMar>
            <w:vAlign w:val="center"/>
          </w:tcPr>
          <w:p w14:paraId="2E32306C">
            <w:pPr>
              <w:adjustRightInd w:val="0"/>
              <w:snapToGrid w:val="0"/>
              <w:jc w:val="center"/>
              <w:rPr>
                <w:sz w:val="24"/>
              </w:rPr>
            </w:pPr>
            <w:r>
              <w:rPr>
                <w:sz w:val="24"/>
              </w:rPr>
              <w:t>施工工期</w:t>
            </w:r>
          </w:p>
        </w:tc>
        <w:tc>
          <w:tcPr>
            <w:tcW w:w="2916" w:type="dxa"/>
            <w:noWrap w:val="0"/>
            <w:vAlign w:val="center"/>
          </w:tcPr>
          <w:p w14:paraId="25CD9840">
            <w:pPr>
              <w:adjustRightInd w:val="0"/>
              <w:snapToGrid w:val="0"/>
              <w:jc w:val="center"/>
              <w:rPr>
                <w:sz w:val="24"/>
              </w:rPr>
            </w:pPr>
            <w:r>
              <w:rPr>
                <w:rFonts w:hint="eastAsia"/>
                <w:sz w:val="24"/>
                <w:lang w:val="en-US" w:eastAsia="zh-CN"/>
              </w:rPr>
              <w:t>2</w:t>
            </w:r>
            <w:r>
              <w:rPr>
                <w:sz w:val="24"/>
              </w:rPr>
              <w:t>个月</w:t>
            </w:r>
          </w:p>
        </w:tc>
      </w:tr>
      <w:tr w14:paraId="34EEE2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8" w:hRule="atLeast"/>
          <w:jc w:val="center"/>
        </w:trPr>
        <w:tc>
          <w:tcPr>
            <w:tcW w:w="1770" w:type="dxa"/>
            <w:noWrap w:val="0"/>
            <w:tcMar>
              <w:top w:w="16" w:type="dxa"/>
              <w:left w:w="16" w:type="dxa"/>
              <w:right w:w="16" w:type="dxa"/>
            </w:tcMar>
            <w:vAlign w:val="center"/>
          </w:tcPr>
          <w:p w14:paraId="48639767">
            <w:pPr>
              <w:adjustRightInd w:val="0"/>
              <w:snapToGrid w:val="0"/>
              <w:jc w:val="center"/>
              <w:rPr>
                <w:sz w:val="24"/>
              </w:rPr>
            </w:pPr>
            <w:r>
              <w:rPr>
                <w:sz w:val="24"/>
              </w:rPr>
              <w:t>是否开工建设</w:t>
            </w:r>
          </w:p>
        </w:tc>
        <w:tc>
          <w:tcPr>
            <w:tcW w:w="2434" w:type="dxa"/>
            <w:noWrap w:val="0"/>
            <w:vAlign w:val="center"/>
          </w:tcPr>
          <w:p w14:paraId="13A284E8">
            <w:pPr>
              <w:adjustRightInd w:val="0"/>
              <w:snapToGrid w:val="0"/>
              <w:rPr>
                <w:sz w:val="24"/>
              </w:rPr>
            </w:pPr>
            <w:r>
              <w:rPr>
                <w:rFonts w:hint="default" w:ascii="Times New Roman" w:hAnsi="Times New Roman" w:cs="Times New Roman"/>
                <w:sz w:val="24"/>
              </w:rPr>
              <w:t>☑</w:t>
            </w:r>
            <w:r>
              <w:rPr>
                <w:sz w:val="24"/>
              </w:rPr>
              <w:t>否</w:t>
            </w:r>
          </w:p>
          <w:p w14:paraId="230DDC2B">
            <w:pPr>
              <w:adjustRightInd w:val="0"/>
              <w:snapToGrid w:val="0"/>
              <w:rPr>
                <w:sz w:val="24"/>
              </w:rPr>
            </w:pPr>
            <w:r>
              <w:rPr>
                <w:rFonts w:hint="eastAsia"/>
                <w:sz w:val="24"/>
                <w:lang w:eastAsia="zh-CN"/>
              </w:rPr>
              <w:t>□</w:t>
            </w:r>
            <w:r>
              <w:rPr>
                <w:sz w:val="24"/>
              </w:rPr>
              <w:t>是：</w:t>
            </w:r>
            <w:r>
              <w:rPr>
                <w:sz w:val="24"/>
                <w:u w:val="single"/>
              </w:rPr>
              <w:t xml:space="preserve">             </w:t>
            </w:r>
          </w:p>
        </w:tc>
        <w:tc>
          <w:tcPr>
            <w:tcW w:w="1750" w:type="dxa"/>
            <w:noWrap w:val="0"/>
            <w:tcMar>
              <w:top w:w="16" w:type="dxa"/>
              <w:left w:w="16" w:type="dxa"/>
              <w:right w:w="16" w:type="dxa"/>
            </w:tcMar>
            <w:vAlign w:val="center"/>
          </w:tcPr>
          <w:p w14:paraId="6B533490">
            <w:pPr>
              <w:adjustRightInd w:val="0"/>
              <w:snapToGrid w:val="0"/>
              <w:jc w:val="center"/>
              <w:rPr>
                <w:spacing w:val="-6"/>
                <w:sz w:val="24"/>
              </w:rPr>
            </w:pPr>
            <w:r>
              <w:rPr>
                <w:spacing w:val="-6"/>
                <w:sz w:val="24"/>
              </w:rPr>
              <w:t>用地（用海）</w:t>
            </w:r>
          </w:p>
          <w:p w14:paraId="59893B1C">
            <w:pPr>
              <w:adjustRightInd w:val="0"/>
              <w:snapToGrid w:val="0"/>
              <w:jc w:val="center"/>
              <w:rPr>
                <w:sz w:val="24"/>
              </w:rPr>
            </w:pPr>
            <w:r>
              <w:rPr>
                <w:spacing w:val="-6"/>
                <w:sz w:val="24"/>
              </w:rPr>
              <w:t>面积（m</w:t>
            </w:r>
            <w:r>
              <w:rPr>
                <w:spacing w:val="-6"/>
                <w:sz w:val="24"/>
                <w:vertAlign w:val="superscript"/>
              </w:rPr>
              <w:t>2</w:t>
            </w:r>
            <w:r>
              <w:rPr>
                <w:spacing w:val="-6"/>
                <w:sz w:val="24"/>
              </w:rPr>
              <w:t>）</w:t>
            </w:r>
          </w:p>
        </w:tc>
        <w:tc>
          <w:tcPr>
            <w:tcW w:w="2916" w:type="dxa"/>
            <w:noWrap w:val="0"/>
            <w:vAlign w:val="center"/>
          </w:tcPr>
          <w:p w14:paraId="7CB8FB1E">
            <w:pPr>
              <w:adjustRightInd w:val="0"/>
              <w:snapToGrid w:val="0"/>
              <w:jc w:val="center"/>
              <w:rPr>
                <w:rFonts w:hint="default" w:eastAsia="宋体"/>
                <w:color w:val="auto"/>
                <w:sz w:val="24"/>
                <w:lang w:val="en-US" w:eastAsia="zh-CN"/>
              </w:rPr>
            </w:pPr>
            <w:r>
              <w:rPr>
                <w:rFonts w:hint="eastAsia"/>
                <w:color w:val="auto"/>
                <w:sz w:val="24"/>
                <w:lang w:val="en-US" w:eastAsia="zh-CN"/>
              </w:rPr>
              <w:t>16200</w:t>
            </w:r>
          </w:p>
        </w:tc>
      </w:tr>
      <w:tr w14:paraId="40C27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770" w:type="dxa"/>
            <w:noWrap w:val="0"/>
            <w:vAlign w:val="center"/>
          </w:tcPr>
          <w:p w14:paraId="45778BCB">
            <w:pPr>
              <w:autoSpaceDE w:val="0"/>
              <w:autoSpaceDN w:val="0"/>
              <w:adjustRightInd w:val="0"/>
              <w:snapToGrid w:val="0"/>
              <w:jc w:val="center"/>
              <w:rPr>
                <w:kern w:val="0"/>
                <w:sz w:val="24"/>
              </w:rPr>
            </w:pPr>
            <w:r>
              <w:rPr>
                <w:kern w:val="0"/>
                <w:sz w:val="24"/>
              </w:rPr>
              <w:t>专项评价设置</w:t>
            </w:r>
          </w:p>
          <w:p w14:paraId="08F4012F">
            <w:pPr>
              <w:autoSpaceDE w:val="0"/>
              <w:autoSpaceDN w:val="0"/>
              <w:adjustRightInd w:val="0"/>
              <w:snapToGrid w:val="0"/>
              <w:jc w:val="center"/>
              <w:rPr>
                <w:kern w:val="0"/>
                <w:sz w:val="24"/>
              </w:rPr>
            </w:pPr>
            <w:r>
              <w:rPr>
                <w:kern w:val="0"/>
                <w:sz w:val="24"/>
              </w:rPr>
              <w:t>情况</w:t>
            </w:r>
          </w:p>
        </w:tc>
        <w:tc>
          <w:tcPr>
            <w:tcW w:w="7100" w:type="dxa"/>
            <w:gridSpan w:val="3"/>
            <w:noWrap w:val="0"/>
            <w:vAlign w:val="center"/>
          </w:tcPr>
          <w:p w14:paraId="671D2B11">
            <w:pPr>
              <w:autoSpaceDE w:val="0"/>
              <w:autoSpaceDN w:val="0"/>
              <w:adjustRightInd w:val="0"/>
              <w:snapToGrid w:val="0"/>
              <w:jc w:val="center"/>
              <w:rPr>
                <w:kern w:val="0"/>
                <w:sz w:val="24"/>
              </w:rPr>
            </w:pPr>
            <w:r>
              <w:rPr>
                <w:kern w:val="0"/>
                <w:sz w:val="24"/>
              </w:rPr>
              <w:t>无</w:t>
            </w:r>
          </w:p>
        </w:tc>
      </w:tr>
      <w:tr w14:paraId="31415C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70" w:type="dxa"/>
            <w:noWrap w:val="0"/>
            <w:vAlign w:val="center"/>
          </w:tcPr>
          <w:p w14:paraId="523DDCA1">
            <w:pPr>
              <w:autoSpaceDE w:val="0"/>
              <w:autoSpaceDN w:val="0"/>
              <w:adjustRightInd w:val="0"/>
              <w:snapToGrid w:val="0"/>
              <w:spacing w:line="240" w:lineRule="auto"/>
              <w:jc w:val="center"/>
              <w:rPr>
                <w:kern w:val="0"/>
                <w:sz w:val="24"/>
              </w:rPr>
            </w:pPr>
            <w:r>
              <w:rPr>
                <w:sz w:val="24"/>
              </w:rPr>
              <w:t>规划情况</w:t>
            </w:r>
          </w:p>
        </w:tc>
        <w:tc>
          <w:tcPr>
            <w:tcW w:w="7100" w:type="dxa"/>
            <w:gridSpan w:val="3"/>
            <w:noWrap w:val="0"/>
            <w:vAlign w:val="center"/>
          </w:tcPr>
          <w:p w14:paraId="45A63794">
            <w:pPr>
              <w:autoSpaceDE w:val="0"/>
              <w:autoSpaceDN w:val="0"/>
              <w:adjustRightInd w:val="0"/>
              <w:snapToGrid w:val="0"/>
              <w:spacing w:line="360" w:lineRule="auto"/>
              <w:jc w:val="left"/>
              <w:rPr>
                <w:rFonts w:hint="default" w:ascii="Times New Roman" w:hAnsi="Times New Roman" w:cs="Times New Roman"/>
                <w:color w:val="auto"/>
                <w:sz w:val="24"/>
                <w:szCs w:val="28"/>
                <w:lang w:val="en-US" w:eastAsia="zh-CN"/>
              </w:rPr>
            </w:pPr>
            <w:r>
              <w:rPr>
                <w:rFonts w:hint="default" w:ascii="Times New Roman" w:hAnsi="Times New Roman" w:eastAsia="宋体" w:cs="Times New Roman"/>
                <w:b/>
                <w:bCs/>
                <w:color w:val="auto"/>
                <w:sz w:val="24"/>
                <w:szCs w:val="28"/>
                <w:lang w:val="en-US" w:eastAsia="zh-CN"/>
              </w:rPr>
              <w:t>规划名称</w:t>
            </w:r>
            <w:r>
              <w:rPr>
                <w:rFonts w:hint="default" w:ascii="Times New Roman" w:hAnsi="Times New Roman" w:eastAsia="宋体" w:cs="Times New Roman"/>
                <w:color w:val="auto"/>
                <w:sz w:val="24"/>
                <w:szCs w:val="28"/>
                <w:lang w:val="en-US" w:eastAsia="zh-CN"/>
              </w:rPr>
              <w:t>：</w:t>
            </w:r>
            <w:r>
              <w:rPr>
                <w:rFonts w:hint="default" w:ascii="Times New Roman" w:hAnsi="Times New Roman" w:cs="Times New Roman"/>
                <w:color w:val="auto"/>
                <w:sz w:val="24"/>
                <w:szCs w:val="28"/>
                <w:lang w:val="en-US" w:eastAsia="zh-CN"/>
              </w:rPr>
              <w:t>《宿州市埇桥区朱仙庄镇总体规划（2016-2030年）》</w:t>
            </w:r>
          </w:p>
          <w:p w14:paraId="702D9218">
            <w:pPr>
              <w:autoSpaceDE w:val="0"/>
              <w:autoSpaceDN w:val="0"/>
              <w:adjustRightInd w:val="0"/>
              <w:snapToGrid w:val="0"/>
              <w:spacing w:line="360" w:lineRule="auto"/>
              <w:jc w:val="left"/>
              <w:rPr>
                <w:rFonts w:hint="default" w:ascii="Times New Roman" w:hAnsi="Times New Roman" w:eastAsia="宋体" w:cs="Times New Roman"/>
                <w:color w:val="auto"/>
                <w:kern w:val="0"/>
                <w:sz w:val="24"/>
              </w:rPr>
            </w:pPr>
            <w:r>
              <w:rPr>
                <w:rFonts w:hint="default" w:ascii="Times New Roman" w:hAnsi="Times New Roman" w:eastAsia="宋体" w:cs="Times New Roman"/>
                <w:b/>
                <w:bCs/>
                <w:color w:val="auto"/>
                <w:kern w:val="0"/>
                <w:sz w:val="24"/>
              </w:rPr>
              <w:t>审批机关：</w:t>
            </w:r>
            <w:r>
              <w:rPr>
                <w:rFonts w:hint="default" w:ascii="Times New Roman" w:hAnsi="Times New Roman" w:eastAsia="宋体" w:cs="Times New Roman"/>
                <w:color w:val="auto"/>
                <w:kern w:val="0"/>
                <w:sz w:val="24"/>
                <w:lang w:val="en-US" w:eastAsia="zh-CN"/>
              </w:rPr>
              <w:t>宿州市埇桥区自然资源和规划局</w:t>
            </w:r>
          </w:p>
          <w:p w14:paraId="15502738">
            <w:pPr>
              <w:pStyle w:val="61"/>
              <w:spacing w:line="360" w:lineRule="auto"/>
              <w:ind w:firstLine="0" w:firstLineChars="0"/>
              <w:jc w:val="left"/>
              <w:rPr>
                <w:kern w:val="0"/>
                <w:sz w:val="24"/>
              </w:rPr>
            </w:pPr>
            <w:r>
              <w:rPr>
                <w:rFonts w:hint="default" w:ascii="Times New Roman" w:hAnsi="Times New Roman" w:eastAsia="宋体" w:cs="Times New Roman"/>
                <w:b/>
                <w:bCs/>
                <w:color w:val="auto"/>
                <w:kern w:val="0"/>
                <w:sz w:val="24"/>
                <w:szCs w:val="20"/>
                <w:lang w:val="en-US" w:eastAsia="zh-CN" w:bidi="ar-SA"/>
              </w:rPr>
              <w:t>审批文号：</w:t>
            </w:r>
            <w:r>
              <w:rPr>
                <w:rFonts w:hint="default" w:ascii="Times New Roman" w:hAnsi="Times New Roman" w:eastAsia="宋体" w:cs="Times New Roman"/>
                <w:b w:val="0"/>
                <w:bCs w:val="0"/>
                <w:color w:val="auto"/>
                <w:kern w:val="0"/>
                <w:sz w:val="24"/>
                <w:szCs w:val="20"/>
                <w:lang w:val="en-US" w:eastAsia="zh-CN" w:bidi="ar-SA"/>
              </w:rPr>
              <w:t>无</w:t>
            </w:r>
          </w:p>
        </w:tc>
      </w:tr>
      <w:tr w14:paraId="7153A4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770" w:type="dxa"/>
            <w:noWrap w:val="0"/>
            <w:vAlign w:val="center"/>
          </w:tcPr>
          <w:p w14:paraId="55B6E709">
            <w:pPr>
              <w:autoSpaceDE w:val="0"/>
              <w:autoSpaceDN w:val="0"/>
              <w:adjustRightInd w:val="0"/>
              <w:snapToGrid w:val="0"/>
              <w:spacing w:line="240" w:lineRule="auto"/>
              <w:jc w:val="center"/>
              <w:rPr>
                <w:kern w:val="0"/>
                <w:sz w:val="24"/>
              </w:rPr>
            </w:pPr>
            <w:r>
              <w:rPr>
                <w:kern w:val="0"/>
                <w:sz w:val="24"/>
              </w:rPr>
              <w:t>规划环境影响</w:t>
            </w:r>
          </w:p>
          <w:p w14:paraId="738515A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kern w:val="0"/>
                <w:sz w:val="24"/>
              </w:rPr>
            </w:pPr>
            <w:r>
              <w:rPr>
                <w:kern w:val="0"/>
                <w:sz w:val="24"/>
              </w:rPr>
              <w:t>评价情况</w:t>
            </w:r>
          </w:p>
        </w:tc>
        <w:tc>
          <w:tcPr>
            <w:tcW w:w="7100" w:type="dxa"/>
            <w:gridSpan w:val="3"/>
            <w:noWrap w:val="0"/>
            <w:vAlign w:val="center"/>
          </w:tcPr>
          <w:p w14:paraId="41ED2BA1">
            <w:pPr>
              <w:autoSpaceDE w:val="0"/>
              <w:autoSpaceDN w:val="0"/>
              <w:adjustRightInd w:val="0"/>
              <w:snapToGrid w:val="0"/>
              <w:spacing w:line="240" w:lineRule="auto"/>
              <w:rPr>
                <w:kern w:val="0"/>
                <w:sz w:val="24"/>
              </w:rPr>
            </w:pPr>
            <w:r>
              <w:rPr>
                <w:kern w:val="0"/>
                <w:sz w:val="24"/>
              </w:rPr>
              <w:t>无</w:t>
            </w:r>
          </w:p>
        </w:tc>
      </w:tr>
      <w:tr w14:paraId="2325D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2" w:hRule="atLeast"/>
          <w:jc w:val="center"/>
        </w:trPr>
        <w:tc>
          <w:tcPr>
            <w:tcW w:w="1770" w:type="dxa"/>
            <w:noWrap w:val="0"/>
            <w:vAlign w:val="center"/>
          </w:tcPr>
          <w:p w14:paraId="32DE7756">
            <w:pPr>
              <w:autoSpaceDE w:val="0"/>
              <w:autoSpaceDN w:val="0"/>
              <w:adjustRightInd w:val="0"/>
              <w:snapToGrid w:val="0"/>
              <w:jc w:val="center"/>
              <w:rPr>
                <w:kern w:val="0"/>
                <w:sz w:val="24"/>
              </w:rPr>
            </w:pPr>
            <w:r>
              <w:rPr>
                <w:kern w:val="0"/>
                <w:sz w:val="24"/>
              </w:rPr>
              <w:t>规划及规划环境影响评价符合性分析</w:t>
            </w:r>
          </w:p>
        </w:tc>
        <w:tc>
          <w:tcPr>
            <w:tcW w:w="7100" w:type="dxa"/>
            <w:gridSpan w:val="3"/>
            <w:noWrap w:val="0"/>
            <w:vAlign w:val="center"/>
          </w:tcPr>
          <w:p w14:paraId="3F179D86">
            <w:pPr>
              <w:autoSpaceDE w:val="0"/>
              <w:autoSpaceDN w:val="0"/>
              <w:adjustRightInd w:val="0"/>
              <w:snapToGrid w:val="0"/>
              <w:spacing w:line="360" w:lineRule="auto"/>
              <w:rPr>
                <w:kern w:val="0"/>
                <w:sz w:val="24"/>
              </w:rPr>
            </w:pPr>
            <w:r>
              <w:rPr>
                <w:rFonts w:hint="default" w:ascii="Times New Roman" w:hAnsi="Times New Roman" w:eastAsia="宋体" w:cs="Times New Roman"/>
                <w:b/>
                <w:bCs/>
                <w:color w:val="auto"/>
                <w:sz w:val="24"/>
                <w:szCs w:val="24"/>
                <w:highlight w:val="none"/>
              </w:rPr>
              <w:t>规划</w:t>
            </w:r>
            <w:r>
              <w:rPr>
                <w:rFonts w:hint="eastAsia" w:ascii="Times New Roman" w:hAnsi="Times New Roman" w:eastAsia="宋体" w:cs="Times New Roman"/>
                <w:b/>
                <w:bCs/>
                <w:color w:val="auto"/>
                <w:sz w:val="24"/>
                <w:szCs w:val="24"/>
                <w:highlight w:val="none"/>
                <w:lang w:val="en-US" w:eastAsia="zh-CN"/>
              </w:rPr>
              <w:t>符合</w:t>
            </w:r>
            <w:r>
              <w:rPr>
                <w:rFonts w:hint="default" w:ascii="Times New Roman" w:hAnsi="Times New Roman" w:eastAsia="宋体" w:cs="Times New Roman"/>
                <w:b/>
                <w:bCs/>
                <w:color w:val="auto"/>
                <w:sz w:val="24"/>
                <w:szCs w:val="24"/>
                <w:highlight w:val="none"/>
              </w:rPr>
              <w:t>性分析</w:t>
            </w: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建设</w:t>
            </w:r>
            <w:r>
              <w:rPr>
                <w:rFonts w:hint="default" w:ascii="Times New Roman" w:hAnsi="Times New Roman" w:eastAsia="宋体" w:cs="Times New Roman"/>
                <w:color w:val="auto"/>
                <w:sz w:val="24"/>
                <w:szCs w:val="24"/>
                <w:highlight w:val="none"/>
                <w:lang w:eastAsia="zh-CN"/>
              </w:rPr>
              <w:t>项目</w:t>
            </w:r>
            <w:r>
              <w:rPr>
                <w:rFonts w:hint="eastAsia" w:ascii="Times New Roman" w:hAnsi="Times New Roman" w:eastAsia="宋体" w:cs="Times New Roman"/>
                <w:color w:val="auto"/>
                <w:sz w:val="24"/>
                <w:szCs w:val="24"/>
                <w:highlight w:val="none"/>
                <w:lang w:val="en-US" w:eastAsia="zh-CN"/>
              </w:rPr>
              <w:t>用地属于</w:t>
            </w:r>
            <w:r>
              <w:rPr>
                <w:rFonts w:hint="eastAsia" w:ascii="Times New Roman" w:hAnsi="Times New Roman" w:eastAsia="宋体" w:cs="Times New Roman"/>
                <w:color w:val="auto"/>
                <w:sz w:val="24"/>
                <w:szCs w:val="24"/>
                <w:highlight w:val="none"/>
                <w:lang w:eastAsia="zh-CN"/>
              </w:rPr>
              <w:t>工业用地</w:t>
            </w:r>
            <w:r>
              <w:rPr>
                <w:rFonts w:hint="default" w:ascii="Times New Roman" w:hAnsi="Times New Roman" w:eastAsia="宋体" w:cs="Times New Roman"/>
                <w:color w:val="auto"/>
                <w:sz w:val="24"/>
                <w:szCs w:val="24"/>
                <w:highlight w:val="none"/>
                <w:lang w:eastAsia="zh-CN"/>
              </w:rPr>
              <w:t>，不占用基本农田，不触及</w:t>
            </w:r>
            <w:r>
              <w:rPr>
                <w:rFonts w:hint="default" w:ascii="Times New Roman" w:hAnsi="Times New Roman" w:eastAsia="宋体" w:cs="Times New Roman"/>
                <w:color w:val="auto"/>
                <w:sz w:val="24"/>
                <w:szCs w:val="24"/>
                <w:highlight w:val="none"/>
              </w:rPr>
              <w:t>生态保护红线</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符合</w:t>
            </w:r>
            <w:r>
              <w:rPr>
                <w:rFonts w:hint="default" w:ascii="Times New Roman" w:hAnsi="Times New Roman" w:eastAsia="宋体" w:cs="Times New Roman"/>
                <w:color w:val="auto"/>
                <w:sz w:val="24"/>
                <w:szCs w:val="24"/>
                <w:highlight w:val="none"/>
                <w:lang w:val="en-US" w:eastAsia="zh-CN"/>
              </w:rPr>
              <w:t>《宿州市埇桥区朱仙庄镇总体规划（2016-2030年）》。</w:t>
            </w:r>
          </w:p>
        </w:tc>
      </w:tr>
      <w:tr w14:paraId="4B4771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0" w:type="dxa"/>
            <w:noWrap w:val="0"/>
            <w:vAlign w:val="center"/>
          </w:tcPr>
          <w:p w14:paraId="2684B717">
            <w:pPr>
              <w:autoSpaceDE w:val="0"/>
              <w:autoSpaceDN w:val="0"/>
              <w:adjustRightInd w:val="0"/>
              <w:snapToGrid w:val="0"/>
              <w:jc w:val="center"/>
              <w:rPr>
                <w:kern w:val="0"/>
                <w:sz w:val="24"/>
              </w:rPr>
            </w:pPr>
            <w:r>
              <w:rPr>
                <w:kern w:val="0"/>
                <w:sz w:val="24"/>
              </w:rPr>
              <w:t>其他符合性分析</w:t>
            </w:r>
          </w:p>
        </w:tc>
        <w:tc>
          <w:tcPr>
            <w:tcW w:w="7100" w:type="dxa"/>
            <w:gridSpan w:val="3"/>
            <w:noWrap w:val="0"/>
            <w:vAlign w:val="center"/>
          </w:tcPr>
          <w:p w14:paraId="60F5F19F">
            <w:pPr>
              <w:autoSpaceDE w:val="0"/>
              <w:autoSpaceDN w:val="0"/>
              <w:spacing w:line="360" w:lineRule="auto"/>
              <w:jc w:val="left"/>
              <w:rPr>
                <w:kern w:val="0"/>
                <w:sz w:val="24"/>
              </w:rPr>
            </w:pPr>
            <w:r>
              <w:rPr>
                <w:b/>
                <w:bCs/>
                <w:kern w:val="0"/>
                <w:sz w:val="24"/>
              </w:rPr>
              <w:t>（1）“三线一单”符合性分析</w:t>
            </w:r>
          </w:p>
          <w:p w14:paraId="48CDA74D">
            <w:pPr>
              <w:autoSpaceDE w:val="0"/>
              <w:autoSpaceDN w:val="0"/>
              <w:spacing w:line="360" w:lineRule="auto"/>
              <w:ind w:firstLine="480" w:firstLineChars="200"/>
              <w:jc w:val="left"/>
              <w:rPr>
                <w:kern w:val="0"/>
                <w:sz w:val="24"/>
              </w:rPr>
            </w:pPr>
            <w:r>
              <w:rPr>
                <w:rFonts w:ascii="Cambria Math" w:hAnsi="Cambria Math" w:cs="Cambria Math"/>
                <w:kern w:val="0"/>
                <w:sz w:val="24"/>
              </w:rPr>
              <w:t>①</w:t>
            </w:r>
            <w:r>
              <w:rPr>
                <w:kern w:val="0"/>
                <w:sz w:val="24"/>
              </w:rPr>
              <w:t>生态</w:t>
            </w:r>
            <w:r>
              <w:rPr>
                <w:rFonts w:hint="eastAsia"/>
                <w:kern w:val="0"/>
                <w:sz w:val="24"/>
              </w:rPr>
              <w:t>保护红</w:t>
            </w:r>
            <w:r>
              <w:rPr>
                <w:kern w:val="0"/>
                <w:sz w:val="24"/>
              </w:rPr>
              <w:t>线符合性</w:t>
            </w:r>
          </w:p>
          <w:p w14:paraId="78C67FC8">
            <w:pPr>
              <w:pStyle w:val="63"/>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根据《安徽省生态保护红线》</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《安徽省生态保护功能区规划》</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rPr>
              <w:t>宿州市生态保护红线区域分布图，</w:t>
            </w: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rPr>
              <w:t>项目不在主导生态功能区范围内，且不在当地饮用水源、风景区、自然保护区等生态保护区内。</w:t>
            </w:r>
          </w:p>
          <w:p w14:paraId="5FC7EE61">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宿州市生态保护红线已由宿州市人民政府于2020年12月发布。宿州市生态保护红线基于安徽省</w:t>
            </w:r>
            <w:r>
              <w:rPr>
                <w:rFonts w:hint="eastAsia" w:cs="Times New Roman"/>
                <w:color w:val="auto"/>
                <w:sz w:val="24"/>
                <w:szCs w:val="24"/>
                <w:lang w:val="en-US" w:eastAsia="zh-CN"/>
              </w:rPr>
              <w:t>人民</w:t>
            </w:r>
            <w:r>
              <w:rPr>
                <w:rFonts w:hint="default" w:ascii="Times New Roman" w:hAnsi="Times New Roman" w:cs="Times New Roman"/>
                <w:color w:val="auto"/>
                <w:sz w:val="24"/>
                <w:szCs w:val="24"/>
              </w:rPr>
              <w:t>政府发布的《安徽省生态保护红线》（皖政秘〔2018〕120号），宿州市的生态保护红线主要分布在以下片区：</w:t>
            </w:r>
          </w:p>
          <w:p w14:paraId="75B344AD">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1"/>
                <w:szCs w:val="21"/>
              </w:rPr>
              <w:t>表1-</w:t>
            </w:r>
            <w:r>
              <w:rPr>
                <w:rFonts w:hint="eastAsia" w:ascii="Times New Roman" w:hAnsi="Times New Roman" w:cs="Times New Roman"/>
                <w:b/>
                <w:bCs/>
                <w:color w:val="auto"/>
                <w:sz w:val="21"/>
                <w:szCs w:val="21"/>
                <w:lang w:val="en-US" w:eastAsia="zh-CN"/>
              </w:rPr>
              <w:t>1</w:t>
            </w:r>
            <w:r>
              <w:rPr>
                <w:rFonts w:hint="default" w:ascii="Times New Roman" w:hAnsi="Times New Roman" w:cs="Times New Roman"/>
                <w:b/>
                <w:bCs/>
                <w:color w:val="auto"/>
                <w:sz w:val="21"/>
                <w:szCs w:val="21"/>
              </w:rPr>
              <w:t xml:space="preserve"> 宿州市生态保护红线登记表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959"/>
              <w:gridCol w:w="1050"/>
              <w:gridCol w:w="2728"/>
              <w:gridCol w:w="858"/>
              <w:gridCol w:w="639"/>
            </w:tblGrid>
            <w:tr w14:paraId="5C322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5" w:type="pct"/>
                  <w:noWrap w:val="0"/>
                  <w:vAlign w:val="center"/>
                </w:tcPr>
                <w:p w14:paraId="0EFFA6FD">
                  <w:pPr>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类型</w:t>
                  </w:r>
                </w:p>
              </w:tc>
              <w:tc>
                <w:tcPr>
                  <w:tcW w:w="697" w:type="pct"/>
                  <w:noWrap w:val="0"/>
                  <w:vAlign w:val="center"/>
                </w:tcPr>
                <w:p w14:paraId="7FAD7585">
                  <w:pPr>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名称</w:t>
                  </w:r>
                </w:p>
              </w:tc>
              <w:tc>
                <w:tcPr>
                  <w:tcW w:w="763" w:type="pct"/>
                  <w:noWrap w:val="0"/>
                  <w:vAlign w:val="center"/>
                </w:tcPr>
                <w:p w14:paraId="5D9CCD5C">
                  <w:pPr>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生态系统特征</w:t>
                  </w:r>
                </w:p>
              </w:tc>
              <w:tc>
                <w:tcPr>
                  <w:tcW w:w="1983" w:type="pct"/>
                  <w:noWrap w:val="0"/>
                  <w:vAlign w:val="center"/>
                </w:tcPr>
                <w:p w14:paraId="4B4A706D">
                  <w:pPr>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保护地名录</w:t>
                  </w:r>
                </w:p>
              </w:tc>
              <w:tc>
                <w:tcPr>
                  <w:tcW w:w="624" w:type="pct"/>
                  <w:noWrap w:val="0"/>
                  <w:vAlign w:val="center"/>
                </w:tcPr>
                <w:p w14:paraId="1EAF461A">
                  <w:pPr>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所属</w:t>
                  </w:r>
                </w:p>
                <w:p w14:paraId="0A0A9E98">
                  <w:pPr>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行政区</w:t>
                  </w:r>
                </w:p>
              </w:tc>
              <w:tc>
                <w:tcPr>
                  <w:tcW w:w="464" w:type="pct"/>
                  <w:noWrap w:val="0"/>
                  <w:vAlign w:val="center"/>
                </w:tcPr>
                <w:p w14:paraId="341D9841">
                  <w:pPr>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面积</w:t>
                  </w:r>
                </w:p>
                <w:p w14:paraId="03524587">
                  <w:pPr>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/km</w:t>
                  </w:r>
                  <w:r>
                    <w:rPr>
                      <w:rFonts w:hint="default" w:ascii="Times New Roman" w:hAnsi="Times New Roman" w:cs="Times New Roman"/>
                      <w:b/>
                      <w:bCs w:val="0"/>
                      <w:color w:val="auto"/>
                      <w:sz w:val="21"/>
                      <w:szCs w:val="21"/>
                      <w:vertAlign w:val="superscript"/>
                    </w:rPr>
                    <w:t>2</w:t>
                  </w:r>
                </w:p>
              </w:tc>
            </w:tr>
            <w:tr w14:paraId="40F1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65" w:type="pct"/>
                  <w:vMerge w:val="restart"/>
                  <w:noWrap w:val="0"/>
                  <w:vAlign w:val="center"/>
                </w:tcPr>
                <w:p w14:paraId="1B13579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Ⅱ水土保持生态保护红线</w:t>
                  </w:r>
                </w:p>
              </w:tc>
              <w:tc>
                <w:tcPr>
                  <w:tcW w:w="697" w:type="pct"/>
                  <w:vMerge w:val="restart"/>
                  <w:noWrap w:val="0"/>
                  <w:vAlign w:val="center"/>
                </w:tcPr>
                <w:p w14:paraId="3DFCFD9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Ⅱ-1淮北河间平原农产品提供及水土保持生态保护红线</w:t>
                  </w:r>
                </w:p>
              </w:tc>
              <w:tc>
                <w:tcPr>
                  <w:tcW w:w="763" w:type="pct"/>
                  <w:vMerge w:val="restart"/>
                  <w:noWrap w:val="0"/>
                  <w:vAlign w:val="center"/>
                </w:tcPr>
                <w:p w14:paraId="0DCB058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暖温带落叶阔叶林带</w:t>
                  </w:r>
                </w:p>
              </w:tc>
              <w:tc>
                <w:tcPr>
                  <w:tcW w:w="1983" w:type="pct"/>
                  <w:vMerge w:val="restart"/>
                  <w:noWrap w:val="0"/>
                  <w:vAlign w:val="center"/>
                </w:tcPr>
                <w:p w14:paraId="56723F4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安徽灵璧磐云山国家地质公园、宿州市汴北水厂水源地、宿州市新水厂水源地、宿州市备用水源地</w:t>
                  </w:r>
                </w:p>
              </w:tc>
              <w:tc>
                <w:tcPr>
                  <w:tcW w:w="624" w:type="pct"/>
                  <w:noWrap w:val="0"/>
                  <w:vAlign w:val="center"/>
                </w:tcPr>
                <w:p w14:paraId="7829B0E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灵璧县</w:t>
                  </w:r>
                </w:p>
              </w:tc>
              <w:tc>
                <w:tcPr>
                  <w:tcW w:w="464" w:type="pct"/>
                  <w:noWrap w:val="0"/>
                  <w:vAlign w:val="center"/>
                </w:tcPr>
                <w:p w14:paraId="1163480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8.67</w:t>
                  </w:r>
                </w:p>
              </w:tc>
            </w:tr>
            <w:tr w14:paraId="6A3E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65" w:type="pct"/>
                  <w:vMerge w:val="continue"/>
                  <w:noWrap w:val="0"/>
                  <w:vAlign w:val="center"/>
                </w:tcPr>
                <w:p w14:paraId="1A1D8774">
                  <w:pPr>
                    <w:jc w:val="center"/>
                    <w:rPr>
                      <w:rFonts w:hint="default" w:ascii="Times New Roman" w:hAnsi="Times New Roman" w:cs="Times New Roman"/>
                      <w:color w:val="auto"/>
                      <w:sz w:val="21"/>
                      <w:szCs w:val="21"/>
                    </w:rPr>
                  </w:pPr>
                </w:p>
              </w:tc>
              <w:tc>
                <w:tcPr>
                  <w:tcW w:w="697" w:type="pct"/>
                  <w:vMerge w:val="continue"/>
                  <w:noWrap w:val="0"/>
                  <w:vAlign w:val="center"/>
                </w:tcPr>
                <w:p w14:paraId="730064E7">
                  <w:pPr>
                    <w:jc w:val="center"/>
                    <w:rPr>
                      <w:rFonts w:hint="default" w:ascii="Times New Roman" w:hAnsi="Times New Roman" w:cs="Times New Roman"/>
                      <w:color w:val="auto"/>
                      <w:sz w:val="21"/>
                      <w:szCs w:val="21"/>
                    </w:rPr>
                  </w:pPr>
                </w:p>
              </w:tc>
              <w:tc>
                <w:tcPr>
                  <w:tcW w:w="763" w:type="pct"/>
                  <w:vMerge w:val="continue"/>
                  <w:noWrap w:val="0"/>
                  <w:vAlign w:val="center"/>
                </w:tcPr>
                <w:p w14:paraId="791B61A1">
                  <w:pPr>
                    <w:jc w:val="center"/>
                    <w:rPr>
                      <w:rFonts w:hint="default" w:ascii="Times New Roman" w:hAnsi="Times New Roman" w:cs="Times New Roman"/>
                      <w:color w:val="auto"/>
                      <w:sz w:val="21"/>
                      <w:szCs w:val="21"/>
                    </w:rPr>
                  </w:pPr>
                </w:p>
              </w:tc>
              <w:tc>
                <w:tcPr>
                  <w:tcW w:w="1983" w:type="pct"/>
                  <w:vMerge w:val="continue"/>
                  <w:noWrap w:val="0"/>
                  <w:vAlign w:val="center"/>
                </w:tcPr>
                <w:p w14:paraId="332D1947">
                  <w:pPr>
                    <w:jc w:val="center"/>
                    <w:rPr>
                      <w:rFonts w:hint="default" w:ascii="Times New Roman" w:hAnsi="Times New Roman" w:cs="Times New Roman"/>
                      <w:color w:val="auto"/>
                      <w:sz w:val="21"/>
                      <w:szCs w:val="21"/>
                    </w:rPr>
                  </w:pPr>
                </w:p>
              </w:tc>
              <w:tc>
                <w:tcPr>
                  <w:tcW w:w="624" w:type="pct"/>
                  <w:noWrap w:val="0"/>
                  <w:vAlign w:val="center"/>
                </w:tcPr>
                <w:p w14:paraId="1DA3C23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泗县</w:t>
                  </w:r>
                </w:p>
              </w:tc>
              <w:tc>
                <w:tcPr>
                  <w:tcW w:w="464" w:type="pct"/>
                  <w:noWrap w:val="0"/>
                  <w:vAlign w:val="center"/>
                </w:tcPr>
                <w:p w14:paraId="4A33A63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4.63</w:t>
                  </w:r>
                </w:p>
              </w:tc>
            </w:tr>
            <w:tr w14:paraId="64AD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65" w:type="pct"/>
                  <w:vMerge w:val="continue"/>
                  <w:noWrap w:val="0"/>
                  <w:vAlign w:val="center"/>
                </w:tcPr>
                <w:p w14:paraId="2E17F164">
                  <w:pPr>
                    <w:jc w:val="center"/>
                    <w:rPr>
                      <w:rFonts w:hint="default" w:ascii="Times New Roman" w:hAnsi="Times New Roman" w:cs="Times New Roman"/>
                      <w:color w:val="auto"/>
                      <w:sz w:val="21"/>
                      <w:szCs w:val="21"/>
                    </w:rPr>
                  </w:pPr>
                </w:p>
              </w:tc>
              <w:tc>
                <w:tcPr>
                  <w:tcW w:w="697" w:type="pct"/>
                  <w:vMerge w:val="continue"/>
                  <w:noWrap w:val="0"/>
                  <w:vAlign w:val="center"/>
                </w:tcPr>
                <w:p w14:paraId="244EDD84">
                  <w:pPr>
                    <w:jc w:val="center"/>
                    <w:rPr>
                      <w:rFonts w:hint="default" w:ascii="Times New Roman" w:hAnsi="Times New Roman" w:cs="Times New Roman"/>
                      <w:color w:val="auto"/>
                      <w:sz w:val="21"/>
                      <w:szCs w:val="21"/>
                    </w:rPr>
                  </w:pPr>
                </w:p>
              </w:tc>
              <w:tc>
                <w:tcPr>
                  <w:tcW w:w="763" w:type="pct"/>
                  <w:vMerge w:val="continue"/>
                  <w:noWrap w:val="0"/>
                  <w:vAlign w:val="center"/>
                </w:tcPr>
                <w:p w14:paraId="1955E5F6">
                  <w:pPr>
                    <w:jc w:val="center"/>
                    <w:rPr>
                      <w:rFonts w:hint="default" w:ascii="Times New Roman" w:hAnsi="Times New Roman" w:cs="Times New Roman"/>
                      <w:color w:val="auto"/>
                      <w:sz w:val="21"/>
                      <w:szCs w:val="21"/>
                    </w:rPr>
                  </w:pPr>
                </w:p>
              </w:tc>
              <w:tc>
                <w:tcPr>
                  <w:tcW w:w="1983" w:type="pct"/>
                  <w:vMerge w:val="continue"/>
                  <w:noWrap w:val="0"/>
                  <w:vAlign w:val="center"/>
                </w:tcPr>
                <w:p w14:paraId="5037DC85">
                  <w:pPr>
                    <w:jc w:val="center"/>
                    <w:rPr>
                      <w:rFonts w:hint="default" w:ascii="Times New Roman" w:hAnsi="Times New Roman" w:cs="Times New Roman"/>
                      <w:color w:val="auto"/>
                      <w:sz w:val="21"/>
                      <w:szCs w:val="21"/>
                    </w:rPr>
                  </w:pPr>
                </w:p>
              </w:tc>
              <w:tc>
                <w:tcPr>
                  <w:tcW w:w="624" w:type="pct"/>
                  <w:noWrap w:val="0"/>
                  <w:vAlign w:val="center"/>
                </w:tcPr>
                <w:p w14:paraId="4040255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埇桥区</w:t>
                  </w:r>
                </w:p>
              </w:tc>
              <w:tc>
                <w:tcPr>
                  <w:tcW w:w="464" w:type="pct"/>
                  <w:noWrap w:val="0"/>
                  <w:vAlign w:val="center"/>
                </w:tcPr>
                <w:p w14:paraId="662954C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13.32</w:t>
                  </w:r>
                </w:p>
              </w:tc>
            </w:tr>
            <w:tr w14:paraId="0A3D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465" w:type="pct"/>
                  <w:vMerge w:val="restart"/>
                  <w:noWrap w:val="0"/>
                  <w:vAlign w:val="center"/>
                </w:tcPr>
                <w:p w14:paraId="1449714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Ⅲ生物多样性维护生态保护红线</w:t>
                  </w:r>
                </w:p>
              </w:tc>
              <w:tc>
                <w:tcPr>
                  <w:tcW w:w="697" w:type="pct"/>
                  <w:vMerge w:val="restart"/>
                  <w:noWrap w:val="0"/>
                  <w:vAlign w:val="center"/>
                </w:tcPr>
                <w:p w14:paraId="7461EDF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Ⅲ-1淮北平原北部生物多样性维护及水土保持生态保护红线</w:t>
                  </w:r>
                </w:p>
              </w:tc>
              <w:tc>
                <w:tcPr>
                  <w:tcW w:w="763" w:type="pct"/>
                  <w:vMerge w:val="restart"/>
                  <w:noWrap w:val="0"/>
                  <w:vAlign w:val="center"/>
                </w:tcPr>
                <w:p w14:paraId="294B4FF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暖温带落叶阔叶林带</w:t>
                  </w:r>
                </w:p>
              </w:tc>
              <w:tc>
                <w:tcPr>
                  <w:tcW w:w="1983" w:type="pct"/>
                  <w:vMerge w:val="restart"/>
                  <w:noWrap w:val="0"/>
                  <w:vAlign w:val="center"/>
                </w:tcPr>
                <w:p w14:paraId="2CF7BB8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徽砀山黄河故道湿地自然保护区、安徽萧县皇藏峪省级自然保护区、安徽萧县黄河故道省级自然保护区、安徽宿州大方寺省级自然保护区、安徽砀山酥梨种质资源省级自然保护区、皇藏峪风景名胜区（核心景区）、五柳风景名胜区（核心景区）、皇藏峪国家森林公园（生态保育区和核心景观区）、古黄河省级森林公园、梅山省级森林公园、安徽砀山古黄河省级地质公园、故黄河砀山段黄河鲤国家级水产种质资源保护区</w:t>
                  </w:r>
                </w:p>
              </w:tc>
              <w:tc>
                <w:tcPr>
                  <w:tcW w:w="624" w:type="pct"/>
                  <w:noWrap w:val="0"/>
                  <w:vAlign w:val="center"/>
                </w:tcPr>
                <w:p w14:paraId="63D699B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砀山县</w:t>
                  </w:r>
                </w:p>
              </w:tc>
              <w:tc>
                <w:tcPr>
                  <w:tcW w:w="464" w:type="pct"/>
                  <w:noWrap w:val="0"/>
                  <w:vAlign w:val="center"/>
                </w:tcPr>
                <w:p w14:paraId="5DD1755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363.73</w:t>
                  </w:r>
                </w:p>
              </w:tc>
            </w:tr>
            <w:tr w14:paraId="5A4C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465" w:type="pct"/>
                  <w:vMerge w:val="continue"/>
                  <w:noWrap w:val="0"/>
                  <w:vAlign w:val="center"/>
                </w:tcPr>
                <w:p w14:paraId="1F94BB2B">
                  <w:pPr>
                    <w:jc w:val="center"/>
                    <w:rPr>
                      <w:rFonts w:hint="default" w:ascii="Times New Roman" w:hAnsi="Times New Roman" w:cs="Times New Roman"/>
                      <w:color w:val="auto"/>
                      <w:sz w:val="21"/>
                      <w:szCs w:val="21"/>
                    </w:rPr>
                  </w:pPr>
                </w:p>
              </w:tc>
              <w:tc>
                <w:tcPr>
                  <w:tcW w:w="697" w:type="pct"/>
                  <w:vMerge w:val="continue"/>
                  <w:noWrap w:val="0"/>
                  <w:vAlign w:val="center"/>
                </w:tcPr>
                <w:p w14:paraId="1E9DE785">
                  <w:pPr>
                    <w:jc w:val="center"/>
                    <w:rPr>
                      <w:rFonts w:hint="default" w:ascii="Times New Roman" w:hAnsi="Times New Roman" w:cs="Times New Roman"/>
                      <w:color w:val="auto"/>
                      <w:sz w:val="21"/>
                      <w:szCs w:val="21"/>
                    </w:rPr>
                  </w:pPr>
                </w:p>
              </w:tc>
              <w:tc>
                <w:tcPr>
                  <w:tcW w:w="763" w:type="pct"/>
                  <w:vMerge w:val="continue"/>
                  <w:noWrap w:val="0"/>
                  <w:vAlign w:val="center"/>
                </w:tcPr>
                <w:p w14:paraId="2856BA79">
                  <w:pPr>
                    <w:jc w:val="center"/>
                    <w:rPr>
                      <w:rFonts w:hint="default" w:ascii="Times New Roman" w:hAnsi="Times New Roman" w:cs="Times New Roman"/>
                      <w:color w:val="auto"/>
                      <w:sz w:val="21"/>
                      <w:szCs w:val="21"/>
                    </w:rPr>
                  </w:pPr>
                </w:p>
              </w:tc>
              <w:tc>
                <w:tcPr>
                  <w:tcW w:w="1983" w:type="pct"/>
                  <w:vMerge w:val="continue"/>
                  <w:noWrap w:val="0"/>
                  <w:vAlign w:val="center"/>
                </w:tcPr>
                <w:p w14:paraId="5AAD9BC6">
                  <w:pPr>
                    <w:jc w:val="center"/>
                    <w:rPr>
                      <w:rFonts w:hint="default" w:ascii="Times New Roman" w:hAnsi="Times New Roman" w:cs="Times New Roman"/>
                      <w:color w:val="auto"/>
                      <w:sz w:val="21"/>
                      <w:szCs w:val="21"/>
                    </w:rPr>
                  </w:pPr>
                </w:p>
              </w:tc>
              <w:tc>
                <w:tcPr>
                  <w:tcW w:w="624" w:type="pct"/>
                  <w:noWrap w:val="0"/>
                  <w:vAlign w:val="center"/>
                </w:tcPr>
                <w:p w14:paraId="3177154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灵璧县</w:t>
                  </w:r>
                </w:p>
              </w:tc>
              <w:tc>
                <w:tcPr>
                  <w:tcW w:w="464" w:type="pct"/>
                  <w:noWrap w:val="0"/>
                  <w:vAlign w:val="center"/>
                </w:tcPr>
                <w:p w14:paraId="3414053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1.17</w:t>
                  </w:r>
                </w:p>
              </w:tc>
            </w:tr>
            <w:tr w14:paraId="04D5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465" w:type="pct"/>
                  <w:vMerge w:val="continue"/>
                  <w:noWrap w:val="0"/>
                  <w:vAlign w:val="center"/>
                </w:tcPr>
                <w:p w14:paraId="27587DD0">
                  <w:pPr>
                    <w:jc w:val="center"/>
                    <w:rPr>
                      <w:rFonts w:hint="default" w:ascii="Times New Roman" w:hAnsi="Times New Roman" w:cs="Times New Roman"/>
                      <w:color w:val="auto"/>
                      <w:sz w:val="21"/>
                      <w:szCs w:val="21"/>
                    </w:rPr>
                  </w:pPr>
                </w:p>
              </w:tc>
              <w:tc>
                <w:tcPr>
                  <w:tcW w:w="697" w:type="pct"/>
                  <w:vMerge w:val="continue"/>
                  <w:noWrap w:val="0"/>
                  <w:vAlign w:val="center"/>
                </w:tcPr>
                <w:p w14:paraId="0419A97B">
                  <w:pPr>
                    <w:jc w:val="center"/>
                    <w:rPr>
                      <w:rFonts w:hint="default" w:ascii="Times New Roman" w:hAnsi="Times New Roman" w:cs="Times New Roman"/>
                      <w:color w:val="auto"/>
                      <w:sz w:val="21"/>
                      <w:szCs w:val="21"/>
                    </w:rPr>
                  </w:pPr>
                </w:p>
              </w:tc>
              <w:tc>
                <w:tcPr>
                  <w:tcW w:w="763" w:type="pct"/>
                  <w:vMerge w:val="continue"/>
                  <w:noWrap w:val="0"/>
                  <w:vAlign w:val="center"/>
                </w:tcPr>
                <w:p w14:paraId="18CC8ADE">
                  <w:pPr>
                    <w:jc w:val="center"/>
                    <w:rPr>
                      <w:rFonts w:hint="default" w:ascii="Times New Roman" w:hAnsi="Times New Roman" w:cs="Times New Roman"/>
                      <w:color w:val="auto"/>
                      <w:sz w:val="21"/>
                      <w:szCs w:val="21"/>
                    </w:rPr>
                  </w:pPr>
                </w:p>
              </w:tc>
              <w:tc>
                <w:tcPr>
                  <w:tcW w:w="1983" w:type="pct"/>
                  <w:vMerge w:val="continue"/>
                  <w:noWrap w:val="0"/>
                  <w:vAlign w:val="center"/>
                </w:tcPr>
                <w:p w14:paraId="4D63DA78">
                  <w:pPr>
                    <w:jc w:val="center"/>
                    <w:rPr>
                      <w:rFonts w:hint="default" w:ascii="Times New Roman" w:hAnsi="Times New Roman" w:cs="Times New Roman"/>
                      <w:color w:val="auto"/>
                      <w:sz w:val="21"/>
                      <w:szCs w:val="21"/>
                    </w:rPr>
                  </w:pPr>
                </w:p>
              </w:tc>
              <w:tc>
                <w:tcPr>
                  <w:tcW w:w="624" w:type="pct"/>
                  <w:noWrap w:val="0"/>
                  <w:vAlign w:val="center"/>
                </w:tcPr>
                <w:p w14:paraId="3F57A62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萧县</w:t>
                  </w:r>
                </w:p>
              </w:tc>
              <w:tc>
                <w:tcPr>
                  <w:tcW w:w="464" w:type="pct"/>
                  <w:noWrap w:val="0"/>
                  <w:vAlign w:val="center"/>
                </w:tcPr>
                <w:p w14:paraId="717A6F3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123.40</w:t>
                  </w:r>
                </w:p>
              </w:tc>
            </w:tr>
            <w:tr w14:paraId="7FD1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0" w:hRule="atLeast"/>
              </w:trPr>
              <w:tc>
                <w:tcPr>
                  <w:tcW w:w="465" w:type="pct"/>
                  <w:vMerge w:val="continue"/>
                  <w:noWrap w:val="0"/>
                  <w:vAlign w:val="center"/>
                </w:tcPr>
                <w:p w14:paraId="7082B2A1">
                  <w:pPr>
                    <w:jc w:val="center"/>
                    <w:rPr>
                      <w:rFonts w:hint="default" w:ascii="Times New Roman" w:hAnsi="Times New Roman" w:cs="Times New Roman"/>
                      <w:color w:val="auto"/>
                      <w:sz w:val="21"/>
                      <w:szCs w:val="21"/>
                    </w:rPr>
                  </w:pPr>
                </w:p>
              </w:tc>
              <w:tc>
                <w:tcPr>
                  <w:tcW w:w="697" w:type="pct"/>
                  <w:vMerge w:val="continue"/>
                  <w:noWrap w:val="0"/>
                  <w:vAlign w:val="center"/>
                </w:tcPr>
                <w:p w14:paraId="7E1CBF0F">
                  <w:pPr>
                    <w:jc w:val="center"/>
                    <w:rPr>
                      <w:rFonts w:hint="default" w:ascii="Times New Roman" w:hAnsi="Times New Roman" w:cs="Times New Roman"/>
                      <w:color w:val="auto"/>
                      <w:sz w:val="21"/>
                      <w:szCs w:val="21"/>
                    </w:rPr>
                  </w:pPr>
                </w:p>
              </w:tc>
              <w:tc>
                <w:tcPr>
                  <w:tcW w:w="763" w:type="pct"/>
                  <w:vMerge w:val="continue"/>
                  <w:noWrap w:val="0"/>
                  <w:vAlign w:val="center"/>
                </w:tcPr>
                <w:p w14:paraId="5C9BD9BB">
                  <w:pPr>
                    <w:jc w:val="center"/>
                    <w:rPr>
                      <w:rFonts w:hint="default" w:ascii="Times New Roman" w:hAnsi="Times New Roman" w:cs="Times New Roman"/>
                      <w:color w:val="auto"/>
                      <w:sz w:val="21"/>
                      <w:szCs w:val="21"/>
                    </w:rPr>
                  </w:pPr>
                </w:p>
              </w:tc>
              <w:tc>
                <w:tcPr>
                  <w:tcW w:w="1983" w:type="pct"/>
                  <w:vMerge w:val="continue"/>
                  <w:noWrap w:val="0"/>
                  <w:vAlign w:val="center"/>
                </w:tcPr>
                <w:p w14:paraId="718DD932">
                  <w:pPr>
                    <w:jc w:val="center"/>
                    <w:rPr>
                      <w:rFonts w:hint="default" w:ascii="Times New Roman" w:hAnsi="Times New Roman" w:cs="Times New Roman"/>
                      <w:color w:val="auto"/>
                      <w:sz w:val="21"/>
                      <w:szCs w:val="21"/>
                    </w:rPr>
                  </w:pPr>
                </w:p>
              </w:tc>
              <w:tc>
                <w:tcPr>
                  <w:tcW w:w="624" w:type="pct"/>
                  <w:noWrap w:val="0"/>
                  <w:vAlign w:val="center"/>
                </w:tcPr>
                <w:p w14:paraId="14BD45F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埇桥区</w:t>
                  </w:r>
                </w:p>
              </w:tc>
              <w:tc>
                <w:tcPr>
                  <w:tcW w:w="464" w:type="pct"/>
                  <w:noWrap w:val="0"/>
                  <w:vAlign w:val="center"/>
                </w:tcPr>
                <w:p w14:paraId="521D405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111.08</w:t>
                  </w:r>
                </w:p>
              </w:tc>
            </w:tr>
            <w:tr w14:paraId="7DEC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465" w:type="pct"/>
                  <w:vMerge w:val="restart"/>
                  <w:noWrap w:val="0"/>
                  <w:vAlign w:val="center"/>
                </w:tcPr>
                <w:p w14:paraId="570A35A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Ⅲ生物多样性维护生态保护红线</w:t>
                  </w:r>
                </w:p>
              </w:tc>
              <w:tc>
                <w:tcPr>
                  <w:tcW w:w="697" w:type="pct"/>
                  <w:vMerge w:val="restart"/>
                  <w:noWrap w:val="0"/>
                  <w:vAlign w:val="center"/>
                </w:tcPr>
                <w:p w14:paraId="7FCA28E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Ⅲ-5淮河中下游湖泊洼地生物多样性维护生态保护红线</w:t>
                  </w:r>
                </w:p>
              </w:tc>
              <w:tc>
                <w:tcPr>
                  <w:tcW w:w="763" w:type="pct"/>
                  <w:vMerge w:val="restart"/>
                  <w:noWrap w:val="0"/>
                  <w:vAlign w:val="center"/>
                </w:tcPr>
                <w:p w14:paraId="47E5F16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暖温带与北亚热带落叶阔叶林过渡带；河流和湖泊湿地类型为主</w:t>
                  </w:r>
                </w:p>
              </w:tc>
              <w:tc>
                <w:tcPr>
                  <w:tcW w:w="1983" w:type="pct"/>
                  <w:vMerge w:val="restart"/>
                  <w:noWrap w:val="0"/>
                  <w:vAlign w:val="center"/>
                </w:tcPr>
                <w:p w14:paraId="64C6F3F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安徽泗县沱河省级自然保护区、石龙湖国家湿地公园</w:t>
                  </w:r>
                </w:p>
              </w:tc>
              <w:tc>
                <w:tcPr>
                  <w:tcW w:w="624" w:type="pct"/>
                  <w:noWrap w:val="0"/>
                  <w:vAlign w:val="center"/>
                </w:tcPr>
                <w:p w14:paraId="02B35B8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灵璧县</w:t>
                  </w:r>
                </w:p>
              </w:tc>
              <w:tc>
                <w:tcPr>
                  <w:tcW w:w="464" w:type="pct"/>
                  <w:noWrap w:val="0"/>
                  <w:vAlign w:val="center"/>
                </w:tcPr>
                <w:p w14:paraId="24B4FD4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0.06</w:t>
                  </w:r>
                </w:p>
              </w:tc>
            </w:tr>
            <w:tr w14:paraId="4A328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65" w:type="pct"/>
                  <w:vMerge w:val="continue"/>
                  <w:noWrap w:val="0"/>
                  <w:vAlign w:val="center"/>
                </w:tcPr>
                <w:p w14:paraId="361EE45C">
                  <w:pPr>
                    <w:jc w:val="center"/>
                    <w:rPr>
                      <w:rFonts w:hint="default" w:ascii="Times New Roman" w:hAnsi="Times New Roman" w:cs="Times New Roman"/>
                      <w:color w:val="auto"/>
                      <w:sz w:val="21"/>
                      <w:szCs w:val="21"/>
                    </w:rPr>
                  </w:pPr>
                </w:p>
              </w:tc>
              <w:tc>
                <w:tcPr>
                  <w:tcW w:w="697" w:type="pct"/>
                  <w:vMerge w:val="continue"/>
                  <w:noWrap w:val="0"/>
                  <w:vAlign w:val="center"/>
                </w:tcPr>
                <w:p w14:paraId="5C0810A0">
                  <w:pPr>
                    <w:jc w:val="center"/>
                    <w:rPr>
                      <w:rFonts w:hint="default" w:ascii="Times New Roman" w:hAnsi="Times New Roman" w:cs="Times New Roman"/>
                      <w:color w:val="auto"/>
                      <w:sz w:val="21"/>
                      <w:szCs w:val="21"/>
                    </w:rPr>
                  </w:pPr>
                </w:p>
              </w:tc>
              <w:tc>
                <w:tcPr>
                  <w:tcW w:w="763" w:type="pct"/>
                  <w:vMerge w:val="continue"/>
                  <w:noWrap w:val="0"/>
                  <w:vAlign w:val="center"/>
                </w:tcPr>
                <w:p w14:paraId="4B541FC4">
                  <w:pPr>
                    <w:jc w:val="center"/>
                    <w:rPr>
                      <w:rFonts w:hint="default" w:ascii="Times New Roman" w:hAnsi="Times New Roman" w:cs="Times New Roman"/>
                      <w:color w:val="auto"/>
                      <w:sz w:val="21"/>
                      <w:szCs w:val="21"/>
                    </w:rPr>
                  </w:pPr>
                </w:p>
              </w:tc>
              <w:tc>
                <w:tcPr>
                  <w:tcW w:w="1983" w:type="pct"/>
                  <w:vMerge w:val="continue"/>
                  <w:noWrap w:val="0"/>
                  <w:vAlign w:val="center"/>
                </w:tcPr>
                <w:p w14:paraId="1C495F6D">
                  <w:pPr>
                    <w:jc w:val="center"/>
                    <w:rPr>
                      <w:rFonts w:hint="default" w:ascii="Times New Roman" w:hAnsi="Times New Roman" w:cs="Times New Roman"/>
                      <w:color w:val="auto"/>
                      <w:sz w:val="21"/>
                      <w:szCs w:val="21"/>
                    </w:rPr>
                  </w:pPr>
                </w:p>
              </w:tc>
              <w:tc>
                <w:tcPr>
                  <w:tcW w:w="624" w:type="pct"/>
                  <w:noWrap w:val="0"/>
                  <w:vAlign w:val="center"/>
                </w:tcPr>
                <w:p w14:paraId="5080C8A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泗县</w:t>
                  </w:r>
                </w:p>
              </w:tc>
              <w:tc>
                <w:tcPr>
                  <w:tcW w:w="464" w:type="pct"/>
                  <w:noWrap w:val="0"/>
                  <w:vAlign w:val="center"/>
                </w:tcPr>
                <w:p w14:paraId="1DF3AE9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19.46</w:t>
                  </w:r>
                </w:p>
              </w:tc>
            </w:tr>
          </w:tbl>
          <w:p w14:paraId="4AF61DE5">
            <w:pPr>
              <w:pStyle w:val="63"/>
              <w:spacing w:line="360" w:lineRule="auto"/>
              <w:ind w:left="0"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本项目位于安徽省宿州市朱仙庄镇工业园区（曹凌村），远离生态保护红线。因此，本项目的建设符合《宿州市生态保护红线》的要求。</w:t>
            </w:r>
          </w:p>
          <w:p w14:paraId="1237360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Cambria Math" w:hAnsi="Cambria Math" w:eastAsia="宋体" w:cs="Cambria Math"/>
                <w:kern w:val="0"/>
                <w:sz w:val="24"/>
                <w:lang w:eastAsia="zh-CN"/>
              </w:rPr>
            </w:pPr>
            <w:r>
              <w:rPr>
                <w:rFonts w:hint="eastAsia" w:ascii="Cambria Math" w:hAnsi="Cambria Math" w:eastAsia="宋体" w:cs="Cambria Math"/>
                <w:kern w:val="0"/>
                <w:sz w:val="24"/>
                <w:lang w:eastAsia="zh-CN"/>
              </w:rPr>
              <w:drawing>
                <wp:inline distT="0" distB="0" distL="114300" distR="114300">
                  <wp:extent cx="4130040" cy="2880360"/>
                  <wp:effectExtent l="0" t="0" r="10160" b="2540"/>
                  <wp:docPr id="8" name="图片 8" descr="文字文稿1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文字文稿1_01(4)"/>
                          <pic:cNvPicPr>
                            <a:picLocks noChangeAspect="1"/>
                          </pic:cNvPicPr>
                        </pic:nvPicPr>
                        <pic:blipFill>
                          <a:blip r:embed="rId9"/>
                          <a:srcRect l="15197" t="15268" r="14964" b="14364"/>
                          <a:stretch>
                            <a:fillRect/>
                          </a:stretch>
                        </pic:blipFill>
                        <pic:spPr>
                          <a:xfrm>
                            <a:off x="0" y="0"/>
                            <a:ext cx="4130040" cy="2880360"/>
                          </a:xfrm>
                          <a:prstGeom prst="rect">
                            <a:avLst/>
                          </a:prstGeom>
                        </pic:spPr>
                      </pic:pic>
                    </a:graphicData>
                  </a:graphic>
                </wp:inline>
              </w:drawing>
            </w:r>
          </w:p>
          <w:p w14:paraId="6D49237E">
            <w:pPr>
              <w:pStyle w:val="29"/>
              <w:jc w:val="center"/>
              <w:rPr>
                <w:rFonts w:hint="default"/>
                <w:lang w:val="en-US" w:eastAsia="zh-CN"/>
              </w:rPr>
            </w:pPr>
            <w:r>
              <w:rPr>
                <w:rFonts w:hint="eastAsia" w:ascii="Cambria Math" w:hAnsi="Cambria Math" w:eastAsia="宋体" w:cs="Cambria Math"/>
                <w:kern w:val="0"/>
                <w:sz w:val="24"/>
                <w:lang w:val="en-US" w:eastAsia="zh-CN"/>
              </w:rPr>
              <w:t>图</w:t>
            </w:r>
            <w:r>
              <w:rPr>
                <w:rFonts w:hint="default" w:ascii="Times New Roman" w:hAnsi="Times New Roman" w:eastAsia="宋体" w:cs="Times New Roman"/>
                <w:kern w:val="0"/>
                <w:sz w:val="24"/>
                <w:lang w:val="en-US" w:eastAsia="zh-CN"/>
              </w:rPr>
              <w:t xml:space="preserve">1-1 </w:t>
            </w:r>
            <w:r>
              <w:rPr>
                <w:rFonts w:hint="eastAsia" w:ascii="Cambria Math" w:hAnsi="Cambria Math" w:eastAsia="宋体" w:cs="Cambria Math"/>
                <w:kern w:val="0"/>
                <w:sz w:val="24"/>
                <w:lang w:val="en-US" w:eastAsia="zh-CN"/>
              </w:rPr>
              <w:t xml:space="preserve"> 宿州市生态保护红线图</w:t>
            </w:r>
          </w:p>
          <w:p w14:paraId="547C2155">
            <w:pPr>
              <w:autoSpaceDE w:val="0"/>
              <w:autoSpaceDN w:val="0"/>
              <w:spacing w:line="360" w:lineRule="auto"/>
              <w:ind w:firstLine="480" w:firstLineChars="200"/>
              <w:jc w:val="left"/>
              <w:rPr>
                <w:kern w:val="0"/>
                <w:sz w:val="24"/>
              </w:rPr>
            </w:pPr>
            <w:r>
              <w:rPr>
                <w:rFonts w:ascii="Cambria Math" w:hAnsi="Cambria Math" w:cs="Cambria Math"/>
                <w:kern w:val="0"/>
                <w:sz w:val="24"/>
              </w:rPr>
              <w:t>②</w:t>
            </w:r>
            <w:r>
              <w:rPr>
                <w:kern w:val="0"/>
                <w:sz w:val="24"/>
              </w:rPr>
              <w:t>环境质量底线</w:t>
            </w:r>
          </w:p>
          <w:p w14:paraId="00D22D40">
            <w:pPr>
              <w:pStyle w:val="63"/>
              <w:spacing w:line="360" w:lineRule="auto"/>
              <w:rPr>
                <w:rFonts w:hint="default" w:ascii="Times New Roman" w:hAnsi="Times New Roman" w:eastAsia="宋体" w:cs="Times New Roman"/>
                <w:color w:val="auto"/>
                <w:sz w:val="24"/>
                <w:szCs w:val="24"/>
              </w:rPr>
            </w:pPr>
            <w:r>
              <w:rPr>
                <w:kern w:val="0"/>
                <w:sz w:val="24"/>
              </w:rPr>
              <w:t>从环境现状分析可知：</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val="en-US" w:eastAsia="zh-CN"/>
              </w:rPr>
              <w:t>区域202</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年度</w:t>
            </w:r>
            <w:r>
              <w:rPr>
                <w:rFonts w:hint="default" w:ascii="Times New Roman" w:hAnsi="Times New Roman" w:eastAsia="宋体" w:cs="Times New Roman"/>
                <w:color w:val="auto"/>
                <w:sz w:val="24"/>
                <w:szCs w:val="24"/>
              </w:rPr>
              <w:t>大气环境质量现状不能满足《环境空气质量标准》（GB3095-20</w:t>
            </w:r>
            <w:r>
              <w:rPr>
                <w:rFonts w:hint="eastAsia" w:cs="Times New Roman"/>
                <w:color w:val="auto"/>
                <w:sz w:val="24"/>
                <w:szCs w:val="24"/>
                <w:lang w:val="en-US" w:eastAsia="zh-CN"/>
              </w:rPr>
              <w:t>26</w:t>
            </w:r>
            <w:r>
              <w:rPr>
                <w:rFonts w:hint="default" w:ascii="Times New Roman" w:hAnsi="Times New Roman" w:eastAsia="宋体" w:cs="Times New Roman"/>
                <w:color w:val="auto"/>
                <w:sz w:val="24"/>
                <w:szCs w:val="24"/>
              </w:rPr>
              <w:t>）</w:t>
            </w:r>
            <w:r>
              <w:rPr>
                <w:rFonts w:hint="eastAsia"/>
                <w:color w:val="auto"/>
                <w:sz w:val="24"/>
                <w:szCs w:val="32"/>
                <w:lang w:val="en-US" w:eastAsia="zh-CN"/>
              </w:rPr>
              <w:t>表1中过渡阶段二级标准要求</w:t>
            </w:r>
            <w:r>
              <w:rPr>
                <w:rFonts w:hint="default" w:ascii="Times New Roman" w:hAnsi="Times New Roman" w:eastAsia="宋体" w:cs="Times New Roman"/>
                <w:color w:val="auto"/>
                <w:sz w:val="24"/>
                <w:szCs w:val="24"/>
              </w:rPr>
              <w:t>，为此宿州市人民政府下达全面落实秸秆禁烧、督促废气重点排污单位自动监控设施建设的安装、以及宿州市立体攻坚全面打响大气污染防治</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宿州市蓝天保卫战</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等一系列大气污染防治的措施实施</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地表水</w:t>
            </w:r>
            <w:r>
              <w:rPr>
                <w:rFonts w:hint="eastAsia" w:ascii="Times New Roman" w:hAnsi="Times New Roman" w:eastAsia="宋体" w:cs="Times New Roman"/>
                <w:color w:val="auto"/>
                <w:sz w:val="24"/>
                <w:szCs w:val="24"/>
                <w:lang w:val="en-US" w:eastAsia="zh-CN"/>
              </w:rPr>
              <w:t>体</w:t>
            </w:r>
            <w:r>
              <w:rPr>
                <w:rFonts w:hint="default" w:ascii="Times New Roman" w:hAnsi="Times New Roman" w:eastAsia="宋体" w:cs="Times New Roman"/>
                <w:color w:val="auto"/>
                <w:sz w:val="24"/>
                <w:szCs w:val="24"/>
                <w:lang w:eastAsia="zh-CN"/>
              </w:rPr>
              <w:t>沱河</w:t>
            </w:r>
            <w:r>
              <w:rPr>
                <w:rFonts w:hint="eastAsia" w:ascii="Times New Roman" w:hAnsi="Times New Roman" w:eastAsia="宋体" w:cs="Times New Roman"/>
                <w:color w:val="auto"/>
                <w:sz w:val="24"/>
                <w:szCs w:val="24"/>
                <w:lang w:val="en-US" w:eastAsia="zh-CN"/>
              </w:rPr>
              <w:t>水环境质量现状</w:t>
            </w:r>
            <w:r>
              <w:rPr>
                <w:rFonts w:hint="default" w:ascii="Times New Roman" w:hAnsi="Times New Roman" w:eastAsia="宋体" w:cs="Times New Roman"/>
                <w:color w:val="auto"/>
                <w:sz w:val="24"/>
                <w:szCs w:val="24"/>
              </w:rPr>
              <w:t>满足《地表水环境质量标准》（GB3838-2002）中Ⅳ类标准要求；</w:t>
            </w:r>
            <w:r>
              <w:rPr>
                <w:rFonts w:hint="eastAsia" w:ascii="Times New Roman" w:hAnsi="Times New Roman" w:eastAsia="宋体" w:cs="Times New Roman"/>
                <w:color w:val="auto"/>
                <w:sz w:val="24"/>
                <w:szCs w:val="24"/>
                <w:lang w:val="en-US" w:eastAsia="zh-CN"/>
              </w:rPr>
              <w:t>项目区域</w:t>
            </w:r>
            <w:r>
              <w:rPr>
                <w:rFonts w:hint="default" w:ascii="Times New Roman" w:hAnsi="Times New Roman" w:eastAsia="宋体" w:cs="Times New Roman"/>
                <w:color w:val="auto"/>
                <w:sz w:val="24"/>
                <w:szCs w:val="24"/>
              </w:rPr>
              <w:t>声环境质量</w:t>
            </w:r>
            <w:r>
              <w:rPr>
                <w:rFonts w:hint="eastAsia" w:ascii="Times New Roman" w:hAnsi="Times New Roman" w:eastAsia="宋体" w:cs="Times New Roman"/>
                <w:color w:val="auto"/>
                <w:sz w:val="24"/>
                <w:szCs w:val="24"/>
                <w:lang w:val="en-US" w:eastAsia="zh-CN"/>
              </w:rPr>
              <w:t>现状</w:t>
            </w:r>
            <w:r>
              <w:rPr>
                <w:rFonts w:hint="default" w:ascii="Times New Roman" w:hAnsi="Times New Roman" w:eastAsia="宋体" w:cs="Times New Roman"/>
                <w:color w:val="auto"/>
                <w:sz w:val="24"/>
                <w:szCs w:val="24"/>
              </w:rPr>
              <w:t>达到《声环境质量标准》（GB3096-2008）中</w:t>
            </w:r>
            <w:r>
              <w:rPr>
                <w:rFonts w:hint="default" w:ascii="Times New Roman" w:hAnsi="Times New Roman" w:eastAsia="宋体" w:cs="Times New Roman"/>
                <w:color w:val="auto"/>
                <w:sz w:val="24"/>
                <w:szCs w:val="24"/>
                <w:lang w:eastAsia="zh-CN"/>
              </w:rPr>
              <w:t>2类</w:t>
            </w:r>
            <w:r>
              <w:rPr>
                <w:rFonts w:hint="default" w:ascii="Times New Roman" w:hAnsi="Times New Roman" w:eastAsia="宋体" w:cs="Times New Roman"/>
                <w:color w:val="auto"/>
                <w:sz w:val="24"/>
                <w:szCs w:val="24"/>
              </w:rPr>
              <w:t>标准要求。</w:t>
            </w:r>
          </w:p>
          <w:p w14:paraId="05798CEC">
            <w:pPr>
              <w:autoSpaceDE w:val="0"/>
              <w:autoSpaceDN w:val="0"/>
              <w:spacing w:line="360" w:lineRule="auto"/>
              <w:ind w:firstLine="480" w:firstLineChars="200"/>
              <w:jc w:val="left"/>
              <w:rPr>
                <w:kern w:val="0"/>
                <w:sz w:val="24"/>
              </w:rPr>
            </w:pPr>
            <w:r>
              <w:rPr>
                <w:kern w:val="0"/>
                <w:sz w:val="24"/>
              </w:rPr>
              <w:t>项目在落实评价提出的各项污染防治措施</w:t>
            </w:r>
            <w:r>
              <w:rPr>
                <w:rFonts w:hint="eastAsia"/>
                <w:kern w:val="0"/>
                <w:sz w:val="24"/>
                <w:lang w:val="en-US" w:eastAsia="zh-CN"/>
              </w:rPr>
              <w:t>后</w:t>
            </w:r>
            <w:r>
              <w:rPr>
                <w:rFonts w:hint="eastAsia"/>
                <w:kern w:val="0"/>
                <w:sz w:val="24"/>
                <w:lang w:eastAsia="zh-CN"/>
              </w:rPr>
              <w:t>，</w:t>
            </w:r>
            <w:r>
              <w:rPr>
                <w:kern w:val="0"/>
                <w:sz w:val="24"/>
              </w:rPr>
              <w:t>各污染物</w:t>
            </w:r>
            <w:r>
              <w:rPr>
                <w:rFonts w:hint="eastAsia"/>
                <w:kern w:val="0"/>
                <w:sz w:val="24"/>
                <w:lang w:val="en-US" w:eastAsia="zh-CN"/>
              </w:rPr>
              <w:t>均</w:t>
            </w:r>
            <w:r>
              <w:rPr>
                <w:kern w:val="0"/>
                <w:sz w:val="24"/>
              </w:rPr>
              <w:t>可</w:t>
            </w:r>
            <w:r>
              <w:rPr>
                <w:rFonts w:hint="eastAsia"/>
                <w:kern w:val="0"/>
                <w:sz w:val="24"/>
                <w:lang w:val="en-US" w:eastAsia="zh-CN"/>
              </w:rPr>
              <w:t>实现</w:t>
            </w:r>
            <w:r>
              <w:rPr>
                <w:kern w:val="0"/>
                <w:sz w:val="24"/>
              </w:rPr>
              <w:t>达标排放，不会降低区域环境质量的原有功能级别，满足环境质量底线控制要求。</w:t>
            </w:r>
          </w:p>
          <w:p w14:paraId="48781819">
            <w:pPr>
              <w:autoSpaceDE w:val="0"/>
              <w:autoSpaceDN w:val="0"/>
              <w:spacing w:line="360" w:lineRule="auto"/>
              <w:ind w:firstLine="480" w:firstLineChars="200"/>
              <w:jc w:val="left"/>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A.</w:t>
            </w:r>
            <w:r>
              <w:rPr>
                <w:rFonts w:hint="default" w:ascii="Times New Roman" w:hAnsi="Times New Roman" w:cs="Times New Roman"/>
                <w:color w:val="auto"/>
                <w:sz w:val="24"/>
              </w:rPr>
              <w:t>水环境分区管控要求</w:t>
            </w:r>
          </w:p>
          <w:p w14:paraId="431A1BA5">
            <w:pPr>
              <w:autoSpaceDE w:val="0"/>
              <w:autoSpaceDN w:val="0"/>
              <w:adjustRightInd w:val="0"/>
              <w:snapToGrid w:val="0"/>
              <w:spacing w:line="360" w:lineRule="auto"/>
              <w:ind w:firstLine="480" w:firstLineChars="200"/>
              <w:rPr>
                <w:rFonts w:hint="eastAsia" w:ascii="Times New Roman" w:hAnsi="Times New Roman" w:cs="Times New Roman"/>
                <w:sz w:val="24"/>
                <w:szCs w:val="32"/>
                <w:lang w:val="en-US" w:eastAsia="zh-CN"/>
              </w:rPr>
            </w:pPr>
            <w:r>
              <w:rPr>
                <w:rFonts w:hint="default" w:ascii="Times New Roman" w:hAnsi="Times New Roman" w:cs="Times New Roman"/>
                <w:color w:val="auto"/>
                <w:sz w:val="24"/>
              </w:rPr>
              <w:t>根据《宿州市</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三线一单</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文本》及宿州市水环境分区管控图，本项目位于</w:t>
            </w:r>
            <w:r>
              <w:rPr>
                <w:rFonts w:hint="eastAsia" w:ascii="Times New Roman" w:hAnsi="Times New Roman" w:cs="Times New Roman"/>
                <w:color w:val="auto"/>
                <w:sz w:val="24"/>
                <w:lang w:val="en-US" w:eastAsia="zh-CN"/>
              </w:rPr>
              <w:t>宿州市</w:t>
            </w:r>
            <w:r>
              <w:rPr>
                <w:rFonts w:hint="eastAsia" w:ascii="Times New Roman" w:hAnsi="Times New Roman" w:cs="Times New Roman"/>
                <w:sz w:val="24"/>
                <w:szCs w:val="32"/>
                <w:lang w:val="en-US" w:eastAsia="zh-CN"/>
              </w:rPr>
              <w:t>水环境管控分区中的重点管控区。</w:t>
            </w:r>
          </w:p>
          <w:p w14:paraId="5C9D6BCC">
            <w:pPr>
              <w:keepNext w:val="0"/>
              <w:keepLines w:val="0"/>
              <w:pageBreakBefore w:val="0"/>
              <w:widowControl w:val="0"/>
              <w:kinsoku/>
              <w:wordWrap/>
              <w:overflowPunct/>
              <w:topLinePunct w:val="0"/>
              <w:autoSpaceDE/>
              <w:autoSpaceDN/>
              <w:bidi w:val="0"/>
              <w:adjustRightInd/>
              <w:snapToGrid w:val="0"/>
              <w:spacing w:line="240" w:lineRule="auto"/>
              <w:ind w:firstLine="561"/>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表1-</w:t>
            </w:r>
            <w:r>
              <w:rPr>
                <w:rFonts w:hint="eastAsia" w:ascii="Times New Roman" w:hAnsi="Times New Roman" w:cs="Times New Roman"/>
                <w:b/>
                <w:color w:val="auto"/>
                <w:kern w:val="0"/>
                <w:sz w:val="21"/>
                <w:szCs w:val="21"/>
                <w:lang w:val="en-US" w:eastAsia="zh-CN"/>
              </w:rPr>
              <w:t xml:space="preserve">2  </w:t>
            </w:r>
            <w:r>
              <w:rPr>
                <w:rFonts w:hint="default" w:ascii="Times New Roman" w:hAnsi="Times New Roman" w:cs="Times New Roman"/>
                <w:b/>
                <w:color w:val="auto"/>
                <w:kern w:val="0"/>
                <w:sz w:val="21"/>
                <w:szCs w:val="21"/>
              </w:rPr>
              <w:t>与水环境分区管控要求的协调性分析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3228"/>
              <w:gridCol w:w="2816"/>
            </w:tblGrid>
            <w:tr w14:paraId="33D0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02" w:type="dxa"/>
                  <w:noWrap w:val="0"/>
                  <w:vAlign w:val="center"/>
                </w:tcPr>
                <w:p w14:paraId="4A845676">
                  <w:pPr>
                    <w:pStyle w:val="20"/>
                    <w:spacing w:before="0" w:beforeAutospacing="0" w:after="0" w:afterAutospacing="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管控单元分类</w:t>
                  </w:r>
                </w:p>
              </w:tc>
              <w:tc>
                <w:tcPr>
                  <w:tcW w:w="3118" w:type="dxa"/>
                  <w:noWrap w:val="0"/>
                  <w:vAlign w:val="center"/>
                </w:tcPr>
                <w:p w14:paraId="6E13C563">
                  <w:pPr>
                    <w:pStyle w:val="20"/>
                    <w:spacing w:before="0" w:beforeAutospacing="0" w:after="0" w:afterAutospacing="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环境管控要求</w:t>
                  </w:r>
                </w:p>
              </w:tc>
              <w:tc>
                <w:tcPr>
                  <w:tcW w:w="2721" w:type="dxa"/>
                  <w:noWrap w:val="0"/>
                  <w:vAlign w:val="center"/>
                </w:tcPr>
                <w:p w14:paraId="55844FEB">
                  <w:pPr>
                    <w:pStyle w:val="20"/>
                    <w:spacing w:before="0" w:beforeAutospacing="0" w:after="0" w:afterAutospacing="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协调性分析</w:t>
                  </w:r>
                </w:p>
              </w:tc>
            </w:tr>
            <w:tr w14:paraId="7D8DB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noWrap w:val="0"/>
                  <w:vAlign w:val="center"/>
                </w:tcPr>
                <w:p w14:paraId="4469ED3A">
                  <w:pPr>
                    <w:pStyle w:val="2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重点管控区</w:t>
                  </w:r>
                </w:p>
              </w:tc>
              <w:tc>
                <w:tcPr>
                  <w:tcW w:w="3118" w:type="dxa"/>
                  <w:noWrap w:val="0"/>
                  <w:vAlign w:val="center"/>
                </w:tcPr>
                <w:p w14:paraId="59F8BDB0">
                  <w:pPr>
                    <w:pStyle w:val="2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落实《国务院办公厅关于印发实行最严格水资源管理制度考核办法的通知》《</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十三五</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水资源消耗总量和强度双控行动方案》《安徽省“十三五”水资源消耗总量和强度双控工作方案》等要求</w:t>
                  </w:r>
                </w:p>
              </w:tc>
              <w:tc>
                <w:tcPr>
                  <w:tcW w:w="2721" w:type="dxa"/>
                  <w:noWrap w:val="0"/>
                  <w:vAlign w:val="center"/>
                </w:tcPr>
                <w:p w14:paraId="34C0D1CA">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本项目</w:t>
                  </w:r>
                  <w:r>
                    <w:rPr>
                      <w:rFonts w:hint="eastAsia" w:ascii="Times New Roman" w:hAnsi="Times New Roman" w:cs="Times New Roman"/>
                      <w:color w:val="auto"/>
                      <w:szCs w:val="21"/>
                      <w:lang w:val="en-US" w:eastAsia="zh-CN"/>
                    </w:rPr>
                    <w:t>营运期车间保洁废水、初期雨水经自建污水处理站预处理达标后，回用于厂区绿化及车间保洁</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生活污水经化粪池预处理后，定期清掏用于周边农田施肥，不外排。</w:t>
                  </w:r>
                </w:p>
              </w:tc>
            </w:tr>
          </w:tbl>
          <w:p w14:paraId="138CB0F2">
            <w:pPr>
              <w:pStyle w:val="64"/>
              <w:keepNext w:val="0"/>
              <w:keepLines w:val="0"/>
              <w:pageBreakBefore w:val="0"/>
              <w:widowControl w:val="0"/>
              <w:kinsoku/>
              <w:wordWrap/>
              <w:overflowPunct/>
              <w:topLinePunct w:val="0"/>
              <w:autoSpaceDE/>
              <w:autoSpaceDN/>
              <w:bidi w:val="0"/>
              <w:adjustRightInd/>
              <w:snapToGrid/>
              <w:spacing w:before="157" w:beforeLines="50" w:line="24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项目与宿州市水环境分区管控位置关系见下图。</w:t>
            </w:r>
          </w:p>
          <w:p w14:paraId="4475F9CE">
            <w:pPr>
              <w:pStyle w:val="64"/>
              <w:spacing w:line="360" w:lineRule="auto"/>
              <w:jc w:val="center"/>
              <w:rPr>
                <w:rFonts w:hint="default" w:ascii="Times New Roman" w:hAnsi="Times New Roman" w:cs="Times New Roman"/>
                <w:bCs/>
                <w:color w:val="auto"/>
                <w:sz w:val="24"/>
                <w:lang w:val="en-US" w:eastAsia="zh-CN"/>
              </w:rPr>
            </w:pPr>
            <w:r>
              <w:rPr>
                <w:rFonts w:hint="eastAsia" w:ascii="Times New Roman" w:hAnsi="Times New Roman" w:eastAsia="宋体" w:cs="Times New Roman"/>
                <w:color w:val="auto"/>
                <w:sz w:val="24"/>
                <w:lang w:val="en-US" w:eastAsia="zh-CN"/>
              </w:rPr>
              <w:drawing>
                <wp:inline distT="0" distB="0" distL="114300" distR="114300">
                  <wp:extent cx="4365625" cy="3090545"/>
                  <wp:effectExtent l="0" t="0" r="3175" b="8255"/>
                  <wp:docPr id="11" name="图片 11" descr="文字文稿1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字文稿1_01(6)"/>
                          <pic:cNvPicPr>
                            <a:picLocks noChangeAspect="1"/>
                          </pic:cNvPicPr>
                        </pic:nvPicPr>
                        <pic:blipFill>
                          <a:blip r:embed="rId10"/>
                          <a:srcRect l="14993" t="14141" r="15109" b="13993"/>
                          <a:stretch>
                            <a:fillRect/>
                          </a:stretch>
                        </pic:blipFill>
                        <pic:spPr>
                          <a:xfrm>
                            <a:off x="0" y="0"/>
                            <a:ext cx="4365625" cy="3090545"/>
                          </a:xfrm>
                          <a:prstGeom prst="rect">
                            <a:avLst/>
                          </a:prstGeom>
                        </pic:spPr>
                      </pic:pic>
                    </a:graphicData>
                  </a:graphic>
                </wp:inline>
              </w:drawing>
            </w:r>
            <w:r>
              <w:rPr>
                <w:rFonts w:hint="eastAsia" w:ascii="Times New Roman" w:hAnsi="Times New Roman" w:cs="Times New Roman"/>
                <w:b/>
                <w:bCs/>
                <w:color w:val="auto"/>
                <w:sz w:val="24"/>
                <w:lang w:val="en-US" w:eastAsia="zh-CN"/>
              </w:rPr>
              <w:t>图1-2  项目与宿州市水环境分区管控位置关系图</w:t>
            </w:r>
          </w:p>
          <w:p w14:paraId="0E285309">
            <w:pPr>
              <w:pStyle w:val="64"/>
              <w:spacing w:line="360" w:lineRule="auto"/>
              <w:ind w:firstLine="480"/>
              <w:rPr>
                <w:rFonts w:hint="default" w:ascii="Times New Roman" w:hAnsi="Times New Roman" w:cs="Times New Roman"/>
                <w:bCs/>
                <w:color w:val="auto"/>
                <w:sz w:val="24"/>
              </w:rPr>
            </w:pPr>
            <w:r>
              <w:rPr>
                <w:rFonts w:hint="eastAsia" w:ascii="Times New Roman" w:hAnsi="Times New Roman" w:cs="Times New Roman"/>
                <w:bCs/>
                <w:color w:val="auto"/>
                <w:sz w:val="24"/>
                <w:lang w:val="en-US" w:eastAsia="zh-CN"/>
              </w:rPr>
              <w:t>B.</w:t>
            </w:r>
            <w:r>
              <w:rPr>
                <w:rFonts w:hint="default" w:ascii="Times New Roman" w:hAnsi="Times New Roman" w:cs="Times New Roman"/>
                <w:bCs/>
                <w:color w:val="auto"/>
                <w:sz w:val="24"/>
              </w:rPr>
              <w:t>大气环境分区管控要求</w:t>
            </w:r>
          </w:p>
          <w:p w14:paraId="0C2812F1">
            <w:pPr>
              <w:pStyle w:val="64"/>
              <w:spacing w:line="360" w:lineRule="auto"/>
              <w:ind w:firstLine="480"/>
              <w:rPr>
                <w:rFonts w:hint="default" w:ascii="Times New Roman" w:hAnsi="Times New Roman" w:cs="Times New Roman"/>
                <w:bCs/>
                <w:color w:val="auto"/>
                <w:sz w:val="24"/>
              </w:rPr>
            </w:pPr>
            <w:r>
              <w:rPr>
                <w:rFonts w:hint="default" w:ascii="Times New Roman" w:hAnsi="Times New Roman" w:cs="Times New Roman"/>
                <w:bCs/>
                <w:color w:val="auto"/>
                <w:sz w:val="24"/>
              </w:rPr>
              <w:t>根据《安徽省宿州市“三线一单”文本》及宿州市大气环境分区管控图，</w:t>
            </w:r>
            <w:r>
              <w:rPr>
                <w:rFonts w:hint="default" w:ascii="Times New Roman" w:hAnsi="Times New Roman" w:cs="Times New Roman"/>
                <w:color w:val="auto"/>
                <w:sz w:val="24"/>
              </w:rPr>
              <w:t>本项目位于</w:t>
            </w:r>
            <w:r>
              <w:rPr>
                <w:rFonts w:hint="eastAsia" w:ascii="Times New Roman" w:hAnsi="Times New Roman" w:cs="Times New Roman"/>
                <w:color w:val="auto"/>
                <w:sz w:val="24"/>
                <w:lang w:val="en-US" w:eastAsia="zh-CN"/>
              </w:rPr>
              <w:t>宿州市</w:t>
            </w:r>
            <w:r>
              <w:rPr>
                <w:rFonts w:hint="eastAsia" w:ascii="Times New Roman" w:hAnsi="Times New Roman" w:cs="Times New Roman"/>
                <w:sz w:val="24"/>
                <w:szCs w:val="32"/>
                <w:lang w:val="en-US" w:eastAsia="zh-CN"/>
              </w:rPr>
              <w:t>大气环境管控分区中的</w:t>
            </w:r>
            <w:r>
              <w:rPr>
                <w:rFonts w:hint="default" w:ascii="Times New Roman" w:hAnsi="Times New Roman" w:cs="Times New Roman"/>
                <w:color w:val="auto"/>
                <w:sz w:val="24"/>
              </w:rPr>
              <w:t>重点管控区</w:t>
            </w:r>
            <w:r>
              <w:rPr>
                <w:rFonts w:hint="default" w:ascii="Times New Roman" w:hAnsi="Times New Roman" w:cs="Times New Roman"/>
                <w:bCs/>
                <w:color w:val="auto"/>
                <w:sz w:val="24"/>
              </w:rPr>
              <w:t>。</w:t>
            </w:r>
          </w:p>
          <w:p w14:paraId="3AE79C13">
            <w:pPr>
              <w:keepNext w:val="0"/>
              <w:keepLines w:val="0"/>
              <w:pageBreakBefore w:val="0"/>
              <w:widowControl w:val="0"/>
              <w:kinsoku/>
              <w:wordWrap/>
              <w:overflowPunct/>
              <w:topLinePunct w:val="0"/>
              <w:autoSpaceDE/>
              <w:autoSpaceDN/>
              <w:bidi w:val="0"/>
              <w:adjustRightInd/>
              <w:snapToGrid w:val="0"/>
              <w:spacing w:line="240" w:lineRule="auto"/>
              <w:ind w:firstLine="561"/>
              <w:jc w:val="center"/>
              <w:textAlignment w:val="auto"/>
              <w:rPr>
                <w:rFonts w:hint="default" w:ascii="Times New Roman" w:hAnsi="Times New Roman" w:cs="Times New Roman"/>
                <w:b/>
                <w:color w:val="auto"/>
                <w:kern w:val="0"/>
                <w:sz w:val="21"/>
                <w:szCs w:val="21"/>
              </w:rPr>
            </w:pPr>
          </w:p>
          <w:p w14:paraId="7057C195">
            <w:pPr>
              <w:keepNext w:val="0"/>
              <w:keepLines w:val="0"/>
              <w:pageBreakBefore w:val="0"/>
              <w:widowControl w:val="0"/>
              <w:kinsoku/>
              <w:wordWrap/>
              <w:overflowPunct/>
              <w:topLinePunct w:val="0"/>
              <w:autoSpaceDE/>
              <w:autoSpaceDN/>
              <w:bidi w:val="0"/>
              <w:adjustRightInd/>
              <w:snapToGrid w:val="0"/>
              <w:spacing w:line="240" w:lineRule="auto"/>
              <w:ind w:firstLine="561"/>
              <w:jc w:val="center"/>
              <w:textAlignment w:val="auto"/>
              <w:rPr>
                <w:rFonts w:hint="default" w:ascii="Times New Roman" w:hAnsi="Times New Roman" w:cs="Times New Roman"/>
                <w:b/>
                <w:color w:val="auto"/>
                <w:kern w:val="0"/>
                <w:sz w:val="21"/>
                <w:szCs w:val="21"/>
              </w:rPr>
            </w:pPr>
          </w:p>
          <w:p w14:paraId="2C96FEEE">
            <w:pPr>
              <w:keepNext w:val="0"/>
              <w:keepLines w:val="0"/>
              <w:pageBreakBefore w:val="0"/>
              <w:widowControl w:val="0"/>
              <w:kinsoku/>
              <w:wordWrap/>
              <w:overflowPunct/>
              <w:topLinePunct w:val="0"/>
              <w:autoSpaceDE/>
              <w:autoSpaceDN/>
              <w:bidi w:val="0"/>
              <w:adjustRightInd/>
              <w:snapToGrid w:val="0"/>
              <w:spacing w:line="240" w:lineRule="auto"/>
              <w:ind w:firstLine="561"/>
              <w:jc w:val="center"/>
              <w:textAlignment w:val="auto"/>
              <w:rPr>
                <w:rFonts w:hint="default" w:ascii="Times New Roman" w:hAnsi="Times New Roman" w:cs="Times New Roman"/>
                <w:b/>
                <w:color w:val="auto"/>
                <w:kern w:val="0"/>
                <w:sz w:val="21"/>
                <w:szCs w:val="21"/>
              </w:rPr>
            </w:pPr>
          </w:p>
          <w:p w14:paraId="34720929">
            <w:pPr>
              <w:keepNext w:val="0"/>
              <w:keepLines w:val="0"/>
              <w:pageBreakBefore w:val="0"/>
              <w:widowControl w:val="0"/>
              <w:kinsoku/>
              <w:wordWrap/>
              <w:overflowPunct/>
              <w:topLinePunct w:val="0"/>
              <w:autoSpaceDE/>
              <w:autoSpaceDN/>
              <w:bidi w:val="0"/>
              <w:adjustRightInd/>
              <w:snapToGrid w:val="0"/>
              <w:spacing w:line="240" w:lineRule="auto"/>
              <w:ind w:firstLine="561"/>
              <w:jc w:val="center"/>
              <w:textAlignment w:val="auto"/>
              <w:rPr>
                <w:rFonts w:hint="default" w:ascii="Times New Roman" w:hAnsi="Times New Roman" w:cs="Times New Roman"/>
                <w:b/>
                <w:color w:val="auto"/>
                <w:kern w:val="0"/>
                <w:sz w:val="21"/>
                <w:szCs w:val="21"/>
              </w:rPr>
            </w:pPr>
          </w:p>
          <w:p w14:paraId="544E0B1E">
            <w:pPr>
              <w:keepNext w:val="0"/>
              <w:keepLines w:val="0"/>
              <w:pageBreakBefore w:val="0"/>
              <w:widowControl w:val="0"/>
              <w:kinsoku/>
              <w:wordWrap/>
              <w:overflowPunct/>
              <w:topLinePunct w:val="0"/>
              <w:autoSpaceDE/>
              <w:autoSpaceDN/>
              <w:bidi w:val="0"/>
              <w:adjustRightInd/>
              <w:snapToGrid w:val="0"/>
              <w:spacing w:line="240" w:lineRule="auto"/>
              <w:ind w:firstLine="561"/>
              <w:jc w:val="center"/>
              <w:textAlignment w:val="auto"/>
              <w:rPr>
                <w:rFonts w:hint="default" w:ascii="Times New Roman" w:hAnsi="Times New Roman" w:cs="Times New Roman"/>
                <w:b/>
                <w:color w:val="auto"/>
                <w:kern w:val="0"/>
                <w:sz w:val="21"/>
                <w:szCs w:val="21"/>
              </w:rPr>
            </w:pPr>
          </w:p>
          <w:p w14:paraId="14E0DAD7">
            <w:pPr>
              <w:keepNext w:val="0"/>
              <w:keepLines w:val="0"/>
              <w:pageBreakBefore w:val="0"/>
              <w:widowControl w:val="0"/>
              <w:kinsoku/>
              <w:wordWrap/>
              <w:overflowPunct/>
              <w:topLinePunct w:val="0"/>
              <w:autoSpaceDE/>
              <w:autoSpaceDN/>
              <w:bidi w:val="0"/>
              <w:adjustRightInd/>
              <w:snapToGrid w:val="0"/>
              <w:spacing w:line="240" w:lineRule="auto"/>
              <w:ind w:firstLine="561"/>
              <w:jc w:val="center"/>
              <w:textAlignment w:val="auto"/>
              <w:rPr>
                <w:rFonts w:hint="default" w:ascii="Times New Roman" w:hAnsi="Times New Roman" w:cs="Times New Roman"/>
                <w:b/>
                <w:color w:val="auto"/>
                <w:kern w:val="0"/>
                <w:sz w:val="21"/>
                <w:szCs w:val="21"/>
              </w:rPr>
            </w:pPr>
          </w:p>
          <w:p w14:paraId="7D50DFA8">
            <w:pPr>
              <w:keepNext w:val="0"/>
              <w:keepLines w:val="0"/>
              <w:pageBreakBefore w:val="0"/>
              <w:widowControl w:val="0"/>
              <w:kinsoku/>
              <w:wordWrap/>
              <w:overflowPunct/>
              <w:topLinePunct w:val="0"/>
              <w:autoSpaceDE/>
              <w:autoSpaceDN/>
              <w:bidi w:val="0"/>
              <w:adjustRightInd/>
              <w:snapToGrid w:val="0"/>
              <w:spacing w:line="240" w:lineRule="auto"/>
              <w:ind w:firstLine="561"/>
              <w:jc w:val="center"/>
              <w:textAlignment w:val="auto"/>
              <w:rPr>
                <w:rFonts w:hint="default" w:ascii="Times New Roman" w:hAnsi="Times New Roman" w:cs="Times New Roman"/>
                <w:b/>
                <w:color w:val="auto"/>
                <w:kern w:val="0"/>
                <w:sz w:val="21"/>
                <w:szCs w:val="21"/>
              </w:rPr>
            </w:pPr>
          </w:p>
          <w:p w14:paraId="1A893512">
            <w:pPr>
              <w:keepNext w:val="0"/>
              <w:keepLines w:val="0"/>
              <w:pageBreakBefore w:val="0"/>
              <w:widowControl w:val="0"/>
              <w:kinsoku/>
              <w:wordWrap/>
              <w:overflowPunct/>
              <w:topLinePunct w:val="0"/>
              <w:autoSpaceDE/>
              <w:autoSpaceDN/>
              <w:bidi w:val="0"/>
              <w:adjustRightInd/>
              <w:snapToGrid w:val="0"/>
              <w:spacing w:line="240" w:lineRule="auto"/>
              <w:ind w:firstLine="561"/>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表1-</w:t>
            </w:r>
            <w:r>
              <w:rPr>
                <w:rFonts w:hint="eastAsia" w:ascii="Times New Roman" w:hAnsi="Times New Roman" w:cs="Times New Roman"/>
                <w:b/>
                <w:color w:val="auto"/>
                <w:kern w:val="0"/>
                <w:sz w:val="21"/>
                <w:szCs w:val="21"/>
                <w:lang w:val="en-US" w:eastAsia="zh-CN"/>
              </w:rPr>
              <w:t xml:space="preserve">3  </w:t>
            </w:r>
            <w:r>
              <w:rPr>
                <w:rFonts w:hint="default" w:ascii="Times New Roman" w:hAnsi="Times New Roman" w:cs="Times New Roman"/>
                <w:b/>
                <w:color w:val="auto"/>
                <w:kern w:val="0"/>
                <w:sz w:val="21"/>
                <w:szCs w:val="21"/>
              </w:rPr>
              <w:t>与大气环境分区管控要求的协调性分析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768"/>
              <w:gridCol w:w="3415"/>
            </w:tblGrid>
            <w:tr w14:paraId="7C84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91" w:type="dxa"/>
                  <w:noWrap w:val="0"/>
                  <w:vAlign w:val="center"/>
                </w:tcPr>
                <w:p w14:paraId="5F5DEC07">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管控单元分类</w:t>
                  </w:r>
                </w:p>
              </w:tc>
              <w:tc>
                <w:tcPr>
                  <w:tcW w:w="2768" w:type="dxa"/>
                  <w:noWrap w:val="0"/>
                  <w:vAlign w:val="center"/>
                </w:tcPr>
                <w:p w14:paraId="59682298">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环境管控要求</w:t>
                  </w:r>
                </w:p>
              </w:tc>
              <w:tc>
                <w:tcPr>
                  <w:tcW w:w="3415" w:type="dxa"/>
                  <w:noWrap w:val="0"/>
                  <w:vAlign w:val="center"/>
                </w:tcPr>
                <w:p w14:paraId="353020B3">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协调性分析</w:t>
                  </w:r>
                </w:p>
              </w:tc>
            </w:tr>
            <w:tr w14:paraId="6C1A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6" w:hRule="atLeast"/>
                <w:jc w:val="center"/>
              </w:trPr>
              <w:tc>
                <w:tcPr>
                  <w:tcW w:w="691" w:type="dxa"/>
                  <w:noWrap w:val="0"/>
                  <w:vAlign w:val="center"/>
                </w:tcPr>
                <w:p w14:paraId="4A47D5CE">
                  <w:pPr>
                    <w:jc w:val="center"/>
                    <w:rPr>
                      <w:rFonts w:hint="default" w:ascii="Times New Roman" w:hAnsi="Times New Roman" w:cs="Times New Roman"/>
                      <w:color w:val="auto"/>
                      <w:szCs w:val="21"/>
                    </w:rPr>
                  </w:pPr>
                  <w:r>
                    <w:rPr>
                      <w:rFonts w:hint="default" w:ascii="Times New Roman" w:hAnsi="Times New Roman" w:cs="Times New Roman"/>
                      <w:color w:val="auto"/>
                      <w:szCs w:val="21"/>
                    </w:rPr>
                    <w:t>重点管控区</w:t>
                  </w:r>
                </w:p>
              </w:tc>
              <w:tc>
                <w:tcPr>
                  <w:tcW w:w="2768" w:type="dxa"/>
                  <w:noWrap w:val="0"/>
                  <w:vAlign w:val="center"/>
                </w:tcPr>
                <w:p w14:paraId="2E17C49C">
                  <w:pPr>
                    <w:jc w:val="center"/>
                    <w:rPr>
                      <w:rFonts w:hint="default" w:ascii="Times New Roman" w:hAnsi="Times New Roman" w:cs="Times New Roman"/>
                      <w:color w:val="auto"/>
                      <w:szCs w:val="21"/>
                    </w:rPr>
                  </w:pPr>
                  <w:r>
                    <w:rPr>
                      <w:rFonts w:hint="default" w:ascii="Times New Roman" w:hAnsi="Times New Roman" w:cs="Times New Roman"/>
                      <w:color w:val="auto"/>
                      <w:szCs w:val="21"/>
                    </w:rPr>
                    <w:t>落实《安徽省大气污染防治条例》《宿州市环境保护和生态建设</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十三五</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规划》《宿州市打赢蓝天保卫战三年行动计划实施方案》《重点行业挥发性有机物综合治理方案》，工业园区规划环评及审查意见等要求，严格目标实施计划，加强环境监管，促进生态环境质量好转。</w:t>
                  </w:r>
                </w:p>
              </w:tc>
              <w:tc>
                <w:tcPr>
                  <w:tcW w:w="3415" w:type="dxa"/>
                  <w:noWrap w:val="0"/>
                  <w:vAlign w:val="center"/>
                </w:tcPr>
                <w:p w14:paraId="48AC2C42">
                  <w:pPr>
                    <w:jc w:val="center"/>
                    <w:rPr>
                      <w:rFonts w:hint="eastAsia" w:ascii="Times New Roman" w:hAnsi="Times New Roman" w:eastAsia="宋体" w:cs="Times New Roman"/>
                      <w:color w:val="auto"/>
                      <w:szCs w:val="21"/>
                      <w:lang w:eastAsia="zh-CN"/>
                    </w:rPr>
                  </w:pPr>
                  <w:r>
                    <w:rPr>
                      <w:rFonts w:hint="eastAsia"/>
                      <w:lang w:val="en-US" w:eastAsia="zh-CN"/>
                    </w:rPr>
                    <w:t>项目营运期废油液抽取工段产生的有机废气经集气罩收集后</w:t>
                  </w:r>
                  <w:r>
                    <w:rPr>
                      <w:rFonts w:hint="eastAsia"/>
                    </w:rPr>
                    <w:t>，</w:t>
                  </w:r>
                  <w:r>
                    <w:rPr>
                      <w:rFonts w:hint="eastAsia"/>
                      <w:lang w:val="en-US" w:eastAsia="zh-CN"/>
                    </w:rPr>
                    <w:t>引至活性炭吸附装置净化处理后，</w:t>
                  </w:r>
                  <w:r>
                    <w:rPr>
                      <w:rFonts w:hint="eastAsia"/>
                    </w:rPr>
                    <w:t>经15m高排气筒（DA001）排放。</w:t>
                  </w:r>
                  <w:r>
                    <w:rPr>
                      <w:rFonts w:hint="eastAsia"/>
                      <w:lang w:val="en-US" w:eastAsia="zh-CN"/>
                    </w:rPr>
                    <w:t>废油液、滤清器贮存工段产生的有机废气经负压收集后，引至活性炭吸附装置净化处理后，</w:t>
                  </w:r>
                  <w:r>
                    <w:t>经15m高排气筒（DA00</w:t>
                  </w:r>
                  <w:r>
                    <w:rPr>
                      <w:rFonts w:hint="eastAsia"/>
                    </w:rPr>
                    <w:t>2</w:t>
                  </w:r>
                  <w:r>
                    <w:t>）排放。</w:t>
                  </w:r>
                  <w:r>
                    <w:rPr>
                      <w:rFonts w:hint="eastAsia"/>
                      <w:lang w:val="en-US" w:eastAsia="zh-CN"/>
                    </w:rPr>
                    <w:t>切割工段产生的烟尘经集气罩收集后，引至布袋除尘器净化处理后，经</w:t>
                  </w:r>
                  <w:r>
                    <w:t>15m高排气筒（DA00</w:t>
                  </w:r>
                  <w:r>
                    <w:rPr>
                      <w:rFonts w:hint="eastAsia"/>
                      <w:lang w:val="en-US" w:eastAsia="zh-CN"/>
                    </w:rPr>
                    <w:t>3</w:t>
                  </w:r>
                  <w:r>
                    <w:t>）排放。</w:t>
                  </w:r>
                  <w:r>
                    <w:rPr>
                      <w:rFonts w:hint="default" w:ascii="Times New Roman" w:hAnsi="Times New Roman" w:cs="Times New Roman"/>
                      <w:color w:val="auto"/>
                      <w:szCs w:val="21"/>
                    </w:rPr>
                    <w:t>运营期各项污染物均能</w:t>
                  </w:r>
                  <w:r>
                    <w:rPr>
                      <w:rFonts w:hint="eastAsia" w:ascii="Times New Roman" w:hAnsi="Times New Roman" w:cs="Times New Roman"/>
                      <w:color w:val="auto"/>
                      <w:szCs w:val="21"/>
                      <w:lang w:val="en-US" w:eastAsia="zh-CN"/>
                    </w:rPr>
                    <w:t>实现</w:t>
                  </w:r>
                  <w:r>
                    <w:rPr>
                      <w:rFonts w:hint="default" w:ascii="Times New Roman" w:hAnsi="Times New Roman" w:cs="Times New Roman"/>
                      <w:color w:val="auto"/>
                      <w:szCs w:val="21"/>
                    </w:rPr>
                    <w:t>达标排放，污染物排放满足总量控制要求</w:t>
                  </w:r>
                  <w:r>
                    <w:rPr>
                      <w:rFonts w:hint="eastAsia" w:ascii="Times New Roman" w:hAnsi="Times New Roman" w:cs="Times New Roman"/>
                      <w:color w:val="auto"/>
                      <w:szCs w:val="21"/>
                      <w:lang w:eastAsia="zh-CN"/>
                    </w:rPr>
                    <w:t>。</w:t>
                  </w:r>
                </w:p>
              </w:tc>
            </w:tr>
          </w:tbl>
          <w:p w14:paraId="6AB9CA1A">
            <w:pPr>
              <w:pStyle w:val="64"/>
              <w:keepNext w:val="0"/>
              <w:keepLines w:val="0"/>
              <w:pageBreakBefore w:val="0"/>
              <w:widowControl w:val="0"/>
              <w:kinsoku/>
              <w:wordWrap/>
              <w:overflowPunct/>
              <w:topLinePunct w:val="0"/>
              <w:autoSpaceDE/>
              <w:autoSpaceDN/>
              <w:bidi w:val="0"/>
              <w:adjustRightInd/>
              <w:snapToGrid/>
              <w:spacing w:before="157" w:beforeLines="50" w:line="24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项目与宿州市大气环境分区管控位置关系见下图。</w:t>
            </w:r>
          </w:p>
          <w:p w14:paraId="7C9907AC">
            <w:pPr>
              <w:autoSpaceDE w:val="0"/>
              <w:autoSpaceDN w:val="0"/>
              <w:spacing w:line="360" w:lineRule="auto"/>
              <w:jc w:val="left"/>
              <w:rPr>
                <w:rFonts w:hint="eastAsia" w:ascii="Times New Roman" w:hAnsi="Times New Roman" w:cs="Times New Roman"/>
                <w:bCs/>
                <w:color w:val="auto"/>
                <w:sz w:val="24"/>
                <w:lang w:val="en-US" w:eastAsia="zh-CN"/>
              </w:rPr>
            </w:pPr>
            <w:r>
              <w:rPr>
                <w:rFonts w:hint="eastAsia" w:ascii="Times New Roman" w:hAnsi="Times New Roman" w:cs="Times New Roman"/>
                <w:bCs/>
                <w:color w:val="auto"/>
                <w:sz w:val="24"/>
                <w:lang w:val="en-US" w:eastAsia="zh-CN"/>
              </w:rPr>
              <w:drawing>
                <wp:inline distT="0" distB="0" distL="114300" distR="114300">
                  <wp:extent cx="4394835" cy="3076575"/>
                  <wp:effectExtent l="0" t="0" r="12065" b="9525"/>
                  <wp:docPr id="10" name="图片 10" descr="文字文稿1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文字文稿1_01(5)"/>
                          <pic:cNvPicPr>
                            <a:picLocks noChangeAspect="1"/>
                          </pic:cNvPicPr>
                        </pic:nvPicPr>
                        <pic:blipFill>
                          <a:blip r:embed="rId11"/>
                          <a:srcRect l="15153" t="14668" r="14920" b="14562"/>
                          <a:stretch>
                            <a:fillRect/>
                          </a:stretch>
                        </pic:blipFill>
                        <pic:spPr>
                          <a:xfrm>
                            <a:off x="0" y="0"/>
                            <a:ext cx="4394835" cy="3076575"/>
                          </a:xfrm>
                          <a:prstGeom prst="rect">
                            <a:avLst/>
                          </a:prstGeom>
                        </pic:spPr>
                      </pic:pic>
                    </a:graphicData>
                  </a:graphic>
                </wp:inline>
              </w:drawing>
            </w:r>
          </w:p>
          <w:p w14:paraId="3779A3A2">
            <w:pPr>
              <w:pStyle w:val="64"/>
              <w:spacing w:line="360" w:lineRule="auto"/>
              <w:jc w:val="center"/>
              <w:rPr>
                <w:rFonts w:hint="default"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图1-3  项目与宿州市大气环境分区管控位置关系图</w:t>
            </w:r>
          </w:p>
          <w:p w14:paraId="2D4EE4D8">
            <w:pPr>
              <w:autoSpaceDE w:val="0"/>
              <w:autoSpaceDN w:val="0"/>
              <w:spacing w:line="360" w:lineRule="auto"/>
              <w:ind w:firstLine="480" w:firstLineChars="200"/>
              <w:jc w:val="left"/>
              <w:rPr>
                <w:rFonts w:hint="default" w:ascii="Times New Roman" w:hAnsi="Times New Roman" w:cs="Times New Roman"/>
                <w:color w:val="auto"/>
                <w:sz w:val="24"/>
              </w:rPr>
            </w:pPr>
            <w:r>
              <w:rPr>
                <w:rFonts w:hint="eastAsia" w:cs="Times New Roman"/>
                <w:color w:val="auto"/>
                <w:sz w:val="24"/>
                <w:lang w:val="en-US" w:eastAsia="zh-CN"/>
              </w:rPr>
              <w:t>C.</w:t>
            </w:r>
            <w:r>
              <w:rPr>
                <w:rFonts w:hint="default" w:ascii="Times New Roman" w:hAnsi="Times New Roman" w:cs="Times New Roman"/>
                <w:color w:val="auto"/>
                <w:sz w:val="24"/>
              </w:rPr>
              <w:t>土壤环境分区管控要求</w:t>
            </w:r>
          </w:p>
          <w:p w14:paraId="4315C46B">
            <w:pPr>
              <w:autoSpaceDE w:val="0"/>
              <w:autoSpaceDN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根据《安徽省宿州市“三线一单”文本》及宿州市土壤环境分区管控图，本项目位于</w:t>
            </w:r>
            <w:r>
              <w:rPr>
                <w:rFonts w:hint="eastAsia" w:ascii="Times New Roman" w:hAnsi="Times New Roman" w:cs="Times New Roman"/>
                <w:color w:val="auto"/>
                <w:sz w:val="24"/>
                <w:lang w:val="en-US" w:eastAsia="zh-CN"/>
              </w:rPr>
              <w:t>宿州市</w:t>
            </w:r>
            <w:r>
              <w:rPr>
                <w:rFonts w:hint="eastAsia" w:ascii="Times New Roman" w:hAnsi="Times New Roman" w:cs="Times New Roman"/>
                <w:sz w:val="24"/>
                <w:szCs w:val="32"/>
                <w:lang w:val="en-US" w:eastAsia="zh-CN"/>
              </w:rPr>
              <w:t>土壤环境管控分区中的</w:t>
            </w:r>
            <w:r>
              <w:rPr>
                <w:rFonts w:hint="default" w:ascii="Times New Roman" w:hAnsi="Times New Roman" w:cs="Times New Roman"/>
                <w:color w:val="auto"/>
                <w:sz w:val="24"/>
              </w:rPr>
              <w:t>一般管控区。</w:t>
            </w:r>
          </w:p>
          <w:p w14:paraId="61930D7A">
            <w:pPr>
              <w:keepNext w:val="0"/>
              <w:keepLines w:val="0"/>
              <w:pageBreakBefore w:val="0"/>
              <w:widowControl w:val="0"/>
              <w:kinsoku/>
              <w:wordWrap/>
              <w:overflowPunct/>
              <w:topLinePunct w:val="0"/>
              <w:autoSpaceDE/>
              <w:autoSpaceDN/>
              <w:bidi w:val="0"/>
              <w:adjustRightInd/>
              <w:snapToGrid w:val="0"/>
              <w:spacing w:line="240" w:lineRule="auto"/>
              <w:ind w:firstLine="561"/>
              <w:jc w:val="center"/>
              <w:textAlignment w:val="auto"/>
              <w:rPr>
                <w:rFonts w:hint="default" w:ascii="Times New Roman" w:hAnsi="Times New Roman" w:cs="Times New Roman"/>
                <w:b/>
                <w:color w:val="auto"/>
                <w:kern w:val="0"/>
                <w:sz w:val="22"/>
                <w:szCs w:val="22"/>
              </w:rPr>
            </w:pPr>
            <w:r>
              <w:rPr>
                <w:rFonts w:hint="default" w:ascii="Times New Roman" w:hAnsi="Times New Roman" w:cs="Times New Roman"/>
                <w:b/>
                <w:color w:val="auto"/>
                <w:kern w:val="0"/>
                <w:sz w:val="21"/>
                <w:szCs w:val="21"/>
              </w:rPr>
              <w:t>表1</w:t>
            </w:r>
            <w:r>
              <w:rPr>
                <w:rFonts w:hint="default" w:ascii="Times New Roman" w:hAnsi="Times New Roman" w:cs="Times New Roman"/>
                <w:b/>
                <w:color w:val="auto"/>
                <w:kern w:val="0"/>
                <w:sz w:val="21"/>
                <w:szCs w:val="21"/>
                <w:lang w:val="en-US" w:eastAsia="zh-CN"/>
              </w:rPr>
              <w:t>-</w:t>
            </w:r>
            <w:r>
              <w:rPr>
                <w:rFonts w:hint="eastAsia" w:ascii="Times New Roman" w:hAnsi="Times New Roman" w:cs="Times New Roman"/>
                <w:b/>
                <w:color w:val="auto"/>
                <w:kern w:val="0"/>
                <w:sz w:val="21"/>
                <w:szCs w:val="21"/>
                <w:lang w:val="en-US" w:eastAsia="zh-CN"/>
              </w:rPr>
              <w:t xml:space="preserve">4  </w:t>
            </w:r>
            <w:r>
              <w:rPr>
                <w:rFonts w:hint="default" w:ascii="Times New Roman" w:hAnsi="Times New Roman" w:cs="Times New Roman"/>
                <w:b/>
                <w:color w:val="auto"/>
                <w:kern w:val="0"/>
                <w:sz w:val="21"/>
                <w:szCs w:val="21"/>
              </w:rPr>
              <w:t>与土壤环境分区管控要求的协调性分析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3448"/>
              <w:gridCol w:w="1901"/>
            </w:tblGrid>
            <w:tr w14:paraId="5CFB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25" w:type="dxa"/>
                  <w:noWrap w:val="0"/>
                  <w:vAlign w:val="center"/>
                </w:tcPr>
                <w:p w14:paraId="5B204F38">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管控单元分类</w:t>
                  </w:r>
                </w:p>
              </w:tc>
              <w:tc>
                <w:tcPr>
                  <w:tcW w:w="3448" w:type="dxa"/>
                  <w:noWrap w:val="0"/>
                  <w:vAlign w:val="center"/>
                </w:tcPr>
                <w:p w14:paraId="3DEFE780">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环境管控要求</w:t>
                  </w:r>
                </w:p>
              </w:tc>
              <w:tc>
                <w:tcPr>
                  <w:tcW w:w="1901" w:type="dxa"/>
                  <w:noWrap w:val="0"/>
                  <w:vAlign w:val="center"/>
                </w:tcPr>
                <w:p w14:paraId="232B0B2D">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协调性分析</w:t>
                  </w:r>
                </w:p>
              </w:tc>
            </w:tr>
            <w:tr w14:paraId="25C1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noWrap w:val="0"/>
                  <w:vAlign w:val="center"/>
                </w:tcPr>
                <w:p w14:paraId="43FDD152">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一般管控区</w:t>
                  </w:r>
                </w:p>
              </w:tc>
              <w:tc>
                <w:tcPr>
                  <w:tcW w:w="3448" w:type="dxa"/>
                  <w:noWrap w:val="0"/>
                  <w:vAlign w:val="center"/>
                </w:tcPr>
                <w:p w14:paraId="4CBA8323">
                  <w:pPr>
                    <w:jc w:val="center"/>
                    <w:rPr>
                      <w:rFonts w:hint="default" w:ascii="Times New Roman" w:hAnsi="Times New Roman" w:cs="Times New Roman"/>
                      <w:color w:val="auto"/>
                      <w:szCs w:val="21"/>
                    </w:rPr>
                  </w:pPr>
                  <w:r>
                    <w:rPr>
                      <w:rFonts w:hint="default" w:ascii="Times New Roman" w:hAnsi="Times New Roman" w:cs="Times New Roman"/>
                      <w:color w:val="auto"/>
                      <w:szCs w:val="21"/>
                    </w:rPr>
                    <w:t>依据《中华人民共和国土壤污染防治法》《土壤污染防治行动计划》《安徽省土壤污染防治工作方案》《安徽省</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十三五</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环境保护规划》《宿州市土壤污染防治工作方案》《砀山县土壤污染防治工作方案的通知（砀政秘〔2017〕162号）》《萧县土壤污染防治工作方案》等要求对一般管控区实施管控。</w:t>
                  </w:r>
                </w:p>
              </w:tc>
              <w:tc>
                <w:tcPr>
                  <w:tcW w:w="1901" w:type="dxa"/>
                  <w:noWrap w:val="0"/>
                  <w:vAlign w:val="center"/>
                </w:tcPr>
                <w:p w14:paraId="0FEC3FD9">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项目用地为工业用地</w:t>
                  </w:r>
                  <w:r>
                    <w:rPr>
                      <w:rFonts w:hint="eastAsia" w:ascii="Times New Roman" w:hAnsi="Times New Roman" w:eastAsia="宋体" w:cs="Times New Roman"/>
                      <w:color w:val="auto"/>
                      <w:szCs w:val="21"/>
                      <w:lang w:val="en-US" w:eastAsia="zh-CN"/>
                    </w:rPr>
                    <w:t>，区域土壤环境质量现状良好。项目的建设对周边土壤环境影响较小，不会降低土壤环境风险防控底线。</w:t>
                  </w:r>
                </w:p>
              </w:tc>
            </w:tr>
          </w:tbl>
          <w:p w14:paraId="391F0DCC">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0" w:firstLineChars="200"/>
              <w:jc w:val="left"/>
              <w:textAlignment w:val="auto"/>
              <w:rPr>
                <w:rFonts w:hint="default" w:ascii="Cambria Math" w:hAnsi="Cambria Math" w:eastAsia="宋体" w:cs="Cambria Math"/>
                <w:kern w:val="0"/>
                <w:sz w:val="24"/>
                <w:lang w:val="en-US" w:eastAsia="zh-CN"/>
              </w:rPr>
            </w:pPr>
            <w:r>
              <w:rPr>
                <w:rFonts w:hint="eastAsia" w:ascii="Cambria Math" w:hAnsi="Cambria Math" w:cs="Cambria Math"/>
                <w:kern w:val="0"/>
                <w:sz w:val="24"/>
                <w:lang w:val="en-US" w:eastAsia="zh-CN"/>
              </w:rPr>
              <w:t>项目与宿州市土壤环境分区管控位置见下图。</w:t>
            </w:r>
          </w:p>
          <w:p w14:paraId="49D50B8A">
            <w:pPr>
              <w:autoSpaceDE w:val="0"/>
              <w:autoSpaceDN w:val="0"/>
              <w:spacing w:line="360" w:lineRule="auto"/>
              <w:jc w:val="center"/>
              <w:rPr>
                <w:rFonts w:hint="default" w:ascii="Times New Roman" w:hAnsi="Times New Roman" w:eastAsia="宋体" w:cs="Times New Roman"/>
                <w:b/>
                <w:bCs/>
                <w:color w:val="auto"/>
                <w:kern w:val="2"/>
                <w:sz w:val="24"/>
                <w:szCs w:val="24"/>
                <w:lang w:val="en-US" w:eastAsia="zh-CN" w:bidi="ar-SA"/>
              </w:rPr>
            </w:pPr>
            <w:r>
              <w:rPr>
                <w:rFonts w:hint="eastAsia" w:ascii="Cambria Math" w:hAnsi="Cambria Math" w:eastAsia="宋体" w:cs="Cambria Math"/>
                <w:kern w:val="0"/>
                <w:sz w:val="24"/>
                <w:lang w:eastAsia="zh-CN"/>
              </w:rPr>
              <w:drawing>
                <wp:inline distT="0" distB="0" distL="114300" distR="114300">
                  <wp:extent cx="4354830" cy="3064510"/>
                  <wp:effectExtent l="0" t="0" r="1270" b="8890"/>
                  <wp:docPr id="12" name="图片 12" descr="文字文稿1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文字文稿1_01(3)"/>
                          <pic:cNvPicPr>
                            <a:picLocks noChangeAspect="1"/>
                          </pic:cNvPicPr>
                        </pic:nvPicPr>
                        <pic:blipFill>
                          <a:blip r:embed="rId12"/>
                          <a:srcRect l="15007" t="14721" r="15066" b="14175"/>
                          <a:stretch>
                            <a:fillRect/>
                          </a:stretch>
                        </pic:blipFill>
                        <pic:spPr>
                          <a:xfrm>
                            <a:off x="0" y="0"/>
                            <a:ext cx="4354830" cy="3064510"/>
                          </a:xfrm>
                          <a:prstGeom prst="rect">
                            <a:avLst/>
                          </a:prstGeom>
                        </pic:spPr>
                      </pic:pic>
                    </a:graphicData>
                  </a:graphic>
                </wp:inline>
              </w:drawing>
            </w:r>
            <w:r>
              <w:rPr>
                <w:rFonts w:hint="eastAsia" w:ascii="Times New Roman" w:hAnsi="Times New Roman" w:eastAsia="宋体" w:cs="Times New Roman"/>
                <w:b/>
                <w:bCs/>
                <w:color w:val="auto"/>
                <w:kern w:val="2"/>
                <w:sz w:val="24"/>
                <w:szCs w:val="24"/>
                <w:lang w:val="en-US" w:eastAsia="zh-CN" w:bidi="ar-SA"/>
              </w:rPr>
              <w:t>图1-4  项目与宿州市土壤环境分区管控位置关系图</w:t>
            </w:r>
          </w:p>
          <w:p w14:paraId="3627B081">
            <w:pPr>
              <w:autoSpaceDE w:val="0"/>
              <w:autoSpaceDN w:val="0"/>
              <w:spacing w:line="360" w:lineRule="auto"/>
              <w:ind w:firstLine="480" w:firstLineChars="200"/>
              <w:jc w:val="left"/>
              <w:rPr>
                <w:kern w:val="0"/>
                <w:sz w:val="24"/>
              </w:rPr>
            </w:pPr>
            <w:r>
              <w:rPr>
                <w:rFonts w:ascii="Cambria Math" w:hAnsi="Cambria Math" w:cs="Cambria Math"/>
                <w:kern w:val="0"/>
                <w:sz w:val="24"/>
              </w:rPr>
              <w:t>③</w:t>
            </w:r>
            <w:r>
              <w:rPr>
                <w:kern w:val="0"/>
                <w:sz w:val="24"/>
              </w:rPr>
              <w:t>资源利用上线</w:t>
            </w:r>
          </w:p>
          <w:p w14:paraId="5A8962E4">
            <w:pPr>
              <w:autoSpaceDE w:val="0"/>
              <w:autoSpaceDN w:val="0"/>
              <w:spacing w:line="360" w:lineRule="auto"/>
              <w:ind w:firstLine="480" w:firstLineChars="200"/>
              <w:jc w:val="left"/>
              <w:rPr>
                <w:kern w:val="0"/>
                <w:sz w:val="24"/>
              </w:rPr>
            </w:pPr>
            <w:r>
              <w:rPr>
                <w:kern w:val="0"/>
                <w:sz w:val="24"/>
              </w:rPr>
              <w:t>本项目建设过程利用的资源主要为水、电，均为清洁能源。项目建成运行后通过内部管理、设备选择、原辅材料的选用管理和污染治理等多方面采取合理可行的防治措施，以</w:t>
            </w:r>
            <w:r>
              <w:rPr>
                <w:rFonts w:hint="eastAsia"/>
                <w:kern w:val="0"/>
                <w:sz w:val="24"/>
              </w:rPr>
              <w:t>“</w:t>
            </w:r>
            <w:r>
              <w:rPr>
                <w:kern w:val="0"/>
                <w:sz w:val="24"/>
              </w:rPr>
              <w:t>节能、降耗、减污</w:t>
            </w:r>
            <w:r>
              <w:rPr>
                <w:rFonts w:hint="eastAsia"/>
                <w:kern w:val="0"/>
                <w:sz w:val="24"/>
              </w:rPr>
              <w:t>”</w:t>
            </w:r>
            <w:r>
              <w:rPr>
                <w:kern w:val="0"/>
                <w:sz w:val="24"/>
              </w:rPr>
              <w:t>为目标，有效地控制污染。项目的水、电等资源利用不会突破区域的资源利用上线。</w:t>
            </w:r>
          </w:p>
          <w:p w14:paraId="617010D6">
            <w:pPr>
              <w:autoSpaceDE w:val="0"/>
              <w:autoSpaceDN w:val="0"/>
              <w:spacing w:line="360" w:lineRule="auto"/>
              <w:ind w:firstLine="480" w:firstLineChars="200"/>
              <w:jc w:val="left"/>
              <w:rPr>
                <w:kern w:val="0"/>
                <w:sz w:val="24"/>
              </w:rPr>
            </w:pPr>
            <w:r>
              <w:rPr>
                <w:rFonts w:ascii="Cambria Math" w:hAnsi="Cambria Math" w:cs="Cambria Math"/>
                <w:kern w:val="0"/>
                <w:sz w:val="24"/>
              </w:rPr>
              <w:t>④</w:t>
            </w:r>
            <w:r>
              <w:rPr>
                <w:kern w:val="0"/>
                <w:sz w:val="24"/>
              </w:rPr>
              <w:t>环境准入负面清单</w:t>
            </w:r>
          </w:p>
          <w:p w14:paraId="6F91846A">
            <w:pPr>
              <w:pStyle w:val="63"/>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项目所在地</w:t>
            </w:r>
            <w:r>
              <w:rPr>
                <w:rFonts w:hint="eastAsia" w:ascii="Times New Roman" w:hAnsi="Times New Roman" w:eastAsia="宋体" w:cs="Times New Roman"/>
                <w:color w:val="auto"/>
                <w:sz w:val="24"/>
                <w:szCs w:val="24"/>
                <w:lang w:val="en-US" w:eastAsia="zh-CN"/>
              </w:rPr>
              <w:t>未建立</w:t>
            </w:r>
            <w:r>
              <w:rPr>
                <w:rFonts w:hint="default" w:ascii="Times New Roman" w:hAnsi="Times New Roman" w:eastAsia="宋体" w:cs="Times New Roman"/>
                <w:color w:val="auto"/>
                <w:sz w:val="24"/>
                <w:szCs w:val="24"/>
              </w:rPr>
              <w:t>环境准入负面清单，根据《产业结构调整指导目录（20</w:t>
            </w:r>
            <w:r>
              <w:rPr>
                <w:rFonts w:hint="eastAsia"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rPr>
              <w:t>年本）》，本项目属于国家产业政策中</w:t>
            </w:r>
            <w:r>
              <w:rPr>
                <w:rFonts w:hint="eastAsia" w:ascii="Times New Roman" w:hAnsi="Times New Roman" w:eastAsia="宋体" w:cs="Times New Roman"/>
                <w:color w:val="auto"/>
                <w:sz w:val="24"/>
                <w:szCs w:val="24"/>
                <w:lang w:val="en-US" w:eastAsia="zh-CN"/>
              </w:rPr>
              <w:t>鼓励</w:t>
            </w:r>
            <w:r>
              <w:rPr>
                <w:rFonts w:hint="default" w:ascii="Times New Roman" w:hAnsi="Times New Roman" w:eastAsia="宋体" w:cs="Times New Roman"/>
                <w:color w:val="auto"/>
                <w:sz w:val="24"/>
                <w:szCs w:val="24"/>
              </w:rPr>
              <w:t>类</w:t>
            </w:r>
            <w:r>
              <w:rPr>
                <w:rFonts w:hint="eastAsia" w:ascii="Times New Roman" w:hAnsi="Times New Roman" w:eastAsia="宋体" w:cs="Times New Roman"/>
                <w:color w:val="auto"/>
                <w:sz w:val="24"/>
                <w:szCs w:val="24"/>
                <w:lang w:val="en-US" w:eastAsia="zh-CN"/>
              </w:rPr>
              <w:t>行业</w:t>
            </w:r>
            <w:r>
              <w:rPr>
                <w:rFonts w:hint="default" w:ascii="Times New Roman" w:hAnsi="Times New Roman" w:eastAsia="宋体" w:cs="Times New Roman"/>
                <w:color w:val="auto"/>
                <w:sz w:val="24"/>
                <w:szCs w:val="24"/>
              </w:rPr>
              <w:t>，符合国家</w:t>
            </w:r>
            <w:r>
              <w:rPr>
                <w:rFonts w:hint="default" w:ascii="Times New Roman" w:hAnsi="Times New Roman" w:eastAsia="宋体" w:cs="Times New Roman"/>
                <w:color w:val="auto"/>
                <w:sz w:val="24"/>
                <w:szCs w:val="24"/>
                <w:lang w:eastAsia="zh-CN"/>
              </w:rPr>
              <w:t>和地方</w:t>
            </w:r>
            <w:r>
              <w:rPr>
                <w:rFonts w:hint="default" w:ascii="Times New Roman" w:hAnsi="Times New Roman" w:eastAsia="宋体" w:cs="Times New Roman"/>
                <w:color w:val="auto"/>
                <w:sz w:val="24"/>
                <w:szCs w:val="24"/>
              </w:rPr>
              <w:t>相关产业政策。</w:t>
            </w:r>
          </w:p>
          <w:p w14:paraId="71813987">
            <w:pPr>
              <w:pStyle w:val="63"/>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位于宿州市朱仙庄镇工业园区（曹凌村），对照《宿州市“三线一单”生态环境准入清单》（宿州市生态环境局，二〇二〇年十二月）附件3宿州市生态环境准入清单，项目不在风景名胜区、集中式饮用水水源保护区、自然保护区、湿地公园、森林公园、地质公园、水产种质资源保护区、世界文化遗产地（大运河宿州段）等优先保护单元内，不属于禁止、</w:t>
            </w:r>
            <w:r>
              <w:rPr>
                <w:rFonts w:hint="eastAsia" w:ascii="Times New Roman" w:hAnsi="Times New Roman" w:eastAsia="宋体" w:cs="Times New Roman"/>
                <w:color w:val="auto"/>
                <w:sz w:val="24"/>
                <w:szCs w:val="24"/>
                <w:lang w:val="en-US" w:eastAsia="zh-CN"/>
              </w:rPr>
              <w:t>限制</w:t>
            </w:r>
            <w:r>
              <w:rPr>
                <w:rFonts w:hint="default" w:ascii="Times New Roman" w:hAnsi="Times New Roman" w:eastAsia="宋体" w:cs="Times New Roman"/>
                <w:color w:val="auto"/>
                <w:sz w:val="24"/>
                <w:szCs w:val="24"/>
              </w:rPr>
              <w:t>开发建设活动及不符合空间布局要求活动的重点管控单元内，因此项目</w:t>
            </w:r>
            <w:r>
              <w:rPr>
                <w:rFonts w:hint="eastAsia" w:ascii="Times New Roman" w:hAnsi="Times New Roman" w:eastAsia="宋体" w:cs="Times New Roman"/>
                <w:color w:val="auto"/>
                <w:sz w:val="24"/>
                <w:szCs w:val="24"/>
                <w:lang w:val="en-US" w:eastAsia="zh-CN"/>
              </w:rPr>
              <w:t>的建设</w:t>
            </w:r>
            <w:r>
              <w:rPr>
                <w:rFonts w:hint="default" w:ascii="Times New Roman" w:hAnsi="Times New Roman" w:eastAsia="宋体" w:cs="Times New Roman"/>
                <w:color w:val="auto"/>
                <w:sz w:val="24"/>
                <w:szCs w:val="24"/>
              </w:rPr>
              <w:t>符合</w:t>
            </w:r>
            <w:r>
              <w:rPr>
                <w:rFonts w:hint="eastAsia" w:ascii="Times New Roman" w:hAnsi="Times New Roman" w:eastAsia="宋体" w:cs="Times New Roman"/>
                <w:color w:val="auto"/>
                <w:sz w:val="24"/>
                <w:szCs w:val="24"/>
                <w:lang w:val="en-US" w:eastAsia="zh-CN"/>
              </w:rPr>
              <w:t>宿州市</w:t>
            </w:r>
            <w:r>
              <w:rPr>
                <w:rFonts w:hint="default" w:ascii="Times New Roman" w:hAnsi="Times New Roman" w:eastAsia="宋体" w:cs="Times New Roman"/>
                <w:color w:val="auto"/>
                <w:sz w:val="24"/>
                <w:szCs w:val="24"/>
              </w:rPr>
              <w:t>生态环境准入清单要求。</w:t>
            </w:r>
          </w:p>
          <w:p w14:paraId="4393B13A">
            <w:pPr>
              <w:autoSpaceDE w:val="0"/>
              <w:autoSpaceDN w:val="0"/>
              <w:spacing w:line="360" w:lineRule="auto"/>
              <w:ind w:firstLine="480" w:firstLineChars="200"/>
              <w:rPr>
                <w:b/>
                <w:bCs/>
                <w:kern w:val="0"/>
                <w:sz w:val="24"/>
              </w:rPr>
            </w:pPr>
            <w:r>
              <w:rPr>
                <w:kern w:val="0"/>
                <w:sz w:val="24"/>
              </w:rPr>
              <w:t>综上所述，</w:t>
            </w:r>
            <w:r>
              <w:rPr>
                <w:color w:val="000000"/>
                <w:kern w:val="0"/>
                <w:sz w:val="24"/>
                <w:lang w:bidi="ar"/>
              </w:rPr>
              <w:t>本项目的建设符合</w:t>
            </w:r>
            <w:r>
              <w:rPr>
                <w:rFonts w:hint="eastAsia"/>
                <w:kern w:val="0"/>
                <w:sz w:val="24"/>
              </w:rPr>
              <w:t>“</w:t>
            </w:r>
            <w:r>
              <w:rPr>
                <w:kern w:val="0"/>
                <w:sz w:val="24"/>
              </w:rPr>
              <w:t>三线一单</w:t>
            </w:r>
            <w:r>
              <w:rPr>
                <w:rFonts w:hint="eastAsia"/>
                <w:kern w:val="0"/>
                <w:sz w:val="24"/>
              </w:rPr>
              <w:t>”</w:t>
            </w:r>
            <w:r>
              <w:rPr>
                <w:kern w:val="0"/>
                <w:sz w:val="24"/>
              </w:rPr>
              <w:t>相关要求。</w:t>
            </w:r>
          </w:p>
          <w:p w14:paraId="018B5F4D">
            <w:pPr>
              <w:pStyle w:val="72"/>
              <w:bidi w:val="0"/>
              <w:jc w:val="both"/>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⑤生态环境分区管控符合性分析</w:t>
            </w:r>
          </w:p>
          <w:p w14:paraId="3D010A79">
            <w:pPr>
              <w:autoSpaceDE w:val="0"/>
              <w:autoSpaceDN w:val="0"/>
              <w:adjustRightInd w:val="0"/>
              <w:snapToGrid w:val="0"/>
              <w:spacing w:line="360" w:lineRule="auto"/>
              <w:ind w:firstLine="480" w:firstLineChars="200"/>
              <w:rPr>
                <w:rFonts w:hint="default" w:ascii="Times New Roman" w:hAnsi="Times New Roman" w:cs="Times New Roman"/>
                <w:kern w:val="0"/>
                <w:sz w:val="24"/>
                <w:lang w:val="en-US" w:eastAsia="zh-CN"/>
              </w:rPr>
            </w:pPr>
            <w:r>
              <w:rPr>
                <w:rFonts w:hint="default" w:ascii="Times New Roman" w:hAnsi="Times New Roman" w:cs="Times New Roman"/>
                <w:kern w:val="0"/>
                <w:sz w:val="24"/>
                <w:lang w:val="en-US" w:eastAsia="zh-CN"/>
              </w:rPr>
              <w:t>根据《安徽省</w:t>
            </w:r>
            <w:r>
              <w:rPr>
                <w:rFonts w:hint="eastAsia" w:ascii="Times New Roman" w:hAnsi="Times New Roman" w:cs="Times New Roman"/>
                <w:kern w:val="0"/>
                <w:sz w:val="24"/>
                <w:lang w:val="en-US" w:eastAsia="zh-CN"/>
              </w:rPr>
              <w:t>“</w:t>
            </w:r>
            <w:r>
              <w:rPr>
                <w:rFonts w:hint="default" w:ascii="Times New Roman" w:hAnsi="Times New Roman" w:cs="Times New Roman"/>
                <w:kern w:val="0"/>
                <w:sz w:val="24"/>
                <w:lang w:val="en-US" w:eastAsia="zh-CN"/>
              </w:rPr>
              <w:t>三线一单</w:t>
            </w:r>
            <w:r>
              <w:rPr>
                <w:rFonts w:hint="eastAsia" w:ascii="Times New Roman" w:hAnsi="Times New Roman" w:cs="Times New Roman"/>
                <w:kern w:val="0"/>
                <w:sz w:val="24"/>
                <w:lang w:val="en-US" w:eastAsia="zh-CN"/>
              </w:rPr>
              <w:t>”</w:t>
            </w:r>
            <w:r>
              <w:rPr>
                <w:rFonts w:hint="default" w:ascii="Times New Roman" w:hAnsi="Times New Roman" w:cs="Times New Roman"/>
                <w:kern w:val="0"/>
                <w:sz w:val="24"/>
                <w:lang w:val="en-US" w:eastAsia="zh-CN"/>
              </w:rPr>
              <w:t>生态环境分区管控管理办法（暂行）》（皖环发〔2022〕5号）要求，在建设项目环评中，做好与“三线一单”生态环境分区管控相符性分析，充分论证是否符合生态环境准入清单要求，对不符合的依法不予审批。对照安徽省三线一单公共服务平台，项目区域与1个环境管控单元存在交叠，环境管控单元编码ZH341</w:t>
            </w:r>
            <w:r>
              <w:rPr>
                <w:rFonts w:hint="eastAsia" w:ascii="Times New Roman" w:hAnsi="Times New Roman" w:cs="Times New Roman"/>
                <w:kern w:val="0"/>
                <w:sz w:val="24"/>
                <w:lang w:val="en-US" w:eastAsia="zh-CN"/>
              </w:rPr>
              <w:t>30220013</w:t>
            </w:r>
            <w:r>
              <w:rPr>
                <w:rFonts w:hint="default" w:ascii="Times New Roman" w:hAnsi="Times New Roman" w:cs="Times New Roman"/>
                <w:kern w:val="0"/>
                <w:sz w:val="24"/>
                <w:lang w:val="en-US" w:eastAsia="zh-CN"/>
              </w:rPr>
              <w:t>，为重点管控单元。</w:t>
            </w:r>
          </w:p>
          <w:p w14:paraId="4CB9A2CB">
            <w:pPr>
              <w:autoSpaceDE w:val="0"/>
              <w:autoSpaceDN w:val="0"/>
              <w:adjustRightInd w:val="0"/>
              <w:snapToGrid w:val="0"/>
              <w:spacing w:line="360" w:lineRule="auto"/>
              <w:ind w:left="0" w:leftChars="0" w:firstLine="0" w:firstLineChars="0"/>
              <w:rPr>
                <w:rFonts w:hint="eastAsia"/>
                <w:color w:val="auto"/>
                <w:lang w:val="en-US" w:eastAsia="zh-CN"/>
              </w:rPr>
            </w:pPr>
            <w:r>
              <w:rPr>
                <w:rFonts w:hint="eastAsia"/>
                <w:color w:val="auto"/>
                <w:lang w:val="en-US" w:eastAsia="zh-CN"/>
              </w:rPr>
              <w:drawing>
                <wp:inline distT="0" distB="0" distL="114300" distR="114300">
                  <wp:extent cx="4359275" cy="2212975"/>
                  <wp:effectExtent l="0" t="0" r="14605" b="12065"/>
                  <wp:docPr id="15" name="图片 15" descr="623f626fb1290caf2a865e7f7f30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23f626fb1290caf2a865e7f7f307065"/>
                          <pic:cNvPicPr>
                            <a:picLocks noChangeAspect="1"/>
                          </pic:cNvPicPr>
                        </pic:nvPicPr>
                        <pic:blipFill>
                          <a:blip r:embed="rId13"/>
                          <a:stretch>
                            <a:fillRect/>
                          </a:stretch>
                        </pic:blipFill>
                        <pic:spPr>
                          <a:xfrm>
                            <a:off x="0" y="0"/>
                            <a:ext cx="4359275" cy="2212975"/>
                          </a:xfrm>
                          <a:prstGeom prst="rect">
                            <a:avLst/>
                          </a:prstGeom>
                        </pic:spPr>
                      </pic:pic>
                    </a:graphicData>
                  </a:graphic>
                </wp:inline>
              </w:drawing>
            </w:r>
          </w:p>
          <w:p w14:paraId="1BAD51A2">
            <w:pPr>
              <w:pStyle w:val="58"/>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Fonts w:hint="default" w:ascii="宋体" w:hAnsi="宋体" w:eastAsia="宋体" w:cs="Times New Roman"/>
                <w:b/>
                <w:bCs/>
                <w:color w:val="000000"/>
                <w:sz w:val="24"/>
                <w:lang w:val="en-US" w:eastAsia="zh-CN"/>
              </w:rPr>
            </w:pPr>
            <w:r>
              <w:rPr>
                <w:rFonts w:hint="eastAsia" w:cs="Times New Roman"/>
                <w:b/>
                <w:bCs/>
                <w:color w:val="000000"/>
                <w:sz w:val="24"/>
                <w:lang w:val="en-US" w:eastAsia="zh-CN"/>
              </w:rPr>
              <w:t>图1-9 项</w:t>
            </w:r>
            <w:r>
              <w:rPr>
                <w:rFonts w:hint="eastAsia" w:ascii="宋体" w:hAnsi="宋体" w:eastAsia="宋体" w:cs="Times New Roman"/>
                <w:b/>
                <w:bCs/>
                <w:color w:val="000000"/>
                <w:sz w:val="24"/>
                <w:lang w:val="en-US" w:eastAsia="zh-CN"/>
              </w:rPr>
              <w:t>目区与“三线一单”生态环境分区管控单元位置图</w:t>
            </w:r>
          </w:p>
          <w:p w14:paraId="644F4582">
            <w:pPr>
              <w:pStyle w:val="5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宋体" w:hAnsi="宋体" w:eastAsia="宋体" w:cs="Times New Roman"/>
                <w:b w:val="0"/>
                <w:bCs w:val="0"/>
                <w:color w:val="000000"/>
                <w:sz w:val="24"/>
                <w:lang w:val="en-US" w:eastAsia="zh-CN"/>
              </w:rPr>
            </w:pPr>
            <w:r>
              <w:rPr>
                <w:rFonts w:hint="eastAsia" w:ascii="宋体" w:hAnsi="宋体" w:eastAsia="宋体" w:cs="Times New Roman"/>
                <w:b w:val="0"/>
                <w:bCs w:val="0"/>
                <w:color w:val="000000"/>
                <w:sz w:val="24"/>
                <w:lang w:val="en-US" w:eastAsia="zh-CN"/>
              </w:rPr>
              <w:t>对照具体管控要求，项目建设与“三线一单”管控要求符合性分析见下表。</w:t>
            </w:r>
          </w:p>
          <w:p w14:paraId="2A244602">
            <w:pPr>
              <w:pStyle w:val="31"/>
              <w:ind w:left="0" w:leftChars="0" w:firstLine="0" w:firstLineChars="0"/>
              <w:rPr>
                <w:rFonts w:hint="eastAsia" w:ascii="Times New Roman" w:hAnsi="Times New Roman" w:eastAsia="宋体" w:cs="Times New Roman"/>
                <w:lang w:val="en-US" w:eastAsia="zh-CN"/>
              </w:rPr>
            </w:pPr>
          </w:p>
          <w:p w14:paraId="3E49811C">
            <w:pPr>
              <w:pStyle w:val="31"/>
              <w:rPr>
                <w:rFonts w:hint="eastAsia" w:ascii="Times New Roman" w:hAnsi="Times New Roman" w:eastAsia="宋体" w:cs="Times New Roman"/>
                <w:lang w:val="en-US" w:eastAsia="zh-CN"/>
              </w:rPr>
            </w:pPr>
          </w:p>
          <w:p w14:paraId="0AB63D21">
            <w:pPr>
              <w:pStyle w:val="29"/>
              <w:spacing w:line="360" w:lineRule="auto"/>
              <w:rPr>
                <w:rFonts w:hint="eastAsia" w:ascii="Times New Roman" w:hAnsi="Times New Roman" w:eastAsia="宋体" w:cs="Times New Roman"/>
                <w:lang w:val="en-US" w:eastAsia="zh-CN"/>
              </w:rPr>
            </w:pPr>
          </w:p>
        </w:tc>
      </w:tr>
    </w:tbl>
    <w:p w14:paraId="376927B1">
      <w:pPr>
        <w:spacing w:line="360" w:lineRule="auto"/>
        <w:outlineLvl w:val="9"/>
        <w:rPr>
          <w:rFonts w:hint="eastAsia"/>
          <w:sz w:val="30"/>
          <w:lang w:val="en-US" w:eastAsia="zh-CN"/>
        </w:rPr>
      </w:pPr>
    </w:p>
    <w:p w14:paraId="3F71403C">
      <w:pPr>
        <w:spacing w:line="360" w:lineRule="auto"/>
        <w:outlineLvl w:val="0"/>
        <w:rPr>
          <w:rFonts w:hint="eastAsia" w:eastAsia="宋体"/>
          <w:sz w:val="30"/>
          <w:lang w:val="en-US" w:eastAsia="zh-CN"/>
        </w:rPr>
        <w:sectPr>
          <w:headerReference r:id="rId3" w:type="default"/>
          <w:footerReference r:id="rId4" w:type="default"/>
          <w:pgSz w:w="11906" w:h="16838"/>
          <w:pgMar w:top="1701" w:right="1531" w:bottom="1701" w:left="1531" w:header="851" w:footer="1077" w:gutter="0"/>
          <w:pgNumType w:fmt="decimal" w:start="1"/>
          <w:cols w:space="720" w:num="1"/>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
        <w:gridCol w:w="13424"/>
      </w:tblGrid>
      <w:tr w14:paraId="27D7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tcPr>
          <w:p w14:paraId="6B819BBA">
            <w:pPr>
              <w:pStyle w:val="22"/>
              <w:rPr>
                <w:rFonts w:hint="eastAsia"/>
                <w:vertAlign w:val="baseline"/>
                <w:lang w:val="en-US" w:eastAsia="zh-CN"/>
              </w:rPr>
            </w:pPr>
          </w:p>
        </w:tc>
        <w:tc>
          <w:tcPr>
            <w:tcW w:w="12939" w:type="dxa"/>
          </w:tcPr>
          <w:p w14:paraId="09244B23">
            <w:pPr>
              <w:keepNext/>
              <w:keepLines/>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eastAsia"/>
                <w:b/>
                <w:bCs/>
                <w:sz w:val="21"/>
                <w:szCs w:val="22"/>
                <w:lang w:val="en-US" w:eastAsia="zh-CN"/>
              </w:rPr>
            </w:pPr>
            <w:r>
              <w:rPr>
                <w:rFonts w:hint="eastAsia"/>
                <w:b/>
                <w:bCs/>
                <w:sz w:val="21"/>
                <w:szCs w:val="22"/>
                <w:lang w:val="en-US" w:eastAsia="zh-CN"/>
              </w:rPr>
              <w:t>表1-4  安徽省重点管控单元生态环境准入清单</w:t>
            </w:r>
          </w:p>
          <w:tbl>
            <w:tblPr>
              <w:tblStyle w:val="25"/>
              <w:tblW w:w="13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1196"/>
              <w:gridCol w:w="1462"/>
              <w:gridCol w:w="854"/>
              <w:gridCol w:w="4736"/>
              <w:gridCol w:w="2229"/>
              <w:gridCol w:w="1070"/>
            </w:tblGrid>
            <w:tr w14:paraId="065B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332" w:type="dxa"/>
                  <w:noWrap w:val="0"/>
                  <w:vAlign w:val="center"/>
                </w:tcPr>
                <w:p w14:paraId="32CACDED">
                  <w:pPr>
                    <w:pStyle w:val="5"/>
                    <w:spacing w:line="240" w:lineRule="auto"/>
                    <w:jc w:val="center"/>
                    <w:rPr>
                      <w:rFonts w:hint="default"/>
                      <w:b/>
                      <w:bCs/>
                      <w:sz w:val="21"/>
                      <w:szCs w:val="21"/>
                      <w:vertAlign w:val="baseline"/>
                      <w:lang w:val="en-US" w:eastAsia="zh-CN"/>
                    </w:rPr>
                  </w:pPr>
                  <w:r>
                    <w:rPr>
                      <w:rFonts w:hint="eastAsia"/>
                      <w:b/>
                      <w:bCs/>
                      <w:sz w:val="21"/>
                      <w:szCs w:val="21"/>
                      <w:vertAlign w:val="baseline"/>
                      <w:lang w:val="en-US" w:eastAsia="zh-CN"/>
                    </w:rPr>
                    <w:t>环境管控单元编码</w:t>
                  </w:r>
                </w:p>
              </w:tc>
              <w:tc>
                <w:tcPr>
                  <w:tcW w:w="1227" w:type="dxa"/>
                  <w:noWrap w:val="0"/>
                  <w:vAlign w:val="center"/>
                </w:tcPr>
                <w:p w14:paraId="03E4010D">
                  <w:pPr>
                    <w:pStyle w:val="5"/>
                    <w:spacing w:line="240" w:lineRule="auto"/>
                    <w:jc w:val="center"/>
                    <w:rPr>
                      <w:rFonts w:hint="default"/>
                      <w:b/>
                      <w:bCs/>
                      <w:sz w:val="21"/>
                      <w:szCs w:val="21"/>
                      <w:vertAlign w:val="baseline"/>
                      <w:lang w:val="en-US" w:eastAsia="zh-CN"/>
                    </w:rPr>
                  </w:pPr>
                  <w:r>
                    <w:rPr>
                      <w:rFonts w:hint="eastAsia"/>
                      <w:b/>
                      <w:bCs/>
                      <w:sz w:val="21"/>
                      <w:szCs w:val="21"/>
                      <w:vertAlign w:val="baseline"/>
                      <w:lang w:val="en-US" w:eastAsia="zh-CN"/>
                    </w:rPr>
                    <w:t>环境管控单元名称</w:t>
                  </w:r>
                </w:p>
              </w:tc>
              <w:tc>
                <w:tcPr>
                  <w:tcW w:w="1504" w:type="dxa"/>
                  <w:noWrap w:val="0"/>
                  <w:vAlign w:val="center"/>
                </w:tcPr>
                <w:p w14:paraId="68CAB221">
                  <w:pPr>
                    <w:pStyle w:val="5"/>
                    <w:spacing w:line="240" w:lineRule="auto"/>
                    <w:jc w:val="center"/>
                    <w:rPr>
                      <w:rFonts w:hint="default"/>
                      <w:b/>
                      <w:bCs/>
                      <w:sz w:val="21"/>
                      <w:szCs w:val="21"/>
                      <w:vertAlign w:val="baseline"/>
                      <w:lang w:val="en-US" w:eastAsia="zh-CN"/>
                    </w:rPr>
                  </w:pPr>
                  <w:r>
                    <w:rPr>
                      <w:rFonts w:hint="eastAsia"/>
                      <w:b/>
                      <w:bCs/>
                      <w:sz w:val="21"/>
                      <w:szCs w:val="21"/>
                      <w:vertAlign w:val="baseline"/>
                      <w:lang w:val="en-US" w:eastAsia="zh-CN"/>
                    </w:rPr>
                    <w:t>区域管控要求</w:t>
                  </w:r>
                </w:p>
              </w:tc>
              <w:tc>
                <w:tcPr>
                  <w:tcW w:w="871" w:type="dxa"/>
                  <w:noWrap w:val="0"/>
                  <w:vAlign w:val="center"/>
                </w:tcPr>
                <w:p w14:paraId="10F30A1C">
                  <w:pPr>
                    <w:pStyle w:val="5"/>
                    <w:spacing w:line="240" w:lineRule="auto"/>
                    <w:jc w:val="center"/>
                    <w:rPr>
                      <w:rFonts w:hint="default"/>
                      <w:b/>
                      <w:bCs/>
                      <w:sz w:val="21"/>
                      <w:szCs w:val="21"/>
                      <w:vertAlign w:val="baseline"/>
                      <w:lang w:val="en-US" w:eastAsia="zh-CN"/>
                    </w:rPr>
                  </w:pPr>
                  <w:r>
                    <w:rPr>
                      <w:rFonts w:hint="eastAsia"/>
                      <w:b/>
                      <w:bCs/>
                      <w:sz w:val="21"/>
                      <w:szCs w:val="21"/>
                      <w:vertAlign w:val="baseline"/>
                      <w:lang w:val="en-US" w:eastAsia="zh-CN"/>
                    </w:rPr>
                    <w:t>管控类别</w:t>
                  </w:r>
                </w:p>
              </w:tc>
              <w:tc>
                <w:tcPr>
                  <w:tcW w:w="4881" w:type="dxa"/>
                  <w:noWrap w:val="0"/>
                  <w:vAlign w:val="center"/>
                </w:tcPr>
                <w:p w14:paraId="61077642">
                  <w:pPr>
                    <w:pStyle w:val="5"/>
                    <w:spacing w:line="240" w:lineRule="auto"/>
                    <w:jc w:val="center"/>
                    <w:rPr>
                      <w:rFonts w:hint="default"/>
                      <w:b/>
                      <w:bCs/>
                      <w:sz w:val="21"/>
                      <w:szCs w:val="21"/>
                      <w:vertAlign w:val="baseline"/>
                      <w:lang w:val="en-US" w:eastAsia="zh-CN"/>
                    </w:rPr>
                  </w:pPr>
                  <w:r>
                    <w:rPr>
                      <w:rFonts w:hint="eastAsia"/>
                      <w:b/>
                      <w:bCs/>
                      <w:sz w:val="21"/>
                      <w:szCs w:val="21"/>
                      <w:vertAlign w:val="baseline"/>
                      <w:lang w:val="en-US" w:eastAsia="zh-CN"/>
                    </w:rPr>
                    <w:t>管控要求</w:t>
                  </w:r>
                </w:p>
              </w:tc>
              <w:tc>
                <w:tcPr>
                  <w:tcW w:w="2287" w:type="dxa"/>
                  <w:noWrap w:val="0"/>
                  <w:vAlign w:val="center"/>
                </w:tcPr>
                <w:p w14:paraId="7FBD5536">
                  <w:pPr>
                    <w:pStyle w:val="5"/>
                    <w:spacing w:line="240" w:lineRule="auto"/>
                    <w:jc w:val="center"/>
                    <w:rPr>
                      <w:rFonts w:hint="default"/>
                      <w:b/>
                      <w:bCs/>
                      <w:sz w:val="21"/>
                      <w:szCs w:val="21"/>
                      <w:vertAlign w:val="baseline"/>
                      <w:lang w:val="en-US" w:eastAsia="zh-CN"/>
                    </w:rPr>
                  </w:pPr>
                  <w:r>
                    <w:rPr>
                      <w:rFonts w:hint="eastAsia"/>
                      <w:b/>
                      <w:bCs/>
                      <w:sz w:val="21"/>
                      <w:szCs w:val="21"/>
                      <w:vertAlign w:val="baseline"/>
                      <w:lang w:val="en-US" w:eastAsia="zh-CN"/>
                    </w:rPr>
                    <w:t>拟建项目特点</w:t>
                  </w:r>
                </w:p>
              </w:tc>
              <w:tc>
                <w:tcPr>
                  <w:tcW w:w="1096" w:type="dxa"/>
                  <w:noWrap w:val="0"/>
                  <w:vAlign w:val="center"/>
                </w:tcPr>
                <w:p w14:paraId="59E9D66B">
                  <w:pPr>
                    <w:pStyle w:val="5"/>
                    <w:spacing w:line="240" w:lineRule="auto"/>
                    <w:jc w:val="center"/>
                    <w:rPr>
                      <w:rFonts w:hint="default"/>
                      <w:b/>
                      <w:bCs/>
                      <w:sz w:val="21"/>
                      <w:szCs w:val="21"/>
                      <w:vertAlign w:val="baseline"/>
                      <w:lang w:val="en-US" w:eastAsia="zh-CN"/>
                    </w:rPr>
                  </w:pPr>
                  <w:r>
                    <w:rPr>
                      <w:rFonts w:hint="eastAsia"/>
                      <w:b/>
                      <w:bCs/>
                      <w:sz w:val="21"/>
                      <w:szCs w:val="21"/>
                      <w:vertAlign w:val="baseline"/>
                      <w:lang w:val="en-US" w:eastAsia="zh-CN"/>
                    </w:rPr>
                    <w:t>符合性</w:t>
                  </w:r>
                </w:p>
              </w:tc>
            </w:tr>
            <w:tr w14:paraId="7FDD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1332" w:type="dxa"/>
                  <w:vMerge w:val="restart"/>
                  <w:noWrap w:val="0"/>
                  <w:vAlign w:val="center"/>
                </w:tcPr>
                <w:p w14:paraId="00E82820">
                  <w:pPr>
                    <w:pStyle w:val="5"/>
                    <w:spacing w:line="240" w:lineRule="auto"/>
                    <w:jc w:val="center"/>
                    <w:rPr>
                      <w:rFonts w:hint="default"/>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ZH34130220013</w:t>
                  </w:r>
                </w:p>
              </w:tc>
              <w:tc>
                <w:tcPr>
                  <w:tcW w:w="1227" w:type="dxa"/>
                  <w:vMerge w:val="restart"/>
                  <w:noWrap w:val="0"/>
                  <w:vAlign w:val="center"/>
                </w:tcPr>
                <w:p w14:paraId="6EC1E4E8">
                  <w:pPr>
                    <w:pStyle w:val="5"/>
                    <w:spacing w:line="240" w:lineRule="auto"/>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重点管控单元13</w:t>
                  </w:r>
                </w:p>
              </w:tc>
              <w:tc>
                <w:tcPr>
                  <w:tcW w:w="1504" w:type="dxa"/>
                  <w:vMerge w:val="restart"/>
                  <w:noWrap w:val="0"/>
                  <w:vAlign w:val="center"/>
                </w:tcPr>
                <w:p w14:paraId="65E377DA">
                  <w:pPr>
                    <w:pStyle w:val="5"/>
                    <w:spacing w:line="240" w:lineRule="auto"/>
                    <w:jc w:val="center"/>
                    <w:rPr>
                      <w:rFonts w:hint="default"/>
                      <w:b w:val="0"/>
                      <w:bCs w:val="0"/>
                      <w:sz w:val="21"/>
                      <w:szCs w:val="21"/>
                      <w:vertAlign w:val="baseline"/>
                      <w:lang w:val="en-US" w:eastAsia="zh-CN"/>
                    </w:rPr>
                  </w:pPr>
                  <w:r>
                    <w:rPr>
                      <w:rFonts w:hint="eastAsia" w:cs="Times New Roman"/>
                      <w:b w:val="0"/>
                      <w:bCs w:val="0"/>
                      <w:sz w:val="21"/>
                      <w:szCs w:val="21"/>
                      <w:vertAlign w:val="baseline"/>
                      <w:lang w:val="en-US" w:eastAsia="zh-CN"/>
                    </w:rPr>
                    <w:t>重点管控单元</w:t>
                  </w:r>
                </w:p>
              </w:tc>
              <w:tc>
                <w:tcPr>
                  <w:tcW w:w="871" w:type="dxa"/>
                  <w:noWrap w:val="0"/>
                  <w:vAlign w:val="center"/>
                </w:tcPr>
                <w:p w14:paraId="1FEDAC0A">
                  <w:pPr>
                    <w:pStyle w:val="5"/>
                    <w:spacing w:line="240" w:lineRule="auto"/>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空间布局约束</w:t>
                  </w:r>
                </w:p>
              </w:tc>
              <w:tc>
                <w:tcPr>
                  <w:tcW w:w="4881" w:type="dxa"/>
                  <w:noWrap w:val="0"/>
                  <w:vAlign w:val="center"/>
                </w:tcPr>
                <w:p w14:paraId="64C7F17F">
                  <w:pPr>
                    <w:pStyle w:val="5"/>
                    <w:spacing w:line="240" w:lineRule="auto"/>
                    <w:jc w:val="both"/>
                    <w:rPr>
                      <w:rFonts w:hint="default"/>
                      <w:b w:val="0"/>
                      <w:bCs w:val="0"/>
                      <w:sz w:val="21"/>
                      <w:szCs w:val="21"/>
                      <w:vertAlign w:val="baseline"/>
                      <w:lang w:val="en-US" w:eastAsia="zh-CN"/>
                    </w:rPr>
                  </w:pPr>
                  <w:r>
                    <w:rPr>
                      <w:rFonts w:hint="default" w:ascii="Times New Roman" w:hAnsi="Times New Roman" w:eastAsia="宋体" w:cs="Times New Roman"/>
                      <w:b w:val="0"/>
                      <w:bCs w:val="0"/>
                      <w:sz w:val="21"/>
                      <w:szCs w:val="21"/>
                    </w:rPr>
                    <w:t>禁止开发建设活动的要求</w:t>
                  </w:r>
                  <w:r>
                    <w:rPr>
                      <w:rFonts w:hint="eastAsia"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1在城市城区 及其近郊禁止新建、扩建钢铁、有色、石化、水泥、化工等重污染企业。2禁止新建燃料类煤气发生炉（园区现有企业统一建设的 清洁煤制气中心除外）。3严禁新增钢铁、焦化、电解铝、铸造、水泥和平板玻璃 等产能；严格执行钢铁、水泥、平板玻璃等行业产能置换 实施办法。4严格执行国家关于“两高”产业准入目录和产能总量控 制政策措施。严禁新增钢铁、焦化、电解铝、铸造、水泥 和平板玻璃等产能；新、改、扩建涉及大宗物料运输的建 设项目，原则上不得采用公路运输。7非电行业新建项目，禁止配套建设自备纯凝、抽凝燃煤 电站。8在城市建成区及居民区、医院、学校等环境敏感区域，严禁现场露天灰土拌合。9严格控制新增“两高”项目审批，认真分析评估拟建项 目必要性、可行性和对产业高质量发展、能耗双控、碳排放和环境质量的影响，严格审查项目是否符合产业政策、产业规划、“三线一单”、规划环评要求，是否依法依规落实产能置换、能耗置换、煤炭消费减量替代、污染物排 放区域削减等要求。对已建成投产的存量“两高”项目，有节能减排潜力的加快改造升级，属于落后产能的加快 淘汰。10禁止建设生产和使用高挥发性有机物含量涂料、油墨、胶粘剂、清洗剂等项目。11禁止新建不符合国家规定的燃煤发电机组、燃油发电机 组和燃煤热电机组。12禁止新建、扩建分散燃煤供热锅炉。13在城市规划区内禁止新建、扩建大气污染严重的建设项目。14禁止高灰分、高硫分煤炭进入市场。新建煤矿应当同步建设煤炭洗选设施，已建成的煤矿所采煤炭属于高灰分、高硫分的，应当在国家和省规定的期限内建成配套的煤炭 洗选设施，使煤炭中的灰分、硫分达到规定的标准。15禁止在人口集中地区、机场周围、交通干线附近以及当地人民政府划定的区域露天焚烧秸秆、落叶、垃圾等产生烟尘污染的物质。</w:t>
                  </w:r>
                </w:p>
              </w:tc>
              <w:tc>
                <w:tcPr>
                  <w:tcW w:w="2287" w:type="dxa"/>
                  <w:noWrap w:val="0"/>
                  <w:vAlign w:val="center"/>
                </w:tcPr>
                <w:p w14:paraId="51291104">
                  <w:pPr>
                    <w:pStyle w:val="5"/>
                    <w:spacing w:line="240" w:lineRule="auto"/>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①项目主要从事报废机动车回收拆解，属于废弃资源综合利用业，不涉及钢铁、有色、石化、水泥、化工等重污染企业；</w:t>
                  </w:r>
                </w:p>
                <w:p w14:paraId="7F249745">
                  <w:pPr>
                    <w:pStyle w:val="5"/>
                    <w:spacing w:line="240" w:lineRule="auto"/>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②项目不新建燃料类煤气发生炉；</w:t>
                  </w:r>
                </w:p>
                <w:p w14:paraId="696F3705">
                  <w:pPr>
                    <w:pStyle w:val="5"/>
                    <w:spacing w:line="240" w:lineRule="auto"/>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③项目不属于“两高”项目，符合区域总体规划及“三线一单”管控要求；</w:t>
                  </w:r>
                </w:p>
                <w:p w14:paraId="6D99DF0C">
                  <w:pPr>
                    <w:pStyle w:val="5"/>
                    <w:spacing w:line="240" w:lineRule="auto"/>
                    <w:jc w:val="both"/>
                    <w:rPr>
                      <w:rFonts w:hint="default"/>
                      <w:b w:val="0"/>
                      <w:bCs w:val="0"/>
                      <w:sz w:val="21"/>
                      <w:szCs w:val="21"/>
                      <w:vertAlign w:val="baseline"/>
                      <w:lang w:val="en-US" w:eastAsia="zh-CN"/>
                    </w:rPr>
                  </w:pPr>
                  <w:r>
                    <w:rPr>
                      <w:rFonts w:hint="eastAsia"/>
                      <w:b w:val="0"/>
                      <w:bCs w:val="0"/>
                      <w:sz w:val="21"/>
                      <w:szCs w:val="21"/>
                      <w:vertAlign w:val="baseline"/>
                      <w:lang w:val="en-US" w:eastAsia="zh-CN"/>
                    </w:rPr>
                    <w:t>④项目不使用</w:t>
                  </w:r>
                  <w:r>
                    <w:rPr>
                      <w:rFonts w:hint="eastAsia" w:ascii="Times New Roman" w:hAnsi="Times New Roman" w:eastAsia="宋体" w:cs="Times New Roman"/>
                      <w:b w:val="0"/>
                      <w:bCs w:val="0"/>
                      <w:sz w:val="21"/>
                      <w:szCs w:val="21"/>
                    </w:rPr>
                    <w:t>高挥发性有机物含量涂料、油墨、胶粘剂、清洗剂等</w:t>
                  </w:r>
                  <w:r>
                    <w:rPr>
                      <w:rFonts w:hint="eastAsia" w:ascii="Times New Roman" w:hAnsi="Times New Roman" w:cs="Times New Roman"/>
                      <w:b w:val="0"/>
                      <w:bCs w:val="0"/>
                      <w:sz w:val="21"/>
                      <w:szCs w:val="21"/>
                      <w:lang w:val="en-US" w:eastAsia="zh-CN"/>
                    </w:rPr>
                    <w:t>⑤项目不新建发电机组及供热锅炉。</w:t>
                  </w:r>
                </w:p>
              </w:tc>
              <w:tc>
                <w:tcPr>
                  <w:tcW w:w="1096" w:type="dxa"/>
                  <w:noWrap w:val="0"/>
                  <w:vAlign w:val="center"/>
                </w:tcPr>
                <w:p w14:paraId="3822DCE4">
                  <w:pPr>
                    <w:pStyle w:val="5"/>
                    <w:spacing w:line="240" w:lineRule="auto"/>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符合</w:t>
                  </w:r>
                </w:p>
              </w:tc>
            </w:tr>
            <w:tr w14:paraId="5578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1332" w:type="dxa"/>
                  <w:vMerge w:val="continue"/>
                  <w:noWrap w:val="0"/>
                  <w:vAlign w:val="center"/>
                </w:tcPr>
                <w:p w14:paraId="44DCBAAA">
                  <w:pPr>
                    <w:pStyle w:val="5"/>
                    <w:spacing w:line="240" w:lineRule="auto"/>
                    <w:jc w:val="center"/>
                    <w:rPr>
                      <w:rFonts w:hint="eastAsia"/>
                      <w:b w:val="0"/>
                      <w:bCs w:val="0"/>
                      <w:sz w:val="21"/>
                      <w:szCs w:val="21"/>
                      <w:vertAlign w:val="baseline"/>
                      <w:lang w:val="en-US" w:eastAsia="zh-CN"/>
                    </w:rPr>
                  </w:pPr>
                </w:p>
              </w:tc>
              <w:tc>
                <w:tcPr>
                  <w:tcW w:w="1227" w:type="dxa"/>
                  <w:vMerge w:val="continue"/>
                  <w:noWrap w:val="0"/>
                  <w:vAlign w:val="center"/>
                </w:tcPr>
                <w:p w14:paraId="512895F5">
                  <w:pPr>
                    <w:pStyle w:val="5"/>
                    <w:spacing w:line="240" w:lineRule="auto"/>
                    <w:jc w:val="center"/>
                    <w:rPr>
                      <w:rFonts w:hint="default"/>
                      <w:b w:val="0"/>
                      <w:bCs w:val="0"/>
                      <w:sz w:val="21"/>
                      <w:szCs w:val="21"/>
                      <w:vertAlign w:val="baseline"/>
                      <w:lang w:val="en-US" w:eastAsia="zh-CN"/>
                    </w:rPr>
                  </w:pPr>
                </w:p>
              </w:tc>
              <w:tc>
                <w:tcPr>
                  <w:tcW w:w="1504" w:type="dxa"/>
                  <w:vMerge w:val="continue"/>
                  <w:noWrap w:val="0"/>
                  <w:vAlign w:val="center"/>
                </w:tcPr>
                <w:p w14:paraId="69A83D01">
                  <w:pPr>
                    <w:pStyle w:val="5"/>
                    <w:spacing w:line="240" w:lineRule="auto"/>
                    <w:jc w:val="center"/>
                    <w:rPr>
                      <w:rFonts w:hint="default"/>
                      <w:b w:val="0"/>
                      <w:bCs w:val="0"/>
                      <w:sz w:val="21"/>
                      <w:szCs w:val="21"/>
                      <w:vertAlign w:val="baseline"/>
                      <w:lang w:val="en-US" w:eastAsia="zh-CN"/>
                    </w:rPr>
                  </w:pPr>
                </w:p>
              </w:tc>
              <w:tc>
                <w:tcPr>
                  <w:tcW w:w="871" w:type="dxa"/>
                  <w:noWrap w:val="0"/>
                  <w:vAlign w:val="center"/>
                </w:tcPr>
                <w:p w14:paraId="22586701">
                  <w:pPr>
                    <w:pStyle w:val="5"/>
                    <w:spacing w:line="240" w:lineRule="auto"/>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污染物排放管控要求</w:t>
                  </w:r>
                </w:p>
              </w:tc>
              <w:tc>
                <w:tcPr>
                  <w:tcW w:w="4881" w:type="dxa"/>
                  <w:noWrap w:val="0"/>
                  <w:vAlign w:val="center"/>
                </w:tcPr>
                <w:p w14:paraId="631C68AF">
                  <w:pPr>
                    <w:pStyle w:val="5"/>
                    <w:spacing w:line="240" w:lineRule="auto"/>
                    <w:jc w:val="both"/>
                    <w:rPr>
                      <w:rFonts w:hint="eastAsia"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9全面推动挥发性有机物纳入排污许可管理。禁止建设生产和使用高挥发性有机物含量涂料、油墨、胶粘剂、清洗剂等项目。加快推进石化、化工、涂装、医药、包装印刷和油品储运销等重点行业挥发性有机物深度治理，全面提升废气收集率、治理设施同步运行率和去除率，提高水性、高固体分、无溶剂、粉末、辐射固化等低挥发性有机物含量产品的比重。加大工业涂装、包装印刷等行业低挥发性有机物含量原辅材料替代力度，严格执行涂料、油墨、胶粘剂、清洗剂挥发性有机物含量限值标准，确保生产、 销售、进口、使用符合标准的产品。到2025年，溶剂型工业涂料、油墨使用比例分别降低20个、10个百分点。溶剂型胶粘剂使用量降低20%。 10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w:t>
                  </w:r>
                </w:p>
                <w:p w14:paraId="5FBCEB26">
                  <w:pPr>
                    <w:pStyle w:val="5"/>
                    <w:spacing w:line="240" w:lineRule="auto"/>
                    <w:jc w:val="both"/>
                    <w:rPr>
                      <w:rFonts w:hint="eastAsia"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11使用粉末、水性、高固体分、辐射固化等低VOCs含量的涂料替代溶剂型涂料。</w:t>
                  </w:r>
                </w:p>
                <w:p w14:paraId="0932A7B1">
                  <w:pPr>
                    <w:pStyle w:val="5"/>
                    <w:spacing w:line="240" w:lineRule="auto"/>
                    <w:jc w:val="both"/>
                    <w:rPr>
                      <w:rFonts w:hint="eastAsia"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12污染物排放标准中有特别排放限值的标准的行业，二氧化硫、氮氧化物、颗粒物、挥发性 有机物（VOCs）全面执行大气污染物特别排放限值。已核发排污许可证的，应严格执行许可要求。</w:t>
                  </w:r>
                </w:p>
                <w:p w14:paraId="550F3BCF">
                  <w:pPr>
                    <w:pStyle w:val="5"/>
                    <w:spacing w:line="240" w:lineRule="auto"/>
                    <w:jc w:val="both"/>
                    <w:rPr>
                      <w:rFonts w:hint="eastAsia"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10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w:t>
                  </w:r>
                </w:p>
                <w:p w14:paraId="59B608A8">
                  <w:pPr>
                    <w:pStyle w:val="5"/>
                    <w:spacing w:line="240" w:lineRule="auto"/>
                    <w:jc w:val="both"/>
                    <w:rPr>
                      <w:rFonts w:hint="default"/>
                      <w:b w:val="0"/>
                      <w:bCs w:val="0"/>
                      <w:sz w:val="21"/>
                      <w:szCs w:val="21"/>
                      <w:vertAlign w:val="baseline"/>
                      <w:lang w:val="en-US" w:eastAsia="zh-CN"/>
                    </w:rPr>
                  </w:pPr>
                  <w:r>
                    <w:rPr>
                      <w:rFonts w:hint="eastAsia" w:ascii="Times New Roman" w:hAnsi="Times New Roman" w:eastAsia="宋体" w:cs="Times New Roman"/>
                      <w:b w:val="0"/>
                      <w:bCs w:val="0"/>
                      <w:sz w:val="21"/>
                      <w:szCs w:val="21"/>
                    </w:rPr>
                    <w:t>11使用粉末、水性、高固体分、辐射固化等低VOCs含量的涂料替代溶剂型涂料。</w:t>
                  </w:r>
                </w:p>
              </w:tc>
              <w:tc>
                <w:tcPr>
                  <w:tcW w:w="2287" w:type="dxa"/>
                  <w:noWrap w:val="0"/>
                  <w:vAlign w:val="center"/>
                </w:tcPr>
                <w:p w14:paraId="43B063C2">
                  <w:pPr>
                    <w:pStyle w:val="5"/>
                    <w:spacing w:line="240" w:lineRule="auto"/>
                    <w:jc w:val="both"/>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①项目不使用高挥发性有机物含量涂料、油墨、胶粘剂、清洗剂等；</w:t>
                  </w:r>
                </w:p>
                <w:p w14:paraId="2DBFD4B9">
                  <w:pPr>
                    <w:pStyle w:val="5"/>
                    <w:spacing w:line="240" w:lineRule="auto"/>
                    <w:jc w:val="both"/>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②项目废油液抽取、贮存等工段均配备废气收集设施及污染防治措施，去除效率不低于80%；</w:t>
                  </w:r>
                </w:p>
                <w:p w14:paraId="1ED54F8E">
                  <w:pPr>
                    <w:pStyle w:val="5"/>
                    <w:spacing w:line="240" w:lineRule="auto"/>
                    <w:jc w:val="both"/>
                    <w:rPr>
                      <w:rFonts w:hint="default"/>
                      <w:lang w:val="en-US" w:eastAsia="zh-CN"/>
                    </w:rPr>
                  </w:pPr>
                  <w:r>
                    <w:rPr>
                      <w:rFonts w:hint="eastAsia" w:ascii="Times New Roman" w:hAnsi="Times New Roman" w:cs="Times New Roman"/>
                      <w:b w:val="0"/>
                      <w:bCs w:val="0"/>
                      <w:sz w:val="21"/>
                      <w:szCs w:val="21"/>
                      <w:vertAlign w:val="baseline"/>
                      <w:lang w:val="en-US" w:eastAsia="zh-CN"/>
                    </w:rPr>
                    <w:t>③项目不使用溶剂型涂料。</w:t>
                  </w:r>
                </w:p>
              </w:tc>
              <w:tc>
                <w:tcPr>
                  <w:tcW w:w="1096" w:type="dxa"/>
                  <w:noWrap w:val="0"/>
                  <w:vAlign w:val="center"/>
                </w:tcPr>
                <w:p w14:paraId="2A360F3B">
                  <w:pPr>
                    <w:pStyle w:val="5"/>
                    <w:spacing w:line="240" w:lineRule="auto"/>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符合</w:t>
                  </w:r>
                </w:p>
              </w:tc>
            </w:tr>
            <w:tr w14:paraId="310D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332" w:type="dxa"/>
                  <w:vMerge w:val="continue"/>
                  <w:noWrap w:val="0"/>
                  <w:vAlign w:val="center"/>
                </w:tcPr>
                <w:p w14:paraId="59FF4D86">
                  <w:pPr>
                    <w:pStyle w:val="5"/>
                    <w:spacing w:line="240" w:lineRule="auto"/>
                    <w:jc w:val="center"/>
                    <w:rPr>
                      <w:rFonts w:hint="eastAsia"/>
                      <w:b w:val="0"/>
                      <w:bCs w:val="0"/>
                      <w:sz w:val="21"/>
                      <w:szCs w:val="21"/>
                      <w:vertAlign w:val="baseline"/>
                      <w:lang w:val="en-US" w:eastAsia="zh-CN"/>
                    </w:rPr>
                  </w:pPr>
                </w:p>
              </w:tc>
              <w:tc>
                <w:tcPr>
                  <w:tcW w:w="1227" w:type="dxa"/>
                  <w:vMerge w:val="continue"/>
                  <w:noWrap w:val="0"/>
                  <w:vAlign w:val="center"/>
                </w:tcPr>
                <w:p w14:paraId="67FA3555">
                  <w:pPr>
                    <w:pStyle w:val="5"/>
                    <w:spacing w:line="240" w:lineRule="auto"/>
                    <w:jc w:val="center"/>
                    <w:rPr>
                      <w:rFonts w:hint="default"/>
                      <w:b w:val="0"/>
                      <w:bCs w:val="0"/>
                      <w:sz w:val="21"/>
                      <w:szCs w:val="21"/>
                      <w:vertAlign w:val="baseline"/>
                      <w:lang w:val="en-US" w:eastAsia="zh-CN"/>
                    </w:rPr>
                  </w:pPr>
                </w:p>
              </w:tc>
              <w:tc>
                <w:tcPr>
                  <w:tcW w:w="1504" w:type="dxa"/>
                  <w:vMerge w:val="continue"/>
                  <w:noWrap w:val="0"/>
                  <w:vAlign w:val="center"/>
                </w:tcPr>
                <w:p w14:paraId="4D35EA12">
                  <w:pPr>
                    <w:pStyle w:val="5"/>
                    <w:spacing w:line="240" w:lineRule="auto"/>
                    <w:jc w:val="center"/>
                    <w:rPr>
                      <w:rFonts w:hint="default"/>
                      <w:b w:val="0"/>
                      <w:bCs w:val="0"/>
                      <w:sz w:val="21"/>
                      <w:szCs w:val="21"/>
                      <w:vertAlign w:val="baseline"/>
                      <w:lang w:val="en-US" w:eastAsia="zh-CN"/>
                    </w:rPr>
                  </w:pPr>
                </w:p>
              </w:tc>
              <w:tc>
                <w:tcPr>
                  <w:tcW w:w="871" w:type="dxa"/>
                  <w:noWrap w:val="0"/>
                  <w:vAlign w:val="center"/>
                </w:tcPr>
                <w:p w14:paraId="685E3932">
                  <w:pPr>
                    <w:pStyle w:val="5"/>
                    <w:spacing w:line="240" w:lineRule="auto"/>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环境风险防控</w:t>
                  </w:r>
                </w:p>
              </w:tc>
              <w:tc>
                <w:tcPr>
                  <w:tcW w:w="4881" w:type="dxa"/>
                  <w:noWrap w:val="0"/>
                  <w:vAlign w:val="center"/>
                </w:tcPr>
                <w:p w14:paraId="5458DB9C">
                  <w:pPr>
                    <w:pStyle w:val="5"/>
                    <w:spacing w:line="240" w:lineRule="auto"/>
                    <w:jc w:val="both"/>
                    <w:rPr>
                      <w:rFonts w:hint="eastAsia"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2落实工业企业环境风险防范主体责任，以石油、化工、涉重金属等企业为重点，合理布设企业生产设施，强化工业企业应急导流槽、事故调蓄池、应急闸坝等事故排水收集截留设施以及事故水输送设施建设，合理设置消防事故水池。</w:t>
                  </w:r>
                </w:p>
              </w:tc>
              <w:tc>
                <w:tcPr>
                  <w:tcW w:w="2287" w:type="dxa"/>
                  <w:noWrap w:val="0"/>
                  <w:vAlign w:val="center"/>
                </w:tcPr>
                <w:p w14:paraId="76A3CF6F">
                  <w:pPr>
                    <w:pStyle w:val="5"/>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项目不属于重点行业，厂区配套建设1座容积120m</w:t>
                  </w:r>
                  <w:r>
                    <w:rPr>
                      <w:rFonts w:hint="eastAsia" w:ascii="Times New Roman" w:hAnsi="Times New Roman" w:cs="Times New Roman"/>
                      <w:b w:val="0"/>
                      <w:bCs w:val="0"/>
                      <w:sz w:val="21"/>
                      <w:szCs w:val="21"/>
                      <w:vertAlign w:val="superscript"/>
                      <w:lang w:val="en-US" w:eastAsia="zh-CN"/>
                    </w:rPr>
                    <w:t>3</w:t>
                  </w:r>
                  <w:r>
                    <w:rPr>
                      <w:rFonts w:hint="eastAsia" w:ascii="Times New Roman" w:hAnsi="Times New Roman" w:cs="Times New Roman"/>
                      <w:b w:val="0"/>
                      <w:bCs w:val="0"/>
                      <w:sz w:val="21"/>
                      <w:szCs w:val="21"/>
                      <w:vertAlign w:val="baseline"/>
                      <w:lang w:val="en-US" w:eastAsia="zh-CN"/>
                    </w:rPr>
                    <w:t>应急事故池</w:t>
                  </w:r>
                  <w:r>
                    <w:rPr>
                      <w:rFonts w:hint="eastAsia" w:cs="Times New Roman"/>
                      <w:b w:val="0"/>
                      <w:bCs w:val="0"/>
                      <w:sz w:val="21"/>
                      <w:szCs w:val="21"/>
                      <w:vertAlign w:val="baseline"/>
                      <w:lang w:val="en-US" w:eastAsia="zh-CN"/>
                    </w:rPr>
                    <w:t>及</w:t>
                  </w:r>
                  <w:r>
                    <w:rPr>
                      <w:rFonts w:hint="eastAsia" w:ascii="Times New Roman" w:hAnsi="Times New Roman" w:cs="Times New Roman"/>
                      <w:b w:val="0"/>
                      <w:bCs w:val="0"/>
                      <w:sz w:val="21"/>
                      <w:szCs w:val="21"/>
                      <w:vertAlign w:val="baseline"/>
                      <w:lang w:val="en-US" w:eastAsia="zh-CN"/>
                    </w:rPr>
                    <w:t>应急截断</w:t>
                  </w:r>
                  <w:r>
                    <w:rPr>
                      <w:rFonts w:hint="eastAsia" w:cs="Times New Roman"/>
                      <w:b w:val="0"/>
                      <w:bCs w:val="0"/>
                      <w:sz w:val="21"/>
                      <w:szCs w:val="21"/>
                      <w:vertAlign w:val="baseline"/>
                      <w:lang w:val="en-US" w:eastAsia="zh-CN"/>
                    </w:rPr>
                    <w:t>设施</w:t>
                  </w:r>
                  <w:r>
                    <w:rPr>
                      <w:rFonts w:hint="eastAsia" w:ascii="Times New Roman" w:hAnsi="Times New Roman" w:cs="Times New Roman"/>
                      <w:b w:val="0"/>
                      <w:bCs w:val="0"/>
                      <w:sz w:val="21"/>
                      <w:szCs w:val="21"/>
                      <w:vertAlign w:val="baseline"/>
                      <w:lang w:val="en-US" w:eastAsia="zh-CN"/>
                    </w:rPr>
                    <w:t>。</w:t>
                  </w:r>
                </w:p>
              </w:tc>
              <w:tc>
                <w:tcPr>
                  <w:tcW w:w="1096" w:type="dxa"/>
                  <w:noWrap w:val="0"/>
                  <w:vAlign w:val="center"/>
                </w:tcPr>
                <w:p w14:paraId="3524AA75">
                  <w:pPr>
                    <w:pStyle w:val="5"/>
                    <w:spacing w:line="240" w:lineRule="auto"/>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符合</w:t>
                  </w:r>
                </w:p>
              </w:tc>
            </w:tr>
            <w:tr w14:paraId="77DF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1332" w:type="dxa"/>
                  <w:vMerge w:val="continue"/>
                  <w:noWrap w:val="0"/>
                  <w:vAlign w:val="center"/>
                </w:tcPr>
                <w:p w14:paraId="606CFA84">
                  <w:pPr>
                    <w:pStyle w:val="5"/>
                    <w:spacing w:line="240" w:lineRule="auto"/>
                    <w:jc w:val="center"/>
                    <w:rPr>
                      <w:rFonts w:hint="eastAsia"/>
                      <w:b w:val="0"/>
                      <w:bCs w:val="0"/>
                      <w:sz w:val="21"/>
                      <w:szCs w:val="21"/>
                      <w:vertAlign w:val="baseline"/>
                      <w:lang w:val="en-US" w:eastAsia="zh-CN"/>
                    </w:rPr>
                  </w:pPr>
                </w:p>
              </w:tc>
              <w:tc>
                <w:tcPr>
                  <w:tcW w:w="1227" w:type="dxa"/>
                  <w:vMerge w:val="continue"/>
                  <w:noWrap w:val="0"/>
                  <w:vAlign w:val="center"/>
                </w:tcPr>
                <w:p w14:paraId="0803D6B1">
                  <w:pPr>
                    <w:pStyle w:val="5"/>
                    <w:spacing w:line="240" w:lineRule="auto"/>
                    <w:jc w:val="center"/>
                    <w:rPr>
                      <w:rFonts w:hint="eastAsia"/>
                      <w:b w:val="0"/>
                      <w:bCs w:val="0"/>
                      <w:sz w:val="21"/>
                      <w:szCs w:val="21"/>
                      <w:vertAlign w:val="baseline"/>
                      <w:lang w:val="en-US" w:eastAsia="zh-CN"/>
                    </w:rPr>
                  </w:pPr>
                </w:p>
              </w:tc>
              <w:tc>
                <w:tcPr>
                  <w:tcW w:w="1504" w:type="dxa"/>
                  <w:vMerge w:val="continue"/>
                  <w:noWrap w:val="0"/>
                  <w:vAlign w:val="center"/>
                </w:tcPr>
                <w:p w14:paraId="0AB30BC2">
                  <w:pPr>
                    <w:pStyle w:val="5"/>
                    <w:spacing w:line="240" w:lineRule="auto"/>
                    <w:jc w:val="center"/>
                    <w:rPr>
                      <w:rFonts w:hint="eastAsia"/>
                      <w:b w:val="0"/>
                      <w:bCs w:val="0"/>
                      <w:sz w:val="21"/>
                      <w:szCs w:val="21"/>
                      <w:vertAlign w:val="baseline"/>
                      <w:lang w:val="en-US" w:eastAsia="zh-CN"/>
                    </w:rPr>
                  </w:pPr>
                </w:p>
              </w:tc>
              <w:tc>
                <w:tcPr>
                  <w:tcW w:w="871" w:type="dxa"/>
                  <w:noWrap w:val="0"/>
                  <w:vAlign w:val="center"/>
                </w:tcPr>
                <w:p w14:paraId="07EEEEE7">
                  <w:pPr>
                    <w:pStyle w:val="5"/>
                    <w:spacing w:line="240" w:lineRule="auto"/>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资源利用效率要求</w:t>
                  </w:r>
                </w:p>
              </w:tc>
              <w:tc>
                <w:tcPr>
                  <w:tcW w:w="4881" w:type="dxa"/>
                  <w:noWrap w:val="0"/>
                  <w:vAlign w:val="center"/>
                </w:tcPr>
                <w:p w14:paraId="28AF89EE">
                  <w:pPr>
                    <w:pStyle w:val="5"/>
                    <w:spacing w:line="240" w:lineRule="auto"/>
                    <w:jc w:val="both"/>
                    <w:rPr>
                      <w:rFonts w:hint="default"/>
                      <w:b w:val="0"/>
                      <w:bCs w:val="0"/>
                      <w:sz w:val="21"/>
                      <w:szCs w:val="21"/>
                      <w:vertAlign w:val="baseline"/>
                      <w:lang w:val="en-US" w:eastAsia="zh-CN"/>
                    </w:rPr>
                  </w:pPr>
                  <w:r>
                    <w:rPr>
                      <w:rFonts w:hint="eastAsia" w:ascii="Times New Roman" w:hAnsi="Times New Roman" w:eastAsia="宋体" w:cs="Times New Roman"/>
                      <w:b w:val="0"/>
                      <w:bCs w:val="0"/>
                      <w:sz w:val="21"/>
                      <w:szCs w:val="21"/>
                    </w:rPr>
                    <w:t>2推动煤电行业实施节能降耗改造、供热改造和灵活性改造“三改联动”。加快供热管网建设，淘汰管网覆盖范围内的燃煤锅炉和散煤。到2025年，火电平均供电煤耗降至295克标煤/千瓦时，散煤基本清零。 3实施“煤改气”和“以电代煤”。在陶瓷、玻璃、铸造等行业积极推进天然气替代煤气化工程，有序实施燃煤设施煤改气。结合区域和行业用能特点，积极推进工业生产、建筑供暖供冷、交通运输、农业生产、居民生活五大领域实施“以电代煤”，着力提高电能占终端能源消费比重。</w:t>
                  </w:r>
                </w:p>
              </w:tc>
              <w:tc>
                <w:tcPr>
                  <w:tcW w:w="2287" w:type="dxa"/>
                  <w:noWrap w:val="0"/>
                  <w:vAlign w:val="center"/>
                </w:tcPr>
                <w:p w14:paraId="4041507A">
                  <w:pPr>
                    <w:pStyle w:val="5"/>
                    <w:spacing w:line="240" w:lineRule="auto"/>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本项目不使用燃煤设施。</w:t>
                  </w:r>
                </w:p>
              </w:tc>
              <w:tc>
                <w:tcPr>
                  <w:tcW w:w="1096" w:type="dxa"/>
                  <w:noWrap w:val="0"/>
                  <w:vAlign w:val="center"/>
                </w:tcPr>
                <w:p w14:paraId="5ED42B89">
                  <w:pPr>
                    <w:pStyle w:val="5"/>
                    <w:spacing w:line="240" w:lineRule="auto"/>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符合</w:t>
                  </w:r>
                </w:p>
              </w:tc>
            </w:tr>
          </w:tbl>
          <w:p w14:paraId="4554D73E">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9"/>
              <w:rPr>
                <w:rFonts w:hint="eastAsia"/>
                <w:sz w:val="24"/>
                <w:szCs w:val="32"/>
                <w:lang w:val="en-US" w:eastAsia="zh-CN"/>
              </w:rPr>
            </w:pPr>
            <w:r>
              <w:rPr>
                <w:rFonts w:hint="eastAsia"/>
                <w:sz w:val="24"/>
                <w:szCs w:val="32"/>
                <w:lang w:val="en-US" w:eastAsia="zh-CN"/>
              </w:rPr>
              <w:t>通过上述分析可知，本项目的建设符合安徽省《关于加快实施“三线一单”生态环境分区管控的通知》（皖政秘[2020]124号）、《宿州市“三线一单”生态环境分区管控方案》要求。因此，本项目符合“三线一单”管控要求。</w:t>
            </w:r>
          </w:p>
          <w:p w14:paraId="0BC4BACC">
            <w:pPr>
              <w:pStyle w:val="31"/>
              <w:ind w:left="0" w:leftChars="0" w:firstLine="0" w:firstLineChars="0"/>
              <w:rPr>
                <w:rFonts w:hint="eastAsia"/>
                <w:vertAlign w:val="baseline"/>
                <w:lang w:val="en-US" w:eastAsia="zh-CN"/>
              </w:rPr>
            </w:pPr>
          </w:p>
          <w:p w14:paraId="13CED04F">
            <w:pPr>
              <w:pStyle w:val="22"/>
              <w:ind w:left="0" w:leftChars="0" w:firstLine="0" w:firstLineChars="0"/>
              <w:rPr>
                <w:rFonts w:hint="default"/>
                <w:vertAlign w:val="baseline"/>
                <w:lang w:val="en-US" w:eastAsia="zh-CN"/>
              </w:rPr>
            </w:pPr>
          </w:p>
        </w:tc>
      </w:tr>
    </w:tbl>
    <w:p w14:paraId="50CF8524">
      <w:pPr>
        <w:pStyle w:val="22"/>
        <w:rPr>
          <w:rFonts w:hint="eastAsia"/>
          <w:lang w:val="en-US" w:eastAsia="zh-CN"/>
        </w:rPr>
      </w:pPr>
    </w:p>
    <w:p w14:paraId="55680C30">
      <w:pPr>
        <w:pStyle w:val="22"/>
        <w:rPr>
          <w:rFonts w:hint="eastAsia"/>
          <w:lang w:val="en-US" w:eastAsia="zh-CN"/>
        </w:rPr>
        <w:sectPr>
          <w:pgSz w:w="16838" w:h="11906" w:orient="landscape"/>
          <w:pgMar w:top="1531" w:right="1701" w:bottom="1531" w:left="1701" w:header="851" w:footer="1077" w:gutter="0"/>
          <w:pgNumType w:fmt="decimal" w:start="1"/>
          <w:cols w:space="0" w:num="1"/>
          <w:rtlGutter w:val="0"/>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1"/>
        <w:gridCol w:w="7139"/>
      </w:tblGrid>
      <w:tr w14:paraId="7BC31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1" w:type="dxa"/>
          </w:tcPr>
          <w:p w14:paraId="54669CCE">
            <w:pPr>
              <w:pStyle w:val="20"/>
              <w:jc w:val="center"/>
              <w:outlineLvl w:val="0"/>
              <w:rPr>
                <w:rFonts w:ascii="Times New Roman" w:hAnsi="Times New Roman"/>
                <w:snapToGrid w:val="0"/>
                <w:sz w:val="30"/>
                <w:szCs w:val="30"/>
                <w:vertAlign w:val="baseline"/>
              </w:rPr>
            </w:pPr>
          </w:p>
        </w:tc>
        <w:tc>
          <w:tcPr>
            <w:tcW w:w="7139" w:type="dxa"/>
          </w:tcPr>
          <w:p w14:paraId="37EF0C1E">
            <w:pPr>
              <w:autoSpaceDE w:val="0"/>
              <w:autoSpaceDN w:val="0"/>
              <w:spacing w:line="360" w:lineRule="auto"/>
              <w:jc w:val="left"/>
              <w:rPr>
                <w:b/>
                <w:bCs/>
                <w:kern w:val="0"/>
                <w:sz w:val="24"/>
              </w:rPr>
            </w:pPr>
            <w:r>
              <w:rPr>
                <w:rFonts w:hint="eastAsia"/>
                <w:b/>
                <w:bCs/>
                <w:kern w:val="0"/>
                <w:sz w:val="24"/>
              </w:rPr>
              <w:t>（2）</w:t>
            </w:r>
            <w:r>
              <w:rPr>
                <w:b/>
                <w:bCs/>
                <w:kern w:val="0"/>
                <w:sz w:val="24"/>
              </w:rPr>
              <w:t>产业政策符合性分析</w:t>
            </w:r>
          </w:p>
          <w:p w14:paraId="70106839">
            <w:pPr>
              <w:spacing w:line="360" w:lineRule="auto"/>
              <w:ind w:firstLine="480" w:firstLineChars="200"/>
              <w:rPr>
                <w:rFonts w:hint="eastAsia"/>
                <w:sz w:val="24"/>
                <w:szCs w:val="32"/>
                <w:lang w:val="en-US" w:eastAsia="zh-CN"/>
              </w:rPr>
            </w:pPr>
            <w:r>
              <w:rPr>
                <w:sz w:val="24"/>
                <w:szCs w:val="32"/>
              </w:rPr>
              <w:t>根据《</w:t>
            </w:r>
            <w:r>
              <w:rPr>
                <w:kern w:val="0"/>
                <w:sz w:val="24"/>
              </w:rPr>
              <w:t>产业结构调整指导目录</w:t>
            </w:r>
            <w:r>
              <w:rPr>
                <w:sz w:val="24"/>
              </w:rPr>
              <w:t>（20</w:t>
            </w:r>
            <w:r>
              <w:rPr>
                <w:rFonts w:hint="eastAsia"/>
                <w:sz w:val="24"/>
                <w:lang w:val="en-US" w:eastAsia="zh-CN"/>
              </w:rPr>
              <w:t>24</w:t>
            </w:r>
            <w:r>
              <w:rPr>
                <w:sz w:val="24"/>
              </w:rPr>
              <w:t>年本）》，本项目属于</w:t>
            </w:r>
            <w:r>
              <w:rPr>
                <w:rFonts w:hint="eastAsia" w:ascii="Times New Roman" w:hAnsi="Times New Roman" w:eastAsia="宋体" w:cs="Times New Roman"/>
                <w:kern w:val="0"/>
                <w:sz w:val="24"/>
              </w:rPr>
              <w:t>“鼓励类”第</w:t>
            </w:r>
            <w:r>
              <w:rPr>
                <w:rFonts w:hint="eastAsia" w:cs="Times New Roman"/>
                <w:kern w:val="0"/>
                <w:sz w:val="24"/>
                <w:lang w:val="en-US" w:eastAsia="zh-CN"/>
              </w:rPr>
              <w:t>四十二</w:t>
            </w:r>
            <w:r>
              <w:rPr>
                <w:rFonts w:hint="eastAsia" w:ascii="Times New Roman" w:hAnsi="Times New Roman" w:eastAsia="宋体" w:cs="Times New Roman"/>
                <w:kern w:val="0"/>
                <w:sz w:val="24"/>
              </w:rPr>
              <w:t>项“</w:t>
            </w:r>
            <w:r>
              <w:rPr>
                <w:rFonts w:hint="default" w:ascii="Times New Roman" w:hAnsi="Times New Roman" w:cs="Times New Roman"/>
                <w:sz w:val="24"/>
                <w:szCs w:val="32"/>
              </w:rPr>
              <w:t>环境保护与资源节约综合利用</w:t>
            </w:r>
            <w:r>
              <w:rPr>
                <w:rFonts w:hint="eastAsia" w:ascii="Times New Roman" w:hAnsi="Times New Roman" w:eastAsia="宋体" w:cs="Times New Roman"/>
                <w:kern w:val="0"/>
                <w:sz w:val="24"/>
              </w:rPr>
              <w:t>”</w:t>
            </w:r>
            <w:r>
              <w:rPr>
                <w:rFonts w:hint="eastAsia" w:cs="Times New Roman"/>
                <w:kern w:val="0"/>
                <w:sz w:val="24"/>
                <w:lang w:val="en-US" w:eastAsia="zh-CN"/>
              </w:rPr>
              <w:t>中</w:t>
            </w:r>
            <w:r>
              <w:rPr>
                <w:rFonts w:hint="eastAsia" w:ascii="Times New Roman" w:hAnsi="Times New Roman" w:eastAsia="宋体" w:cs="Times New Roman"/>
                <w:kern w:val="0"/>
                <w:sz w:val="24"/>
              </w:rPr>
              <w:t>第</w:t>
            </w:r>
            <w:r>
              <w:rPr>
                <w:rFonts w:hint="eastAsia" w:cs="Times New Roman"/>
                <w:kern w:val="0"/>
                <w:sz w:val="24"/>
                <w:lang w:val="en-US" w:eastAsia="zh-CN"/>
              </w:rPr>
              <w:t>9</w:t>
            </w:r>
            <w:r>
              <w:rPr>
                <w:rFonts w:hint="eastAsia" w:ascii="Times New Roman" w:hAnsi="Times New Roman" w:eastAsia="宋体" w:cs="Times New Roman"/>
                <w:kern w:val="0"/>
                <w:sz w:val="24"/>
              </w:rPr>
              <w:t>条“</w:t>
            </w:r>
            <w:r>
              <w:rPr>
                <w:rFonts w:hint="eastAsia" w:cs="Times New Roman"/>
                <w:kern w:val="0"/>
                <w:sz w:val="24"/>
                <w:lang w:val="en-US" w:eastAsia="zh-CN"/>
              </w:rPr>
              <w:t>再制造：报废汽车、退役民用飞机、工程机械、矿山机械、农业机械、机床、文办设备及耗材、盾构机、航空发动机、工业机器人、货车内燃机车等废旧设备及零部件拆解、再利用、再制造</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r>
              <w:rPr>
                <w:rFonts w:hint="eastAsia"/>
                <w:sz w:val="24"/>
              </w:rPr>
              <w:t>为鼓励类项目</w:t>
            </w:r>
            <w:r>
              <w:rPr>
                <w:sz w:val="24"/>
                <w:szCs w:val="32"/>
              </w:rPr>
              <w:t>。</w:t>
            </w:r>
          </w:p>
          <w:p w14:paraId="74DA2299">
            <w:pPr>
              <w:spacing w:line="360" w:lineRule="auto"/>
              <w:ind w:firstLine="480" w:firstLineChars="200"/>
              <w:rPr>
                <w:sz w:val="24"/>
                <w:szCs w:val="32"/>
              </w:rPr>
            </w:pPr>
            <w:r>
              <w:rPr>
                <w:sz w:val="24"/>
                <w:szCs w:val="32"/>
              </w:rPr>
              <w:t>20</w:t>
            </w:r>
            <w:r>
              <w:rPr>
                <w:rFonts w:hint="eastAsia"/>
                <w:sz w:val="24"/>
                <w:szCs w:val="32"/>
                <w:lang w:val="en-US" w:eastAsia="zh-CN"/>
              </w:rPr>
              <w:t>22</w:t>
            </w:r>
            <w:r>
              <w:rPr>
                <w:sz w:val="24"/>
                <w:szCs w:val="32"/>
              </w:rPr>
              <w:t>年</w:t>
            </w:r>
            <w:r>
              <w:rPr>
                <w:rFonts w:hint="eastAsia"/>
                <w:sz w:val="24"/>
                <w:szCs w:val="32"/>
                <w:lang w:val="en-US" w:eastAsia="zh-CN"/>
              </w:rPr>
              <w:t>10</w:t>
            </w:r>
            <w:r>
              <w:rPr>
                <w:sz w:val="24"/>
                <w:szCs w:val="32"/>
              </w:rPr>
              <w:t>月，项目</w:t>
            </w:r>
            <w:r>
              <w:rPr>
                <w:rFonts w:hint="eastAsia"/>
                <w:sz w:val="24"/>
                <w:szCs w:val="32"/>
              </w:rPr>
              <w:t>取得</w:t>
            </w:r>
            <w:r>
              <w:rPr>
                <w:rFonts w:hint="eastAsia"/>
                <w:sz w:val="24"/>
                <w:szCs w:val="32"/>
                <w:lang w:val="en-US" w:eastAsia="zh-CN"/>
              </w:rPr>
              <w:t>宿州市埇桥区发展和改革委员会</w:t>
            </w:r>
            <w:r>
              <w:rPr>
                <w:sz w:val="24"/>
                <w:szCs w:val="32"/>
              </w:rPr>
              <w:t>备案（</w:t>
            </w:r>
            <w:r>
              <w:rPr>
                <w:rFonts w:hint="eastAsia"/>
                <w:sz w:val="24"/>
                <w:szCs w:val="32"/>
                <w:lang w:val="en-US" w:eastAsia="zh-CN"/>
              </w:rPr>
              <w:t>项目代码：2210-341302-04-01-644882</w:t>
            </w:r>
            <w:r>
              <w:rPr>
                <w:sz w:val="24"/>
                <w:szCs w:val="32"/>
              </w:rPr>
              <w:t>）。综上所述，本项目的建设符合国家和地方产业政策。</w:t>
            </w:r>
          </w:p>
          <w:p w14:paraId="685D9B27">
            <w:pPr>
              <w:wordWrap w:val="0"/>
              <w:autoSpaceDE w:val="0"/>
              <w:autoSpaceDN w:val="0"/>
              <w:spacing w:line="360" w:lineRule="auto"/>
              <w:jc w:val="left"/>
              <w:rPr>
                <w:rFonts w:hint="eastAsia"/>
                <w:b/>
                <w:bCs/>
                <w:kern w:val="0"/>
                <w:sz w:val="24"/>
              </w:rPr>
            </w:pPr>
            <w:r>
              <w:rPr>
                <w:rFonts w:hint="eastAsia"/>
                <w:b/>
                <w:bCs/>
                <w:kern w:val="0"/>
                <w:sz w:val="24"/>
              </w:rPr>
              <w:t>（3）选址合理性分析</w:t>
            </w:r>
          </w:p>
          <w:p w14:paraId="5012DE08">
            <w:pPr>
              <w:pStyle w:val="20"/>
              <w:spacing w:before="0" w:beforeAutospacing="0" w:after="0" w:afterAutospacing="0" w:line="360" w:lineRule="auto"/>
              <w:ind w:firstLine="480" w:firstLineChars="200"/>
              <w:jc w:val="both"/>
              <w:rPr>
                <w:rFonts w:hint="eastAsia" w:ascii="Times New Roman" w:hAnsi="Times New Roman"/>
                <w:lang w:val="en-US" w:eastAsia="zh-CN"/>
              </w:rPr>
            </w:pPr>
            <w:r>
              <w:rPr>
                <w:rFonts w:hint="eastAsia" w:ascii="Times New Roman" w:hAnsi="Times New Roman"/>
                <w:lang w:val="en-US" w:eastAsia="zh-CN"/>
              </w:rPr>
              <w:t>项目位于安徽省</w:t>
            </w:r>
            <w:r>
              <w:rPr>
                <w:rFonts w:hint="default" w:ascii="Times New Roman" w:hAnsi="Times New Roman" w:eastAsia="宋体" w:cs="Times New Roman"/>
                <w:color w:val="auto"/>
                <w:sz w:val="24"/>
                <w:szCs w:val="24"/>
              </w:rPr>
              <w:t>宿州市朱仙庄镇工业园区</w:t>
            </w:r>
            <w:r>
              <w:rPr>
                <w:rFonts w:hint="eastAsia" w:ascii="Times New Roman" w:hAnsi="Times New Roman"/>
                <w:lang w:val="en-US" w:eastAsia="zh-CN"/>
              </w:rPr>
              <w:t>，用地性质为工业用地。根据现场调查，厂址东临东三环路，隔路为安徽永丰新型墙体材料有限公司，南临汴河东路，隔路为空地，西面为宿州市经纶轧花有限公司闲置厂房，北面为宿州华运物流有限公司。周边无制约本项目发展的因素。本项目自身产污环节较少，污染物相对简单，在落实评价提出的各项污染防治措施后，各污染物均能实现达标排放，对周边环境影响较小。</w:t>
            </w:r>
          </w:p>
          <w:p w14:paraId="507D3D42">
            <w:pPr>
              <w:pStyle w:val="20"/>
              <w:spacing w:before="0" w:beforeAutospacing="0" w:after="0" w:afterAutospacing="0" w:line="360" w:lineRule="auto"/>
              <w:ind w:firstLine="480" w:firstLineChars="200"/>
              <w:jc w:val="both"/>
              <w:rPr>
                <w:rFonts w:hint="eastAsia" w:ascii="Times New Roman" w:hAnsi="Times New Roman"/>
                <w:lang w:val="en-US" w:eastAsia="zh-CN"/>
              </w:rPr>
            </w:pPr>
            <w:r>
              <w:rPr>
                <w:rFonts w:hint="eastAsia" w:ascii="Times New Roman" w:hAnsi="Times New Roman"/>
                <w:lang w:val="en-US" w:eastAsia="zh-CN"/>
              </w:rPr>
              <w:t>综上，项目的建设与周边环境相容，选址合理。</w:t>
            </w:r>
          </w:p>
          <w:p w14:paraId="3D0971A0">
            <w:pPr>
              <w:pStyle w:val="20"/>
              <w:spacing w:before="0" w:beforeAutospacing="0" w:after="0" w:afterAutospacing="0" w:line="360" w:lineRule="auto"/>
              <w:jc w:val="both"/>
              <w:rPr>
                <w:rFonts w:hint="default" w:ascii="Times New Roman" w:hAnsi="Times New Roman" w:cs="Times New Roman"/>
                <w:b/>
                <w:bCs/>
              </w:rPr>
            </w:pPr>
            <w:r>
              <w:rPr>
                <w:rFonts w:hint="default" w:ascii="Times New Roman" w:hAnsi="Times New Roman" w:cs="Times New Roman"/>
                <w:b/>
                <w:bCs/>
                <w:sz w:val="24"/>
              </w:rPr>
              <w:t>（</w:t>
            </w:r>
            <w:r>
              <w:rPr>
                <w:rFonts w:hint="eastAsia" w:ascii="Times New Roman" w:hAnsi="Times New Roman" w:cs="Times New Roman"/>
                <w:b/>
                <w:bCs/>
                <w:sz w:val="24"/>
                <w:lang w:val="en-US" w:eastAsia="zh-CN"/>
              </w:rPr>
              <w:t>4</w:t>
            </w:r>
            <w:r>
              <w:rPr>
                <w:rFonts w:hint="default" w:ascii="Times New Roman" w:hAnsi="Times New Roman" w:cs="Times New Roman"/>
                <w:b/>
                <w:bCs/>
                <w:sz w:val="24"/>
              </w:rPr>
              <w:t>）</w:t>
            </w:r>
            <w:r>
              <w:rPr>
                <w:rFonts w:hint="default" w:ascii="Times New Roman" w:hAnsi="Times New Roman" w:cs="Times New Roman"/>
                <w:b/>
                <w:bCs/>
              </w:rPr>
              <w:t>与《报废机动车回收管理办法》（国务院令第715号）符合性分析</w:t>
            </w:r>
          </w:p>
          <w:p w14:paraId="5BC07BC4">
            <w:pPr>
              <w:pStyle w:val="20"/>
              <w:spacing w:before="0" w:beforeAutospacing="0" w:after="0" w:afterAutospacing="0" w:line="360" w:lineRule="auto"/>
              <w:ind w:firstLine="480" w:firstLineChars="200"/>
              <w:jc w:val="both"/>
              <w:rPr>
                <w:rFonts w:hint="default" w:ascii="Times New Roman" w:hAnsi="Times New Roman" w:eastAsia="宋体" w:cs="Times New Roman"/>
                <w:b w:val="0"/>
                <w:bCs w:val="0"/>
                <w:sz w:val="24"/>
                <w:szCs w:val="24"/>
                <w:lang w:val="en-US" w:eastAsia="zh-CN"/>
              </w:rPr>
            </w:pPr>
            <w:r>
              <w:rPr>
                <w:rFonts w:hint="eastAsia" w:ascii="Times New Roman" w:hAnsi="Times New Roman" w:cs="Times New Roman"/>
                <w:b w:val="0"/>
                <w:bCs w:val="0"/>
                <w:sz w:val="24"/>
                <w:szCs w:val="24"/>
                <w:lang w:val="en-US" w:eastAsia="zh-CN"/>
              </w:rPr>
              <w:t>本项目与《报废机动车回收管理办法》（国务院令第715号）符合性分析见下表。</w:t>
            </w:r>
          </w:p>
          <w:p w14:paraId="7D907BA8">
            <w:pPr>
              <w:pStyle w:val="20"/>
              <w:spacing w:before="0" w:beforeAutospacing="0" w:after="0" w:afterAutospacing="0" w:line="240" w:lineRule="atLeast"/>
              <w:ind w:firstLine="422" w:firstLineChars="20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rPr>
              <w:t xml:space="preserve"> 项目与《报废机动车回收管理办法》符合性分析</w:t>
            </w:r>
          </w:p>
          <w:tbl>
            <w:tblPr>
              <w:tblStyle w:val="25"/>
              <w:tblW w:w="6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2"/>
              <w:gridCol w:w="3023"/>
              <w:gridCol w:w="814"/>
            </w:tblGrid>
            <w:tr w14:paraId="7357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082" w:type="dxa"/>
                  <w:vAlign w:val="center"/>
                </w:tcPr>
                <w:p w14:paraId="7C3DF82E">
                  <w:pPr>
                    <w:pStyle w:val="20"/>
                    <w:spacing w:before="0" w:beforeAutospacing="0" w:after="0" w:afterAutospacing="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《报废机动车回收管理办法》规定</w:t>
                  </w:r>
                </w:p>
              </w:tc>
              <w:tc>
                <w:tcPr>
                  <w:tcW w:w="3023" w:type="dxa"/>
                  <w:vAlign w:val="center"/>
                </w:tcPr>
                <w:p w14:paraId="4C7B3EF6">
                  <w:pPr>
                    <w:pStyle w:val="20"/>
                    <w:spacing w:before="0" w:beforeAutospacing="0" w:after="0" w:afterAutospacing="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本项目建设内容</w:t>
                  </w:r>
                </w:p>
              </w:tc>
              <w:tc>
                <w:tcPr>
                  <w:tcW w:w="814" w:type="dxa"/>
                  <w:vAlign w:val="center"/>
                </w:tcPr>
                <w:p w14:paraId="0FA16B7F">
                  <w:pPr>
                    <w:pStyle w:val="20"/>
                    <w:spacing w:before="0" w:beforeAutospacing="0" w:after="0" w:afterAutospacing="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相符性</w:t>
                  </w:r>
                </w:p>
              </w:tc>
            </w:tr>
            <w:tr w14:paraId="5724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3082" w:type="dxa"/>
                  <w:vAlign w:val="center"/>
                </w:tcPr>
                <w:p w14:paraId="68A6D117">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具有符合环境保护等有关法律、法规和强制性标准要求的存储、拆解场地，拆解设备、设施以及拆解操作规范</w:t>
                  </w:r>
                </w:p>
              </w:tc>
              <w:tc>
                <w:tcPr>
                  <w:tcW w:w="3023" w:type="dxa"/>
                  <w:vAlign w:val="center"/>
                </w:tcPr>
                <w:p w14:paraId="26BB3509">
                  <w:pPr>
                    <w:pStyle w:val="20"/>
                    <w:spacing w:before="0" w:beforeAutospacing="0" w:after="0" w:afterAutospacing="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项目规范建设废机动车暂存</w:t>
                  </w:r>
                  <w:r>
                    <w:rPr>
                      <w:rFonts w:hint="default" w:ascii="Times New Roman" w:hAnsi="Times New Roman" w:cs="Times New Roman"/>
                      <w:sz w:val="21"/>
                      <w:szCs w:val="21"/>
                    </w:rPr>
                    <w:t>、拆解场地、拆解设备、设施以及拆解操作规范</w:t>
                  </w:r>
                </w:p>
              </w:tc>
              <w:tc>
                <w:tcPr>
                  <w:tcW w:w="814" w:type="dxa"/>
                  <w:vAlign w:val="center"/>
                </w:tcPr>
                <w:p w14:paraId="436BD976">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72C05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3082" w:type="dxa"/>
                  <w:vAlign w:val="center"/>
                </w:tcPr>
                <w:p w14:paraId="311A12C4">
                  <w:pPr>
                    <w:pStyle w:val="20"/>
                    <w:spacing w:before="0" w:beforeAutospacing="0" w:after="0" w:afterAutospacing="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报废机动车回收企业对回收的报废机动车，应当逐车登记机动车的型号、号牌号码、发动机号码、车辆识别代号等信息；发现回收的报废机动车疑似赃物或者用于盗窃、抢劫等犯罪活动的犯罪工具的，应当及时向公安机关报告。报废机动车回收企业不得拆解、改装、拼装、倒卖疑似赃物或者犯罪工具的机动车或者其发动机、方向机、变速器、前后桥、车架（一下统称“五大总成”）和其他零部件</w:t>
                  </w:r>
                </w:p>
              </w:tc>
              <w:tc>
                <w:tcPr>
                  <w:tcW w:w="3023" w:type="dxa"/>
                  <w:vAlign w:val="center"/>
                </w:tcPr>
                <w:p w14:paraId="3D68E65E">
                  <w:pPr>
                    <w:pStyle w:val="20"/>
                    <w:spacing w:before="0" w:beforeAutospacing="0" w:after="0" w:afterAutospacing="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建设单位已建立报废机动车拆解经营操作规范和制度，如实记载每批次报废机动车的来源、类型、重量（数量），收集（接收）、拆解、贮存、处置的时间，运输单位的名称和联系方式，拆解得到的产品和不可回收利用的废物的数量和去向等。监测报告和经营情况记录应至少保存三年。</w:t>
                  </w:r>
                </w:p>
              </w:tc>
              <w:tc>
                <w:tcPr>
                  <w:tcW w:w="814" w:type="dxa"/>
                  <w:vAlign w:val="center"/>
                </w:tcPr>
                <w:p w14:paraId="2A8946D0">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4EE3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3082" w:type="dxa"/>
                  <w:vAlign w:val="center"/>
                </w:tcPr>
                <w:p w14:paraId="26158AB4">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回收的报废机动车必须按照有关规定予以拆解；其中回收的报废大型客车、货车等营运车辆和校车，应当在公安机关的监督下解体。</w:t>
                  </w:r>
                </w:p>
              </w:tc>
              <w:tc>
                <w:tcPr>
                  <w:tcW w:w="3023" w:type="dxa"/>
                  <w:vAlign w:val="center"/>
                </w:tcPr>
                <w:p w14:paraId="76D6FE10">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本项目回收的报废机动车将按照有关规定予以拆解，其中回收的报废大型客车、货车等营运车辆和校车，将在公安机关的监督下进行解体。</w:t>
                  </w:r>
                </w:p>
              </w:tc>
              <w:tc>
                <w:tcPr>
                  <w:tcW w:w="814" w:type="dxa"/>
                  <w:vAlign w:val="center"/>
                </w:tcPr>
                <w:p w14:paraId="7391069F">
                  <w:pPr>
                    <w:pStyle w:val="20"/>
                    <w:spacing w:before="0" w:beforeAutospacing="0" w:after="0" w:afterAutospacing="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相符</w:t>
                  </w:r>
                </w:p>
              </w:tc>
            </w:tr>
            <w:tr w14:paraId="0EF1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3082" w:type="dxa"/>
                  <w:vAlign w:val="center"/>
                </w:tcPr>
                <w:p w14:paraId="75E87306">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拆解的报废机动车“五大总成”具备再制造条件的，可以按照国家有关规定出售给具有再制造能力的企业经过再制造予以循环利用；不具备再制造条件的，应当作为废金属，交售给钢铁企业作为冶炼原料。</w:t>
                  </w:r>
                </w:p>
              </w:tc>
              <w:tc>
                <w:tcPr>
                  <w:tcW w:w="3023" w:type="dxa"/>
                  <w:vAlign w:val="center"/>
                </w:tcPr>
                <w:p w14:paraId="775DA6B9">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本项目拆解的报废机动车“五大总成”具备再制造条件，按照国家有关规定出售给具有再制造能力的企业经过再制造予以循环利用；不具备再制造条件的，将作为废金属交售给钢铁企业作为冶炼原料。</w:t>
                  </w:r>
                </w:p>
              </w:tc>
              <w:tc>
                <w:tcPr>
                  <w:tcW w:w="814" w:type="dxa"/>
                  <w:vAlign w:val="center"/>
                </w:tcPr>
                <w:p w14:paraId="14F8547B">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r w14:paraId="32F71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3082" w:type="dxa"/>
                  <w:vAlign w:val="center"/>
                </w:tcPr>
                <w:p w14:paraId="6DFD2FA8">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国务院负责报废机动车回收管理的部门应当建立报废机动车回收信息系统。报废机动车回收企业应当如实记录本企业回收的报废机动车“五大总成”等主要部件的数量、型号、流向等信息，并上传至报废机动车回收信息系统</w:t>
                  </w:r>
                </w:p>
              </w:tc>
              <w:tc>
                <w:tcPr>
                  <w:tcW w:w="3023" w:type="dxa"/>
                  <w:vAlign w:val="center"/>
                </w:tcPr>
                <w:p w14:paraId="6ADC6CBD">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建设单位按照要求如实记录回收的报废机动车“五大总成”等主要部件的数量、型号、流向等信息，并上传至报废机动车回收信息系统。</w:t>
                  </w:r>
                </w:p>
              </w:tc>
              <w:tc>
                <w:tcPr>
                  <w:tcW w:w="814" w:type="dxa"/>
                  <w:vAlign w:val="center"/>
                </w:tcPr>
                <w:p w14:paraId="64814F30">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r w14:paraId="04F4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3082" w:type="dxa"/>
                  <w:vAlign w:val="center"/>
                </w:tcPr>
                <w:p w14:paraId="62206EC3">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报废汽车回收企业必须拆解回收的报废汽车；其中，回收的报废营运客车，应当在公安机关的监督下解体。拆解的“五大总成”应当作为废金属，交售给钢铁企业作为冶炼原料；拆解的其他零配件能够继续使用的，可以出售，但必须标明“报废汽车回用件”。报废汽车回收企业拆解报废汽车，应当遵守国家环境保护法律、法规，采取有效措施，防治污染。</w:t>
                  </w:r>
                </w:p>
              </w:tc>
              <w:tc>
                <w:tcPr>
                  <w:tcW w:w="3023" w:type="dxa"/>
                  <w:vAlign w:val="center"/>
                </w:tcPr>
                <w:p w14:paraId="7FD90A72">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本项目拆解的报废机动车“五大总成”具备再制造条件的，可以按照国家有关规定出售给具有再制造能力的企业经过再制造予以循环利用；不具备再制造条件的，将作为废金属，交售给钢铁企业作为冶炼原料。本项目将严格遵守环境保护法律、法规和强制性标准，采取有效措施对“三废”进行处置，防治污染。</w:t>
                  </w:r>
                </w:p>
              </w:tc>
              <w:tc>
                <w:tcPr>
                  <w:tcW w:w="814" w:type="dxa"/>
                  <w:vAlign w:val="center"/>
                </w:tcPr>
                <w:p w14:paraId="04586F17">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r w14:paraId="441B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3082" w:type="dxa"/>
                  <w:vAlign w:val="center"/>
                </w:tcPr>
                <w:p w14:paraId="3526B034">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禁止任何单位或者个人利用报废机动车“五大总成”和其他零部件拼装机动车，禁止拼装的机动车交易。除机动车所有人将报废机动车依法交售给报废机动车回收企业外，禁止报废机动车整车交易</w:t>
                  </w:r>
                </w:p>
              </w:tc>
              <w:tc>
                <w:tcPr>
                  <w:tcW w:w="3023" w:type="dxa"/>
                  <w:vAlign w:val="center"/>
                </w:tcPr>
                <w:p w14:paraId="1F5A96AC">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本项目不涉及废机动车“五大总成”和其他零部件拼装机动车工序。</w:t>
                  </w:r>
                </w:p>
              </w:tc>
              <w:tc>
                <w:tcPr>
                  <w:tcW w:w="814" w:type="dxa"/>
                  <w:vAlign w:val="center"/>
                </w:tcPr>
                <w:p w14:paraId="1D3457BE">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bl>
          <w:p w14:paraId="64AECCEE">
            <w:pPr>
              <w:pStyle w:val="20"/>
              <w:spacing w:before="0" w:beforeAutospacing="0" w:after="0" w:afterAutospacing="0" w:line="360" w:lineRule="auto"/>
              <w:ind w:firstLine="480" w:firstLineChars="200"/>
              <w:jc w:val="both"/>
              <w:rPr>
                <w:rFonts w:hint="default" w:ascii="Times New Roman" w:hAnsi="Times New Roman" w:cs="Times New Roman"/>
              </w:rPr>
            </w:pPr>
            <w:r>
              <w:rPr>
                <w:rFonts w:hint="default" w:ascii="Times New Roman" w:hAnsi="Times New Roman" w:cs="Times New Roman"/>
              </w:rPr>
              <w:t>由上表可知，本项目的建设符合《报废机动车回收管理办法》中的相关要求。</w:t>
            </w:r>
          </w:p>
          <w:p w14:paraId="0DA6F8E9">
            <w:pPr>
              <w:pStyle w:val="20"/>
              <w:spacing w:before="0" w:beforeAutospacing="0" w:after="0" w:afterAutospacing="0" w:line="360" w:lineRule="auto"/>
              <w:jc w:val="both"/>
              <w:rPr>
                <w:rFonts w:hint="eastAsia" w:ascii="Times New Roman" w:hAnsi="Times New Roman" w:cs="Times New Roman"/>
                <w:b/>
                <w:bCs/>
                <w:lang w:val="en-US" w:eastAsia="zh-CN"/>
              </w:rPr>
            </w:pPr>
            <w:r>
              <w:rPr>
                <w:rFonts w:hint="eastAsia" w:ascii="Times New Roman" w:hAnsi="Times New Roman" w:cs="Times New Roman"/>
                <w:b/>
                <w:bCs/>
                <w:lang w:eastAsia="zh-CN"/>
              </w:rPr>
              <w:t>（</w:t>
            </w:r>
            <w:r>
              <w:rPr>
                <w:rFonts w:hint="eastAsia" w:ascii="Times New Roman" w:hAnsi="Times New Roman" w:cs="Times New Roman"/>
                <w:b/>
                <w:bCs/>
                <w:lang w:val="en-US" w:eastAsia="zh-CN"/>
              </w:rPr>
              <w:t>5</w:t>
            </w:r>
            <w:r>
              <w:rPr>
                <w:rFonts w:hint="eastAsia" w:ascii="Times New Roman" w:hAnsi="Times New Roman" w:cs="Times New Roman"/>
                <w:b/>
                <w:bCs/>
                <w:lang w:eastAsia="zh-CN"/>
              </w:rPr>
              <w:t>）</w:t>
            </w:r>
            <w:r>
              <w:rPr>
                <w:rFonts w:hint="eastAsia" w:ascii="Times New Roman" w:hAnsi="Times New Roman" w:cs="Times New Roman"/>
                <w:b/>
                <w:bCs/>
                <w:lang w:val="en-US" w:eastAsia="zh-CN"/>
              </w:rPr>
              <w:t>与《报废机动车回收管理办法实施细则》（商务部令2020年第2号）符合性分析</w:t>
            </w:r>
          </w:p>
          <w:p w14:paraId="632F003F">
            <w:pPr>
              <w:pStyle w:val="20"/>
              <w:spacing w:before="0" w:beforeAutospacing="0" w:after="0" w:afterAutospacing="0" w:line="360" w:lineRule="auto"/>
              <w:ind w:firstLine="480" w:firstLineChars="20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本项目与</w:t>
            </w:r>
            <w:r>
              <w:rPr>
                <w:rFonts w:hint="eastAsia" w:ascii="Times New Roman" w:hAnsi="Times New Roman" w:cs="Times New Roman"/>
                <w:b w:val="0"/>
                <w:bCs w:val="0"/>
                <w:lang w:val="en-US" w:eastAsia="zh-CN"/>
              </w:rPr>
              <w:t>《报废机动车回收管理办法实施细则》（商务部令2020年第2号）符合性分析</w:t>
            </w:r>
            <w:r>
              <w:rPr>
                <w:rFonts w:hint="eastAsia" w:ascii="Times New Roman" w:hAnsi="Times New Roman" w:cs="Times New Roman"/>
                <w:b w:val="0"/>
                <w:bCs w:val="0"/>
                <w:sz w:val="24"/>
                <w:szCs w:val="24"/>
                <w:lang w:val="en-US" w:eastAsia="zh-CN"/>
              </w:rPr>
              <w:t>见下表。</w:t>
            </w:r>
          </w:p>
          <w:p w14:paraId="12C13D32">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jc w:val="center"/>
              <w:textAlignment w:val="auto"/>
              <w:rPr>
                <w:rFonts w:hint="eastAsia" w:ascii="Times New Roman" w:hAnsi="Times New Roman" w:cs="Times New Roman"/>
                <w:b w:val="0"/>
                <w:bCs w:val="0"/>
                <w:sz w:val="21"/>
                <w:szCs w:val="16"/>
                <w:lang w:val="en-US" w:eastAsia="zh-CN"/>
              </w:rPr>
            </w:pPr>
            <w:r>
              <w:rPr>
                <w:rFonts w:hint="eastAsia" w:ascii="Times New Roman" w:hAnsi="Times New Roman" w:cs="Times New Roman"/>
                <w:b/>
                <w:bCs/>
                <w:sz w:val="21"/>
                <w:szCs w:val="16"/>
                <w:lang w:val="en-US" w:eastAsia="zh-CN"/>
              </w:rPr>
              <w:t>表1-2  与《报废机动车回收管理办法实施细则》符合性分析</w:t>
            </w:r>
          </w:p>
          <w:tbl>
            <w:tblPr>
              <w:tblStyle w:val="25"/>
              <w:tblW w:w="68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736"/>
              <w:gridCol w:w="2732"/>
              <w:gridCol w:w="710"/>
            </w:tblGrid>
            <w:tr w14:paraId="391F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Align w:val="center"/>
                </w:tcPr>
                <w:p w14:paraId="56161556">
                  <w:pPr>
                    <w:pStyle w:val="20"/>
                    <w:spacing w:before="0" w:beforeAutospacing="0" w:after="0" w:afterAutospacing="0" w:line="24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序号</w:t>
                  </w:r>
                </w:p>
              </w:tc>
              <w:tc>
                <w:tcPr>
                  <w:tcW w:w="2736" w:type="dxa"/>
                  <w:vAlign w:val="center"/>
                </w:tcPr>
                <w:p w14:paraId="6CC44CED">
                  <w:pPr>
                    <w:pStyle w:val="20"/>
                    <w:spacing w:before="0" w:beforeAutospacing="0" w:after="0" w:afterAutospacing="0" w:line="24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报废机动车回收管理办法实施细则</w:t>
                  </w:r>
                </w:p>
              </w:tc>
              <w:tc>
                <w:tcPr>
                  <w:tcW w:w="2732" w:type="dxa"/>
                  <w:vAlign w:val="center"/>
                </w:tcPr>
                <w:p w14:paraId="4F34566D">
                  <w:pPr>
                    <w:pStyle w:val="20"/>
                    <w:spacing w:before="0" w:beforeAutospacing="0" w:after="0" w:afterAutospacing="0" w:line="24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本项目建设内容</w:t>
                  </w:r>
                </w:p>
              </w:tc>
              <w:tc>
                <w:tcPr>
                  <w:tcW w:w="710" w:type="dxa"/>
                  <w:vAlign w:val="center"/>
                </w:tcPr>
                <w:p w14:paraId="1EDDEED6">
                  <w:pPr>
                    <w:pStyle w:val="20"/>
                    <w:spacing w:before="0" w:beforeAutospacing="0" w:after="0" w:afterAutospacing="0" w:line="24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相符性</w:t>
                  </w:r>
                </w:p>
              </w:tc>
            </w:tr>
            <w:tr w14:paraId="4323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Align w:val="center"/>
                </w:tcPr>
                <w:p w14:paraId="361D57BA">
                  <w:pPr>
                    <w:pStyle w:val="20"/>
                    <w:spacing w:before="0" w:beforeAutospacing="0" w:after="0" w:afterAutospacing="0"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c>
                <w:tcPr>
                  <w:tcW w:w="2736" w:type="dxa"/>
                  <w:vAlign w:val="center"/>
                </w:tcPr>
                <w:p w14:paraId="34FD4E7F">
                  <w:pPr>
                    <w:pStyle w:val="20"/>
                    <w:spacing w:before="0" w:beforeAutospacing="0" w:after="0" w:afterAutospacing="0"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具有企业法人资格</w:t>
                  </w:r>
                </w:p>
              </w:tc>
              <w:tc>
                <w:tcPr>
                  <w:tcW w:w="2732" w:type="dxa"/>
                  <w:vAlign w:val="center"/>
                </w:tcPr>
                <w:p w14:paraId="60842C7F">
                  <w:pPr>
                    <w:pStyle w:val="20"/>
                    <w:spacing w:before="0" w:beforeAutospacing="0" w:after="0" w:afterAutospacing="0"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建设单位已取得营业执照</w:t>
                  </w:r>
                </w:p>
              </w:tc>
              <w:tc>
                <w:tcPr>
                  <w:tcW w:w="710" w:type="dxa"/>
                  <w:vAlign w:val="center"/>
                </w:tcPr>
                <w:p w14:paraId="4C105F6D">
                  <w:pPr>
                    <w:pStyle w:val="20"/>
                    <w:spacing w:before="0" w:beforeAutospacing="0" w:after="0" w:afterAutospacing="0"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相符</w:t>
                  </w:r>
                </w:p>
              </w:tc>
            </w:tr>
            <w:tr w14:paraId="772F4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Align w:val="center"/>
                </w:tcPr>
                <w:p w14:paraId="0FE43728">
                  <w:pPr>
                    <w:pStyle w:val="20"/>
                    <w:spacing w:before="0" w:beforeAutospacing="0" w:after="0" w:afterAutospacing="0"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w:t>
                  </w:r>
                </w:p>
              </w:tc>
              <w:tc>
                <w:tcPr>
                  <w:tcW w:w="2736" w:type="dxa"/>
                  <w:vAlign w:val="center"/>
                </w:tcPr>
                <w:p w14:paraId="301CD1AF">
                  <w:pPr>
                    <w:pStyle w:val="20"/>
                    <w:spacing w:before="0" w:beforeAutospacing="0" w:after="0" w:afterAutospacing="0"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拆解经营场地符合所在地城市总体规划或者国土空间规划及安全要求，不得建在居民区、商业区、饮用水水源保护区及其他环境敏感区内</w:t>
                  </w:r>
                </w:p>
              </w:tc>
              <w:tc>
                <w:tcPr>
                  <w:tcW w:w="2732" w:type="dxa"/>
                  <w:vAlign w:val="center"/>
                </w:tcPr>
                <w:p w14:paraId="0B601060">
                  <w:pPr>
                    <w:pStyle w:val="20"/>
                    <w:spacing w:before="0" w:beforeAutospacing="0" w:after="0" w:afterAutospacing="0"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项目位于</w:t>
                  </w:r>
                  <w:r>
                    <w:rPr>
                      <w:rFonts w:hint="eastAsia" w:ascii="Times New Roman" w:hAnsi="Times New Roman" w:eastAsia="宋体" w:cs="Times New Roman"/>
                      <w:b w:val="0"/>
                      <w:bCs w:val="0"/>
                      <w:sz w:val="21"/>
                      <w:szCs w:val="21"/>
                      <w:vertAlign w:val="baseline"/>
                      <w:lang w:val="en-US" w:eastAsia="zh-CN"/>
                    </w:rPr>
                    <w:t>宿州市埇桥区朱仙庄镇工业园区内，用地性质为工业用地，不在居民区、商业区、饮用水水源保护区及其他环境敏感区内</w:t>
                  </w:r>
                </w:p>
              </w:tc>
              <w:tc>
                <w:tcPr>
                  <w:tcW w:w="710" w:type="dxa"/>
                  <w:vAlign w:val="center"/>
                </w:tcPr>
                <w:p w14:paraId="54DD94CF">
                  <w:pPr>
                    <w:pStyle w:val="20"/>
                    <w:spacing w:before="0" w:beforeAutospacing="0" w:after="0" w:afterAutospacing="0"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相符</w:t>
                  </w:r>
                </w:p>
              </w:tc>
            </w:tr>
            <w:tr w14:paraId="49D3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Align w:val="center"/>
                </w:tcPr>
                <w:p w14:paraId="6AF366EC">
                  <w:pPr>
                    <w:pStyle w:val="20"/>
                    <w:spacing w:before="0" w:beforeAutospacing="0" w:after="0" w:afterAutospacing="0"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w:t>
                  </w:r>
                </w:p>
              </w:tc>
              <w:tc>
                <w:tcPr>
                  <w:tcW w:w="2736" w:type="dxa"/>
                  <w:vAlign w:val="center"/>
                </w:tcPr>
                <w:p w14:paraId="5378B563">
                  <w:pPr>
                    <w:pStyle w:val="20"/>
                    <w:spacing w:before="0" w:beforeAutospacing="0" w:after="0" w:afterAutospacing="0"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符合国家标准《报废机动车回收拆解企业技术规范》（GB22128）的场地、设施设备、存储、拆解技术规范，以及相应专家技术人员要求</w:t>
                  </w:r>
                </w:p>
              </w:tc>
              <w:tc>
                <w:tcPr>
                  <w:tcW w:w="2732" w:type="dxa"/>
                  <w:vAlign w:val="center"/>
                </w:tcPr>
                <w:p w14:paraId="14F0FEF8">
                  <w:pPr>
                    <w:pStyle w:val="20"/>
                    <w:spacing w:before="0" w:beforeAutospacing="0" w:after="0" w:afterAutospacing="0"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拟建项目场地、设施设备、存储、拆解技术规范，以及相应的专业技术人员均按《报废机动车回收拆解企业技术规范》（GB22128）的要求落实</w:t>
                  </w:r>
                </w:p>
              </w:tc>
              <w:tc>
                <w:tcPr>
                  <w:tcW w:w="710" w:type="dxa"/>
                  <w:vAlign w:val="center"/>
                </w:tcPr>
                <w:p w14:paraId="07ECC0FD">
                  <w:pPr>
                    <w:pStyle w:val="20"/>
                    <w:spacing w:before="0" w:beforeAutospacing="0" w:after="0" w:afterAutospacing="0"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相符</w:t>
                  </w:r>
                </w:p>
              </w:tc>
            </w:tr>
            <w:tr w14:paraId="58CF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Align w:val="center"/>
                </w:tcPr>
                <w:p w14:paraId="1046C3F9">
                  <w:pPr>
                    <w:pStyle w:val="20"/>
                    <w:spacing w:before="0" w:beforeAutospacing="0" w:after="0" w:afterAutospacing="0"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4</w:t>
                  </w:r>
                </w:p>
              </w:tc>
              <w:tc>
                <w:tcPr>
                  <w:tcW w:w="2736" w:type="dxa"/>
                  <w:vAlign w:val="center"/>
                </w:tcPr>
                <w:p w14:paraId="71D7FA0B">
                  <w:pPr>
                    <w:pStyle w:val="20"/>
                    <w:spacing w:before="0" w:beforeAutospacing="0" w:after="0" w:afterAutospacing="0"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符合环保标准《报废机动车拆解环境保护技术规范》（HJ348）要求</w:t>
                  </w:r>
                </w:p>
              </w:tc>
              <w:tc>
                <w:tcPr>
                  <w:tcW w:w="2732" w:type="dxa"/>
                  <w:vAlign w:val="center"/>
                </w:tcPr>
                <w:p w14:paraId="23BB2FD7">
                  <w:pPr>
                    <w:pStyle w:val="20"/>
                    <w:spacing w:before="0" w:beforeAutospacing="0" w:after="0" w:afterAutospacing="0"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拟建项目在建设及运营过程中将贯彻、落实《报废机动车拆解企业污染控制技术规范》（HJ348-2022）提出的环境保护要求</w:t>
                  </w:r>
                </w:p>
              </w:tc>
              <w:tc>
                <w:tcPr>
                  <w:tcW w:w="710" w:type="dxa"/>
                  <w:vAlign w:val="center"/>
                </w:tcPr>
                <w:p w14:paraId="60BF22D7">
                  <w:pPr>
                    <w:pStyle w:val="20"/>
                    <w:spacing w:before="0" w:beforeAutospacing="0" w:after="0" w:afterAutospacing="0"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相符</w:t>
                  </w:r>
                </w:p>
              </w:tc>
            </w:tr>
            <w:tr w14:paraId="145D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Align w:val="center"/>
                </w:tcPr>
                <w:p w14:paraId="5C2C2E1A">
                  <w:pPr>
                    <w:pStyle w:val="20"/>
                    <w:spacing w:before="0" w:beforeAutospacing="0" w:after="0" w:afterAutospacing="0"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5</w:t>
                  </w:r>
                </w:p>
              </w:tc>
              <w:tc>
                <w:tcPr>
                  <w:tcW w:w="2736" w:type="dxa"/>
                  <w:vAlign w:val="center"/>
                </w:tcPr>
                <w:p w14:paraId="6CE1AFAA">
                  <w:pPr>
                    <w:pStyle w:val="20"/>
                    <w:spacing w:before="0" w:beforeAutospacing="0" w:after="0" w:afterAutospacing="0"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具有符合国家规定的生态环境保护制度，具有相应的污染防治措施，对拆解产生的固体废物由妥善处置方案</w:t>
                  </w:r>
                </w:p>
              </w:tc>
              <w:tc>
                <w:tcPr>
                  <w:tcW w:w="2732" w:type="dxa"/>
                  <w:vAlign w:val="center"/>
                </w:tcPr>
                <w:p w14:paraId="55239416">
                  <w:pPr>
                    <w:pStyle w:val="20"/>
                    <w:spacing w:before="0" w:beforeAutospacing="0" w:after="0" w:afterAutospacing="0"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本项目存储、拆解场地、拆解设备、设施以及拆解操作规范均符合环境保护等有关法律、法规和强制性标准要求；拆解产生的固体废物均有妥善处置方案</w:t>
                  </w:r>
                </w:p>
              </w:tc>
              <w:tc>
                <w:tcPr>
                  <w:tcW w:w="710" w:type="dxa"/>
                  <w:vAlign w:val="center"/>
                </w:tcPr>
                <w:p w14:paraId="187990C2">
                  <w:pPr>
                    <w:pStyle w:val="20"/>
                    <w:spacing w:before="0" w:beforeAutospacing="0" w:after="0" w:afterAutospacing="0"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相符</w:t>
                  </w:r>
                </w:p>
              </w:tc>
            </w:tr>
          </w:tbl>
          <w:p w14:paraId="1147617B">
            <w:pPr>
              <w:pStyle w:val="20"/>
              <w:spacing w:before="0" w:beforeAutospacing="0" w:after="0" w:afterAutospacing="0" w:line="360" w:lineRule="auto"/>
              <w:ind w:firstLine="480" w:firstLineChars="200"/>
              <w:jc w:val="both"/>
              <w:rPr>
                <w:rFonts w:hint="default" w:ascii="Times New Roman" w:hAnsi="Times New Roman" w:cs="Times New Roman"/>
              </w:rPr>
            </w:pPr>
            <w:r>
              <w:rPr>
                <w:rFonts w:hint="default" w:ascii="Times New Roman" w:hAnsi="Times New Roman" w:cs="Times New Roman"/>
              </w:rPr>
              <w:t>由上表可知，本项目的建设符合</w:t>
            </w:r>
            <w:r>
              <w:rPr>
                <w:rFonts w:hint="eastAsia" w:ascii="Times New Roman" w:hAnsi="Times New Roman" w:cs="Times New Roman"/>
                <w:b w:val="0"/>
                <w:bCs w:val="0"/>
                <w:lang w:val="en-US" w:eastAsia="zh-CN"/>
              </w:rPr>
              <w:t>《报废机动车回收管理办法实施细则》</w:t>
            </w:r>
            <w:r>
              <w:rPr>
                <w:rFonts w:hint="default" w:ascii="Times New Roman" w:hAnsi="Times New Roman" w:cs="Times New Roman"/>
              </w:rPr>
              <w:t>相关要求。</w:t>
            </w:r>
          </w:p>
          <w:p w14:paraId="32B21C6B">
            <w:pPr>
              <w:pStyle w:val="20"/>
              <w:spacing w:before="0" w:beforeAutospacing="0" w:after="0" w:afterAutospacing="0" w:line="360" w:lineRule="auto"/>
              <w:jc w:val="both"/>
              <w:rPr>
                <w:rFonts w:hint="default" w:ascii="Times New Roman" w:hAnsi="Times New Roman" w:cs="Times New Roman"/>
                <w:b/>
                <w:bCs/>
              </w:rPr>
            </w:pPr>
          </w:p>
          <w:p w14:paraId="11AB02F8">
            <w:pPr>
              <w:pStyle w:val="20"/>
              <w:spacing w:before="0" w:beforeAutospacing="0" w:after="0" w:afterAutospacing="0" w:line="360" w:lineRule="auto"/>
              <w:jc w:val="both"/>
              <w:rPr>
                <w:rFonts w:hint="default" w:ascii="Times New Roman" w:hAnsi="Times New Roman" w:cs="Times New Roman"/>
                <w:b/>
                <w:bCs/>
              </w:rPr>
            </w:pPr>
          </w:p>
          <w:p w14:paraId="31EA25B1">
            <w:pPr>
              <w:pStyle w:val="20"/>
              <w:spacing w:before="0" w:beforeAutospacing="0" w:after="0" w:afterAutospacing="0" w:line="360" w:lineRule="auto"/>
              <w:jc w:val="both"/>
              <w:rPr>
                <w:rFonts w:hint="default" w:ascii="Times New Roman" w:hAnsi="Times New Roman" w:cs="Times New Roman"/>
                <w:b/>
                <w:bCs/>
              </w:rPr>
            </w:pPr>
          </w:p>
          <w:p w14:paraId="32BD2510">
            <w:pPr>
              <w:pStyle w:val="20"/>
              <w:spacing w:before="0" w:beforeAutospacing="0" w:after="0" w:afterAutospacing="0" w:line="360" w:lineRule="auto"/>
              <w:jc w:val="both"/>
              <w:rPr>
                <w:rFonts w:hint="default" w:ascii="Times New Roman" w:hAnsi="Times New Roman" w:cs="Times New Roman"/>
                <w:b/>
                <w:bCs/>
              </w:rPr>
            </w:pPr>
            <w:r>
              <w:rPr>
                <w:rFonts w:hint="default" w:ascii="Times New Roman" w:hAnsi="Times New Roman" w:cs="Times New Roman"/>
                <w:b/>
                <w:bCs/>
              </w:rPr>
              <w:t>（</w:t>
            </w:r>
            <w:r>
              <w:rPr>
                <w:rFonts w:hint="eastAsia" w:ascii="Times New Roman" w:hAnsi="Times New Roman" w:cs="Times New Roman"/>
                <w:b/>
                <w:bCs/>
                <w:lang w:val="en-US" w:eastAsia="zh-CN"/>
              </w:rPr>
              <w:t>6</w:t>
            </w:r>
            <w:r>
              <w:rPr>
                <w:rFonts w:hint="default" w:ascii="Times New Roman" w:hAnsi="Times New Roman" w:cs="Times New Roman"/>
                <w:b/>
                <w:bCs/>
              </w:rPr>
              <w:t>）与《报废机动车回收拆解企业技术规范</w:t>
            </w:r>
            <w:r>
              <w:rPr>
                <w:rFonts w:hint="eastAsia" w:ascii="Times New Roman" w:hAnsi="Times New Roman" w:cs="Times New Roman"/>
                <w:b/>
                <w:bCs/>
                <w:lang w:eastAsia="zh-CN"/>
              </w:rPr>
              <w:t>》（</w:t>
            </w:r>
            <w:r>
              <w:rPr>
                <w:rFonts w:hint="default" w:ascii="Times New Roman" w:hAnsi="Times New Roman" w:cs="Times New Roman"/>
                <w:b/>
                <w:bCs/>
              </w:rPr>
              <w:t>GB22128-2019</w:t>
            </w:r>
            <w:r>
              <w:rPr>
                <w:rFonts w:hint="eastAsia" w:ascii="Times New Roman" w:hAnsi="Times New Roman" w:cs="Times New Roman"/>
                <w:b/>
                <w:bCs/>
                <w:lang w:eastAsia="zh-CN"/>
              </w:rPr>
              <w:t>）</w:t>
            </w:r>
            <w:r>
              <w:rPr>
                <w:rFonts w:hint="default" w:ascii="Times New Roman" w:hAnsi="Times New Roman" w:cs="Times New Roman"/>
                <w:b/>
                <w:bCs/>
              </w:rPr>
              <w:t>符合性分析</w:t>
            </w:r>
          </w:p>
          <w:p w14:paraId="08644EC0">
            <w:pPr>
              <w:pStyle w:val="20"/>
              <w:spacing w:before="0" w:beforeAutospacing="0" w:after="0" w:afterAutospacing="0" w:line="360" w:lineRule="auto"/>
              <w:ind w:firstLine="480" w:firstLineChars="200"/>
              <w:jc w:val="both"/>
              <w:rPr>
                <w:rFonts w:hint="default" w:ascii="Times New Roman" w:hAnsi="Times New Roman" w:eastAsia="宋体" w:cs="Times New Roman"/>
                <w:b w:val="0"/>
                <w:bCs w:val="0"/>
                <w:sz w:val="24"/>
                <w:szCs w:val="24"/>
                <w:lang w:val="en-US" w:eastAsia="zh-CN"/>
              </w:rPr>
            </w:pPr>
            <w:r>
              <w:rPr>
                <w:rFonts w:hint="eastAsia" w:ascii="Times New Roman" w:hAnsi="Times New Roman" w:cs="Times New Roman"/>
                <w:b w:val="0"/>
                <w:bCs w:val="0"/>
                <w:sz w:val="24"/>
                <w:szCs w:val="24"/>
                <w:lang w:val="en-US" w:eastAsia="zh-CN"/>
              </w:rPr>
              <w:t>本项目与《报废机动车回收拆解企业技术规范》（GB22128-2019）符合性分析见下表。</w:t>
            </w:r>
          </w:p>
          <w:p w14:paraId="5DED0751">
            <w:pPr>
              <w:pStyle w:val="20"/>
              <w:spacing w:before="0" w:beforeAutospacing="0" w:after="0" w:afterAutospacing="0" w:line="240" w:lineRule="atLeast"/>
              <w:ind w:firstLine="422" w:firstLineChars="20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表1-</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rPr>
              <w:t xml:space="preserve">  与《报废机动车回收拆解企业技术规范》符合性分析</w:t>
            </w:r>
          </w:p>
          <w:tbl>
            <w:tblPr>
              <w:tblStyle w:val="25"/>
              <w:tblW w:w="6878"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348"/>
              <w:gridCol w:w="3197"/>
              <w:gridCol w:w="2168"/>
              <w:gridCol w:w="650"/>
            </w:tblGrid>
            <w:tr w14:paraId="68162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63" w:type="dxa"/>
                  <w:gridSpan w:val="2"/>
                  <w:vAlign w:val="center"/>
                </w:tcPr>
                <w:p w14:paraId="7F9F6440">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3197" w:type="dxa"/>
                  <w:vAlign w:val="center"/>
                </w:tcPr>
                <w:p w14:paraId="719E1AD6">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规范要求</w:t>
                  </w:r>
                </w:p>
              </w:tc>
              <w:tc>
                <w:tcPr>
                  <w:tcW w:w="2168" w:type="dxa"/>
                  <w:vAlign w:val="center"/>
                </w:tcPr>
                <w:p w14:paraId="09AF409A">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本项目</w:t>
                  </w:r>
                  <w:r>
                    <w:rPr>
                      <w:rFonts w:hint="eastAsia" w:ascii="Times New Roman" w:hAnsi="Times New Roman" w:cs="Times New Roman"/>
                      <w:b/>
                      <w:bCs/>
                      <w:sz w:val="21"/>
                      <w:szCs w:val="21"/>
                      <w:lang w:val="en-US" w:eastAsia="zh-CN"/>
                    </w:rPr>
                    <w:t>建设内容</w:t>
                  </w:r>
                </w:p>
              </w:tc>
              <w:tc>
                <w:tcPr>
                  <w:tcW w:w="650" w:type="dxa"/>
                  <w:vAlign w:val="center"/>
                </w:tcPr>
                <w:p w14:paraId="79CCD67B">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相符性</w:t>
                  </w:r>
                </w:p>
              </w:tc>
            </w:tr>
            <w:tr w14:paraId="12D3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15" w:type="dxa"/>
                  <w:vMerge w:val="restart"/>
                  <w:vAlign w:val="center"/>
                </w:tcPr>
                <w:p w14:paraId="578F1094">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场地建设</w:t>
                  </w:r>
                </w:p>
              </w:tc>
              <w:tc>
                <w:tcPr>
                  <w:tcW w:w="348" w:type="dxa"/>
                  <w:vAlign w:val="center"/>
                </w:tcPr>
                <w:p w14:paraId="77698C9B">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1</w:t>
                  </w:r>
                </w:p>
              </w:tc>
              <w:tc>
                <w:tcPr>
                  <w:tcW w:w="3197" w:type="dxa"/>
                  <w:vAlign w:val="center"/>
                </w:tcPr>
                <w:p w14:paraId="12E609F8">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（1）企业建设项目选址应满足如下要求：</w:t>
                  </w:r>
                </w:p>
                <w:p w14:paraId="37145FF3">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①符合所在地城市总体规划或国土空间规划；</w:t>
                  </w:r>
                </w:p>
                <w:p w14:paraId="5B59BF42">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②符合GB50187、HJ348的选址要求，不得建在城市居民区、商业区、饮用水水源保护区及其他环境敏感区内，且避开受环境威胁的地带、地段和地区；</w:t>
                  </w:r>
                </w:p>
                <w:p w14:paraId="32D8C9EC">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③项目所在地有工业园区或再生利用园区的应建设在园区内。</w:t>
                  </w:r>
                </w:p>
              </w:tc>
              <w:tc>
                <w:tcPr>
                  <w:tcW w:w="2168" w:type="dxa"/>
                  <w:vAlign w:val="center"/>
                </w:tcPr>
                <w:p w14:paraId="170663F2">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lang w:val="en-US" w:eastAsia="zh-CN"/>
                    </w:rPr>
                    <w:t>①拟建项目位于</w:t>
                  </w:r>
                  <w:r>
                    <w:rPr>
                      <w:rFonts w:hint="eastAsia" w:ascii="Times New Roman" w:hAnsi="Times New Roman" w:eastAsia="宋体" w:cs="Times New Roman"/>
                      <w:b w:val="0"/>
                      <w:bCs w:val="0"/>
                      <w:sz w:val="21"/>
                      <w:szCs w:val="21"/>
                      <w:vertAlign w:val="baseline"/>
                      <w:lang w:val="en-US" w:eastAsia="zh-CN"/>
                    </w:rPr>
                    <w:t>宿州市埇桥区朱仙庄镇工业园区内，用地性质为工业用地，符合宿州市国土空间规划；</w:t>
                  </w:r>
                </w:p>
                <w:p w14:paraId="5A85E06F">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②拟建项目选址不在城市居民区、商业区、饮用水水源保护区及其他环境敏感区内，且避开受环境威胁的地带、地段和地区；</w:t>
                  </w:r>
                </w:p>
                <w:p w14:paraId="3C008420">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③拟建项目位于</w:t>
                  </w:r>
                  <w:r>
                    <w:rPr>
                      <w:rFonts w:hint="eastAsia" w:ascii="Times New Roman" w:hAnsi="Times New Roman" w:eastAsia="宋体" w:cs="Times New Roman"/>
                      <w:b w:val="0"/>
                      <w:bCs w:val="0"/>
                      <w:sz w:val="21"/>
                      <w:szCs w:val="21"/>
                      <w:vertAlign w:val="baseline"/>
                      <w:lang w:val="en-US" w:eastAsia="zh-CN"/>
                    </w:rPr>
                    <w:t>宿州市埇桥区朱仙庄镇工业园区</w:t>
                  </w:r>
                  <w:r>
                    <w:rPr>
                      <w:rFonts w:hint="eastAsia" w:ascii="Times New Roman" w:hAnsi="Times New Roman" w:cs="Times New Roman"/>
                      <w:b w:val="0"/>
                      <w:bCs w:val="0"/>
                      <w:sz w:val="21"/>
                      <w:szCs w:val="21"/>
                      <w:vertAlign w:val="baseline"/>
                      <w:lang w:val="en-US" w:eastAsia="zh-CN"/>
                    </w:rPr>
                    <w:t>。</w:t>
                  </w:r>
                </w:p>
              </w:tc>
              <w:tc>
                <w:tcPr>
                  <w:tcW w:w="650" w:type="dxa"/>
                  <w:vAlign w:val="center"/>
                </w:tcPr>
                <w:p w14:paraId="48A80439">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相符</w:t>
                  </w:r>
                </w:p>
              </w:tc>
            </w:tr>
            <w:tr w14:paraId="0CFF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15" w:type="dxa"/>
                  <w:vMerge w:val="continue"/>
                  <w:vAlign w:val="center"/>
                </w:tcPr>
                <w:p w14:paraId="6BA3DF5C">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b w:val="0"/>
                      <w:bCs w:val="0"/>
                      <w:sz w:val="21"/>
                      <w:szCs w:val="21"/>
                      <w:lang w:val="en-US" w:eastAsia="zh-CN"/>
                    </w:rPr>
                  </w:pPr>
                </w:p>
              </w:tc>
              <w:tc>
                <w:tcPr>
                  <w:tcW w:w="348" w:type="dxa"/>
                  <w:vAlign w:val="center"/>
                </w:tcPr>
                <w:p w14:paraId="454F551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2</w:t>
                  </w:r>
                </w:p>
              </w:tc>
              <w:tc>
                <w:tcPr>
                  <w:tcW w:w="3197" w:type="dxa"/>
                  <w:vAlign w:val="center"/>
                </w:tcPr>
                <w:p w14:paraId="6172897A">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（2）企业最低经营面积（占地面积）应满足如下要求：</w:t>
                  </w:r>
                </w:p>
                <w:p w14:paraId="6A83C3ED">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①</w:t>
                  </w:r>
                  <w:r>
                    <w:rPr>
                      <w:rFonts w:hint="default" w:ascii="Times New Roman" w:hAnsi="Times New Roman" w:cs="Times New Roman"/>
                      <w:b w:val="0"/>
                      <w:bCs w:val="0"/>
                      <w:sz w:val="21"/>
                      <w:szCs w:val="21"/>
                      <w:lang w:val="en-US" w:eastAsia="zh-CN"/>
                    </w:rPr>
                    <w:t>Ⅰ档~Ⅱ档地区20000m</w:t>
                  </w:r>
                  <w:r>
                    <w:rPr>
                      <w:rFonts w:hint="default" w:ascii="Times New Roman" w:hAnsi="Times New Roman" w:cs="Times New Roman"/>
                      <w:b w:val="0"/>
                      <w:bCs w:val="0"/>
                      <w:sz w:val="21"/>
                      <w:szCs w:val="21"/>
                      <w:vertAlign w:val="superscript"/>
                      <w:lang w:val="en-US" w:eastAsia="zh-CN"/>
                    </w:rPr>
                    <w:t>2</w:t>
                  </w:r>
                  <w:r>
                    <w:rPr>
                      <w:rFonts w:hint="default" w:ascii="Times New Roman" w:hAnsi="Times New Roman" w:cs="Times New Roman"/>
                      <w:b w:val="0"/>
                      <w:bCs w:val="0"/>
                      <w:sz w:val="21"/>
                      <w:szCs w:val="21"/>
                      <w:lang w:val="en-US" w:eastAsia="zh-CN"/>
                    </w:rPr>
                    <w:t>，Ⅲ档~Ⅳ档地区15000m</w:t>
                  </w:r>
                  <w:r>
                    <w:rPr>
                      <w:rFonts w:hint="default" w:ascii="Times New Roman" w:hAnsi="Times New Roman" w:cs="Times New Roman"/>
                      <w:b w:val="0"/>
                      <w:bCs w:val="0"/>
                      <w:sz w:val="21"/>
                      <w:szCs w:val="21"/>
                      <w:vertAlign w:val="superscript"/>
                      <w:lang w:val="en-US" w:eastAsia="zh-CN"/>
                    </w:rPr>
                    <w:t>2</w:t>
                  </w:r>
                  <w:r>
                    <w:rPr>
                      <w:rFonts w:hint="default" w:ascii="Times New Roman" w:hAnsi="Times New Roman" w:cs="Times New Roman"/>
                      <w:b w:val="0"/>
                      <w:bCs w:val="0"/>
                      <w:sz w:val="21"/>
                      <w:szCs w:val="21"/>
                      <w:lang w:val="en-US" w:eastAsia="zh-CN"/>
                    </w:rPr>
                    <w:t>，Ⅴ档~Ⅵ档地区11000m</w:t>
                  </w:r>
                  <w:r>
                    <w:rPr>
                      <w:rFonts w:hint="default" w:ascii="Times New Roman" w:hAnsi="Times New Roman" w:cs="Times New Roman"/>
                      <w:b w:val="0"/>
                      <w:bCs w:val="0"/>
                      <w:sz w:val="21"/>
                      <w:szCs w:val="21"/>
                      <w:vertAlign w:val="superscript"/>
                      <w:lang w:val="en-US" w:eastAsia="zh-CN"/>
                    </w:rPr>
                    <w:t>2</w:t>
                  </w:r>
                  <w:r>
                    <w:rPr>
                      <w:rFonts w:hint="default" w:ascii="Times New Roman" w:hAnsi="Times New Roman" w:cs="Times New Roman"/>
                      <w:b w:val="0"/>
                      <w:bCs w:val="0"/>
                      <w:sz w:val="21"/>
                      <w:szCs w:val="21"/>
                      <w:lang w:val="en-US" w:eastAsia="zh-CN"/>
                    </w:rPr>
                    <w:t>；</w:t>
                  </w:r>
                </w:p>
                <w:p w14:paraId="653D3F3E">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②其中作业场地（包括拆解和贮存场地）面积不低于经营面积的60%，报废汽车存储场地（包括临时存储）的地面要硬化并防渗漏。</w:t>
                  </w:r>
                </w:p>
              </w:tc>
              <w:tc>
                <w:tcPr>
                  <w:tcW w:w="2168" w:type="dxa"/>
                  <w:vAlign w:val="center"/>
                </w:tcPr>
                <w:p w14:paraId="2D6DA1F3">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项目所在区域属于</w:t>
                  </w:r>
                  <w:r>
                    <w:rPr>
                      <w:rFonts w:hint="default" w:ascii="Times New Roman" w:hAnsi="Times New Roman" w:cs="Times New Roman"/>
                      <w:sz w:val="21"/>
                      <w:szCs w:val="21"/>
                    </w:rPr>
                    <w:t>Ⅳ档</w:t>
                  </w:r>
                  <w:r>
                    <w:rPr>
                      <w:rFonts w:hint="eastAsia" w:ascii="Times New Roman" w:hAnsi="Times New Roman" w:cs="Times New Roman"/>
                      <w:sz w:val="21"/>
                      <w:szCs w:val="21"/>
                      <w:lang w:val="en-US" w:eastAsia="zh-CN"/>
                    </w:rPr>
                    <w:t>地区，本项目总占地面积16200m</w:t>
                  </w:r>
                  <w:r>
                    <w:rPr>
                      <w:rFonts w:hint="eastAsia" w:ascii="Times New Roman" w:hAnsi="Times New Roman" w:cs="Times New Roman"/>
                      <w:sz w:val="21"/>
                      <w:szCs w:val="21"/>
                      <w:vertAlign w:val="superscript"/>
                      <w:lang w:val="en-US" w:eastAsia="zh-CN"/>
                    </w:rPr>
                    <w:t>2</w:t>
                  </w:r>
                  <w:r>
                    <w:rPr>
                      <w:rFonts w:hint="eastAsia" w:ascii="Times New Roman" w:hAnsi="Times New Roman" w:cs="Times New Roman"/>
                      <w:sz w:val="21"/>
                      <w:szCs w:val="21"/>
                      <w:lang w:val="en-US" w:eastAsia="zh-CN"/>
                    </w:rPr>
                    <w:t>，拆解和贮存场地面积为10267.5m</w:t>
                  </w:r>
                  <w:r>
                    <w:rPr>
                      <w:rFonts w:hint="eastAsia" w:ascii="Times New Roman" w:hAnsi="Times New Roman" w:cs="Times New Roman"/>
                      <w:sz w:val="21"/>
                      <w:szCs w:val="21"/>
                      <w:vertAlign w:val="superscript"/>
                      <w:lang w:val="en-US" w:eastAsia="zh-CN"/>
                    </w:rPr>
                    <w:t>2</w:t>
                  </w:r>
                  <w:r>
                    <w:rPr>
                      <w:rFonts w:hint="eastAsia" w:ascii="Times New Roman" w:hAnsi="Times New Roman" w:cs="Times New Roman"/>
                      <w:sz w:val="21"/>
                      <w:szCs w:val="21"/>
                      <w:lang w:val="en-US" w:eastAsia="zh-CN"/>
                    </w:rPr>
                    <w:t>，占经营面积63.4%。满足作业场地面积不低于经营面积60%的要求。</w:t>
                  </w:r>
                </w:p>
              </w:tc>
              <w:tc>
                <w:tcPr>
                  <w:tcW w:w="650" w:type="dxa"/>
                  <w:vAlign w:val="center"/>
                </w:tcPr>
                <w:p w14:paraId="45043F8E">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相符</w:t>
                  </w:r>
                </w:p>
              </w:tc>
            </w:tr>
            <w:tr w14:paraId="23D8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15" w:type="dxa"/>
                  <w:vMerge w:val="continue"/>
                  <w:vAlign w:val="center"/>
                </w:tcPr>
                <w:p w14:paraId="213E1C46">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b w:val="0"/>
                      <w:bCs w:val="0"/>
                      <w:sz w:val="21"/>
                      <w:szCs w:val="21"/>
                      <w:lang w:val="en-US" w:eastAsia="zh-CN"/>
                    </w:rPr>
                  </w:pPr>
                </w:p>
              </w:tc>
              <w:tc>
                <w:tcPr>
                  <w:tcW w:w="348" w:type="dxa"/>
                  <w:vAlign w:val="center"/>
                </w:tcPr>
                <w:p w14:paraId="03A7D6D7">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3</w:t>
                  </w:r>
                </w:p>
              </w:tc>
              <w:tc>
                <w:tcPr>
                  <w:tcW w:w="3197" w:type="dxa"/>
                  <w:vAlign w:val="center"/>
                </w:tcPr>
                <w:p w14:paraId="539B1F48">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企业应严格执行《工业项目建设用地控制指标》建设用地标准，且场地建设符合HJ348的企业建设环境保护要求。</w:t>
                  </w:r>
                </w:p>
              </w:tc>
              <w:tc>
                <w:tcPr>
                  <w:tcW w:w="2168" w:type="dxa"/>
                  <w:vAlign w:val="center"/>
                </w:tcPr>
                <w:p w14:paraId="55E516C9">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项目拟按《工业项目建设用地控制指标》建设用地标准建设；场地建设拟按HJ348的企业建设环境保护要求建设。</w:t>
                  </w:r>
                </w:p>
              </w:tc>
              <w:tc>
                <w:tcPr>
                  <w:tcW w:w="650" w:type="dxa"/>
                  <w:vAlign w:val="center"/>
                </w:tcPr>
                <w:p w14:paraId="46200187">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相符</w:t>
                  </w:r>
                </w:p>
              </w:tc>
            </w:tr>
            <w:tr w14:paraId="7D81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15" w:type="dxa"/>
                  <w:vMerge w:val="continue"/>
                  <w:vAlign w:val="center"/>
                </w:tcPr>
                <w:p w14:paraId="6CD01428">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b w:val="0"/>
                      <w:bCs w:val="0"/>
                      <w:sz w:val="21"/>
                      <w:szCs w:val="21"/>
                      <w:lang w:val="en-US" w:eastAsia="zh-CN"/>
                    </w:rPr>
                  </w:pPr>
                </w:p>
              </w:tc>
              <w:tc>
                <w:tcPr>
                  <w:tcW w:w="348" w:type="dxa"/>
                  <w:vAlign w:val="center"/>
                </w:tcPr>
                <w:p w14:paraId="6E923073">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4</w:t>
                  </w:r>
                </w:p>
              </w:tc>
              <w:tc>
                <w:tcPr>
                  <w:tcW w:w="3197" w:type="dxa"/>
                  <w:vAlign w:val="center"/>
                </w:tcPr>
                <w:p w14:paraId="3CF61607">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企业场地应具备拆解场地、贮存场地和办公场地。其中，拆解场地和贮存场地（包括临时贮存）的地面应硬化并防渗漏，满足GB50037的防油渗地面要求。</w:t>
                  </w:r>
                </w:p>
              </w:tc>
              <w:tc>
                <w:tcPr>
                  <w:tcW w:w="2168" w:type="dxa"/>
                  <w:vAlign w:val="center"/>
                </w:tcPr>
                <w:p w14:paraId="55468495">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项目拟设置有拆解车间、贮存场地和办公场地，并按GB50037要求落实地面防油防渗。</w:t>
                  </w:r>
                </w:p>
              </w:tc>
              <w:tc>
                <w:tcPr>
                  <w:tcW w:w="650" w:type="dxa"/>
                  <w:vAlign w:val="center"/>
                </w:tcPr>
                <w:p w14:paraId="32FA0F03">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相符</w:t>
                  </w:r>
                </w:p>
              </w:tc>
            </w:tr>
            <w:tr w14:paraId="2627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15" w:type="dxa"/>
                  <w:vMerge w:val="continue"/>
                  <w:vAlign w:val="center"/>
                </w:tcPr>
                <w:p w14:paraId="1E3D9B04">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b w:val="0"/>
                      <w:bCs w:val="0"/>
                      <w:sz w:val="21"/>
                      <w:szCs w:val="21"/>
                      <w:lang w:val="en-US" w:eastAsia="zh-CN"/>
                    </w:rPr>
                  </w:pPr>
                </w:p>
              </w:tc>
              <w:tc>
                <w:tcPr>
                  <w:tcW w:w="348" w:type="dxa"/>
                  <w:vAlign w:val="center"/>
                </w:tcPr>
                <w:p w14:paraId="1959B1A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5</w:t>
                  </w:r>
                </w:p>
              </w:tc>
              <w:tc>
                <w:tcPr>
                  <w:tcW w:w="3197" w:type="dxa"/>
                  <w:vAlign w:val="center"/>
                </w:tcPr>
                <w:p w14:paraId="39BD7CB2">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拆解场地应为封闭或半封闭构建物，应通风、光线良好，安全环保设施设备齐全。</w:t>
                  </w:r>
                </w:p>
              </w:tc>
              <w:tc>
                <w:tcPr>
                  <w:tcW w:w="2168" w:type="dxa"/>
                  <w:vAlign w:val="center"/>
                </w:tcPr>
                <w:p w14:paraId="7BFDE418">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拆解车间为封闭车间，安全环保设施设备齐全。</w:t>
                  </w:r>
                </w:p>
              </w:tc>
              <w:tc>
                <w:tcPr>
                  <w:tcW w:w="650" w:type="dxa"/>
                  <w:vAlign w:val="center"/>
                </w:tcPr>
                <w:p w14:paraId="6AB58366">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相符</w:t>
                  </w:r>
                </w:p>
              </w:tc>
            </w:tr>
            <w:tr w14:paraId="3655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15" w:type="dxa"/>
                  <w:vMerge w:val="continue"/>
                  <w:vAlign w:val="center"/>
                </w:tcPr>
                <w:p w14:paraId="1B904312">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b w:val="0"/>
                      <w:bCs w:val="0"/>
                      <w:sz w:val="21"/>
                      <w:szCs w:val="21"/>
                      <w:lang w:val="en-US" w:eastAsia="zh-CN"/>
                    </w:rPr>
                  </w:pPr>
                </w:p>
              </w:tc>
              <w:tc>
                <w:tcPr>
                  <w:tcW w:w="348" w:type="dxa"/>
                  <w:vAlign w:val="center"/>
                </w:tcPr>
                <w:p w14:paraId="12968937">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6</w:t>
                  </w:r>
                </w:p>
              </w:tc>
              <w:tc>
                <w:tcPr>
                  <w:tcW w:w="3197" w:type="dxa"/>
                  <w:vAlign w:val="center"/>
                </w:tcPr>
                <w:p w14:paraId="4926340E">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贮存场地应分为报废机动车贮存场地、回用件贮存场地及固体废物贮存场地。固体废物贮存场地应具有满足GB18599要求的一般工业固体废物贮存设施和满足GB18597要求的危险废物贮存设施。</w:t>
                  </w:r>
                </w:p>
              </w:tc>
              <w:tc>
                <w:tcPr>
                  <w:tcW w:w="2168" w:type="dxa"/>
                  <w:vAlign w:val="center"/>
                </w:tcPr>
                <w:p w14:paraId="28C21E45">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项目拟设置机动车贮存场地、回用件贮存场地以及固体废物贮存场地，一般固体废物贮存间按GB18599管理要求落实，危废暂存间按GB18597管理要求落实。</w:t>
                  </w:r>
                </w:p>
              </w:tc>
              <w:tc>
                <w:tcPr>
                  <w:tcW w:w="650" w:type="dxa"/>
                  <w:vAlign w:val="center"/>
                </w:tcPr>
                <w:p w14:paraId="6C4E7839">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相符</w:t>
                  </w:r>
                </w:p>
              </w:tc>
            </w:tr>
            <w:tr w14:paraId="7F05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15" w:type="dxa"/>
                  <w:vMerge w:val="continue"/>
                  <w:vAlign w:val="center"/>
                </w:tcPr>
                <w:p w14:paraId="331D307E">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b w:val="0"/>
                      <w:bCs w:val="0"/>
                      <w:sz w:val="21"/>
                      <w:szCs w:val="21"/>
                      <w:lang w:val="en-US" w:eastAsia="zh-CN"/>
                    </w:rPr>
                  </w:pPr>
                </w:p>
              </w:tc>
              <w:tc>
                <w:tcPr>
                  <w:tcW w:w="348" w:type="dxa"/>
                  <w:vAlign w:val="center"/>
                </w:tcPr>
                <w:p w14:paraId="20524D48">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7</w:t>
                  </w:r>
                </w:p>
              </w:tc>
              <w:tc>
                <w:tcPr>
                  <w:tcW w:w="3197" w:type="dxa"/>
                  <w:vAlign w:val="center"/>
                </w:tcPr>
                <w:p w14:paraId="6C9D65C1">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拆解电动汽车的企业还应满足以下场地建设要求：</w:t>
                  </w:r>
                </w:p>
                <w:p w14:paraId="141F2A6D">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①具备电动汽车贮存场地，动力蓄电池拆卸专用场地，场地应设有高压警示，区域隔离及危险识别标志，并具有防腐防渗紧急收集池及专用容器，用于收集动力蓄电池等破损时泄漏出的电解液、冷却液等有毒有害液体。</w:t>
                  </w:r>
                </w:p>
                <w:p w14:paraId="2714B91F">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②电动汽车贮存场地应单独管理，并保持通风。</w:t>
                  </w:r>
                </w:p>
                <w:p w14:paraId="45817636">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③动力蓄电池贮存场地应设在易燃、易爆等危险品仓库及高压输电线路防护区域以外，并设有烟雾报警器等火灾自动报警设施。</w:t>
                  </w:r>
                </w:p>
                <w:p w14:paraId="540B79CD">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④动力蓄电池拆解专用场地地面应做绝缘处理。</w:t>
                  </w:r>
                </w:p>
              </w:tc>
              <w:tc>
                <w:tcPr>
                  <w:tcW w:w="2168" w:type="dxa"/>
                  <w:vAlign w:val="center"/>
                </w:tcPr>
                <w:p w14:paraId="40A39E36">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建设项目设有单独的动力蓄电池专用拆卸场所及贮存场所，其场地建设拟按GB22128-2019管理要求进行落实。</w:t>
                  </w:r>
                </w:p>
              </w:tc>
              <w:tc>
                <w:tcPr>
                  <w:tcW w:w="650" w:type="dxa"/>
                  <w:vAlign w:val="center"/>
                </w:tcPr>
                <w:p w14:paraId="267DD328">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相符</w:t>
                  </w:r>
                </w:p>
              </w:tc>
            </w:tr>
            <w:tr w14:paraId="36F0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515" w:type="dxa"/>
                  <w:vMerge w:val="restart"/>
                  <w:vAlign w:val="center"/>
                </w:tcPr>
                <w:p w14:paraId="5FD01DB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设备要求</w:t>
                  </w:r>
                </w:p>
              </w:tc>
              <w:tc>
                <w:tcPr>
                  <w:tcW w:w="348" w:type="dxa"/>
                  <w:vAlign w:val="center"/>
                </w:tcPr>
                <w:p w14:paraId="3D7AAFB6">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3197" w:type="dxa"/>
                  <w:vAlign w:val="center"/>
                </w:tcPr>
                <w:p w14:paraId="56081440">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应具备以下一般拆解设施设备：①车辆称重设备；②室内或有防雨顶棚的拆解预处理平台；③车架（车身）剪段、切割设备或压扁设备，不得以氧割设备代替；④起重、运输或专用拖车等设备；⑤总成拆解平台；⑥气动拆解工具；⑦简易拆解工具。</w:t>
                  </w:r>
                </w:p>
              </w:tc>
              <w:tc>
                <w:tcPr>
                  <w:tcW w:w="2168" w:type="dxa"/>
                  <w:vAlign w:val="center"/>
                </w:tcPr>
                <w:p w14:paraId="24052122">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本项目拆解设施设备按照GB22128-2019管理要求落实。</w:t>
                  </w:r>
                </w:p>
              </w:tc>
              <w:tc>
                <w:tcPr>
                  <w:tcW w:w="650" w:type="dxa"/>
                  <w:vAlign w:val="center"/>
                </w:tcPr>
                <w:p w14:paraId="5D52D864">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0FB44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515" w:type="dxa"/>
                  <w:vMerge w:val="continue"/>
                  <w:vAlign w:val="center"/>
                </w:tcPr>
                <w:p w14:paraId="3FF3401B">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rPr>
                  </w:pPr>
                </w:p>
              </w:tc>
              <w:tc>
                <w:tcPr>
                  <w:tcW w:w="348" w:type="dxa"/>
                  <w:vAlign w:val="center"/>
                </w:tcPr>
                <w:p w14:paraId="640D7E17">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2</w:t>
                  </w:r>
                </w:p>
              </w:tc>
              <w:tc>
                <w:tcPr>
                  <w:tcW w:w="3197" w:type="dxa"/>
                  <w:vAlign w:val="center"/>
                </w:tcPr>
                <w:p w14:paraId="0E60A55E">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（2）应具备以下安全环保设施设备：①安全气囊直接引爆装置或者拆除、贮存、引爆装置；②满足GB50016规定消防设施设备；③应急救援设备。</w:t>
                  </w:r>
                </w:p>
              </w:tc>
              <w:tc>
                <w:tcPr>
                  <w:tcW w:w="2168" w:type="dxa"/>
                  <w:vAlign w:val="center"/>
                </w:tcPr>
                <w:p w14:paraId="7BF4E000">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sz w:val="21"/>
                      <w:szCs w:val="21"/>
                      <w:lang w:val="en-US" w:eastAsia="zh-CN"/>
                    </w:rPr>
                    <w:t>本项目安全环保设施设备按照GB22128-2019管理要求落实。</w:t>
                  </w:r>
                </w:p>
              </w:tc>
              <w:tc>
                <w:tcPr>
                  <w:tcW w:w="650" w:type="dxa"/>
                  <w:vAlign w:val="center"/>
                </w:tcPr>
                <w:p w14:paraId="150CD647">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715D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515" w:type="dxa"/>
                  <w:vMerge w:val="continue"/>
                  <w:vAlign w:val="center"/>
                </w:tcPr>
                <w:p w14:paraId="1765D3EB">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rPr>
                  </w:pPr>
                </w:p>
              </w:tc>
              <w:tc>
                <w:tcPr>
                  <w:tcW w:w="348" w:type="dxa"/>
                  <w:vAlign w:val="center"/>
                </w:tcPr>
                <w:p w14:paraId="089DFD23">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3</w:t>
                  </w:r>
                </w:p>
              </w:tc>
              <w:tc>
                <w:tcPr>
                  <w:tcW w:w="3197" w:type="dxa"/>
                  <w:vAlign w:val="center"/>
                </w:tcPr>
                <w:p w14:paraId="094FE9F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3）应具备以下环保设施设备：①满足HJ348要求的油水分离器等企业建设环境保护设备；②配有专用废液收集装置和分类存放各种废液的专用密闭容器；③机动车空调制冷剂收集装置和分类存放各种制冷剂的密闭容器；④分类存放机油滤清器和铅酸蓄电池的容器。</w:t>
                  </w:r>
                </w:p>
              </w:tc>
              <w:tc>
                <w:tcPr>
                  <w:tcW w:w="2168" w:type="dxa"/>
                  <w:vAlign w:val="center"/>
                </w:tcPr>
                <w:p w14:paraId="46653F95">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本项目拟设置油水分离系统等环保设备，有专用废液收集装置和分类存放各种废液的专用密闭容器，铅酸蓄电池均分别存放在专用容器内。各环保设施设备拟按照GB22128-2019管理要求落实。</w:t>
                  </w:r>
                </w:p>
              </w:tc>
              <w:tc>
                <w:tcPr>
                  <w:tcW w:w="650" w:type="dxa"/>
                  <w:vAlign w:val="center"/>
                </w:tcPr>
                <w:p w14:paraId="372B22F2">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相符</w:t>
                  </w:r>
                </w:p>
              </w:tc>
            </w:tr>
            <w:tr w14:paraId="5C17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5" w:type="dxa"/>
                  <w:vMerge w:val="continue"/>
                  <w:vAlign w:val="center"/>
                </w:tcPr>
                <w:p w14:paraId="5F7858CF">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rPr>
                  </w:pPr>
                </w:p>
              </w:tc>
              <w:tc>
                <w:tcPr>
                  <w:tcW w:w="348" w:type="dxa"/>
                  <w:vAlign w:val="center"/>
                </w:tcPr>
                <w:p w14:paraId="3500651C">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4</w:t>
                  </w:r>
                </w:p>
              </w:tc>
              <w:tc>
                <w:tcPr>
                  <w:tcW w:w="3197" w:type="dxa"/>
                  <w:vAlign w:val="center"/>
                </w:tcPr>
                <w:p w14:paraId="69B662A9">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应具备电脑、拍照设备、电子监控等设施设备</w:t>
                  </w:r>
                </w:p>
              </w:tc>
              <w:tc>
                <w:tcPr>
                  <w:tcW w:w="2168" w:type="dxa"/>
                  <w:vAlign w:val="center"/>
                </w:tcPr>
                <w:p w14:paraId="10D3CD55">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本项目拟购置电脑、拍照、电子监控等设施设备。</w:t>
                  </w:r>
                </w:p>
              </w:tc>
              <w:tc>
                <w:tcPr>
                  <w:tcW w:w="650" w:type="dxa"/>
                  <w:vAlign w:val="center"/>
                </w:tcPr>
                <w:p w14:paraId="57F70A36">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r w14:paraId="1FB1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515" w:type="dxa"/>
                  <w:vMerge w:val="continue"/>
                  <w:vAlign w:val="center"/>
                </w:tcPr>
                <w:p w14:paraId="12986036">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rPr>
                  </w:pPr>
                </w:p>
              </w:tc>
              <w:tc>
                <w:tcPr>
                  <w:tcW w:w="348" w:type="dxa"/>
                  <w:vAlign w:val="center"/>
                </w:tcPr>
                <w:p w14:paraId="07226D4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5</w:t>
                  </w:r>
                </w:p>
              </w:tc>
              <w:tc>
                <w:tcPr>
                  <w:tcW w:w="3197" w:type="dxa"/>
                  <w:vAlign w:val="center"/>
                </w:tcPr>
                <w:p w14:paraId="275C5C5E">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应建立设施设备管理制度，制定设备操作规范并定期维护、更新企业技术人员。</w:t>
                  </w:r>
                </w:p>
              </w:tc>
              <w:tc>
                <w:tcPr>
                  <w:tcW w:w="2168" w:type="dxa"/>
                  <w:vAlign w:val="center"/>
                </w:tcPr>
                <w:p w14:paraId="5C84A13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项目拟建立设施设备管理制度，并按GB22128-2019管理要求制定设备操作规范并定期维护、更新企业技术人员。</w:t>
                  </w:r>
                </w:p>
              </w:tc>
              <w:tc>
                <w:tcPr>
                  <w:tcW w:w="650" w:type="dxa"/>
                  <w:vAlign w:val="center"/>
                </w:tcPr>
                <w:p w14:paraId="1DB4B044">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r w14:paraId="5865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515" w:type="dxa"/>
                  <w:vMerge w:val="restart"/>
                  <w:vAlign w:val="center"/>
                </w:tcPr>
                <w:p w14:paraId="248D308B">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kern w:val="0"/>
                      <w:sz w:val="21"/>
                      <w:szCs w:val="21"/>
                      <w:lang w:val="en-US" w:eastAsia="zh-CN" w:bidi="ar-SA"/>
                    </w:rPr>
                    <w:t>技术人员要求</w:t>
                  </w:r>
                </w:p>
              </w:tc>
              <w:tc>
                <w:tcPr>
                  <w:tcW w:w="348" w:type="dxa"/>
                  <w:vAlign w:val="center"/>
                </w:tcPr>
                <w:p w14:paraId="4CC3BA3E">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w:t>
                  </w:r>
                </w:p>
              </w:tc>
              <w:tc>
                <w:tcPr>
                  <w:tcW w:w="3197" w:type="dxa"/>
                  <w:vAlign w:val="center"/>
                </w:tcPr>
                <w:p w14:paraId="741EA95C">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企业技术人员应经过岗前培训，其专业技能应能满足规范拆解、环保作业、安全操作等相应要求，并配备专业安全生产管理人员和环保管理人员，国家持证上岗规定的，应持证上岗。</w:t>
                  </w:r>
                </w:p>
              </w:tc>
              <w:tc>
                <w:tcPr>
                  <w:tcW w:w="2168" w:type="dxa"/>
                  <w:vAlign w:val="center"/>
                </w:tcPr>
                <w:p w14:paraId="2EC7B1A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建设项目技术人员按照GB22128-2019管理要求进行岗前培训，持证上岗。</w:t>
                  </w:r>
                </w:p>
              </w:tc>
              <w:tc>
                <w:tcPr>
                  <w:tcW w:w="650" w:type="dxa"/>
                  <w:vAlign w:val="center"/>
                </w:tcPr>
                <w:p w14:paraId="37231E2F">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r w14:paraId="7299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515" w:type="dxa"/>
                  <w:vMerge w:val="continue"/>
                  <w:vAlign w:val="center"/>
                </w:tcPr>
                <w:p w14:paraId="091843AE">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sz w:val="21"/>
                      <w:szCs w:val="21"/>
                      <w:lang w:val="en-US" w:eastAsia="zh-CN"/>
                    </w:rPr>
                  </w:pPr>
                </w:p>
              </w:tc>
              <w:tc>
                <w:tcPr>
                  <w:tcW w:w="348" w:type="dxa"/>
                  <w:vAlign w:val="center"/>
                </w:tcPr>
                <w:p w14:paraId="5C62723B">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2</w:t>
                  </w:r>
                </w:p>
              </w:tc>
              <w:tc>
                <w:tcPr>
                  <w:tcW w:w="3197" w:type="dxa"/>
                  <w:vAlign w:val="center"/>
                </w:tcPr>
                <w:p w14:paraId="7A974AA4">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具有电动汽车拆解业务的企业应具有动力蓄电池贮存管理人员及2人以上持电工特种作业操作证人员。动力蓄电池贮存管理人员应具有动力蓄电池防火、防泄漏、防短路等相关专业知识。拆解人员应在汽车生产企业提供的拆解信息或手册的指导下进行拆解。</w:t>
                  </w:r>
                </w:p>
              </w:tc>
              <w:tc>
                <w:tcPr>
                  <w:tcW w:w="2168" w:type="dxa"/>
                  <w:vAlign w:val="center"/>
                </w:tcPr>
                <w:p w14:paraId="58488B0B">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建设项目按照GB22128-2019管理要求配置动力蓄电池贮存管理人员及持电工特种作业操作证等专业技术人员。</w:t>
                  </w:r>
                </w:p>
              </w:tc>
              <w:tc>
                <w:tcPr>
                  <w:tcW w:w="650" w:type="dxa"/>
                  <w:vAlign w:val="center"/>
                </w:tcPr>
                <w:p w14:paraId="57769C3A">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r w14:paraId="0453C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515" w:type="dxa"/>
                  <w:vMerge w:val="restart"/>
                  <w:vAlign w:val="center"/>
                </w:tcPr>
                <w:p w14:paraId="125C94D2">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信息管理要求</w:t>
                  </w:r>
                </w:p>
              </w:tc>
              <w:tc>
                <w:tcPr>
                  <w:tcW w:w="348" w:type="dxa"/>
                  <w:vAlign w:val="center"/>
                </w:tcPr>
                <w:p w14:paraId="550D851B">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w:t>
                  </w:r>
                </w:p>
              </w:tc>
              <w:tc>
                <w:tcPr>
                  <w:tcW w:w="3197" w:type="dxa"/>
                  <w:vAlign w:val="center"/>
                </w:tcPr>
                <w:p w14:paraId="0D4E4E83">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应建立电子信息档案，记录报废机动车回收登记、固体废物信息</w:t>
                  </w:r>
                </w:p>
              </w:tc>
              <w:tc>
                <w:tcPr>
                  <w:tcW w:w="2168" w:type="dxa"/>
                  <w:vAlign w:val="center"/>
                </w:tcPr>
                <w:p w14:paraId="71E529DD">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项目拟按GB22128-2019管理要求建立电子信息档案，记录报废机动车回收登记、固体废物信息。</w:t>
                  </w:r>
                </w:p>
              </w:tc>
              <w:tc>
                <w:tcPr>
                  <w:tcW w:w="650" w:type="dxa"/>
                  <w:vAlign w:val="center"/>
                </w:tcPr>
                <w:p w14:paraId="4F420125">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r w14:paraId="6B15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515" w:type="dxa"/>
                  <w:vMerge w:val="continue"/>
                  <w:vAlign w:val="center"/>
                </w:tcPr>
                <w:p w14:paraId="1003B99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sz w:val="21"/>
                      <w:szCs w:val="21"/>
                      <w:lang w:val="en-US" w:eastAsia="zh-CN"/>
                    </w:rPr>
                  </w:pPr>
                </w:p>
              </w:tc>
              <w:tc>
                <w:tcPr>
                  <w:tcW w:w="348" w:type="dxa"/>
                  <w:vAlign w:val="center"/>
                </w:tcPr>
                <w:p w14:paraId="4921CDB9">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2</w:t>
                  </w:r>
                </w:p>
              </w:tc>
              <w:tc>
                <w:tcPr>
                  <w:tcW w:w="3197" w:type="dxa"/>
                  <w:vAlign w:val="center"/>
                </w:tcPr>
                <w:p w14:paraId="2620D08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生产经验场所应设置全覆盖的电子监控系统，实时记录报废机动车回收和拆解过程。相关信息保存期限不应低于1年。</w:t>
                  </w:r>
                </w:p>
              </w:tc>
              <w:tc>
                <w:tcPr>
                  <w:tcW w:w="2168" w:type="dxa"/>
                  <w:vAlign w:val="center"/>
                </w:tcPr>
                <w:p w14:paraId="2275B8FE">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建设项目拟按GB22128-2019管理要求设置电子监控系统等要求。</w:t>
                  </w:r>
                </w:p>
              </w:tc>
              <w:tc>
                <w:tcPr>
                  <w:tcW w:w="650" w:type="dxa"/>
                  <w:vAlign w:val="center"/>
                </w:tcPr>
                <w:p w14:paraId="629A4085">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r w14:paraId="4EC5A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515" w:type="dxa"/>
                  <w:vMerge w:val="restart"/>
                  <w:vAlign w:val="center"/>
                </w:tcPr>
                <w:p w14:paraId="4C6FC2A5">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安全要求</w:t>
                  </w:r>
                </w:p>
              </w:tc>
              <w:tc>
                <w:tcPr>
                  <w:tcW w:w="348" w:type="dxa"/>
                  <w:vAlign w:val="center"/>
                </w:tcPr>
                <w:p w14:paraId="60FE56D0">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w:t>
                  </w:r>
                </w:p>
              </w:tc>
              <w:tc>
                <w:tcPr>
                  <w:tcW w:w="3197" w:type="dxa"/>
                  <w:vAlign w:val="center"/>
                </w:tcPr>
                <w:p w14:paraId="74BF8692">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应实施满足GB/T33000要求的安全管理制度，具有水、电、气等安全使用说明，安全生产规程、防火防汛、应急预案等。拆除的安全气囊组件应在易燃、易爆等危险品仓库及高压输电线路防护区域以外引爆，并在引爆区域设有爆炸物安全警示标志和隔离栏。</w:t>
                  </w:r>
                </w:p>
              </w:tc>
              <w:tc>
                <w:tcPr>
                  <w:tcW w:w="2168" w:type="dxa"/>
                  <w:vAlign w:val="center"/>
                </w:tcPr>
                <w:p w14:paraId="0EDB31E3">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建设项目拟实施满足GB/T33000要求的安全管理制度，安全气囊引爆间远离危险品仓库及高压输电线路防护区域。</w:t>
                  </w:r>
                </w:p>
              </w:tc>
              <w:tc>
                <w:tcPr>
                  <w:tcW w:w="650" w:type="dxa"/>
                  <w:vAlign w:val="center"/>
                </w:tcPr>
                <w:p w14:paraId="142A938C">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r w14:paraId="7189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5" w:type="dxa"/>
                  <w:vMerge w:val="continue"/>
                  <w:vAlign w:val="center"/>
                </w:tcPr>
                <w:p w14:paraId="3DB3CBFC">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sz w:val="21"/>
                      <w:szCs w:val="21"/>
                      <w:lang w:val="en-US" w:eastAsia="zh-CN"/>
                    </w:rPr>
                  </w:pPr>
                </w:p>
              </w:tc>
              <w:tc>
                <w:tcPr>
                  <w:tcW w:w="348" w:type="dxa"/>
                  <w:vAlign w:val="center"/>
                </w:tcPr>
                <w:p w14:paraId="4C04C9ED">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2</w:t>
                  </w:r>
                </w:p>
              </w:tc>
              <w:tc>
                <w:tcPr>
                  <w:tcW w:w="3197" w:type="dxa"/>
                  <w:vAlign w:val="center"/>
                </w:tcPr>
                <w:p w14:paraId="7A380592">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电动汽车拆解人员在带电作业过程中应进行安全防护，穿戴好绝缘工作服等必要的安全防护装备。使用的作业工具应是绝缘的或经绝缘处理的。作业时，应有专职监督人员实时监护。</w:t>
                  </w:r>
                </w:p>
              </w:tc>
              <w:tc>
                <w:tcPr>
                  <w:tcW w:w="2168" w:type="dxa"/>
                  <w:vAlign w:val="center"/>
                </w:tcPr>
                <w:p w14:paraId="11468253">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建设项目安全防护工作拟按照GB22128-2019管理要求进行落实。</w:t>
                  </w:r>
                </w:p>
              </w:tc>
              <w:tc>
                <w:tcPr>
                  <w:tcW w:w="650" w:type="dxa"/>
                  <w:vAlign w:val="center"/>
                </w:tcPr>
                <w:p w14:paraId="268648EB">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r w14:paraId="7BE0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515" w:type="dxa"/>
                  <w:vMerge w:val="continue"/>
                  <w:vAlign w:val="center"/>
                </w:tcPr>
                <w:p w14:paraId="2AFFC5AC">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sz w:val="21"/>
                      <w:szCs w:val="21"/>
                      <w:lang w:val="en-US" w:eastAsia="zh-CN"/>
                    </w:rPr>
                  </w:pPr>
                </w:p>
              </w:tc>
              <w:tc>
                <w:tcPr>
                  <w:tcW w:w="348" w:type="dxa"/>
                  <w:vAlign w:val="center"/>
                </w:tcPr>
                <w:p w14:paraId="3871DB92">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3</w:t>
                  </w:r>
                </w:p>
              </w:tc>
              <w:tc>
                <w:tcPr>
                  <w:tcW w:w="3197" w:type="dxa"/>
                  <w:vAlign w:val="center"/>
                </w:tcPr>
                <w:p w14:paraId="7621F6EA">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厂区转移报废电动汽车和动力蓄电池应进行固定，防止碰撞、跌落。</w:t>
                  </w:r>
                </w:p>
              </w:tc>
              <w:tc>
                <w:tcPr>
                  <w:tcW w:w="2168" w:type="dxa"/>
                  <w:vAlign w:val="center"/>
                </w:tcPr>
                <w:p w14:paraId="409E1726">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厂区内转移报废电动汽车和动力蓄电池将进行固定，防碰撞、跌落。</w:t>
                  </w:r>
                </w:p>
              </w:tc>
              <w:tc>
                <w:tcPr>
                  <w:tcW w:w="650" w:type="dxa"/>
                  <w:vAlign w:val="center"/>
                </w:tcPr>
                <w:p w14:paraId="28710C06">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r w14:paraId="24D4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515" w:type="dxa"/>
                  <w:vMerge w:val="continue"/>
                  <w:vAlign w:val="center"/>
                </w:tcPr>
                <w:p w14:paraId="0C55272F">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sz w:val="21"/>
                      <w:szCs w:val="21"/>
                      <w:lang w:val="en-US" w:eastAsia="zh-CN"/>
                    </w:rPr>
                  </w:pPr>
                </w:p>
              </w:tc>
              <w:tc>
                <w:tcPr>
                  <w:tcW w:w="348" w:type="dxa"/>
                  <w:vAlign w:val="center"/>
                </w:tcPr>
                <w:p w14:paraId="505CDDC5">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4</w:t>
                  </w:r>
                </w:p>
              </w:tc>
              <w:tc>
                <w:tcPr>
                  <w:tcW w:w="3197" w:type="dxa"/>
                  <w:vAlign w:val="center"/>
                </w:tcPr>
                <w:p w14:paraId="751BD3AA">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场地内应设置相应的安全标志，安全标志的使用应满足GB2894中关于禁止、警告、指令提示标志的要求。</w:t>
                  </w:r>
                </w:p>
              </w:tc>
              <w:tc>
                <w:tcPr>
                  <w:tcW w:w="2168" w:type="dxa"/>
                  <w:vAlign w:val="center"/>
                </w:tcPr>
                <w:p w14:paraId="70D3229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场地内将设置相应安全标志，按照GB22128-2019管理要求进行落实。</w:t>
                  </w:r>
                </w:p>
              </w:tc>
              <w:tc>
                <w:tcPr>
                  <w:tcW w:w="650" w:type="dxa"/>
                  <w:vAlign w:val="center"/>
                </w:tcPr>
                <w:p w14:paraId="0E5BED33">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r w14:paraId="6E8C7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515" w:type="dxa"/>
                  <w:vMerge w:val="continue"/>
                  <w:vAlign w:val="center"/>
                </w:tcPr>
                <w:p w14:paraId="387D9989">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sz w:val="21"/>
                      <w:szCs w:val="21"/>
                      <w:lang w:val="en-US" w:eastAsia="zh-CN"/>
                    </w:rPr>
                  </w:pPr>
                </w:p>
              </w:tc>
              <w:tc>
                <w:tcPr>
                  <w:tcW w:w="348" w:type="dxa"/>
                  <w:vAlign w:val="center"/>
                </w:tcPr>
                <w:p w14:paraId="2D8F33C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5</w:t>
                  </w:r>
                </w:p>
              </w:tc>
              <w:tc>
                <w:tcPr>
                  <w:tcW w:w="3197" w:type="dxa"/>
                  <w:vAlign w:val="center"/>
                </w:tcPr>
                <w:p w14:paraId="210B6123">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应按照GBZ188的规定对接触汽油等有害化学因素，噪声、手传振动等有害物理因素的作业人员及粉尘、电工、压力容器等作业人员进行监护。</w:t>
                  </w:r>
                </w:p>
              </w:tc>
              <w:tc>
                <w:tcPr>
                  <w:tcW w:w="2168" w:type="dxa"/>
                  <w:vAlign w:val="center"/>
                </w:tcPr>
                <w:p w14:paraId="015055C6">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建设单位将按GBZ188的规定对接触有害化学因素和有害物理因素的作业人员进行监护。</w:t>
                  </w:r>
                </w:p>
              </w:tc>
              <w:tc>
                <w:tcPr>
                  <w:tcW w:w="650" w:type="dxa"/>
                  <w:vAlign w:val="center"/>
                </w:tcPr>
                <w:p w14:paraId="47CE0D6C">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r w14:paraId="6B6A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515" w:type="dxa"/>
                  <w:vMerge w:val="restart"/>
                  <w:vAlign w:val="center"/>
                </w:tcPr>
                <w:p w14:paraId="2E76B4EF">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环保要求</w:t>
                  </w:r>
                </w:p>
              </w:tc>
              <w:tc>
                <w:tcPr>
                  <w:tcW w:w="348" w:type="dxa"/>
                  <w:vAlign w:val="center"/>
                </w:tcPr>
                <w:p w14:paraId="5C686225">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3197" w:type="dxa"/>
                  <w:vAlign w:val="center"/>
                </w:tcPr>
                <w:p w14:paraId="4AF09525">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报废机动车拆解过程应满足HJ348中所规定的清污分流。污水达标排放等环境保护和污染控制的相关要求。</w:t>
                  </w:r>
                </w:p>
              </w:tc>
              <w:tc>
                <w:tcPr>
                  <w:tcW w:w="2168" w:type="dxa"/>
                  <w:vAlign w:val="center"/>
                </w:tcPr>
                <w:p w14:paraId="3F0593DE">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项目实行“雨污分流”排水体制，满足HJ348中所规定的环境保护和污染控制的相关要求。</w:t>
                  </w:r>
                </w:p>
              </w:tc>
              <w:tc>
                <w:tcPr>
                  <w:tcW w:w="650" w:type="dxa"/>
                  <w:vAlign w:val="center"/>
                </w:tcPr>
                <w:p w14:paraId="59B1E46F">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52C5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5" w:type="dxa"/>
                  <w:vMerge w:val="continue"/>
                  <w:vAlign w:val="center"/>
                </w:tcPr>
                <w:p w14:paraId="19DCF2E7">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rPr>
                  </w:pPr>
                </w:p>
              </w:tc>
              <w:tc>
                <w:tcPr>
                  <w:tcW w:w="348" w:type="dxa"/>
                  <w:vAlign w:val="center"/>
                </w:tcPr>
                <w:p w14:paraId="5D5E2565">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sz w:val="21"/>
                      <w:szCs w:val="21"/>
                      <w:lang w:val="en-US" w:eastAsia="zh-CN"/>
                    </w:rPr>
                    <w:t>2</w:t>
                  </w:r>
                </w:p>
              </w:tc>
              <w:tc>
                <w:tcPr>
                  <w:tcW w:w="3197" w:type="dxa"/>
                  <w:vAlign w:val="center"/>
                </w:tcPr>
                <w:p w14:paraId="46D1CA6C">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应实施满足危险废物规范化管理要求的环境管理制度，其中对列入《国家危险废物名录》的危险废物应严格按照有关规定进行管理</w:t>
                  </w:r>
                </w:p>
              </w:tc>
              <w:tc>
                <w:tcPr>
                  <w:tcW w:w="2168" w:type="dxa"/>
                  <w:vAlign w:val="center"/>
                </w:tcPr>
                <w:p w14:paraId="64CE08C7">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sz w:val="21"/>
                      <w:szCs w:val="21"/>
                      <w:lang w:val="en-US" w:eastAsia="zh-CN"/>
                    </w:rPr>
                    <w:t>营运期将按GB22128-2019管理要求落实危险废物规范化管理。</w:t>
                  </w:r>
                </w:p>
              </w:tc>
              <w:tc>
                <w:tcPr>
                  <w:tcW w:w="650" w:type="dxa"/>
                  <w:vAlign w:val="center"/>
                </w:tcPr>
                <w:p w14:paraId="23D8A9A5">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相符</w:t>
                  </w:r>
                </w:p>
              </w:tc>
            </w:tr>
            <w:tr w14:paraId="7FEC8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5" w:type="dxa"/>
                  <w:vMerge w:val="continue"/>
                  <w:vAlign w:val="center"/>
                </w:tcPr>
                <w:p w14:paraId="381EAD1F">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rPr>
                  </w:pPr>
                </w:p>
              </w:tc>
              <w:tc>
                <w:tcPr>
                  <w:tcW w:w="348" w:type="dxa"/>
                  <w:vAlign w:val="center"/>
                </w:tcPr>
                <w:p w14:paraId="708A5E3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w:t>
                  </w:r>
                </w:p>
              </w:tc>
              <w:tc>
                <w:tcPr>
                  <w:tcW w:w="3197" w:type="dxa"/>
                  <w:vAlign w:val="center"/>
                </w:tcPr>
                <w:p w14:paraId="5C723837">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应满足GB12348中所规定的2类声环境功能区工业企业厂界环境噪声排放限值要求。</w:t>
                  </w:r>
                </w:p>
              </w:tc>
              <w:tc>
                <w:tcPr>
                  <w:tcW w:w="2168" w:type="dxa"/>
                  <w:vAlign w:val="center"/>
                </w:tcPr>
                <w:p w14:paraId="7FB81177">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项目采取隔音降噪措施后满足GB12348中所规定的2类声环境功能区工业企业厂界环境噪声排放限值要求。</w:t>
                  </w:r>
                </w:p>
              </w:tc>
              <w:tc>
                <w:tcPr>
                  <w:tcW w:w="650" w:type="dxa"/>
                  <w:vAlign w:val="center"/>
                </w:tcPr>
                <w:p w14:paraId="13F3B0BB">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3187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15" w:type="dxa"/>
                  <w:vAlign w:val="center"/>
                </w:tcPr>
                <w:p w14:paraId="65E73736">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回收技术要求</w:t>
                  </w:r>
                </w:p>
              </w:tc>
              <w:tc>
                <w:tcPr>
                  <w:tcW w:w="348" w:type="dxa"/>
                  <w:vAlign w:val="center"/>
                </w:tcPr>
                <w:p w14:paraId="7D269FFD">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3197" w:type="dxa"/>
                  <w:vAlign w:val="center"/>
                </w:tcPr>
                <w:p w14:paraId="05626126">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收到报废机动车后，应检查发动机、散热器、变速器、差速器、油箱和燃料罐等总成部件的密封破损情况。对于出现泄漏的总成部件，应采用适当的方式收集泄漏的液体或封住泄漏处，防治废液渗入地下。</w:t>
                  </w:r>
                </w:p>
              </w:tc>
              <w:tc>
                <w:tcPr>
                  <w:tcW w:w="2168" w:type="dxa"/>
                  <w:vAlign w:val="center"/>
                </w:tcPr>
                <w:p w14:paraId="43B3BAF0">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建设项目拟按GB22128-2019管理要求落实，检查总成部件的密封破损情况，对出现泄漏的总成采用防范措施防止废液渗入地下。</w:t>
                  </w:r>
                </w:p>
              </w:tc>
              <w:tc>
                <w:tcPr>
                  <w:tcW w:w="650" w:type="dxa"/>
                  <w:vAlign w:val="center"/>
                </w:tcPr>
                <w:p w14:paraId="29AADF60">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6AD8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5" w:type="dxa"/>
                  <w:vMerge w:val="restart"/>
                  <w:vAlign w:val="center"/>
                </w:tcPr>
                <w:p w14:paraId="5BA8D88F">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储存技术要求</w:t>
                  </w:r>
                </w:p>
              </w:tc>
              <w:tc>
                <w:tcPr>
                  <w:tcW w:w="348" w:type="dxa"/>
                  <w:vAlign w:val="center"/>
                </w:tcPr>
                <w:p w14:paraId="1041948D">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3197" w:type="dxa"/>
                  <w:vAlign w:val="center"/>
                </w:tcPr>
                <w:p w14:paraId="6704D549">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报废机动车贮存：</w:t>
                  </w:r>
                </w:p>
                <w:p w14:paraId="40F149B7">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①所有车辆应避免侧放、倒放。②机动车如需叠放，应使上下车辆的重心尽量重合，且不应超过3层。2层和3层叠放时，高度分别不应超过3米和4.5米。大型车辆应单层平置。采用框架结果存放的，要保证安全性，并易于装卸。</w:t>
                  </w:r>
                </w:p>
              </w:tc>
              <w:tc>
                <w:tcPr>
                  <w:tcW w:w="2168" w:type="dxa"/>
                  <w:vAlign w:val="center"/>
                </w:tcPr>
                <w:p w14:paraId="51BAB67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建设项目机动车贮存拟按</w:t>
                  </w:r>
                  <w:r>
                    <w:rPr>
                      <w:rFonts w:hint="eastAsia" w:ascii="Times New Roman" w:hAnsi="Times New Roman" w:cs="Times New Roman"/>
                      <w:sz w:val="21"/>
                      <w:szCs w:val="21"/>
                      <w:lang w:val="en-US" w:eastAsia="zh-CN"/>
                    </w:rPr>
                    <w:t>GB22128-2019管理要求进行落实，所有车辆应避免侧放、倒放；大型车不得叠放，小型车叠放不得超过3层，且不得超过4.5米。</w:t>
                  </w:r>
                </w:p>
              </w:tc>
              <w:tc>
                <w:tcPr>
                  <w:tcW w:w="650" w:type="dxa"/>
                  <w:vAlign w:val="center"/>
                </w:tcPr>
                <w:p w14:paraId="64DB8545">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11E8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5" w:type="dxa"/>
                  <w:vMerge w:val="continue"/>
                  <w:vAlign w:val="center"/>
                </w:tcPr>
                <w:p w14:paraId="17C95182">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sz w:val="21"/>
                      <w:szCs w:val="21"/>
                      <w:lang w:val="en-US" w:eastAsia="zh-CN"/>
                    </w:rPr>
                  </w:pPr>
                </w:p>
              </w:tc>
              <w:tc>
                <w:tcPr>
                  <w:tcW w:w="348" w:type="dxa"/>
                  <w:vAlign w:val="center"/>
                </w:tcPr>
                <w:p w14:paraId="3E427A7A">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p>
              </w:tc>
              <w:tc>
                <w:tcPr>
                  <w:tcW w:w="3197" w:type="dxa"/>
                  <w:vAlign w:val="center"/>
                </w:tcPr>
                <w:p w14:paraId="4D9952F4">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固体废物贮存：</w:t>
                  </w:r>
                </w:p>
                <w:p w14:paraId="3D302F73">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①固体废物的贮存设施建设应符合GB18599、GB18597、H2025的要求。②一般工业固体废物贮存设施及包装物应按GB15562.2进行标识，危险废物贮存设施及包装物的标志应符合GB18597的要求。所有固体废物应避免混合、混放。③妥善处置固体废物，不应非法转移、倾倒、利用和处置。④不同类型的制冷剂应分别回收，使用专门容器单独存放。⑤废弃电器、铅酸蓄电池贮存场地不得有明火。⑥容器和装置要防漏和防治撒溅，未引爆安全气囊的贮存装置应防爆，并对其进行日常性检查。⑦对拆解后的所有固体废物分类贮存和标识。</w:t>
                  </w:r>
                </w:p>
              </w:tc>
              <w:tc>
                <w:tcPr>
                  <w:tcW w:w="2168" w:type="dxa"/>
                  <w:vAlign w:val="center"/>
                </w:tcPr>
                <w:p w14:paraId="7A87572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cs="Times New Roman"/>
                      <w:kern w:val="0"/>
                      <w:szCs w:val="21"/>
                      <w:lang w:val="en-US" w:eastAsia="zh-CN"/>
                    </w:rPr>
                  </w:pPr>
                  <w:r>
                    <w:rPr>
                      <w:rFonts w:hint="eastAsia" w:cs="Times New Roman"/>
                      <w:kern w:val="0"/>
                      <w:szCs w:val="21"/>
                      <w:lang w:val="en-US" w:eastAsia="zh-CN"/>
                    </w:rPr>
                    <w:t>①固体废物暂存间的建设按照GB18599、GB18597、HJ2025的要求落实。</w:t>
                  </w:r>
                </w:p>
                <w:p w14:paraId="2E88CEC6">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cs="Times New Roman"/>
                      <w:kern w:val="0"/>
                      <w:szCs w:val="21"/>
                      <w:lang w:val="en-US" w:eastAsia="zh-CN"/>
                    </w:rPr>
                  </w:pPr>
                  <w:r>
                    <w:rPr>
                      <w:rFonts w:hint="eastAsia" w:cs="Times New Roman"/>
                      <w:kern w:val="0"/>
                      <w:szCs w:val="21"/>
                      <w:lang w:val="en-US" w:eastAsia="zh-CN"/>
                    </w:rPr>
                    <w:t>②一般工业固体废物贮存设施及包装物按照GB15562.2管理要求落实；危险废物贮存设施及包装物的标志按GB18597管理要求落实。各类固体废物均按GB22128-2019管理要求进行落实。</w:t>
                  </w:r>
                </w:p>
              </w:tc>
              <w:tc>
                <w:tcPr>
                  <w:tcW w:w="650" w:type="dxa"/>
                  <w:vAlign w:val="center"/>
                </w:tcPr>
                <w:p w14:paraId="3C8D5D2B">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相符</w:t>
                  </w:r>
                </w:p>
              </w:tc>
            </w:tr>
            <w:tr w14:paraId="1C58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5" w:type="dxa"/>
                  <w:vMerge w:val="continue"/>
                  <w:vAlign w:val="center"/>
                </w:tcPr>
                <w:p w14:paraId="07455756">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sz w:val="21"/>
                      <w:szCs w:val="21"/>
                      <w:lang w:val="en-US" w:eastAsia="zh-CN"/>
                    </w:rPr>
                  </w:pPr>
                </w:p>
              </w:tc>
              <w:tc>
                <w:tcPr>
                  <w:tcW w:w="348" w:type="dxa"/>
                  <w:vAlign w:val="center"/>
                </w:tcPr>
                <w:p w14:paraId="1AA4D22C">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3197" w:type="dxa"/>
                  <w:vAlign w:val="center"/>
                </w:tcPr>
                <w:p w14:paraId="2BFDD95B">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回用件贮存：</w:t>
                  </w:r>
                </w:p>
                <w:p w14:paraId="64DFD33F">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①回用件应分类贮存和标识，存放在封闭或半封闭的贮存场地中。②回用件贮存前应做清洁等处理。</w:t>
                  </w:r>
                </w:p>
              </w:tc>
              <w:tc>
                <w:tcPr>
                  <w:tcW w:w="2168" w:type="dxa"/>
                  <w:vAlign w:val="center"/>
                </w:tcPr>
                <w:p w14:paraId="71F62AB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kern w:val="0"/>
                      <w:szCs w:val="21"/>
                      <w:lang w:val="en-US" w:eastAsia="zh-CN"/>
                    </w:rPr>
                  </w:pPr>
                  <w:r>
                    <w:rPr>
                      <w:rFonts w:hint="eastAsia" w:cs="Times New Roman"/>
                      <w:kern w:val="0"/>
                      <w:szCs w:val="21"/>
                      <w:lang w:val="en-US" w:eastAsia="zh-CN"/>
                    </w:rPr>
                    <w:t>项目按照</w:t>
                  </w:r>
                  <w:r>
                    <w:rPr>
                      <w:rFonts w:hint="eastAsia" w:ascii="Times New Roman" w:hAnsi="Times New Roman" w:cs="Times New Roman"/>
                      <w:sz w:val="21"/>
                      <w:szCs w:val="21"/>
                      <w:lang w:val="en-US" w:eastAsia="zh-CN"/>
                    </w:rPr>
                    <w:t>GB22128-2019管理要求落实，回用件分类贮存和标识在产品贮存区。</w:t>
                  </w:r>
                </w:p>
              </w:tc>
              <w:tc>
                <w:tcPr>
                  <w:tcW w:w="650" w:type="dxa"/>
                  <w:vAlign w:val="center"/>
                </w:tcPr>
                <w:p w14:paraId="5F0D3FED">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r w14:paraId="3837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5" w:type="dxa"/>
                  <w:vMerge w:val="restart"/>
                  <w:vAlign w:val="center"/>
                </w:tcPr>
                <w:p w14:paraId="7CE21889">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拆解技术要求</w:t>
                  </w:r>
                </w:p>
              </w:tc>
              <w:tc>
                <w:tcPr>
                  <w:tcW w:w="348" w:type="dxa"/>
                  <w:vAlign w:val="center"/>
                </w:tcPr>
                <w:p w14:paraId="0D921109">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3197" w:type="dxa"/>
                  <w:vAlign w:val="center"/>
                </w:tcPr>
                <w:p w14:paraId="7B738BC9">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一般要求：</w:t>
                  </w:r>
                </w:p>
                <w:p w14:paraId="34FF143E">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①应按照机动车生产企业提供的拆解手册进行合理拆解，没有拆解手册的，参照同类其他车辆拆解。</w:t>
                  </w:r>
                </w:p>
                <w:p w14:paraId="74C7799F">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②报废机动车拆解时，应采用合适的工具、设备与工艺，尽可能保证零部件的可再生利用性以及材料的可回收利用性。</w:t>
                  </w:r>
                </w:p>
              </w:tc>
              <w:tc>
                <w:tcPr>
                  <w:tcW w:w="2168" w:type="dxa"/>
                  <w:vAlign w:val="center"/>
                </w:tcPr>
                <w:p w14:paraId="1BA272C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kern w:val="0"/>
                      <w:szCs w:val="21"/>
                      <w:lang w:val="en-US" w:eastAsia="zh-CN"/>
                    </w:rPr>
                  </w:pPr>
                  <w:r>
                    <w:rPr>
                      <w:rFonts w:hint="eastAsia" w:cs="Times New Roman"/>
                      <w:kern w:val="0"/>
                      <w:szCs w:val="21"/>
                      <w:lang w:val="en-US" w:eastAsia="zh-CN"/>
                    </w:rPr>
                    <w:t>项目按照</w:t>
                  </w:r>
                  <w:r>
                    <w:rPr>
                      <w:rFonts w:hint="eastAsia" w:ascii="Times New Roman" w:hAnsi="Times New Roman" w:cs="Times New Roman"/>
                      <w:sz w:val="21"/>
                      <w:szCs w:val="21"/>
                      <w:lang w:val="en-US" w:eastAsia="zh-CN"/>
                    </w:rPr>
                    <w:t>GB22128-2019管理要求中拆解技术要求进行拆解。</w:t>
                  </w:r>
                </w:p>
              </w:tc>
              <w:tc>
                <w:tcPr>
                  <w:tcW w:w="650" w:type="dxa"/>
                  <w:vAlign w:val="center"/>
                </w:tcPr>
                <w:p w14:paraId="34BAF37C">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r w14:paraId="5225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5" w:type="dxa"/>
                  <w:vMerge w:val="continue"/>
                  <w:vAlign w:val="center"/>
                </w:tcPr>
                <w:p w14:paraId="008806C6">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sz w:val="21"/>
                      <w:szCs w:val="21"/>
                      <w:lang w:val="en-US" w:eastAsia="zh-CN"/>
                    </w:rPr>
                  </w:pPr>
                </w:p>
              </w:tc>
              <w:tc>
                <w:tcPr>
                  <w:tcW w:w="348" w:type="dxa"/>
                  <w:vAlign w:val="center"/>
                </w:tcPr>
                <w:p w14:paraId="33F07B64">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3197" w:type="dxa"/>
                  <w:vAlign w:val="center"/>
                </w:tcPr>
                <w:p w14:paraId="097D7792">
                  <w:pPr>
                    <w:keepNext w:val="0"/>
                    <w:keepLines w:val="0"/>
                    <w:widowControl/>
                    <w:suppressLineNumbers w:val="0"/>
                    <w:jc w:val="left"/>
                  </w:pPr>
                  <w:r>
                    <w:rPr>
                      <w:rFonts w:hint="eastAsia" w:ascii="宋体" w:hAnsi="宋体" w:eastAsia="宋体" w:cs="宋体"/>
                      <w:b w:val="0"/>
                      <w:bCs w:val="0"/>
                      <w:color w:val="000000"/>
                      <w:kern w:val="0"/>
                      <w:sz w:val="20"/>
                      <w:szCs w:val="20"/>
                      <w:lang w:val="en-US" w:eastAsia="zh-CN" w:bidi="ar"/>
                    </w:rPr>
                    <w:t>传统燃料机动车：</w:t>
                  </w:r>
                  <w:r>
                    <w:rPr>
                      <w:rFonts w:hint="eastAsia" w:ascii="宋体" w:hAnsi="宋体" w:eastAsia="宋体" w:cs="宋体"/>
                      <w:b/>
                      <w:bCs/>
                      <w:color w:val="000000"/>
                      <w:kern w:val="0"/>
                      <w:sz w:val="20"/>
                      <w:szCs w:val="20"/>
                      <w:lang w:val="en-US" w:eastAsia="zh-CN" w:bidi="ar"/>
                    </w:rPr>
                    <w:t xml:space="preserve"> </w:t>
                  </w:r>
                </w:p>
                <w:p w14:paraId="04F06484">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 xml:space="preserve">）拆解预处理技术要求：①在室内或有防雨顶棚的拆解预处理平台上使用专用工具排空存留在车内的废液，并使用专用容器分类回收；②拆除铅酸蓄电池； </w:t>
                  </w:r>
                </w:p>
                <w:p w14:paraId="05E5BE17">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③用专门设备回收机动车空桶制冷剂；④拆除邮箱和燃料罐；⑤拆除机油滤清器；⑥直接引爆安全气囊或者拆除安全气囊组件后引爆；⑦拆除催化系统。 </w:t>
                  </w:r>
                </w:p>
                <w:p w14:paraId="22F29C12">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2</w:t>
                  </w:r>
                  <w:r>
                    <w:rPr>
                      <w:rFonts w:hint="eastAsia" w:ascii="Times New Roman" w:hAnsi="Times New Roman" w:eastAsia="宋体" w:cs="Times New Roman"/>
                      <w:sz w:val="21"/>
                      <w:szCs w:val="21"/>
                      <w:lang w:val="en-US" w:eastAsia="zh-CN"/>
                    </w:rPr>
                    <w:t>）拆解技术要求：①拆除玻璃；②拆除消声器、转向锁总成、停车装置、倒车雷达及电子控制模板；③拆除车轮并拆下轮胎；④拆除能有效回收铜、铝、镁的金属部件；⑤拆除能有效回收的大型塑料件；⑥拆除橡胶制品部件；⑦拆除有关总成和其他零部件，并符合相关法规要求。</w:t>
                  </w:r>
                </w:p>
              </w:tc>
              <w:tc>
                <w:tcPr>
                  <w:tcW w:w="2168" w:type="dxa"/>
                  <w:vAlign w:val="center"/>
                </w:tcPr>
                <w:p w14:paraId="209BBF5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根据工艺流程可知，建设项目将按照</w:t>
                  </w:r>
                  <w:r>
                    <w:rPr>
                      <w:rFonts w:hint="default" w:ascii="Times New Roman" w:hAnsi="Times New Roman" w:eastAsia="宋体" w:cs="Times New Roman"/>
                      <w:sz w:val="21"/>
                      <w:szCs w:val="21"/>
                      <w:lang w:val="en-US" w:eastAsia="zh-CN"/>
                    </w:rPr>
                    <w:t>GB22128-2019</w:t>
                  </w:r>
                  <w:r>
                    <w:rPr>
                      <w:rFonts w:hint="eastAsia" w:ascii="Times New Roman" w:hAnsi="Times New Roman" w:eastAsia="宋体" w:cs="Times New Roman"/>
                      <w:sz w:val="21"/>
                      <w:szCs w:val="21"/>
                      <w:lang w:val="en-US" w:eastAsia="zh-CN"/>
                    </w:rPr>
                    <w:t>中拆解技术要求对传统燃料机动车进行拆解预处理和拆解。</w:t>
                  </w:r>
                </w:p>
                <w:p w14:paraId="5FDC3B5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kern w:val="0"/>
                      <w:szCs w:val="21"/>
                      <w:lang w:val="en-US" w:eastAsia="zh-CN"/>
                    </w:rPr>
                  </w:pPr>
                </w:p>
              </w:tc>
              <w:tc>
                <w:tcPr>
                  <w:tcW w:w="650" w:type="dxa"/>
                  <w:vAlign w:val="center"/>
                </w:tcPr>
                <w:p w14:paraId="3FDDD992">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r w14:paraId="7C15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5" w:type="dxa"/>
                  <w:vMerge w:val="continue"/>
                  <w:vAlign w:val="center"/>
                </w:tcPr>
                <w:p w14:paraId="070E3217">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sz w:val="21"/>
                      <w:szCs w:val="21"/>
                      <w:lang w:val="en-US" w:eastAsia="zh-CN"/>
                    </w:rPr>
                  </w:pPr>
                </w:p>
              </w:tc>
              <w:tc>
                <w:tcPr>
                  <w:tcW w:w="348" w:type="dxa"/>
                  <w:vAlign w:val="center"/>
                </w:tcPr>
                <w:p w14:paraId="3868EB3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3197" w:type="dxa"/>
                  <w:vAlign w:val="center"/>
                </w:tcPr>
                <w:p w14:paraId="072C956F">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电动汽车： </w:t>
                  </w:r>
                </w:p>
                <w:p w14:paraId="3E529B01">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（1） 动力蓄电池拆卸预处理技术要求：①检查车身有无漏液、有无带电；②检查动力蓄电池布局和安装位置，确认诊断口是否完好；③对动力蓄电池电压、温度等参数进行检测；④断开动力蓄电池高压回路；⑤在室内或有防雨顶棚排空存留的废液；⑥使用防静电设备回收电动汽车空调制冷剂。 </w:t>
                  </w:r>
                </w:p>
                <w:p w14:paraId="1FD5F41A">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 动力蓄电池拆卸技术要求：①拆卸动力蓄电池阻挡部件，如引擎盖、车盖等，②断开电压线束拆卸不同安装位置的动力蓄电池；③收集采用液冷结构方式散热的蓄电池内的冷却液；④对拆卸下的动力蓄电池接头做结缘处理并贴上标签；⑤收集电机总成内残留冷却液后，拆除驱动电机。</w:t>
                  </w:r>
                </w:p>
              </w:tc>
              <w:tc>
                <w:tcPr>
                  <w:tcW w:w="2168" w:type="dxa"/>
                  <w:vAlign w:val="center"/>
                </w:tcPr>
                <w:p w14:paraId="2019EFB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kern w:val="0"/>
                      <w:szCs w:val="21"/>
                      <w:lang w:val="en-US" w:eastAsia="zh-CN"/>
                    </w:rPr>
                  </w:pPr>
                  <w:r>
                    <w:rPr>
                      <w:rFonts w:hint="eastAsia" w:ascii="宋体" w:hAnsi="宋体" w:eastAsia="宋体" w:cs="宋体"/>
                      <w:color w:val="000000"/>
                      <w:kern w:val="0"/>
                      <w:sz w:val="20"/>
                      <w:szCs w:val="20"/>
                      <w:lang w:val="en-US" w:eastAsia="zh-CN" w:bidi="ar"/>
                    </w:rPr>
                    <w:t>按</w:t>
                  </w:r>
                  <w:r>
                    <w:rPr>
                      <w:rFonts w:hint="eastAsia" w:ascii="Times New Roman" w:hAnsi="Times New Roman" w:eastAsia="宋体" w:cs="Times New Roman"/>
                      <w:sz w:val="21"/>
                      <w:szCs w:val="21"/>
                      <w:lang w:val="en-US" w:eastAsia="zh-CN"/>
                    </w:rPr>
                    <w:t>照</w:t>
                  </w:r>
                  <w:r>
                    <w:rPr>
                      <w:rFonts w:hint="default" w:ascii="Times New Roman" w:hAnsi="Times New Roman" w:eastAsia="宋体" w:cs="Times New Roman"/>
                      <w:sz w:val="21"/>
                      <w:szCs w:val="21"/>
                      <w:lang w:val="en-US" w:eastAsia="zh-CN"/>
                    </w:rPr>
                    <w:t>GB22128-2019</w:t>
                  </w:r>
                  <w:r>
                    <w:rPr>
                      <w:rFonts w:hint="eastAsia" w:ascii="Times New Roman" w:hAnsi="Times New Roman" w:eastAsia="宋体" w:cs="Times New Roman"/>
                      <w:sz w:val="21"/>
                      <w:szCs w:val="21"/>
                      <w:lang w:val="en-US" w:eastAsia="zh-CN"/>
                    </w:rPr>
                    <w:t>中电动汽车拆解要求拆卸动力蓄电池。动力蓄电池的贮存按照WB/T1061的贮存要求执行；动力蓄电池多层贮存时采取框架结构并确保承重安全，且便于存取；存在漏电、漏液、破损等安全隐患的动力蓄电池拟采取适当方式处理，并隔离存放。</w:t>
                  </w:r>
                </w:p>
              </w:tc>
              <w:tc>
                <w:tcPr>
                  <w:tcW w:w="650" w:type="dxa"/>
                  <w:vAlign w:val="center"/>
                </w:tcPr>
                <w:p w14:paraId="6B50E05B">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bl>
          <w:p w14:paraId="760DA2B3">
            <w:pPr>
              <w:pStyle w:val="29"/>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 w:val="0"/>
                <w:bCs/>
                <w:lang w:val="en-US" w:eastAsia="zh-CN"/>
              </w:rPr>
            </w:pPr>
            <w:r>
              <w:rPr>
                <w:rFonts w:hint="eastAsia" w:ascii="宋体" w:hAnsi="宋体" w:eastAsia="宋体" w:cs="宋体"/>
                <w:b w:val="0"/>
                <w:bCs/>
              </w:rPr>
              <w:t>由上表可知，本项目的建设符合《报废机动车回收拆解企业技术规范</w:t>
            </w:r>
            <w:r>
              <w:rPr>
                <w:rFonts w:hint="default" w:ascii="Times New Roman" w:hAnsi="Times New Roman" w:eastAsia="宋体" w:cs="Times New Roman"/>
                <w:b w:val="0"/>
                <w:bCs/>
              </w:rPr>
              <w:t>》</w:t>
            </w:r>
            <w:r>
              <w:rPr>
                <w:rFonts w:hint="default" w:ascii="Times New Roman" w:hAnsi="Times New Roman" w:eastAsia="宋体" w:cs="Times New Roman"/>
                <w:b w:val="0"/>
                <w:bCs/>
                <w:lang w:eastAsia="zh-CN"/>
              </w:rPr>
              <w:t>（</w:t>
            </w:r>
            <w:r>
              <w:rPr>
                <w:rFonts w:hint="default" w:ascii="Times New Roman" w:hAnsi="Times New Roman" w:eastAsia="宋体" w:cs="Times New Roman"/>
                <w:b w:val="0"/>
                <w:bCs/>
                <w:lang w:val="en-US" w:eastAsia="zh-CN"/>
              </w:rPr>
              <w:t>GB22128-2019</w:t>
            </w:r>
            <w:r>
              <w:rPr>
                <w:rFonts w:hint="default" w:ascii="Times New Roman" w:hAnsi="Times New Roman" w:eastAsia="宋体" w:cs="Times New Roman"/>
                <w:b w:val="0"/>
                <w:bCs/>
                <w:lang w:eastAsia="zh-CN"/>
              </w:rPr>
              <w:t>）</w:t>
            </w:r>
            <w:r>
              <w:rPr>
                <w:rFonts w:hint="default" w:ascii="Times New Roman" w:hAnsi="Times New Roman" w:eastAsia="宋体" w:cs="Times New Roman"/>
                <w:b w:val="0"/>
                <w:bCs/>
                <w:lang w:val="en-US" w:eastAsia="zh-CN"/>
              </w:rPr>
              <w:t>中的</w:t>
            </w:r>
            <w:r>
              <w:rPr>
                <w:rFonts w:hint="default" w:ascii="Times New Roman" w:hAnsi="Times New Roman" w:eastAsia="宋体" w:cs="Times New Roman"/>
                <w:b w:val="0"/>
                <w:bCs/>
              </w:rPr>
              <w:t>相关要</w:t>
            </w:r>
            <w:r>
              <w:rPr>
                <w:rFonts w:hint="eastAsia" w:ascii="宋体" w:hAnsi="宋体" w:eastAsia="宋体" w:cs="宋体"/>
                <w:b w:val="0"/>
                <w:bCs/>
              </w:rPr>
              <w:t>求。</w:t>
            </w:r>
          </w:p>
          <w:p w14:paraId="32263699">
            <w:pPr>
              <w:pStyle w:val="20"/>
              <w:spacing w:before="0" w:beforeAutospacing="0" w:after="0" w:afterAutospacing="0" w:line="360" w:lineRule="auto"/>
              <w:jc w:val="both"/>
              <w:rPr>
                <w:rFonts w:hint="default" w:ascii="Times New Roman" w:hAnsi="Times New Roman" w:cs="Times New Roman"/>
                <w:b/>
                <w:bCs/>
              </w:rPr>
            </w:pPr>
            <w:r>
              <w:rPr>
                <w:rFonts w:hint="default" w:ascii="Times New Roman" w:hAnsi="Times New Roman" w:cs="Times New Roman"/>
                <w:b/>
                <w:bCs/>
              </w:rPr>
              <w:t>（</w:t>
            </w:r>
            <w:r>
              <w:rPr>
                <w:rFonts w:hint="eastAsia" w:ascii="Times New Roman" w:hAnsi="Times New Roman" w:cs="Times New Roman"/>
                <w:b/>
                <w:bCs/>
                <w:lang w:val="en-US" w:eastAsia="zh-CN"/>
              </w:rPr>
              <w:t>5</w:t>
            </w:r>
            <w:r>
              <w:rPr>
                <w:rFonts w:hint="default" w:ascii="Times New Roman" w:hAnsi="Times New Roman" w:cs="Times New Roman"/>
                <w:b/>
                <w:bCs/>
              </w:rPr>
              <w:t>）与《报废机动车拆解</w:t>
            </w:r>
            <w:r>
              <w:rPr>
                <w:rFonts w:hint="eastAsia" w:ascii="Times New Roman" w:hAnsi="Times New Roman" w:cs="Times New Roman"/>
                <w:b/>
                <w:bCs/>
                <w:lang w:val="en-US" w:eastAsia="zh-CN"/>
              </w:rPr>
              <w:t>企业污染控制</w:t>
            </w:r>
            <w:r>
              <w:rPr>
                <w:rFonts w:hint="default" w:ascii="Times New Roman" w:hAnsi="Times New Roman" w:cs="Times New Roman"/>
                <w:b/>
                <w:bCs/>
              </w:rPr>
              <w:t>技术规范》（HJ348-20</w:t>
            </w:r>
            <w:r>
              <w:rPr>
                <w:rFonts w:hint="eastAsia" w:ascii="Times New Roman" w:hAnsi="Times New Roman" w:cs="Times New Roman"/>
                <w:b/>
                <w:bCs/>
                <w:lang w:val="en-US" w:eastAsia="zh-CN"/>
              </w:rPr>
              <w:t>22</w:t>
            </w:r>
            <w:r>
              <w:rPr>
                <w:rFonts w:hint="default" w:ascii="Times New Roman" w:hAnsi="Times New Roman" w:cs="Times New Roman"/>
                <w:b/>
                <w:bCs/>
              </w:rPr>
              <w:t>）</w:t>
            </w:r>
            <w:r>
              <w:rPr>
                <w:rFonts w:hint="eastAsia" w:ascii="Times New Roman" w:hAnsi="Times New Roman" w:cs="Times New Roman"/>
                <w:b/>
                <w:bCs/>
                <w:lang w:val="en-US" w:eastAsia="zh-CN"/>
              </w:rPr>
              <w:t>符合</w:t>
            </w:r>
            <w:r>
              <w:rPr>
                <w:rFonts w:hint="default" w:ascii="Times New Roman" w:hAnsi="Times New Roman" w:cs="Times New Roman"/>
                <w:b/>
                <w:bCs/>
              </w:rPr>
              <w:t>性分析</w:t>
            </w:r>
          </w:p>
          <w:p w14:paraId="1E7722A2">
            <w:pPr>
              <w:pStyle w:val="20"/>
              <w:spacing w:before="0" w:beforeAutospacing="0" w:after="0" w:afterAutospacing="0" w:line="360" w:lineRule="auto"/>
              <w:ind w:firstLine="480" w:firstLineChars="200"/>
              <w:jc w:val="both"/>
              <w:rPr>
                <w:rFonts w:hint="default" w:ascii="Times New Roman" w:hAnsi="Times New Roman" w:eastAsia="宋体" w:cs="Times New Roman"/>
                <w:b w:val="0"/>
                <w:bCs w:val="0"/>
                <w:sz w:val="24"/>
                <w:szCs w:val="24"/>
                <w:lang w:val="en-US" w:eastAsia="zh-CN"/>
              </w:rPr>
            </w:pPr>
            <w:r>
              <w:rPr>
                <w:rFonts w:hint="eastAsia" w:ascii="Times New Roman" w:hAnsi="Times New Roman" w:cs="Times New Roman"/>
                <w:b w:val="0"/>
                <w:bCs w:val="0"/>
                <w:sz w:val="24"/>
                <w:szCs w:val="24"/>
                <w:lang w:val="en-US" w:eastAsia="zh-CN"/>
              </w:rPr>
              <w:t>本项目与《报废机动车拆解企业污染控制技术规范》（HJ348-2022）符合性分析见下表。</w:t>
            </w:r>
          </w:p>
          <w:p w14:paraId="461BC22F">
            <w:pPr>
              <w:pStyle w:val="20"/>
              <w:spacing w:before="0" w:beforeAutospacing="0" w:after="0" w:afterAutospacing="0" w:line="240" w:lineRule="atLeast"/>
              <w:ind w:firstLine="422" w:firstLineChars="20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表1-</w:t>
            </w:r>
            <w:r>
              <w:rPr>
                <w:rFonts w:hint="eastAsia" w:ascii="Times New Roman" w:hAnsi="Times New Roman" w:cs="Times New Roman"/>
                <w:b/>
                <w:bCs/>
                <w:sz w:val="21"/>
                <w:szCs w:val="21"/>
                <w:lang w:val="en-US" w:eastAsia="zh-CN"/>
              </w:rPr>
              <w:t>4</w:t>
            </w:r>
            <w:r>
              <w:rPr>
                <w:rFonts w:hint="default" w:ascii="Times New Roman" w:hAnsi="Times New Roman" w:cs="Times New Roman"/>
                <w:b/>
                <w:bCs/>
                <w:sz w:val="21"/>
                <w:szCs w:val="21"/>
              </w:rPr>
              <w:t xml:space="preserve">  项目与《报废机动车拆解</w:t>
            </w:r>
            <w:r>
              <w:rPr>
                <w:rFonts w:hint="eastAsia" w:ascii="Times New Roman" w:hAnsi="Times New Roman" w:cs="Times New Roman"/>
                <w:b/>
                <w:bCs/>
                <w:sz w:val="21"/>
                <w:szCs w:val="21"/>
                <w:lang w:val="en-US" w:eastAsia="zh-CN"/>
              </w:rPr>
              <w:t>企业污染控制</w:t>
            </w:r>
            <w:r>
              <w:rPr>
                <w:rFonts w:hint="default" w:ascii="Times New Roman" w:hAnsi="Times New Roman" w:cs="Times New Roman"/>
                <w:b/>
                <w:bCs/>
                <w:sz w:val="21"/>
                <w:szCs w:val="21"/>
              </w:rPr>
              <w:t>技术规范》符合性分析</w:t>
            </w:r>
          </w:p>
          <w:tbl>
            <w:tblPr>
              <w:tblStyle w:val="25"/>
              <w:tblW w:w="6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3140"/>
              <w:gridCol w:w="2500"/>
              <w:gridCol w:w="766"/>
            </w:tblGrid>
            <w:tr w14:paraId="25B2C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52" w:type="dxa"/>
                  <w:vAlign w:val="center"/>
                </w:tcPr>
                <w:p w14:paraId="288DB836">
                  <w:pPr>
                    <w:pStyle w:val="20"/>
                    <w:spacing w:before="0" w:beforeAutospacing="0" w:after="0" w:afterAutospacing="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3140" w:type="dxa"/>
                  <w:vAlign w:val="center"/>
                </w:tcPr>
                <w:p w14:paraId="7702206C">
                  <w:pPr>
                    <w:pStyle w:val="20"/>
                    <w:spacing w:before="0" w:beforeAutospacing="0" w:after="0" w:afterAutospacing="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《报废机动车拆解</w:t>
                  </w:r>
                  <w:r>
                    <w:rPr>
                      <w:rFonts w:hint="eastAsia" w:ascii="Times New Roman" w:hAnsi="Times New Roman" w:cs="Times New Roman"/>
                      <w:b/>
                      <w:bCs/>
                      <w:sz w:val="21"/>
                      <w:szCs w:val="21"/>
                      <w:lang w:val="en-US" w:eastAsia="zh-CN"/>
                    </w:rPr>
                    <w:t>企业污染控制</w:t>
                  </w:r>
                  <w:r>
                    <w:rPr>
                      <w:rFonts w:hint="default" w:ascii="Times New Roman" w:hAnsi="Times New Roman" w:cs="Times New Roman"/>
                      <w:b/>
                      <w:bCs/>
                      <w:sz w:val="21"/>
                      <w:szCs w:val="21"/>
                    </w:rPr>
                    <w:t>技术规范》</w:t>
                  </w:r>
                </w:p>
              </w:tc>
              <w:tc>
                <w:tcPr>
                  <w:tcW w:w="2500" w:type="dxa"/>
                  <w:vAlign w:val="center"/>
                </w:tcPr>
                <w:p w14:paraId="5F30B069">
                  <w:pPr>
                    <w:pStyle w:val="20"/>
                    <w:spacing w:before="0" w:beforeAutospacing="0" w:after="0" w:afterAutospacing="0"/>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本项目</w:t>
                  </w:r>
                  <w:r>
                    <w:rPr>
                      <w:rFonts w:hint="eastAsia" w:ascii="Times New Roman" w:hAnsi="Times New Roman" w:cs="Times New Roman"/>
                      <w:b/>
                      <w:bCs/>
                      <w:sz w:val="21"/>
                      <w:szCs w:val="21"/>
                      <w:lang w:val="en-US" w:eastAsia="zh-CN"/>
                    </w:rPr>
                    <w:t>建设内容</w:t>
                  </w:r>
                </w:p>
              </w:tc>
              <w:tc>
                <w:tcPr>
                  <w:tcW w:w="766" w:type="dxa"/>
                  <w:vAlign w:val="center"/>
                </w:tcPr>
                <w:p w14:paraId="3597D88F">
                  <w:pPr>
                    <w:pStyle w:val="20"/>
                    <w:spacing w:before="0" w:beforeAutospacing="0" w:after="0" w:afterAutospacing="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相符性</w:t>
                  </w:r>
                </w:p>
              </w:tc>
            </w:tr>
            <w:tr w14:paraId="32D1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52" w:type="dxa"/>
                  <w:vAlign w:val="center"/>
                </w:tcPr>
                <w:p w14:paraId="04A50D1E">
                  <w:pPr>
                    <w:pStyle w:val="20"/>
                    <w:spacing w:before="0" w:beforeAutospacing="0" w:after="0" w:afterAutospacing="0"/>
                    <w:jc w:val="center"/>
                    <w:rPr>
                      <w:rFonts w:hint="default" w:ascii="Times New Roman" w:hAnsi="Times New Roman" w:cs="Times New Roman"/>
                      <w:b/>
                      <w:bCs/>
                      <w:sz w:val="21"/>
                      <w:szCs w:val="21"/>
                    </w:rPr>
                  </w:pPr>
                  <w:r>
                    <w:rPr>
                      <w:rFonts w:hint="default" w:ascii="Times New Roman" w:hAnsi="Times New Roman" w:cs="Times New Roman"/>
                      <w:b/>
                      <w:bCs/>
                      <w:sz w:val="21"/>
                      <w:szCs w:val="21"/>
                    </w:rPr>
                    <w:t>一</w:t>
                  </w:r>
                </w:p>
              </w:tc>
              <w:tc>
                <w:tcPr>
                  <w:tcW w:w="6406" w:type="dxa"/>
                  <w:gridSpan w:val="3"/>
                  <w:vAlign w:val="center"/>
                </w:tcPr>
                <w:p w14:paraId="5FA2966F">
                  <w:pPr>
                    <w:pStyle w:val="20"/>
                    <w:spacing w:before="0" w:beforeAutospacing="0" w:after="0" w:afterAutospacing="0"/>
                    <w:jc w:val="center"/>
                    <w:rPr>
                      <w:rFonts w:hint="default" w:ascii="Times New Roman" w:hAnsi="Times New Roman" w:cs="Times New Roman"/>
                      <w:b/>
                      <w:bCs/>
                      <w:sz w:val="21"/>
                      <w:szCs w:val="21"/>
                    </w:rPr>
                  </w:pPr>
                  <w:r>
                    <w:rPr>
                      <w:rFonts w:hint="eastAsia" w:ascii="Times New Roman" w:hAnsi="Times New Roman" w:cs="Times New Roman"/>
                      <w:b/>
                      <w:bCs/>
                      <w:sz w:val="21"/>
                      <w:szCs w:val="21"/>
                      <w:lang w:val="en-US" w:eastAsia="zh-CN"/>
                    </w:rPr>
                    <w:t>总体</w:t>
                  </w:r>
                  <w:r>
                    <w:rPr>
                      <w:rFonts w:hint="default" w:ascii="Times New Roman" w:hAnsi="Times New Roman" w:cs="Times New Roman"/>
                      <w:b/>
                      <w:bCs/>
                      <w:sz w:val="21"/>
                      <w:szCs w:val="21"/>
                    </w:rPr>
                    <w:t>要求</w:t>
                  </w:r>
                </w:p>
              </w:tc>
            </w:tr>
            <w:tr w14:paraId="0118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2" w:type="dxa"/>
                  <w:vAlign w:val="center"/>
                </w:tcPr>
                <w:p w14:paraId="740C45C9">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3140" w:type="dxa"/>
                  <w:vAlign w:val="center"/>
                </w:tcPr>
                <w:p w14:paraId="5970BF85">
                  <w:pPr>
                    <w:pStyle w:val="20"/>
                    <w:spacing w:before="0" w:beforeAutospacing="0" w:after="0" w:afterAutospacing="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报废机动车的拆解应遵循减量化、资源化和无害化的原则。报废机动车回收拆解企业应优先采用资源回收率高、污染物排放量少的工艺和设备，防范二次污染，实现减污降碳协同增效。</w:t>
                  </w:r>
                </w:p>
              </w:tc>
              <w:tc>
                <w:tcPr>
                  <w:tcW w:w="2500" w:type="dxa"/>
                  <w:vAlign w:val="center"/>
                </w:tcPr>
                <w:p w14:paraId="61142544">
                  <w:pPr>
                    <w:pStyle w:val="20"/>
                    <w:spacing w:before="0" w:beforeAutospacing="0" w:after="0" w:afterAutospacing="0"/>
                    <w:jc w:val="center"/>
                    <w:rPr>
                      <w:rFonts w:hint="default" w:ascii="Times New Roman" w:hAnsi="Times New Roman" w:cs="Times New Roman"/>
                      <w:sz w:val="21"/>
                      <w:szCs w:val="21"/>
                    </w:rPr>
                  </w:pPr>
                  <w:r>
                    <w:rPr>
                      <w:rFonts w:hint="eastAsia" w:ascii="宋体" w:hAnsi="宋体" w:eastAsia="宋体" w:cs="宋体"/>
                      <w:color w:val="000000"/>
                      <w:kern w:val="0"/>
                      <w:sz w:val="21"/>
                      <w:szCs w:val="21"/>
                      <w:lang w:val="en-US" w:eastAsia="zh-CN" w:bidi="ar"/>
                    </w:rPr>
                    <w:t>本</w:t>
                  </w:r>
                  <w:r>
                    <w:rPr>
                      <w:rFonts w:hint="eastAsia" w:ascii="Times New Roman" w:hAnsi="Times New Roman" w:eastAsia="宋体" w:cs="Times New Roman"/>
                      <w:sz w:val="21"/>
                      <w:szCs w:val="21"/>
                      <w:lang w:val="en-US" w:eastAsia="zh-CN"/>
                    </w:rPr>
                    <w:t>项目拆解一般拆解物外售资源回收公司，对拆解产生危险废物分类收集暂存后，委托相关资质单位处理，不会发生二次污染。</w:t>
                  </w:r>
                </w:p>
              </w:tc>
              <w:tc>
                <w:tcPr>
                  <w:tcW w:w="766" w:type="dxa"/>
                  <w:vAlign w:val="center"/>
                </w:tcPr>
                <w:p w14:paraId="3DB95C1A">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63517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52" w:type="dxa"/>
                  <w:vAlign w:val="center"/>
                </w:tcPr>
                <w:p w14:paraId="0DFE5DE0">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3140" w:type="dxa"/>
                  <w:vAlign w:val="center"/>
                </w:tcPr>
                <w:p w14:paraId="71BA8E9D">
                  <w:pPr>
                    <w:keepNext w:val="0"/>
                    <w:keepLines w:val="0"/>
                    <w:widowControl/>
                    <w:suppressLineNumbers w:val="0"/>
                    <w:jc w:val="center"/>
                    <w:rPr>
                      <w:rFonts w:hint="default" w:ascii="Times New Roman" w:hAnsi="Times New Roman" w:cs="Times New Roman"/>
                      <w:sz w:val="21"/>
                      <w:szCs w:val="21"/>
                    </w:rPr>
                  </w:pPr>
                  <w:r>
                    <w:rPr>
                      <w:rFonts w:hint="eastAsia" w:ascii="宋体" w:hAnsi="宋体" w:eastAsia="宋体" w:cs="宋体"/>
                      <w:color w:val="000000"/>
                      <w:kern w:val="0"/>
                      <w:sz w:val="21"/>
                      <w:szCs w:val="21"/>
                      <w:lang w:val="en-US" w:eastAsia="zh-CN" w:bidi="ar"/>
                    </w:rPr>
                    <w:t>报废机动车拆解建设项目选址不应位于国务院和国务院有关主管部门及省、自治区、直辖市人民政府划定的生态保护红线区域、永久基本农田和其他需要特别保护的区域内。</w:t>
                  </w:r>
                </w:p>
              </w:tc>
              <w:tc>
                <w:tcPr>
                  <w:tcW w:w="2500" w:type="dxa"/>
                  <w:vAlign w:val="center"/>
                </w:tcPr>
                <w:p w14:paraId="73AA5E9B">
                  <w:pPr>
                    <w:keepNext w:val="0"/>
                    <w:keepLines w:val="0"/>
                    <w:widowControl/>
                    <w:suppressLineNumbers w:val="0"/>
                    <w:jc w:val="center"/>
                    <w:rPr>
                      <w:rFonts w:hint="default" w:ascii="Times New Roman" w:hAnsi="Times New Roman" w:cs="Times New Roman"/>
                      <w:sz w:val="21"/>
                      <w:szCs w:val="21"/>
                    </w:rPr>
                  </w:pPr>
                  <w:r>
                    <w:rPr>
                      <w:rFonts w:hint="eastAsia" w:cs="Times New Roman"/>
                      <w:b w:val="0"/>
                      <w:bCs w:val="0"/>
                      <w:sz w:val="21"/>
                      <w:szCs w:val="21"/>
                      <w:lang w:val="en-US" w:eastAsia="zh-CN"/>
                    </w:rPr>
                    <w:t>本</w:t>
                  </w:r>
                  <w:r>
                    <w:rPr>
                      <w:rFonts w:hint="eastAsia" w:ascii="Times New Roman" w:hAnsi="Times New Roman" w:cs="Times New Roman"/>
                      <w:b w:val="0"/>
                      <w:bCs w:val="0"/>
                      <w:sz w:val="21"/>
                      <w:szCs w:val="21"/>
                      <w:lang w:val="en-US" w:eastAsia="zh-CN"/>
                    </w:rPr>
                    <w:t>项目位于</w:t>
                  </w:r>
                  <w:r>
                    <w:rPr>
                      <w:rFonts w:hint="eastAsia" w:ascii="Times New Roman" w:hAnsi="Times New Roman" w:eastAsia="宋体" w:cs="Times New Roman"/>
                      <w:b w:val="0"/>
                      <w:bCs w:val="0"/>
                      <w:sz w:val="21"/>
                      <w:szCs w:val="21"/>
                      <w:vertAlign w:val="baseline"/>
                      <w:lang w:val="en-US" w:eastAsia="zh-CN"/>
                    </w:rPr>
                    <w:t>宿州市埇桥区朱仙庄镇工业园区内，</w:t>
                  </w:r>
                  <w:r>
                    <w:rPr>
                      <w:rFonts w:hint="eastAsia" w:ascii="宋体" w:hAnsi="宋体" w:eastAsia="宋体" w:cs="宋体"/>
                      <w:color w:val="000000"/>
                      <w:kern w:val="0"/>
                      <w:sz w:val="21"/>
                      <w:szCs w:val="21"/>
                      <w:lang w:val="en-US" w:eastAsia="zh-CN" w:bidi="ar"/>
                    </w:rPr>
                    <w:t>用地不涉及生态保护红线区域、永久基本农田和其他需要特别保护的区域内。</w:t>
                  </w:r>
                </w:p>
              </w:tc>
              <w:tc>
                <w:tcPr>
                  <w:tcW w:w="766" w:type="dxa"/>
                  <w:vAlign w:val="center"/>
                </w:tcPr>
                <w:p w14:paraId="196768A2">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2320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52" w:type="dxa"/>
                  <w:vAlign w:val="center"/>
                </w:tcPr>
                <w:p w14:paraId="7B1818A4">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3140" w:type="dxa"/>
                  <w:vAlign w:val="center"/>
                </w:tcPr>
                <w:p w14:paraId="4790A9FD">
                  <w:pPr>
                    <w:keepNext w:val="0"/>
                    <w:keepLines w:val="0"/>
                    <w:widowControl/>
                    <w:suppressLineNumbers w:val="0"/>
                    <w:jc w:val="center"/>
                    <w:rPr>
                      <w:rFonts w:hint="default" w:ascii="Times New Roman" w:hAnsi="Times New Roman" w:cs="Times New Roman"/>
                      <w:sz w:val="21"/>
                      <w:szCs w:val="21"/>
                    </w:rPr>
                  </w:pPr>
                  <w:r>
                    <w:rPr>
                      <w:rFonts w:hint="eastAsia" w:ascii="宋体" w:hAnsi="宋体" w:eastAsia="宋体" w:cs="宋体"/>
                      <w:color w:val="000000"/>
                      <w:kern w:val="0"/>
                      <w:sz w:val="21"/>
                      <w:szCs w:val="21"/>
                      <w:lang w:val="en-US" w:eastAsia="zh-CN" w:bidi="ar"/>
                    </w:rPr>
                    <w:t>报废机动车回收拆解企业应根据</w:t>
                  </w:r>
                  <w:r>
                    <w:rPr>
                      <w:rFonts w:hint="default" w:ascii="Times New Roman" w:hAnsi="Times New Roman" w:eastAsia="宋体" w:cs="Times New Roman"/>
                      <w:color w:val="000000"/>
                      <w:kern w:val="0"/>
                      <w:sz w:val="21"/>
                      <w:szCs w:val="21"/>
                      <w:lang w:val="en-US" w:eastAsia="zh-CN" w:bidi="ar"/>
                    </w:rPr>
                    <w:t>HJ1034</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HJ1200 </w:t>
                  </w:r>
                  <w:r>
                    <w:rPr>
                      <w:rFonts w:hint="eastAsia" w:ascii="宋体" w:hAnsi="宋体" w:eastAsia="宋体" w:cs="宋体"/>
                      <w:color w:val="000000"/>
                      <w:kern w:val="0"/>
                      <w:sz w:val="21"/>
                      <w:szCs w:val="21"/>
                      <w:lang w:val="en-US" w:eastAsia="zh-CN" w:bidi="ar"/>
                    </w:rPr>
                    <w:t>等规定取得排污许可证，并按照排污许可证管理要求进行规范排污。产生的废气、废水、噪声、固体废物等排放应满足国家和地方的污染物排放标准与排污许可要求，产生的固体废物应按照国家有关环境保护规定和标准要求妥善贮存、利用和处置。</w:t>
                  </w:r>
                </w:p>
              </w:tc>
              <w:tc>
                <w:tcPr>
                  <w:tcW w:w="2500" w:type="dxa"/>
                  <w:vAlign w:val="center"/>
                </w:tcPr>
                <w:p w14:paraId="3ABD75FB">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本项目的运营期拟按照规范HJ348-2022管理要求落实排污许可，产生的</w:t>
                  </w:r>
                  <w:r>
                    <w:rPr>
                      <w:rFonts w:hint="eastAsia" w:ascii="宋体" w:hAnsi="宋体" w:eastAsia="宋体" w:cs="宋体"/>
                      <w:color w:val="000000"/>
                      <w:kern w:val="0"/>
                      <w:sz w:val="21"/>
                      <w:szCs w:val="21"/>
                      <w:lang w:val="en-US" w:eastAsia="zh-CN" w:bidi="ar"/>
                    </w:rPr>
                    <w:t>“三废”满足国家和地方的污染物排放标准与排污许可要求。</w:t>
                  </w:r>
                </w:p>
              </w:tc>
              <w:tc>
                <w:tcPr>
                  <w:tcW w:w="766" w:type="dxa"/>
                  <w:vAlign w:val="center"/>
                </w:tcPr>
                <w:p w14:paraId="39255D5D">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73AC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52" w:type="dxa"/>
                  <w:vAlign w:val="center"/>
                </w:tcPr>
                <w:p w14:paraId="3C9783A9">
                  <w:pPr>
                    <w:pStyle w:val="20"/>
                    <w:spacing w:before="0" w:beforeAutospacing="0" w:after="0" w:afterAutospacing="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p>
              </w:tc>
              <w:tc>
                <w:tcPr>
                  <w:tcW w:w="3140" w:type="dxa"/>
                  <w:vAlign w:val="center"/>
                </w:tcPr>
                <w:p w14:paraId="0D979B97">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报废机动车回收拆解企业应依照《报废机动车回收管理办法实施细则》等相关要求向机动车生产企业获取报废机动车拆解指导手册等相关技术信息，依规开展报废机动车拆解工作。</w:t>
                  </w:r>
                </w:p>
              </w:tc>
              <w:tc>
                <w:tcPr>
                  <w:tcW w:w="2500" w:type="dxa"/>
                  <w:vAlign w:val="center"/>
                </w:tcPr>
                <w:p w14:paraId="6B5847F9">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建设单位拟按照《报废机动车回收管理办法实施细则》等相关要求实施报废机动车拆解工作。</w:t>
                  </w:r>
                </w:p>
              </w:tc>
              <w:tc>
                <w:tcPr>
                  <w:tcW w:w="766" w:type="dxa"/>
                  <w:vAlign w:val="center"/>
                </w:tcPr>
                <w:p w14:paraId="06A0B5DF">
                  <w:pPr>
                    <w:pStyle w:val="20"/>
                    <w:spacing w:before="0" w:beforeAutospacing="0" w:after="0" w:afterAutospacing="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相符</w:t>
                  </w:r>
                </w:p>
              </w:tc>
            </w:tr>
            <w:tr w14:paraId="60ABA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52" w:type="dxa"/>
                  <w:vAlign w:val="center"/>
                </w:tcPr>
                <w:p w14:paraId="14469708">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c>
                <w:tcPr>
                  <w:tcW w:w="3140" w:type="dxa"/>
                  <w:vAlign w:val="center"/>
                </w:tcPr>
                <w:p w14:paraId="24944829">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报废机动车回收拆解企业应依据</w:t>
                  </w:r>
                  <w:r>
                    <w:rPr>
                      <w:rFonts w:hint="default" w:ascii="Times New Roman" w:hAnsi="Times New Roman" w:eastAsia="宋体" w:cs="Times New Roman"/>
                      <w:color w:val="000000"/>
                      <w:kern w:val="0"/>
                      <w:sz w:val="21"/>
                      <w:szCs w:val="21"/>
                      <w:lang w:val="en-US" w:eastAsia="zh-CN" w:bidi="ar"/>
                    </w:rPr>
                    <w:t>GB22128等相关规定开展拆解作业。不应露天拆解报废机动车，拆解产物不应</w:t>
                  </w:r>
                  <w:r>
                    <w:rPr>
                      <w:rFonts w:hint="eastAsia" w:ascii="宋体" w:hAnsi="宋体" w:eastAsia="宋体" w:cs="宋体"/>
                      <w:color w:val="000000"/>
                      <w:kern w:val="0"/>
                      <w:sz w:val="21"/>
                      <w:szCs w:val="21"/>
                      <w:lang w:val="en-US" w:eastAsia="zh-CN" w:bidi="ar"/>
                    </w:rPr>
                    <w:t>露天堆放，不应对大气、土壤、地表水和地下水造成污染。</w:t>
                  </w:r>
                </w:p>
              </w:tc>
              <w:tc>
                <w:tcPr>
                  <w:tcW w:w="2500" w:type="dxa"/>
                  <w:vAlign w:val="center"/>
                </w:tcPr>
                <w:p w14:paraId="794155B9">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建设单位拟按照</w:t>
                  </w:r>
                  <w:r>
                    <w:rPr>
                      <w:rFonts w:hint="default" w:ascii="Times New Roman" w:hAnsi="Times New Roman" w:eastAsia="宋体" w:cs="Times New Roman"/>
                      <w:color w:val="000000"/>
                      <w:kern w:val="0"/>
                      <w:sz w:val="21"/>
                      <w:szCs w:val="21"/>
                      <w:lang w:val="en-US" w:eastAsia="zh-CN" w:bidi="ar"/>
                    </w:rPr>
                    <w:t>GB22128 等相关规定</w:t>
                  </w:r>
                  <w:r>
                    <w:rPr>
                      <w:rFonts w:hint="eastAsia" w:ascii="宋体" w:hAnsi="宋体" w:eastAsia="宋体" w:cs="宋体"/>
                      <w:color w:val="000000"/>
                      <w:kern w:val="0"/>
                      <w:sz w:val="21"/>
                      <w:szCs w:val="21"/>
                      <w:lang w:val="en-US" w:eastAsia="zh-CN" w:bidi="ar"/>
                    </w:rPr>
                    <w:t>开展拆解作业，拆解车间设置在封闭的厂房内，拆解产物贮存于产品仓库和固废暂存间。</w:t>
                  </w:r>
                </w:p>
              </w:tc>
              <w:tc>
                <w:tcPr>
                  <w:tcW w:w="766" w:type="dxa"/>
                  <w:vAlign w:val="center"/>
                </w:tcPr>
                <w:p w14:paraId="0B42C104">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r w14:paraId="78A46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52" w:type="dxa"/>
                  <w:vAlign w:val="center"/>
                </w:tcPr>
                <w:p w14:paraId="1785C02C">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w:t>
                  </w:r>
                </w:p>
              </w:tc>
              <w:tc>
                <w:tcPr>
                  <w:tcW w:w="3140" w:type="dxa"/>
                  <w:vAlign w:val="center"/>
                </w:tcPr>
                <w:p w14:paraId="75478D50">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报废机动车回收拆解企业应具备与生产规模相匹配的环境保护设施，环境保护设施的设计、施工与运行应遵守“三同时”环境管理制度。</w:t>
                  </w:r>
                </w:p>
              </w:tc>
              <w:tc>
                <w:tcPr>
                  <w:tcW w:w="2500" w:type="dxa"/>
                  <w:vAlign w:val="center"/>
                </w:tcPr>
                <w:p w14:paraId="2538DDEA">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拟建项目运营期拟按照规范</w:t>
                  </w:r>
                  <w:r>
                    <w:rPr>
                      <w:rFonts w:hint="default" w:ascii="Times New Roman" w:hAnsi="Times New Roman" w:eastAsia="宋体" w:cs="Times New Roman"/>
                      <w:color w:val="000000"/>
                      <w:kern w:val="0"/>
                      <w:sz w:val="21"/>
                      <w:szCs w:val="21"/>
                      <w:lang w:val="en-US" w:eastAsia="zh-CN" w:bidi="ar"/>
                    </w:rPr>
                    <w:t>HJ348-2022</w:t>
                  </w:r>
                  <w:r>
                    <w:rPr>
                      <w:rFonts w:hint="eastAsia" w:ascii="Times New Roman" w:hAnsi="Times New Roman" w:eastAsia="宋体" w:cs="Times New Roman"/>
                      <w:color w:val="000000"/>
                      <w:kern w:val="0"/>
                      <w:sz w:val="21"/>
                      <w:szCs w:val="21"/>
                      <w:lang w:val="en-US" w:eastAsia="zh-CN" w:bidi="ar"/>
                    </w:rPr>
                    <w:t>管理要求落实。</w:t>
                  </w:r>
                </w:p>
              </w:tc>
              <w:tc>
                <w:tcPr>
                  <w:tcW w:w="766" w:type="dxa"/>
                  <w:vAlign w:val="center"/>
                </w:tcPr>
                <w:p w14:paraId="79F725B9">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r w14:paraId="5178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52" w:type="dxa"/>
                  <w:vAlign w:val="center"/>
                </w:tcPr>
                <w:p w14:paraId="44D2BA60">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w:t>
                  </w:r>
                </w:p>
              </w:tc>
              <w:tc>
                <w:tcPr>
                  <w:tcW w:w="3140" w:type="dxa"/>
                  <w:vAlign w:val="center"/>
                </w:tcPr>
                <w:p w14:paraId="731874E6">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报废机动车回收拆解及贮存过程除满足环境保护相关要求外，还应符合国家安全生产、职业健康、交通运输、消防等法规标准的相关要求。</w:t>
                  </w:r>
                </w:p>
              </w:tc>
              <w:tc>
                <w:tcPr>
                  <w:tcW w:w="2500" w:type="dxa"/>
                  <w:vAlign w:val="center"/>
                </w:tcPr>
                <w:p w14:paraId="5CA799ED">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拟建项目拟按照国家安全生产、职业健康、交通运输、消防等法规标准的相关要求落实。</w:t>
                  </w:r>
                </w:p>
              </w:tc>
              <w:tc>
                <w:tcPr>
                  <w:tcW w:w="766" w:type="dxa"/>
                  <w:vAlign w:val="center"/>
                </w:tcPr>
                <w:p w14:paraId="4356D3F2">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r w14:paraId="4C39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552" w:type="dxa"/>
                  <w:vAlign w:val="center"/>
                </w:tcPr>
                <w:p w14:paraId="5F010338">
                  <w:pPr>
                    <w:pStyle w:val="20"/>
                    <w:spacing w:before="0" w:beforeAutospacing="0" w:after="0" w:afterAutospacing="0"/>
                    <w:jc w:val="center"/>
                    <w:rPr>
                      <w:rFonts w:hint="default" w:ascii="Times New Roman" w:hAnsi="Times New Roman" w:cs="Times New Roman"/>
                      <w:b/>
                      <w:bCs/>
                      <w:sz w:val="21"/>
                      <w:szCs w:val="21"/>
                    </w:rPr>
                  </w:pPr>
                  <w:r>
                    <w:rPr>
                      <w:rFonts w:hint="default" w:ascii="Times New Roman" w:hAnsi="Times New Roman" w:cs="Times New Roman"/>
                      <w:b/>
                      <w:bCs/>
                      <w:sz w:val="21"/>
                      <w:szCs w:val="21"/>
                    </w:rPr>
                    <w:t>二</w:t>
                  </w:r>
                </w:p>
              </w:tc>
              <w:tc>
                <w:tcPr>
                  <w:tcW w:w="6406" w:type="dxa"/>
                  <w:gridSpan w:val="3"/>
                  <w:vAlign w:val="center"/>
                </w:tcPr>
                <w:p w14:paraId="7E6D9DD9">
                  <w:pPr>
                    <w:pStyle w:val="20"/>
                    <w:spacing w:before="0" w:beforeAutospacing="0" w:after="0" w:afterAutospacing="0"/>
                    <w:jc w:val="center"/>
                    <w:rPr>
                      <w:rFonts w:hint="default" w:ascii="Times New Roman" w:hAnsi="Times New Roman" w:cs="Times New Roman"/>
                      <w:b/>
                      <w:bCs/>
                      <w:sz w:val="21"/>
                      <w:szCs w:val="21"/>
                    </w:rPr>
                  </w:pPr>
                  <w:r>
                    <w:rPr>
                      <w:rFonts w:hint="eastAsia" w:ascii="Times New Roman" w:hAnsi="Times New Roman" w:cs="Times New Roman"/>
                      <w:b/>
                      <w:bCs/>
                      <w:sz w:val="21"/>
                      <w:szCs w:val="21"/>
                      <w:lang w:val="en-US" w:eastAsia="zh-CN"/>
                    </w:rPr>
                    <w:t>基础设施污染控制</w:t>
                  </w:r>
                  <w:r>
                    <w:rPr>
                      <w:rFonts w:hint="default" w:ascii="Times New Roman" w:hAnsi="Times New Roman" w:cs="Times New Roman"/>
                      <w:b/>
                      <w:bCs/>
                      <w:sz w:val="21"/>
                      <w:szCs w:val="21"/>
                    </w:rPr>
                    <w:t>要求</w:t>
                  </w:r>
                </w:p>
              </w:tc>
            </w:tr>
            <w:tr w14:paraId="37F80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52" w:type="dxa"/>
                  <w:vAlign w:val="center"/>
                </w:tcPr>
                <w:p w14:paraId="2A056257">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3140" w:type="dxa"/>
                  <w:vAlign w:val="center"/>
                </w:tcPr>
                <w:p w14:paraId="43666428">
                  <w:pPr>
                    <w:keepNext w:val="0"/>
                    <w:keepLines w:val="0"/>
                    <w:widowControl/>
                    <w:suppressLineNumbers w:val="0"/>
                    <w:jc w:val="center"/>
                    <w:rPr>
                      <w:rFonts w:hint="default" w:ascii="Times New Roman" w:hAnsi="Times New Roman" w:cs="Times New Roman"/>
                      <w:sz w:val="21"/>
                      <w:szCs w:val="21"/>
                    </w:rPr>
                  </w:pPr>
                  <w:r>
                    <w:rPr>
                      <w:rFonts w:hint="eastAsia" w:ascii="Times New Roman" w:hAnsi="Times New Roman" w:eastAsia="宋体" w:cs="Times New Roman"/>
                      <w:color w:val="000000"/>
                      <w:kern w:val="0"/>
                      <w:sz w:val="21"/>
                      <w:szCs w:val="21"/>
                      <w:lang w:val="en-US" w:eastAsia="zh-CN" w:bidi="ar"/>
                    </w:rPr>
                    <w:t>报废机动车回收拆解企业应划分不同的功能区，包括办公区和作业区。作业区应包括：①整车贮存区（分为传统燃料机动车区和电动汽车区）；②动力蓄电池拆卸区；③铅蓄电池拆卸区；④电池分类贮存区；⑤拆解区；⑥产品（半成品；不包括电池）贮存区；⑦破碎分选区；⑧一般工业固体废物贮存区；⑨危险废物贮存区。</w:t>
                  </w:r>
                </w:p>
              </w:tc>
              <w:tc>
                <w:tcPr>
                  <w:tcW w:w="2500" w:type="dxa"/>
                  <w:vAlign w:val="center"/>
                </w:tcPr>
                <w:p w14:paraId="703EF42C">
                  <w:pPr>
                    <w:keepNext w:val="0"/>
                    <w:keepLines w:val="0"/>
                    <w:widowControl/>
                    <w:suppressLineNumbers w:val="0"/>
                    <w:jc w:val="center"/>
                    <w:rPr>
                      <w:rFonts w:hint="default" w:ascii="Times New Roman" w:hAnsi="Times New Roman" w:cs="Times New Roman"/>
                      <w:sz w:val="21"/>
                      <w:szCs w:val="21"/>
                    </w:rPr>
                  </w:pPr>
                  <w:r>
                    <w:rPr>
                      <w:rFonts w:hint="eastAsia" w:ascii="Times New Roman" w:hAnsi="Times New Roman" w:eastAsia="宋体" w:cs="Times New Roman"/>
                      <w:color w:val="000000"/>
                      <w:kern w:val="0"/>
                      <w:sz w:val="21"/>
                      <w:szCs w:val="21"/>
                      <w:lang w:val="en-US" w:eastAsia="zh-CN" w:bidi="ar"/>
                    </w:rPr>
                    <w:t>拟建项目各功能区按照规范</w:t>
                  </w:r>
                  <w:r>
                    <w:rPr>
                      <w:rFonts w:hint="default" w:ascii="Times New Roman" w:hAnsi="Times New Roman" w:eastAsia="宋体" w:cs="Times New Roman"/>
                      <w:color w:val="000000"/>
                      <w:kern w:val="0"/>
                      <w:sz w:val="21"/>
                      <w:szCs w:val="21"/>
                      <w:lang w:val="en-US" w:eastAsia="zh-CN" w:bidi="ar"/>
                    </w:rPr>
                    <w:t>HJ348-2022</w:t>
                  </w:r>
                  <w:r>
                    <w:rPr>
                      <w:rFonts w:hint="eastAsia" w:ascii="Times New Roman" w:hAnsi="Times New Roman" w:eastAsia="宋体" w:cs="Times New Roman"/>
                      <w:color w:val="000000"/>
                      <w:kern w:val="0"/>
                      <w:sz w:val="21"/>
                      <w:szCs w:val="21"/>
                      <w:lang w:val="en-US" w:eastAsia="zh-CN" w:bidi="ar"/>
                    </w:rPr>
                    <w:t>管理要求落实。</w:t>
                  </w:r>
                </w:p>
              </w:tc>
              <w:tc>
                <w:tcPr>
                  <w:tcW w:w="766" w:type="dxa"/>
                  <w:vAlign w:val="center"/>
                </w:tcPr>
                <w:p w14:paraId="611C16D7">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41456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52" w:type="dxa"/>
                  <w:vAlign w:val="center"/>
                </w:tcPr>
                <w:p w14:paraId="12E75986">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3140" w:type="dxa"/>
                  <w:vAlign w:val="center"/>
                </w:tcPr>
                <w:p w14:paraId="22347580">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 xml:space="preserve">报废机动车回收拆解企业厂区内功能区的设计和建设应满足以下要求：①作业区面积大小和功能区划分应满足拆解作业的需要；②不同的功能区应具有明显的标识；③作业区应具有防渗地面和油水收集设施，地面应符合 </w:t>
                  </w:r>
                  <w:r>
                    <w:rPr>
                      <w:rFonts w:hint="default" w:ascii="Times New Roman" w:hAnsi="Times New Roman" w:eastAsia="宋体" w:cs="Times New Roman"/>
                      <w:color w:val="000000"/>
                      <w:kern w:val="0"/>
                      <w:sz w:val="21"/>
                      <w:szCs w:val="21"/>
                      <w:lang w:val="en-US" w:eastAsia="zh-CN" w:bidi="ar"/>
                    </w:rPr>
                    <w:t xml:space="preserve">GB50037 </w:t>
                  </w:r>
                  <w:r>
                    <w:rPr>
                      <w:rFonts w:hint="eastAsia" w:ascii="Times New Roman" w:hAnsi="Times New Roman" w:eastAsia="宋体" w:cs="Times New Roman"/>
                      <w:color w:val="000000"/>
                      <w:kern w:val="0"/>
                      <w:sz w:val="21"/>
                      <w:szCs w:val="21"/>
                      <w:lang w:val="en-US" w:eastAsia="zh-CN" w:bidi="ar"/>
                    </w:rPr>
                    <w:t>的防油渗地面要求；④作业区地面混凝土强度等级不低于</w:t>
                  </w:r>
                  <w:r>
                    <w:rPr>
                      <w:rFonts w:hint="default" w:ascii="Times New Roman" w:hAnsi="Times New Roman" w:eastAsia="宋体" w:cs="Times New Roman"/>
                      <w:color w:val="000000"/>
                      <w:kern w:val="0"/>
                      <w:sz w:val="21"/>
                      <w:szCs w:val="21"/>
                      <w:lang w:val="en-US" w:eastAsia="zh-CN" w:bidi="ar"/>
                    </w:rPr>
                    <w:t>C20</w:t>
                  </w:r>
                  <w:r>
                    <w:rPr>
                      <w:rFonts w:hint="eastAsia" w:ascii="Times New Roman" w:hAnsi="Times New Roman" w:eastAsia="宋体" w:cs="Times New Roman"/>
                      <w:color w:val="000000"/>
                      <w:kern w:val="0"/>
                      <w:sz w:val="21"/>
                      <w:szCs w:val="21"/>
                      <w:lang w:val="en-US" w:eastAsia="zh-CN" w:bidi="ar"/>
                    </w:rPr>
                    <w:t>，厚度不低于</w:t>
                  </w:r>
                  <w:r>
                    <w:rPr>
                      <w:rFonts w:hint="default" w:ascii="Times New Roman" w:hAnsi="Times New Roman" w:eastAsia="宋体" w:cs="Times New Roman"/>
                      <w:color w:val="000000"/>
                      <w:kern w:val="0"/>
                      <w:sz w:val="21"/>
                      <w:szCs w:val="21"/>
                      <w:lang w:val="en-US" w:eastAsia="zh-CN" w:bidi="ar"/>
                    </w:rPr>
                    <w:t>150mm</w:t>
                  </w:r>
                  <w:r>
                    <w:rPr>
                      <w:rFonts w:hint="eastAsia" w:ascii="Times New Roman" w:hAnsi="Times New Roman" w:eastAsia="宋体" w:cs="Times New Roman"/>
                      <w:color w:val="000000"/>
                      <w:kern w:val="0"/>
                      <w:sz w:val="21"/>
                      <w:szCs w:val="21"/>
                      <w:lang w:val="en-US" w:eastAsia="zh-CN" w:bidi="ar"/>
                    </w:rPr>
                    <w:t>，其中物流通道路面和拆解作业区域强度不低于</w:t>
                  </w:r>
                  <w:r>
                    <w:rPr>
                      <w:rFonts w:hint="default" w:ascii="Times New Roman" w:hAnsi="Times New Roman" w:eastAsia="宋体" w:cs="Times New Roman"/>
                      <w:color w:val="000000"/>
                      <w:kern w:val="0"/>
                      <w:sz w:val="21"/>
                      <w:szCs w:val="21"/>
                      <w:lang w:val="en-US" w:eastAsia="zh-CN" w:bidi="ar"/>
                    </w:rPr>
                    <w:t>C30</w:t>
                  </w:r>
                  <w:r>
                    <w:rPr>
                      <w:rFonts w:hint="eastAsia" w:ascii="Times New Roman" w:hAnsi="Times New Roman" w:eastAsia="宋体" w:cs="Times New Roman"/>
                      <w:color w:val="000000"/>
                      <w:kern w:val="0"/>
                      <w:sz w:val="21"/>
                      <w:szCs w:val="21"/>
                      <w:lang w:val="en-US" w:eastAsia="zh-CN" w:bidi="ar"/>
                    </w:rPr>
                    <w:t>，厚度不低于</w:t>
                  </w:r>
                  <w:r>
                    <w:rPr>
                      <w:rFonts w:hint="default" w:ascii="Times New Roman" w:hAnsi="Times New Roman" w:eastAsia="宋体" w:cs="Times New Roman"/>
                      <w:color w:val="000000"/>
                      <w:kern w:val="0"/>
                      <w:sz w:val="21"/>
                      <w:szCs w:val="21"/>
                      <w:lang w:val="en-US" w:eastAsia="zh-CN" w:bidi="ar"/>
                    </w:rPr>
                    <w:t>200mm</w:t>
                  </w:r>
                  <w:r>
                    <w:rPr>
                      <w:rFonts w:hint="eastAsia" w:ascii="Times New Roman" w:hAnsi="Times New Roman" w:eastAsia="宋体" w:cs="Times New Roman"/>
                      <w:color w:val="000000"/>
                      <w:kern w:val="0"/>
                      <w:sz w:val="21"/>
                      <w:szCs w:val="21"/>
                      <w:lang w:val="en-US" w:eastAsia="zh-CN" w:bidi="ar"/>
                    </w:rPr>
                    <w:t>。大型拆解设备承重区域的硬化标准参照设备工艺要求执行；⑤拆解区应为封闭或半封闭建筑物；⑥破碎分选区应设在封闭区域内，控制工业废气、粉尘和噪声污染；⑦危险废物贮存区应设置液体导流和收集装置，地面应无液体积聚，如有冲洗废水应纳入废水收集处理设施处理；⑧不同种类的危险废物应单独收集、分类存放，中间有明显间隔；贮存场所应设置警示标识，同时还应满足</w:t>
                  </w:r>
                  <w:r>
                    <w:rPr>
                      <w:rFonts w:hint="default" w:ascii="Times New Roman" w:hAnsi="Times New Roman" w:eastAsia="宋体" w:cs="Times New Roman"/>
                      <w:color w:val="000000"/>
                      <w:kern w:val="0"/>
                      <w:sz w:val="21"/>
                      <w:szCs w:val="21"/>
                      <w:lang w:val="en-US" w:eastAsia="zh-CN" w:bidi="ar"/>
                    </w:rPr>
                    <w:t>GB18597</w:t>
                  </w:r>
                  <w:r>
                    <w:rPr>
                      <w:rFonts w:hint="eastAsia" w:ascii="Times New Roman" w:hAnsi="Times New Roman" w:eastAsia="宋体" w:cs="Times New Roman"/>
                      <w:color w:val="000000"/>
                      <w:kern w:val="0"/>
                      <w:sz w:val="21"/>
                      <w:szCs w:val="21"/>
                      <w:lang w:val="en-US" w:eastAsia="zh-CN" w:bidi="ar"/>
                    </w:rPr>
                    <w:t>中其他相关要求；⑨铅蓄电池的拆卸、贮存区的地面应做防酸、防腐、防渗及硬化处理，同时还应满足</w:t>
                  </w:r>
                  <w:r>
                    <w:rPr>
                      <w:rFonts w:hint="default" w:ascii="Times New Roman" w:hAnsi="Times New Roman" w:eastAsia="宋体" w:cs="Times New Roman"/>
                      <w:color w:val="000000"/>
                      <w:kern w:val="0"/>
                      <w:sz w:val="21"/>
                      <w:szCs w:val="21"/>
                      <w:lang w:val="en-US" w:eastAsia="zh-CN" w:bidi="ar"/>
                    </w:rPr>
                    <w:t xml:space="preserve">HJ519 </w:t>
                  </w:r>
                  <w:r>
                    <w:rPr>
                      <w:rFonts w:hint="eastAsia" w:ascii="Times New Roman" w:hAnsi="Times New Roman" w:eastAsia="宋体" w:cs="Times New Roman"/>
                      <w:color w:val="000000"/>
                      <w:kern w:val="0"/>
                      <w:sz w:val="21"/>
                      <w:szCs w:val="21"/>
                      <w:lang w:val="en-US" w:eastAsia="zh-CN" w:bidi="ar"/>
                    </w:rPr>
                    <w:t>中其他相关要求；⑩动力蓄电池拆卸、贮存区应满足</w:t>
                  </w:r>
                  <w:r>
                    <w:rPr>
                      <w:rFonts w:hint="default" w:ascii="Times New Roman" w:hAnsi="Times New Roman" w:eastAsia="宋体" w:cs="Times New Roman"/>
                      <w:color w:val="000000"/>
                      <w:kern w:val="0"/>
                      <w:sz w:val="21"/>
                      <w:szCs w:val="21"/>
                      <w:lang w:val="en-US" w:eastAsia="zh-CN" w:bidi="ar"/>
                    </w:rPr>
                    <w:t xml:space="preserve">HJ1186 </w:t>
                  </w:r>
                  <w:r>
                    <w:rPr>
                      <w:rFonts w:hint="eastAsia" w:ascii="Times New Roman" w:hAnsi="Times New Roman" w:eastAsia="宋体" w:cs="Times New Roman"/>
                      <w:color w:val="000000"/>
                      <w:kern w:val="0"/>
                      <w:sz w:val="21"/>
                      <w:szCs w:val="21"/>
                      <w:lang w:val="en-US" w:eastAsia="zh-CN" w:bidi="ar"/>
                    </w:rPr>
                    <w:t>中的相关要求，地面应采用环氧地坪等硬化措施，地面应做防酸、防腐、防渗、硬化及绝缘处理；⑪各贮存区应在显著位置设置标识，标明贮存物的类别、名称、规格、注意事项等，根据其特性合理划分贮存区域，采取必要的隔离措施。</w:t>
                  </w:r>
                </w:p>
              </w:tc>
              <w:tc>
                <w:tcPr>
                  <w:tcW w:w="2500" w:type="dxa"/>
                  <w:vAlign w:val="center"/>
                </w:tcPr>
                <w:p w14:paraId="2848BBEC">
                  <w:pPr>
                    <w:keepNext w:val="0"/>
                    <w:keepLines w:val="0"/>
                    <w:widowControl/>
                    <w:suppressLineNumbers w:val="0"/>
                    <w:jc w:val="center"/>
                    <w:rPr>
                      <w:rFonts w:hint="default" w:ascii="Times New Roman" w:hAnsi="Times New Roman" w:cs="Times New Roman"/>
                      <w:sz w:val="21"/>
                      <w:szCs w:val="21"/>
                    </w:rPr>
                  </w:pPr>
                  <w:r>
                    <w:rPr>
                      <w:rFonts w:hint="eastAsia" w:ascii="Times New Roman" w:hAnsi="Times New Roman" w:eastAsia="宋体" w:cs="Times New Roman"/>
                      <w:color w:val="000000"/>
                      <w:kern w:val="0"/>
                      <w:sz w:val="21"/>
                      <w:szCs w:val="21"/>
                      <w:lang w:val="en-US" w:eastAsia="zh-CN" w:bidi="ar"/>
                    </w:rPr>
                    <w:t xml:space="preserve">拟建项目厂区内功能区的设计和建设拟按照规范 </w:t>
                  </w:r>
                  <w:r>
                    <w:rPr>
                      <w:rFonts w:hint="default" w:ascii="Times New Roman" w:hAnsi="Times New Roman" w:eastAsia="宋体" w:cs="Times New Roman"/>
                      <w:color w:val="000000"/>
                      <w:kern w:val="0"/>
                      <w:sz w:val="21"/>
                      <w:szCs w:val="21"/>
                      <w:lang w:val="en-US" w:eastAsia="zh-CN" w:bidi="ar"/>
                    </w:rPr>
                    <w:t>HJ348-2022</w:t>
                  </w:r>
                  <w:r>
                    <w:rPr>
                      <w:rFonts w:hint="eastAsia" w:ascii="Times New Roman" w:hAnsi="Times New Roman" w:eastAsia="宋体" w:cs="Times New Roman"/>
                      <w:color w:val="000000"/>
                      <w:kern w:val="0"/>
                      <w:sz w:val="21"/>
                      <w:szCs w:val="21"/>
                      <w:lang w:val="en-US" w:eastAsia="zh-CN" w:bidi="ar"/>
                    </w:rPr>
                    <w:t>管理要求落实。</w:t>
                  </w:r>
                  <w:r>
                    <w:rPr>
                      <w:rFonts w:hint="eastAsia" w:ascii="Times New Roman" w:hAnsi="Times New Roman" w:cs="Times New Roman"/>
                      <w:sz w:val="21"/>
                      <w:szCs w:val="21"/>
                      <w:lang w:val="en-US" w:eastAsia="zh-CN"/>
                    </w:rPr>
                    <w:t>本项目总占地面积16200m</w:t>
                  </w:r>
                  <w:r>
                    <w:rPr>
                      <w:rFonts w:hint="eastAsia" w:ascii="Times New Roman" w:hAnsi="Times New Roman" w:cs="Times New Roman"/>
                      <w:sz w:val="21"/>
                      <w:szCs w:val="21"/>
                      <w:vertAlign w:val="superscript"/>
                      <w:lang w:val="en-US" w:eastAsia="zh-CN"/>
                    </w:rPr>
                    <w:t>2</w:t>
                  </w:r>
                  <w:r>
                    <w:rPr>
                      <w:rFonts w:hint="eastAsia" w:ascii="Times New Roman" w:hAnsi="Times New Roman" w:cs="Times New Roman"/>
                      <w:sz w:val="21"/>
                      <w:szCs w:val="21"/>
                      <w:lang w:val="en-US" w:eastAsia="zh-CN"/>
                    </w:rPr>
                    <w:t>，拆解和贮存场地面积为10267.5m</w:t>
                  </w:r>
                  <w:r>
                    <w:rPr>
                      <w:rFonts w:hint="eastAsia" w:ascii="Times New Roman" w:hAnsi="Times New Roman" w:cs="Times New Roman"/>
                      <w:sz w:val="21"/>
                      <w:szCs w:val="21"/>
                      <w:vertAlign w:val="superscript"/>
                      <w:lang w:val="en-US" w:eastAsia="zh-CN"/>
                    </w:rPr>
                    <w:t>2</w:t>
                  </w:r>
                  <w:r>
                    <w:rPr>
                      <w:rFonts w:hint="eastAsia" w:ascii="Times New Roman" w:hAnsi="Times New Roman" w:cs="Times New Roman"/>
                      <w:sz w:val="21"/>
                      <w:szCs w:val="21"/>
                      <w:lang w:val="en-US" w:eastAsia="zh-CN"/>
                    </w:rPr>
                    <w:t>，占经营面积63.4%。</w:t>
                  </w:r>
                  <w:r>
                    <w:rPr>
                      <w:rFonts w:hint="eastAsia" w:ascii="Times New Roman" w:hAnsi="Times New Roman" w:eastAsia="宋体" w:cs="Times New Roman"/>
                      <w:color w:val="000000"/>
                      <w:kern w:val="0"/>
                      <w:sz w:val="21"/>
                      <w:szCs w:val="21"/>
                      <w:lang w:val="en-US" w:eastAsia="zh-CN" w:bidi="ar"/>
                    </w:rPr>
                    <w:t>拆解及破碎分选区为</w:t>
                  </w:r>
                  <w:r>
                    <w:rPr>
                      <w:rFonts w:hint="eastAsia" w:ascii="Times New Roman" w:hAnsi="Times New Roman" w:eastAsia="宋体" w:cs="Times New Roman"/>
                      <w:color w:val="auto"/>
                      <w:kern w:val="0"/>
                      <w:sz w:val="21"/>
                      <w:szCs w:val="21"/>
                      <w:lang w:val="en-US" w:eastAsia="zh-CN" w:bidi="ar"/>
                    </w:rPr>
                    <w:t>封闭式</w:t>
                  </w:r>
                  <w:r>
                    <w:rPr>
                      <w:rFonts w:hint="eastAsia" w:ascii="Times New Roman" w:hAnsi="Times New Roman" w:eastAsia="宋体" w:cs="Times New Roman"/>
                      <w:color w:val="000000"/>
                      <w:kern w:val="0"/>
                      <w:sz w:val="21"/>
                      <w:szCs w:val="21"/>
                      <w:lang w:val="en-US" w:eastAsia="zh-CN" w:bidi="ar"/>
                    </w:rPr>
                    <w:t>标准化厂房，设置3</w:t>
                  </w:r>
                  <w:r>
                    <w:rPr>
                      <w:rFonts w:hint="default" w:ascii="Times New Roman" w:hAnsi="Times New Roman" w:eastAsia="宋体" w:cs="Times New Roman"/>
                      <w:color w:val="000000"/>
                      <w:kern w:val="0"/>
                      <w:sz w:val="21"/>
                      <w:szCs w:val="21"/>
                      <w:lang w:val="en-US" w:eastAsia="zh-CN" w:bidi="ar"/>
                    </w:rPr>
                    <w:t>00m</w:t>
                  </w:r>
                  <w:r>
                    <w:rPr>
                      <w:rFonts w:hint="default" w:ascii="Times New Roman" w:hAnsi="Times New Roman" w:eastAsia="宋体" w:cs="Times New Roman"/>
                      <w:color w:val="000000"/>
                      <w:kern w:val="0"/>
                      <w:sz w:val="21"/>
                      <w:szCs w:val="21"/>
                      <w:vertAlign w:val="superscript"/>
                      <w:lang w:val="en-US" w:eastAsia="zh-CN" w:bidi="ar"/>
                    </w:rPr>
                    <w:t>2</w:t>
                  </w:r>
                  <w:r>
                    <w:rPr>
                      <w:rFonts w:hint="eastAsia" w:ascii="Times New Roman" w:hAnsi="Times New Roman" w:eastAsia="宋体" w:cs="Times New Roman"/>
                      <w:color w:val="000000"/>
                      <w:kern w:val="0"/>
                      <w:sz w:val="21"/>
                      <w:szCs w:val="21"/>
                      <w:lang w:val="en-US" w:eastAsia="zh-CN" w:bidi="ar"/>
                    </w:rPr>
                    <w:t>的危废暂存间分类分区收集危险废物；铅蓄电池的拆卸、贮存区拟按照规范</w:t>
                  </w:r>
                  <w:r>
                    <w:rPr>
                      <w:rFonts w:hint="default" w:ascii="Times New Roman" w:hAnsi="Times New Roman" w:eastAsia="宋体" w:cs="Times New Roman"/>
                      <w:color w:val="000000"/>
                      <w:kern w:val="0"/>
                      <w:sz w:val="21"/>
                      <w:szCs w:val="21"/>
                      <w:lang w:val="en-US" w:eastAsia="zh-CN" w:bidi="ar"/>
                    </w:rPr>
                    <w:t>HJ519</w:t>
                  </w:r>
                  <w:r>
                    <w:rPr>
                      <w:rFonts w:hint="eastAsia" w:ascii="Times New Roman" w:hAnsi="Times New Roman" w:eastAsia="宋体" w:cs="Times New Roman"/>
                      <w:color w:val="000000"/>
                      <w:kern w:val="0"/>
                      <w:sz w:val="21"/>
                      <w:szCs w:val="21"/>
                      <w:lang w:val="en-US" w:eastAsia="zh-CN" w:bidi="ar"/>
                    </w:rPr>
                    <w:t>管理要求落实，动力蓄电池拆卸、贮存区拟按照规范</w:t>
                  </w:r>
                  <w:r>
                    <w:rPr>
                      <w:rFonts w:hint="default" w:ascii="Times New Roman" w:hAnsi="Times New Roman" w:eastAsia="宋体" w:cs="Times New Roman"/>
                      <w:color w:val="000000"/>
                      <w:kern w:val="0"/>
                      <w:sz w:val="21"/>
                      <w:szCs w:val="21"/>
                      <w:lang w:val="en-US" w:eastAsia="zh-CN" w:bidi="ar"/>
                    </w:rPr>
                    <w:t>HJ1186</w:t>
                  </w:r>
                  <w:r>
                    <w:rPr>
                      <w:rFonts w:hint="eastAsia" w:ascii="Times New Roman" w:hAnsi="Times New Roman" w:eastAsia="宋体" w:cs="Times New Roman"/>
                      <w:color w:val="000000"/>
                      <w:kern w:val="0"/>
                      <w:sz w:val="21"/>
                      <w:szCs w:val="21"/>
                      <w:lang w:val="en-US" w:eastAsia="zh-CN" w:bidi="ar"/>
                    </w:rPr>
                    <w:t>管理要求落实；各贮存物根据其特性合理划分贮存区域，并设置标识，标明其类别、名称、规格、注意事项等。</w:t>
                  </w:r>
                </w:p>
              </w:tc>
              <w:tc>
                <w:tcPr>
                  <w:tcW w:w="766" w:type="dxa"/>
                  <w:vAlign w:val="center"/>
                </w:tcPr>
                <w:p w14:paraId="6464E3AC">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1D7E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52" w:type="dxa"/>
                  <w:vAlign w:val="center"/>
                </w:tcPr>
                <w:p w14:paraId="438F4CBD">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3140" w:type="dxa"/>
                  <w:vAlign w:val="center"/>
                </w:tcPr>
                <w:p w14:paraId="4689D816">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报废机动车回收拆解企业内的道路应采取硬化措施，如出现破损应及时维修。</w:t>
                  </w:r>
                </w:p>
              </w:tc>
              <w:tc>
                <w:tcPr>
                  <w:tcW w:w="2500" w:type="dxa"/>
                  <w:vAlign w:val="center"/>
                </w:tcPr>
                <w:p w14:paraId="151BF1AF">
                  <w:pPr>
                    <w:keepNext w:val="0"/>
                    <w:keepLines w:val="0"/>
                    <w:widowControl/>
                    <w:suppressLineNumbers w:val="0"/>
                    <w:jc w:val="center"/>
                    <w:rPr>
                      <w:rFonts w:hint="default" w:ascii="Times New Roman" w:hAnsi="Times New Roman" w:cs="Times New Roman"/>
                      <w:sz w:val="21"/>
                      <w:szCs w:val="21"/>
                    </w:rPr>
                  </w:pPr>
                  <w:r>
                    <w:rPr>
                      <w:rFonts w:hint="eastAsia" w:ascii="宋体" w:hAnsi="宋体" w:eastAsia="宋体" w:cs="宋体"/>
                      <w:color w:val="000000"/>
                      <w:kern w:val="0"/>
                      <w:sz w:val="21"/>
                      <w:szCs w:val="21"/>
                      <w:lang w:val="en-US" w:eastAsia="zh-CN" w:bidi="ar"/>
                    </w:rPr>
                    <w:t>厂区内道路拟采取三合土铺底，上层铺</w:t>
                  </w:r>
                  <w:r>
                    <w:rPr>
                      <w:rFonts w:hint="default" w:ascii="Times New Roman" w:hAnsi="Times New Roman" w:eastAsia="宋体" w:cs="Times New Roman"/>
                      <w:color w:val="000000"/>
                      <w:kern w:val="0"/>
                      <w:sz w:val="21"/>
                      <w:szCs w:val="21"/>
                      <w:lang w:val="en-US" w:eastAsia="zh-CN" w:bidi="ar"/>
                    </w:rPr>
                    <w:t>20cm</w:t>
                  </w:r>
                  <w:r>
                    <w:rPr>
                      <w:rFonts w:hint="eastAsia" w:ascii="宋体" w:hAnsi="宋体" w:eastAsia="宋体" w:cs="宋体"/>
                      <w:color w:val="000000"/>
                      <w:kern w:val="0"/>
                      <w:sz w:val="21"/>
                      <w:szCs w:val="21"/>
                      <w:lang w:val="en-US" w:eastAsia="zh-CN" w:bidi="ar"/>
                    </w:rPr>
                    <w:t>的水泥进行硬化处理。</w:t>
                  </w:r>
                </w:p>
              </w:tc>
              <w:tc>
                <w:tcPr>
                  <w:tcW w:w="766" w:type="dxa"/>
                  <w:vAlign w:val="center"/>
                </w:tcPr>
                <w:p w14:paraId="7811972E">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4F6E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552" w:type="dxa"/>
                  <w:vAlign w:val="center"/>
                </w:tcPr>
                <w:p w14:paraId="57A38926">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3140" w:type="dxa"/>
                  <w:vAlign w:val="center"/>
                </w:tcPr>
                <w:p w14:paraId="6B65EEC2">
                  <w:pPr>
                    <w:keepNext w:val="0"/>
                    <w:keepLines w:val="0"/>
                    <w:widowControl/>
                    <w:suppressLineNumbers w:val="0"/>
                    <w:jc w:val="center"/>
                    <w:rPr>
                      <w:rFonts w:hint="default" w:ascii="Times New Roman" w:hAnsi="Times New Roman" w:cs="Times New Roman"/>
                      <w:sz w:val="21"/>
                      <w:szCs w:val="21"/>
                    </w:rPr>
                  </w:pPr>
                  <w:r>
                    <w:rPr>
                      <w:rFonts w:hint="eastAsia" w:ascii="Times New Roman" w:hAnsi="Times New Roman" w:eastAsia="宋体" w:cs="Times New Roman"/>
                      <w:color w:val="000000"/>
                      <w:kern w:val="0"/>
                      <w:sz w:val="21"/>
                      <w:szCs w:val="21"/>
                      <w:lang w:val="en-US" w:eastAsia="zh-CN" w:bidi="ar"/>
                    </w:rPr>
                    <w:t>报废机动车回收拆解企业应做到雨污分流，在作业区内产生的初期雨水、清洗水和其他非生活污水应设置专门的收集设施和污水处理设施。厂区内应按照</w:t>
                  </w:r>
                  <w:r>
                    <w:rPr>
                      <w:rFonts w:hint="default" w:ascii="Times New Roman" w:hAnsi="Times New Roman" w:eastAsia="宋体" w:cs="Times New Roman"/>
                      <w:color w:val="000000"/>
                      <w:kern w:val="0"/>
                      <w:sz w:val="21"/>
                      <w:szCs w:val="21"/>
                      <w:lang w:val="en-US" w:eastAsia="zh-CN" w:bidi="ar"/>
                    </w:rPr>
                    <w:t>GB/T50483</w:t>
                  </w:r>
                  <w:r>
                    <w:rPr>
                      <w:rFonts w:hint="eastAsia" w:ascii="Times New Roman" w:hAnsi="Times New Roman" w:eastAsia="宋体" w:cs="Times New Roman"/>
                      <w:color w:val="000000"/>
                      <w:kern w:val="0"/>
                      <w:sz w:val="21"/>
                      <w:szCs w:val="21"/>
                      <w:lang w:val="en-US" w:eastAsia="zh-CN" w:bidi="ar"/>
                    </w:rPr>
                    <w:t>的要求设置初期雨水收集池</w:t>
                  </w:r>
                  <w:r>
                    <w:rPr>
                      <w:rFonts w:hint="default" w:ascii="Times New Roman" w:hAnsi="Times New Roman" w:eastAsia="宋体" w:cs="Times New Roman"/>
                      <w:color w:val="000000"/>
                      <w:kern w:val="0"/>
                      <w:sz w:val="21"/>
                      <w:szCs w:val="21"/>
                      <w:lang w:val="en-US" w:eastAsia="zh-CN" w:bidi="ar"/>
                    </w:rPr>
                    <w:t>。</w:t>
                  </w:r>
                </w:p>
              </w:tc>
              <w:tc>
                <w:tcPr>
                  <w:tcW w:w="2500" w:type="dxa"/>
                  <w:vAlign w:val="center"/>
                </w:tcPr>
                <w:p w14:paraId="1E58C511">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拟建项目拟实行雨污分流，各类废水经厂区污水处理设施处理后回用于车间地坪保洁及厂区绿化。厂区雨水排放口前拟设置1座容积150m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初期雨水收集池，用于收集初期雨水。</w:t>
                  </w:r>
                </w:p>
              </w:tc>
              <w:tc>
                <w:tcPr>
                  <w:tcW w:w="766" w:type="dxa"/>
                  <w:vAlign w:val="center"/>
                </w:tcPr>
                <w:p w14:paraId="210ED036">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03706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52" w:type="dxa"/>
                  <w:vAlign w:val="center"/>
                </w:tcPr>
                <w:p w14:paraId="784C5552">
                  <w:pPr>
                    <w:pStyle w:val="20"/>
                    <w:spacing w:before="0" w:beforeAutospacing="0" w:after="0" w:afterAutospacing="0"/>
                    <w:jc w:val="center"/>
                    <w:rPr>
                      <w:rFonts w:hint="default" w:ascii="Times New Roman" w:hAnsi="Times New Roman" w:cs="Times New Roman"/>
                      <w:b/>
                      <w:bCs/>
                      <w:sz w:val="21"/>
                      <w:szCs w:val="21"/>
                    </w:rPr>
                  </w:pPr>
                  <w:r>
                    <w:rPr>
                      <w:rFonts w:hint="default" w:ascii="Times New Roman" w:hAnsi="Times New Roman" w:cs="Times New Roman"/>
                      <w:b/>
                      <w:bCs/>
                      <w:sz w:val="21"/>
                      <w:szCs w:val="21"/>
                    </w:rPr>
                    <w:t>三</w:t>
                  </w:r>
                </w:p>
              </w:tc>
              <w:tc>
                <w:tcPr>
                  <w:tcW w:w="6406" w:type="dxa"/>
                  <w:gridSpan w:val="3"/>
                  <w:vAlign w:val="center"/>
                </w:tcPr>
                <w:p w14:paraId="44B6CDF5">
                  <w:pPr>
                    <w:pStyle w:val="20"/>
                    <w:spacing w:before="0" w:beforeAutospacing="0" w:after="0" w:afterAutospacing="0"/>
                    <w:jc w:val="center"/>
                    <w:rPr>
                      <w:rFonts w:hint="default" w:ascii="Times New Roman" w:hAnsi="Times New Roman" w:cs="Times New Roman"/>
                      <w:b/>
                      <w:bCs/>
                      <w:sz w:val="21"/>
                      <w:szCs w:val="21"/>
                    </w:rPr>
                  </w:pPr>
                  <w:r>
                    <w:rPr>
                      <w:rFonts w:hint="eastAsia" w:ascii="Times New Roman" w:hAnsi="Times New Roman" w:cs="Times New Roman"/>
                      <w:b/>
                      <w:bCs/>
                      <w:sz w:val="21"/>
                      <w:szCs w:val="21"/>
                      <w:lang w:val="en-US" w:eastAsia="zh-CN"/>
                    </w:rPr>
                    <w:t>拆解过程污染控制</w:t>
                  </w:r>
                  <w:r>
                    <w:rPr>
                      <w:rFonts w:hint="default" w:ascii="Times New Roman" w:hAnsi="Times New Roman" w:cs="Times New Roman"/>
                      <w:b/>
                      <w:bCs/>
                      <w:sz w:val="21"/>
                      <w:szCs w:val="21"/>
                    </w:rPr>
                    <w:t>要求</w:t>
                  </w:r>
                </w:p>
              </w:tc>
            </w:tr>
            <w:tr w14:paraId="4EE1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52" w:type="dxa"/>
                  <w:vAlign w:val="center"/>
                </w:tcPr>
                <w:p w14:paraId="4BD49D6D">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3140" w:type="dxa"/>
                  <w:vAlign w:val="center"/>
                </w:tcPr>
                <w:p w14:paraId="11E7A00B">
                  <w:pPr>
                    <w:keepNext w:val="0"/>
                    <w:keepLines w:val="0"/>
                    <w:widowControl/>
                    <w:suppressLineNumbers w:val="0"/>
                    <w:jc w:val="center"/>
                    <w:rPr>
                      <w:rFonts w:hint="default" w:ascii="Times New Roman" w:hAnsi="Times New Roman" w:cs="Times New Roman"/>
                      <w:sz w:val="21"/>
                      <w:szCs w:val="21"/>
                    </w:rPr>
                  </w:pPr>
                  <w:r>
                    <w:rPr>
                      <w:rFonts w:hint="eastAsia" w:ascii="Times New Roman" w:hAnsi="Times New Roman" w:eastAsia="宋体" w:cs="Times New Roman"/>
                      <w:color w:val="000000"/>
                      <w:kern w:val="0"/>
                      <w:sz w:val="21"/>
                      <w:szCs w:val="21"/>
                      <w:lang w:val="en-US" w:eastAsia="zh-CN" w:bidi="ar"/>
                    </w:rPr>
                    <w:t>传统燃料报废机动车在开展拆解作业前，应抽排下列气体及液体：燃油、发动机油、变速器</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齿轮箱（包括后差速器和</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或分动器）油、动力转向油、制动液等石油基油或者液态合成润滑剂、冷却液、挡风玻璃清洗液、制冷剂等，并使用专用容器回收贮存。操作场所应有防漏、截流和清污措施，抽排挥发性油液时应通过油气回收装置吸收拆解区域内的挥发性气体。防止上述气体及液体遗撒或泄漏</w:t>
                  </w:r>
                  <w:r>
                    <w:rPr>
                      <w:rFonts w:hint="default" w:ascii="Times New Roman" w:hAnsi="Times New Roman" w:cs="Times New Roman"/>
                      <w:sz w:val="21"/>
                      <w:szCs w:val="21"/>
                    </w:rPr>
                    <w:t>。</w:t>
                  </w:r>
                </w:p>
              </w:tc>
              <w:tc>
                <w:tcPr>
                  <w:tcW w:w="2500" w:type="dxa"/>
                  <w:vAlign w:val="center"/>
                </w:tcPr>
                <w:p w14:paraId="02DE23C1">
                  <w:pPr>
                    <w:keepNext w:val="0"/>
                    <w:keepLines w:val="0"/>
                    <w:widowControl/>
                    <w:suppressLineNumbers w:val="0"/>
                    <w:jc w:val="center"/>
                    <w:rPr>
                      <w:rFonts w:hint="default" w:ascii="Times New Roman" w:hAnsi="Times New Roman" w:cs="Times New Roman"/>
                      <w:sz w:val="21"/>
                      <w:szCs w:val="21"/>
                    </w:rPr>
                  </w:pPr>
                  <w:r>
                    <w:rPr>
                      <w:rFonts w:hint="eastAsia" w:ascii="Times New Roman" w:hAnsi="Times New Roman" w:eastAsia="宋体" w:cs="Times New Roman"/>
                      <w:color w:val="000000"/>
                      <w:kern w:val="0"/>
                      <w:sz w:val="21"/>
                      <w:szCs w:val="21"/>
                      <w:lang w:val="en-US" w:eastAsia="zh-CN" w:bidi="ar"/>
                    </w:rPr>
                    <w:t>根据工艺流程，传统燃料报废机动车拆解预处理第一步是先排空和收集车内各类废液（汽油、机油、制动液、防冻液、变速箱油、液压油等）。</w:t>
                  </w:r>
                </w:p>
              </w:tc>
              <w:tc>
                <w:tcPr>
                  <w:tcW w:w="766" w:type="dxa"/>
                  <w:vAlign w:val="center"/>
                </w:tcPr>
                <w:p w14:paraId="17E8B65F">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4F5D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552" w:type="dxa"/>
                  <w:vAlign w:val="center"/>
                </w:tcPr>
                <w:p w14:paraId="6F529F01">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3140" w:type="dxa"/>
                  <w:vAlign w:val="center"/>
                </w:tcPr>
                <w:p w14:paraId="5009BCAA">
                  <w:pPr>
                    <w:keepNext w:val="0"/>
                    <w:keepLines w:val="0"/>
                    <w:widowControl/>
                    <w:suppressLineNumbers w:val="0"/>
                    <w:jc w:val="center"/>
                    <w:rPr>
                      <w:rFonts w:hint="default" w:ascii="Times New Roman" w:hAnsi="Times New Roman" w:cs="Times New Roman"/>
                      <w:sz w:val="21"/>
                      <w:szCs w:val="21"/>
                    </w:rPr>
                  </w:pPr>
                  <w:r>
                    <w:rPr>
                      <w:rFonts w:hint="eastAsia" w:ascii="Times New Roman" w:hAnsi="Times New Roman" w:eastAsia="宋体" w:cs="Times New Roman"/>
                      <w:color w:val="000000"/>
                      <w:kern w:val="0"/>
                      <w:sz w:val="21"/>
                      <w:szCs w:val="21"/>
                      <w:lang w:val="en-US" w:eastAsia="zh-CN" w:bidi="ar"/>
                    </w:rPr>
                    <w:t>报废电动汽车进场检测时，受损变形以及漏液、漏电、电源供应工作不正常或其他的事故车辆应进行明显标识，及时隔离并优先处理，避免造成环境风险。</w:t>
                  </w:r>
                </w:p>
              </w:tc>
              <w:tc>
                <w:tcPr>
                  <w:tcW w:w="2500" w:type="dxa"/>
                  <w:vAlign w:val="center"/>
                </w:tcPr>
                <w:p w14:paraId="78C2B0C0">
                  <w:pPr>
                    <w:keepNext w:val="0"/>
                    <w:keepLines w:val="0"/>
                    <w:widowControl/>
                    <w:suppressLineNumbers w:val="0"/>
                    <w:jc w:val="center"/>
                    <w:rPr>
                      <w:rFonts w:hint="default" w:ascii="Times New Roman" w:hAnsi="Times New Roman" w:cs="Times New Roman"/>
                      <w:sz w:val="21"/>
                      <w:szCs w:val="21"/>
                    </w:rPr>
                  </w:pPr>
                  <w:r>
                    <w:rPr>
                      <w:rFonts w:hint="eastAsia" w:ascii="Times New Roman" w:hAnsi="Times New Roman" w:eastAsia="宋体" w:cs="Times New Roman"/>
                      <w:color w:val="000000"/>
                      <w:kern w:val="0"/>
                      <w:sz w:val="21"/>
                      <w:szCs w:val="21"/>
                      <w:lang w:val="en-US" w:eastAsia="zh-CN" w:bidi="ar"/>
                    </w:rPr>
                    <w:t>建设项目拟按照规范</w:t>
                  </w:r>
                  <w:r>
                    <w:rPr>
                      <w:rFonts w:hint="default" w:ascii="Times New Roman" w:hAnsi="Times New Roman" w:eastAsia="宋体" w:cs="Times New Roman"/>
                      <w:color w:val="000000"/>
                      <w:kern w:val="0"/>
                      <w:sz w:val="21"/>
                      <w:szCs w:val="21"/>
                      <w:lang w:val="en-US" w:eastAsia="zh-CN" w:bidi="ar"/>
                    </w:rPr>
                    <w:t>HJ348-2022</w:t>
                  </w:r>
                  <w:r>
                    <w:rPr>
                      <w:rFonts w:hint="eastAsia" w:ascii="Times New Roman" w:hAnsi="Times New Roman" w:eastAsia="宋体" w:cs="Times New Roman"/>
                      <w:color w:val="000000"/>
                      <w:kern w:val="0"/>
                      <w:sz w:val="21"/>
                      <w:szCs w:val="21"/>
                      <w:lang w:val="en-US" w:eastAsia="zh-CN" w:bidi="ar"/>
                    </w:rPr>
                    <w:t>管理要求落实。</w:t>
                  </w:r>
                </w:p>
              </w:tc>
              <w:tc>
                <w:tcPr>
                  <w:tcW w:w="766" w:type="dxa"/>
                  <w:vAlign w:val="center"/>
                </w:tcPr>
                <w:p w14:paraId="5D33754D">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0261E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52" w:type="dxa"/>
                  <w:vAlign w:val="center"/>
                </w:tcPr>
                <w:p w14:paraId="57D8BC6D">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3140" w:type="dxa"/>
                  <w:vAlign w:val="center"/>
                </w:tcPr>
                <w:p w14:paraId="5FCDAA9C">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 xml:space="preserve">报废电动汽车在开展拆解作业 </w:t>
                  </w:r>
                </w:p>
                <w:p w14:paraId="5385A991">
                  <w:pPr>
                    <w:keepNext w:val="0"/>
                    <w:keepLines w:val="0"/>
                    <w:widowControl/>
                    <w:suppressLineNumbers w:val="0"/>
                    <w:jc w:val="center"/>
                    <w:rPr>
                      <w:rFonts w:hint="default" w:ascii="Times New Roman" w:hAnsi="Times New Roman" w:cs="Times New Roman"/>
                      <w:sz w:val="21"/>
                      <w:szCs w:val="21"/>
                    </w:rPr>
                  </w:pPr>
                  <w:r>
                    <w:rPr>
                      <w:rFonts w:hint="eastAsia" w:ascii="Times New Roman" w:hAnsi="Times New Roman" w:eastAsia="宋体" w:cs="Times New Roman"/>
                      <w:color w:val="000000"/>
                      <w:kern w:val="0"/>
                      <w:sz w:val="21"/>
                      <w:szCs w:val="21"/>
                      <w:lang w:val="en-US" w:eastAsia="zh-CN" w:bidi="ar"/>
                    </w:rPr>
                    <w:t>前，应采用防静电设备彻底抽排制冷剂，并用专用容器回收储存，避免电解质和有机溶剂泄漏。拆卸下来的动力蓄电池存在漏液、冒烟、漏电、外壳破损等情形的，应及时处理并采用专用容器单独存放，避免动力蓄电池自燃引起的环境风险。</w:t>
                  </w:r>
                </w:p>
              </w:tc>
              <w:tc>
                <w:tcPr>
                  <w:tcW w:w="2500" w:type="dxa"/>
                  <w:vAlign w:val="center"/>
                </w:tcPr>
                <w:p w14:paraId="7894F01A">
                  <w:pPr>
                    <w:keepNext w:val="0"/>
                    <w:keepLines w:val="0"/>
                    <w:widowControl/>
                    <w:suppressLineNumbers w:val="0"/>
                    <w:jc w:val="center"/>
                    <w:rPr>
                      <w:rFonts w:hint="default" w:ascii="Times New Roman" w:hAnsi="Times New Roman" w:cs="Times New Roman"/>
                      <w:sz w:val="21"/>
                      <w:szCs w:val="21"/>
                    </w:rPr>
                  </w:pPr>
                  <w:r>
                    <w:rPr>
                      <w:rFonts w:hint="eastAsia" w:ascii="Times New Roman" w:hAnsi="Times New Roman" w:eastAsia="宋体" w:cs="Times New Roman"/>
                      <w:color w:val="000000"/>
                      <w:kern w:val="0"/>
                      <w:sz w:val="21"/>
                      <w:szCs w:val="21"/>
                      <w:lang w:val="en-US" w:eastAsia="zh-CN" w:bidi="ar"/>
                    </w:rPr>
                    <w:t>根据工艺流程，报废电动车在拆解预处理阶段会使用防静电专门设备回收汽车空调制冷剂，并采用专用容器单独存放</w:t>
                  </w:r>
                  <w:r>
                    <w:rPr>
                      <w:rFonts w:hint="default" w:ascii="Times New Roman" w:hAnsi="Times New Roman" w:eastAsia="宋体" w:cs="Times New Roman"/>
                      <w:color w:val="000000"/>
                      <w:kern w:val="0"/>
                      <w:sz w:val="21"/>
                      <w:szCs w:val="21"/>
                      <w:lang w:val="en-US" w:eastAsia="zh-CN" w:bidi="ar"/>
                    </w:rPr>
                    <w:t>。</w:t>
                  </w:r>
                </w:p>
              </w:tc>
              <w:tc>
                <w:tcPr>
                  <w:tcW w:w="766" w:type="dxa"/>
                  <w:vAlign w:val="center"/>
                </w:tcPr>
                <w:p w14:paraId="379CE68B">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44F6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552" w:type="dxa"/>
                  <w:vAlign w:val="center"/>
                </w:tcPr>
                <w:p w14:paraId="3377DF01">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w:t>
                  </w:r>
                </w:p>
              </w:tc>
              <w:tc>
                <w:tcPr>
                  <w:tcW w:w="3140" w:type="dxa"/>
                  <w:vAlign w:val="center"/>
                </w:tcPr>
                <w:p w14:paraId="70515140">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动力蓄电池不应与铅蓄电池混合贮存。</w:t>
                  </w:r>
                </w:p>
              </w:tc>
              <w:tc>
                <w:tcPr>
                  <w:tcW w:w="2500" w:type="dxa"/>
                  <w:vAlign w:val="center"/>
                </w:tcPr>
                <w:p w14:paraId="1C22AE30">
                  <w:pPr>
                    <w:keepNext w:val="0"/>
                    <w:keepLines w:val="0"/>
                    <w:widowControl/>
                    <w:suppressLineNumbers w:val="0"/>
                    <w:jc w:val="center"/>
                    <w:rPr>
                      <w:rFonts w:hint="default" w:ascii="Times New Roman" w:hAnsi="Times New Roman" w:cs="Times New Roman"/>
                      <w:sz w:val="21"/>
                      <w:szCs w:val="21"/>
                    </w:rPr>
                  </w:pPr>
                  <w:r>
                    <w:rPr>
                      <w:rFonts w:hint="eastAsia" w:cs="Times New Roman"/>
                      <w:color w:val="000000"/>
                      <w:kern w:val="0"/>
                      <w:sz w:val="21"/>
                      <w:szCs w:val="21"/>
                      <w:lang w:val="en-US" w:eastAsia="zh-CN" w:bidi="ar"/>
                    </w:rPr>
                    <w:t>本</w:t>
                  </w:r>
                  <w:r>
                    <w:rPr>
                      <w:rFonts w:hint="eastAsia" w:ascii="Times New Roman" w:hAnsi="Times New Roman" w:eastAsia="宋体" w:cs="Times New Roman"/>
                      <w:color w:val="000000"/>
                      <w:kern w:val="0"/>
                      <w:sz w:val="21"/>
                      <w:szCs w:val="21"/>
                      <w:lang w:val="en-US" w:eastAsia="zh-CN" w:bidi="ar"/>
                    </w:rPr>
                    <w:t>项目动力蓄电池贮存区位于拆解车间西侧，铅蓄电池分区暂存于危废间。</w:t>
                  </w:r>
                </w:p>
              </w:tc>
              <w:tc>
                <w:tcPr>
                  <w:tcW w:w="766" w:type="dxa"/>
                  <w:vAlign w:val="center"/>
                </w:tcPr>
                <w:p w14:paraId="55AA6264">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677C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52" w:type="dxa"/>
                  <w:vAlign w:val="center"/>
                </w:tcPr>
                <w:p w14:paraId="26192E57">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3140" w:type="dxa"/>
                  <w:vAlign w:val="center"/>
                </w:tcPr>
                <w:p w14:paraId="37F5AA71">
                  <w:pPr>
                    <w:keepNext w:val="0"/>
                    <w:keepLines w:val="0"/>
                    <w:widowControl/>
                    <w:suppressLineNumbers w:val="0"/>
                    <w:jc w:val="center"/>
                    <w:rPr>
                      <w:rFonts w:hint="default" w:ascii="Times New Roman" w:hAnsi="Times New Roman" w:cs="Times New Roman"/>
                      <w:sz w:val="21"/>
                      <w:szCs w:val="21"/>
                    </w:rPr>
                  </w:pPr>
                  <w:r>
                    <w:rPr>
                      <w:rFonts w:hint="eastAsia" w:ascii="Times New Roman" w:hAnsi="Times New Roman" w:eastAsia="宋体" w:cs="Times New Roman"/>
                      <w:color w:val="000000"/>
                      <w:kern w:val="0"/>
                      <w:sz w:val="21"/>
                      <w:szCs w:val="21"/>
                      <w:lang w:val="en-US" w:eastAsia="zh-CN" w:bidi="ar"/>
                    </w:rPr>
                    <w:t>报废机动车回收拆解企业不应在未完成各项拆解作业前对报废机动车进行破碎处理或者直接进行熔炼处理。</w:t>
                  </w:r>
                </w:p>
              </w:tc>
              <w:tc>
                <w:tcPr>
                  <w:tcW w:w="2500" w:type="dxa"/>
                  <w:vAlign w:val="center"/>
                </w:tcPr>
                <w:p w14:paraId="43019979">
                  <w:pPr>
                    <w:keepNext w:val="0"/>
                    <w:keepLines w:val="0"/>
                    <w:widowControl/>
                    <w:suppressLineNumbers w:val="0"/>
                    <w:jc w:val="center"/>
                    <w:rPr>
                      <w:rFonts w:hint="default" w:ascii="Times New Roman" w:hAnsi="Times New Roman" w:cs="Times New Roman"/>
                      <w:sz w:val="21"/>
                      <w:szCs w:val="21"/>
                    </w:rPr>
                  </w:pPr>
                  <w:r>
                    <w:rPr>
                      <w:rFonts w:hint="eastAsia" w:ascii="Times New Roman" w:hAnsi="Times New Roman" w:eastAsia="宋体" w:cs="Times New Roman"/>
                      <w:color w:val="000000"/>
                      <w:kern w:val="0"/>
                      <w:sz w:val="21"/>
                      <w:szCs w:val="21"/>
                      <w:lang w:val="en-US" w:eastAsia="zh-CN" w:bidi="ar"/>
                    </w:rPr>
                    <w:t>本项目不进行熔炼处理，在完成拆解作业后才对报废机动车进行破碎处理。</w:t>
                  </w:r>
                </w:p>
              </w:tc>
              <w:tc>
                <w:tcPr>
                  <w:tcW w:w="766" w:type="dxa"/>
                  <w:vAlign w:val="center"/>
                </w:tcPr>
                <w:p w14:paraId="2076EC6A">
                  <w:pPr>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4808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52" w:type="dxa"/>
                  <w:vAlign w:val="center"/>
                </w:tcPr>
                <w:p w14:paraId="52B2C36E">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3140" w:type="dxa"/>
                  <w:vAlign w:val="center"/>
                </w:tcPr>
                <w:p w14:paraId="0AF11406">
                  <w:pPr>
                    <w:keepNext w:val="0"/>
                    <w:keepLines w:val="0"/>
                    <w:widowControl/>
                    <w:suppressLineNumbers w:val="0"/>
                    <w:jc w:val="center"/>
                    <w:rPr>
                      <w:rFonts w:hint="default" w:ascii="Times New Roman" w:hAnsi="Times New Roman" w:cs="Times New Roman"/>
                      <w:sz w:val="21"/>
                      <w:szCs w:val="21"/>
                    </w:rPr>
                  </w:pPr>
                  <w:r>
                    <w:rPr>
                      <w:rFonts w:hint="eastAsia" w:ascii="Times New Roman" w:hAnsi="Times New Roman" w:eastAsia="宋体" w:cs="Times New Roman"/>
                      <w:color w:val="000000"/>
                      <w:kern w:val="0"/>
                      <w:sz w:val="21"/>
                      <w:szCs w:val="21"/>
                      <w:lang w:val="en-US" w:eastAsia="zh-CN" w:bidi="ar"/>
                    </w:rPr>
                    <w:t>报废机动车回收拆解企业不应焚烧报废机动车拆解过程中产生废电线电缆、废轮胎和其他废物。</w:t>
                  </w:r>
                </w:p>
              </w:tc>
              <w:tc>
                <w:tcPr>
                  <w:tcW w:w="2500" w:type="dxa"/>
                  <w:vAlign w:val="center"/>
                </w:tcPr>
                <w:p w14:paraId="0224D5D3">
                  <w:pPr>
                    <w:keepNext w:val="0"/>
                    <w:keepLines w:val="0"/>
                    <w:widowControl/>
                    <w:suppressLineNumbers w:val="0"/>
                    <w:jc w:val="center"/>
                    <w:rPr>
                      <w:rFonts w:hint="default" w:ascii="Times New Roman" w:hAnsi="Times New Roman" w:cs="Times New Roman"/>
                      <w:sz w:val="21"/>
                      <w:szCs w:val="21"/>
                    </w:rPr>
                  </w:pPr>
                  <w:r>
                    <w:rPr>
                      <w:rFonts w:hint="eastAsia" w:cs="Times New Roman"/>
                      <w:color w:val="000000"/>
                      <w:kern w:val="0"/>
                      <w:sz w:val="21"/>
                      <w:szCs w:val="21"/>
                      <w:lang w:val="en-US" w:eastAsia="zh-CN" w:bidi="ar"/>
                    </w:rPr>
                    <w:t>本</w:t>
                  </w:r>
                  <w:r>
                    <w:rPr>
                      <w:rFonts w:hint="eastAsia" w:ascii="Times New Roman" w:hAnsi="Times New Roman" w:eastAsia="宋体" w:cs="Times New Roman"/>
                      <w:color w:val="000000"/>
                      <w:kern w:val="0"/>
                      <w:sz w:val="21"/>
                      <w:szCs w:val="21"/>
                      <w:lang w:val="en-US" w:eastAsia="zh-CN" w:bidi="ar"/>
                    </w:rPr>
                    <w:t>项目分类收集暂存于固废暂存间，定期外售或废旧资源回收部门回收利用。</w:t>
                  </w:r>
                </w:p>
              </w:tc>
              <w:tc>
                <w:tcPr>
                  <w:tcW w:w="766" w:type="dxa"/>
                  <w:vAlign w:val="center"/>
                </w:tcPr>
                <w:p w14:paraId="56CFA6EA">
                  <w:pPr>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17CF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552" w:type="dxa"/>
                  <w:vAlign w:val="center"/>
                </w:tcPr>
                <w:p w14:paraId="378D85F1">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3140" w:type="dxa"/>
                  <w:vAlign w:val="center"/>
                </w:tcPr>
                <w:p w14:paraId="0984193B">
                  <w:pPr>
                    <w:keepNext w:val="0"/>
                    <w:keepLines w:val="0"/>
                    <w:widowControl/>
                    <w:suppressLineNumbers w:val="0"/>
                    <w:jc w:val="center"/>
                    <w:rPr>
                      <w:rFonts w:hint="default" w:ascii="Times New Roman" w:hAnsi="Times New Roman" w:cs="Times New Roman"/>
                      <w:sz w:val="21"/>
                      <w:szCs w:val="21"/>
                    </w:rPr>
                  </w:pPr>
                  <w:r>
                    <w:rPr>
                      <w:rFonts w:hint="eastAsia" w:ascii="Times New Roman" w:hAnsi="Times New Roman" w:eastAsia="宋体" w:cs="Times New Roman"/>
                      <w:color w:val="000000"/>
                      <w:kern w:val="0"/>
                      <w:sz w:val="21"/>
                      <w:szCs w:val="21"/>
                      <w:lang w:val="en-US" w:eastAsia="zh-CN" w:bidi="ar"/>
                    </w:rPr>
                    <w:t>报废机动车拆解产生的废旧玻璃、报废机动车破碎残余物、引爆后的安全气囊等应避免危险废物的沾染，未沾染危险废物的应按一般工业固体废物进行管理。</w:t>
                  </w:r>
                </w:p>
              </w:tc>
              <w:tc>
                <w:tcPr>
                  <w:tcW w:w="2500" w:type="dxa"/>
                  <w:vAlign w:val="center"/>
                </w:tcPr>
                <w:p w14:paraId="69BA29E6">
                  <w:pPr>
                    <w:keepNext w:val="0"/>
                    <w:keepLines w:val="0"/>
                    <w:widowControl/>
                    <w:suppressLineNumbers w:val="0"/>
                    <w:jc w:val="center"/>
                    <w:rPr>
                      <w:rFonts w:hint="default" w:ascii="Times New Roman" w:hAnsi="Times New Roman" w:cs="Times New Roman"/>
                      <w:sz w:val="21"/>
                      <w:szCs w:val="21"/>
                    </w:rPr>
                  </w:pPr>
                  <w:r>
                    <w:rPr>
                      <w:rFonts w:hint="eastAsia" w:cs="Times New Roman"/>
                      <w:color w:val="000000"/>
                      <w:kern w:val="0"/>
                      <w:sz w:val="21"/>
                      <w:szCs w:val="21"/>
                      <w:lang w:val="en-US" w:eastAsia="zh-CN" w:bidi="ar"/>
                    </w:rPr>
                    <w:t>本</w:t>
                  </w:r>
                  <w:r>
                    <w:rPr>
                      <w:rFonts w:hint="eastAsia" w:ascii="Times New Roman" w:hAnsi="Times New Roman" w:eastAsia="宋体" w:cs="Times New Roman"/>
                      <w:color w:val="000000"/>
                      <w:kern w:val="0"/>
                      <w:sz w:val="21"/>
                      <w:szCs w:val="21"/>
                      <w:lang w:val="en-US" w:eastAsia="zh-CN" w:bidi="ar"/>
                    </w:rPr>
                    <w:t>项目废旧玻璃、破碎残余物及引爆后的安全气囊分类收集暂存于固废暂存间，并避免沾染危险废物。</w:t>
                  </w:r>
                </w:p>
              </w:tc>
              <w:tc>
                <w:tcPr>
                  <w:tcW w:w="766" w:type="dxa"/>
                  <w:vAlign w:val="center"/>
                </w:tcPr>
                <w:p w14:paraId="6C76AB64">
                  <w:pPr>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08496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552" w:type="dxa"/>
                  <w:vAlign w:val="center"/>
                </w:tcPr>
                <w:p w14:paraId="5719E807">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3140" w:type="dxa"/>
                  <w:vAlign w:val="center"/>
                </w:tcPr>
                <w:p w14:paraId="01F20DDF">
                  <w:pPr>
                    <w:keepNext w:val="0"/>
                    <w:keepLines w:val="0"/>
                    <w:widowControl/>
                    <w:suppressLineNumbers w:val="0"/>
                    <w:jc w:val="center"/>
                    <w:rPr>
                      <w:rFonts w:hint="default" w:ascii="Times New Roman" w:hAnsi="Times New Roman" w:cs="Times New Roman"/>
                      <w:sz w:val="21"/>
                      <w:szCs w:val="21"/>
                    </w:rPr>
                  </w:pPr>
                  <w:r>
                    <w:rPr>
                      <w:rFonts w:hint="eastAsia" w:ascii="Times New Roman" w:hAnsi="Times New Roman" w:eastAsia="宋体" w:cs="Times New Roman"/>
                      <w:color w:val="000000"/>
                      <w:kern w:val="0"/>
                      <w:sz w:val="21"/>
                      <w:szCs w:val="21"/>
                      <w:lang w:val="en-US" w:eastAsia="zh-CN" w:bidi="ar"/>
                    </w:rPr>
                    <w:t>报废机动车拆解产生的废铅蓄电池、废矿物油、废电路板、废尾气净化催化剂以及含有或沾染危险废物的废弃包装物、容器等依据《国家危险废物名录》属于危险废物的，应按照危险废物贮存管理相关要求进行分区、分类贮存。废弃含油抹布和劳保用品宜集中收集。</w:t>
                  </w:r>
                </w:p>
              </w:tc>
              <w:tc>
                <w:tcPr>
                  <w:tcW w:w="2500" w:type="dxa"/>
                  <w:vAlign w:val="center"/>
                </w:tcPr>
                <w:p w14:paraId="0D632D91">
                  <w:pPr>
                    <w:keepNext w:val="0"/>
                    <w:keepLines w:val="0"/>
                    <w:widowControl/>
                    <w:suppressLineNumbers w:val="0"/>
                    <w:jc w:val="center"/>
                    <w:rPr>
                      <w:rFonts w:hint="default" w:ascii="Times New Roman" w:hAnsi="Times New Roman" w:cs="Times New Roman"/>
                      <w:sz w:val="21"/>
                      <w:szCs w:val="21"/>
                    </w:rPr>
                  </w:pPr>
                  <w:r>
                    <w:rPr>
                      <w:rFonts w:hint="eastAsia" w:cs="Times New Roman"/>
                      <w:color w:val="000000"/>
                      <w:kern w:val="0"/>
                      <w:sz w:val="21"/>
                      <w:szCs w:val="21"/>
                      <w:lang w:val="en-US" w:eastAsia="zh-CN" w:bidi="ar"/>
                    </w:rPr>
                    <w:t>本</w:t>
                  </w:r>
                  <w:r>
                    <w:rPr>
                      <w:rFonts w:hint="eastAsia" w:ascii="Times New Roman" w:hAnsi="Times New Roman" w:eastAsia="宋体" w:cs="Times New Roman"/>
                      <w:color w:val="000000"/>
                      <w:kern w:val="0"/>
                      <w:sz w:val="21"/>
                      <w:szCs w:val="21"/>
                      <w:lang w:val="en-US" w:eastAsia="zh-CN" w:bidi="ar"/>
                    </w:rPr>
                    <w:t>项目各类危险废物分区、分类贮存于危废暂存间。</w:t>
                  </w:r>
                </w:p>
              </w:tc>
              <w:tc>
                <w:tcPr>
                  <w:tcW w:w="766" w:type="dxa"/>
                  <w:vAlign w:val="center"/>
                </w:tcPr>
                <w:p w14:paraId="3560CB36">
                  <w:pPr>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7BD7E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552" w:type="dxa"/>
                  <w:vAlign w:val="center"/>
                </w:tcPr>
                <w:p w14:paraId="2ACF22FD">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3140" w:type="dxa"/>
                  <w:vAlign w:val="center"/>
                </w:tcPr>
                <w:p w14:paraId="1CB7BB59">
                  <w:pPr>
                    <w:keepNext w:val="0"/>
                    <w:keepLines w:val="0"/>
                    <w:widowControl/>
                    <w:suppressLineNumbers w:val="0"/>
                    <w:jc w:val="center"/>
                    <w:rPr>
                      <w:rFonts w:hint="default" w:ascii="Times New Roman" w:hAnsi="Times New Roman" w:cs="Times New Roman"/>
                      <w:sz w:val="21"/>
                      <w:szCs w:val="21"/>
                    </w:rPr>
                  </w:pPr>
                  <w:r>
                    <w:rPr>
                      <w:rFonts w:hint="eastAsia" w:ascii="Times New Roman" w:hAnsi="Times New Roman" w:eastAsia="宋体" w:cs="Times New Roman"/>
                      <w:color w:val="000000"/>
                      <w:kern w:val="0"/>
                      <w:sz w:val="21"/>
                      <w:szCs w:val="21"/>
                      <w:lang w:val="en-US" w:eastAsia="zh-CN" w:bidi="ar"/>
                    </w:rPr>
                    <w:t>报废机动车回收拆解企业不应倾倒铅蓄电池内的电解液、铅块和铅膏等废物。对于破损的铅蓄电池，应单独贮存，并采取防止电解液泄漏的措施。</w:t>
                  </w:r>
                </w:p>
              </w:tc>
              <w:tc>
                <w:tcPr>
                  <w:tcW w:w="2500" w:type="dxa"/>
                  <w:vAlign w:val="center"/>
                </w:tcPr>
                <w:p w14:paraId="573DE913">
                  <w:pPr>
                    <w:keepNext w:val="0"/>
                    <w:keepLines w:val="0"/>
                    <w:widowControl/>
                    <w:suppressLineNumbers w:val="0"/>
                    <w:jc w:val="center"/>
                    <w:rPr>
                      <w:rFonts w:hint="default" w:ascii="Times New Roman" w:hAnsi="Times New Roman" w:cs="Times New Roman"/>
                      <w:sz w:val="21"/>
                      <w:szCs w:val="21"/>
                    </w:rPr>
                  </w:pPr>
                  <w:r>
                    <w:rPr>
                      <w:rFonts w:hint="eastAsia" w:cs="Times New Roman"/>
                      <w:color w:val="000000"/>
                      <w:kern w:val="0"/>
                      <w:sz w:val="21"/>
                      <w:szCs w:val="21"/>
                      <w:lang w:val="en-US" w:eastAsia="zh-CN" w:bidi="ar"/>
                    </w:rPr>
                    <w:t>本</w:t>
                  </w:r>
                  <w:r>
                    <w:rPr>
                      <w:rFonts w:hint="eastAsia" w:ascii="Times New Roman" w:hAnsi="Times New Roman" w:eastAsia="宋体" w:cs="Times New Roman"/>
                      <w:color w:val="000000"/>
                      <w:kern w:val="0"/>
                      <w:sz w:val="21"/>
                      <w:szCs w:val="21"/>
                      <w:lang w:val="en-US" w:eastAsia="zh-CN" w:bidi="ar"/>
                    </w:rPr>
                    <w:t>项目按</w:t>
                  </w:r>
                  <w:r>
                    <w:rPr>
                      <w:rFonts w:hint="default" w:ascii="Times New Roman" w:hAnsi="Times New Roman" w:eastAsia="宋体" w:cs="Times New Roman"/>
                      <w:color w:val="000000"/>
                      <w:kern w:val="0"/>
                      <w:sz w:val="21"/>
                      <w:szCs w:val="21"/>
                      <w:lang w:val="en-US" w:eastAsia="zh-CN" w:bidi="ar"/>
                    </w:rPr>
                    <w:t>HJ348-2022</w:t>
                  </w:r>
                  <w:r>
                    <w:rPr>
                      <w:rFonts w:hint="eastAsia" w:ascii="Times New Roman" w:hAnsi="Times New Roman" w:eastAsia="宋体" w:cs="Times New Roman"/>
                      <w:color w:val="000000"/>
                      <w:kern w:val="0"/>
                      <w:sz w:val="21"/>
                      <w:szCs w:val="21"/>
                      <w:lang w:val="en-US" w:eastAsia="zh-CN" w:bidi="ar"/>
                    </w:rPr>
                    <w:t>管理要求落实。</w:t>
                  </w:r>
                </w:p>
              </w:tc>
              <w:tc>
                <w:tcPr>
                  <w:tcW w:w="766" w:type="dxa"/>
                  <w:vAlign w:val="center"/>
                </w:tcPr>
                <w:p w14:paraId="72941293">
                  <w:pPr>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0D05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52" w:type="dxa"/>
                  <w:vAlign w:val="center"/>
                </w:tcPr>
                <w:p w14:paraId="552CCB18">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3140" w:type="dxa"/>
                  <w:vAlign w:val="center"/>
                </w:tcPr>
                <w:p w14:paraId="63EED133">
                  <w:pPr>
                    <w:keepNext w:val="0"/>
                    <w:keepLines w:val="0"/>
                    <w:widowControl/>
                    <w:suppressLineNumbers w:val="0"/>
                    <w:jc w:val="center"/>
                    <w:rPr>
                      <w:rFonts w:hint="default" w:ascii="Times New Roman" w:hAnsi="Times New Roman" w:cs="Times New Roman"/>
                      <w:sz w:val="21"/>
                      <w:szCs w:val="21"/>
                    </w:rPr>
                  </w:pPr>
                  <w:r>
                    <w:rPr>
                      <w:rFonts w:hint="eastAsia" w:ascii="Times New Roman" w:hAnsi="Times New Roman" w:eastAsia="宋体" w:cs="Times New Roman"/>
                      <w:color w:val="000000"/>
                      <w:kern w:val="0"/>
                      <w:sz w:val="21"/>
                      <w:szCs w:val="21"/>
                      <w:lang w:val="en-US" w:eastAsia="zh-CN" w:bidi="ar"/>
                    </w:rPr>
                    <w:t>报废机动车拆解产生的产物和固体废物应合理分类，不能自行利用处置的，分别委托具有相关资质、相应处理能力或经营范围的单位利用和处置。</w:t>
                  </w:r>
                </w:p>
              </w:tc>
              <w:tc>
                <w:tcPr>
                  <w:tcW w:w="2500" w:type="dxa"/>
                  <w:vAlign w:val="center"/>
                </w:tcPr>
                <w:p w14:paraId="4235EB32">
                  <w:pPr>
                    <w:keepNext w:val="0"/>
                    <w:keepLines w:val="0"/>
                    <w:widowControl/>
                    <w:suppressLineNumbers w:val="0"/>
                    <w:jc w:val="center"/>
                    <w:rPr>
                      <w:rFonts w:hint="default" w:ascii="Times New Roman" w:hAnsi="Times New Roman" w:cs="Times New Roman"/>
                      <w:sz w:val="21"/>
                      <w:szCs w:val="21"/>
                    </w:rPr>
                  </w:pPr>
                  <w:r>
                    <w:rPr>
                      <w:rFonts w:hint="eastAsia" w:cs="Times New Roman"/>
                      <w:color w:val="000000"/>
                      <w:kern w:val="0"/>
                      <w:sz w:val="21"/>
                      <w:szCs w:val="21"/>
                      <w:lang w:val="en-US" w:eastAsia="zh-CN" w:bidi="ar"/>
                    </w:rPr>
                    <w:t>本</w:t>
                  </w:r>
                  <w:r>
                    <w:rPr>
                      <w:rFonts w:hint="eastAsia" w:ascii="Times New Roman" w:hAnsi="Times New Roman" w:eastAsia="宋体" w:cs="Times New Roman"/>
                      <w:color w:val="000000"/>
                      <w:kern w:val="0"/>
                      <w:sz w:val="21"/>
                      <w:szCs w:val="21"/>
                      <w:lang w:val="en-US" w:eastAsia="zh-CN" w:bidi="ar"/>
                    </w:rPr>
                    <w:t>项目拆解产生的产品和固体废物分类收集后分别委托有相关资质、相应处理能力或经营范围的单位利用和处置。</w:t>
                  </w:r>
                </w:p>
              </w:tc>
              <w:tc>
                <w:tcPr>
                  <w:tcW w:w="766" w:type="dxa"/>
                  <w:vAlign w:val="center"/>
                </w:tcPr>
                <w:p w14:paraId="4DDC80E7">
                  <w:pPr>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70A1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2" w:type="dxa"/>
                  <w:vAlign w:val="center"/>
                </w:tcPr>
                <w:p w14:paraId="50A2DD4B">
                  <w:pPr>
                    <w:pStyle w:val="2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11</w:t>
                  </w:r>
                </w:p>
              </w:tc>
              <w:tc>
                <w:tcPr>
                  <w:tcW w:w="3140" w:type="dxa"/>
                  <w:vAlign w:val="center"/>
                </w:tcPr>
                <w:p w14:paraId="39BDDE4A">
                  <w:pPr>
                    <w:keepNext w:val="0"/>
                    <w:keepLines w:val="0"/>
                    <w:widowControl/>
                    <w:suppressLineNumbers w:val="0"/>
                    <w:jc w:val="center"/>
                    <w:rPr>
                      <w:rFonts w:hint="default" w:ascii="Times New Roman" w:hAnsi="Times New Roman" w:cs="Times New Roman"/>
                      <w:sz w:val="21"/>
                      <w:szCs w:val="21"/>
                    </w:rPr>
                  </w:pPr>
                  <w:r>
                    <w:rPr>
                      <w:rFonts w:hint="eastAsia" w:ascii="Times New Roman" w:hAnsi="Times New Roman" w:eastAsia="宋体" w:cs="Times New Roman"/>
                      <w:color w:val="000000"/>
                      <w:kern w:val="0"/>
                      <w:sz w:val="21"/>
                      <w:szCs w:val="21"/>
                      <w:lang w:val="en-US" w:eastAsia="zh-CN" w:bidi="ar"/>
                    </w:rPr>
                    <w:t>报废机动车拆解产物符合国家及地方处置要求，其中主要拆解产物特性及去向见附录</w:t>
                  </w:r>
                  <w:r>
                    <w:rPr>
                      <w:rFonts w:hint="default" w:ascii="Times New Roman" w:hAnsi="Times New Roman" w:eastAsia="宋体" w:cs="Times New Roman"/>
                      <w:color w:val="000000"/>
                      <w:kern w:val="0"/>
                      <w:sz w:val="21"/>
                      <w:szCs w:val="21"/>
                      <w:lang w:val="en-US" w:eastAsia="zh-CN" w:bidi="ar"/>
                    </w:rPr>
                    <w:t>A</w:t>
                  </w:r>
                  <w:r>
                    <w:rPr>
                      <w:rFonts w:hint="eastAsia" w:ascii="Times New Roman" w:hAnsi="Times New Roman" w:eastAsia="宋体" w:cs="Times New Roman"/>
                      <w:color w:val="000000"/>
                      <w:kern w:val="0"/>
                      <w:sz w:val="21"/>
                      <w:szCs w:val="21"/>
                      <w:lang w:val="en-US" w:eastAsia="zh-CN" w:bidi="ar"/>
                    </w:rPr>
                    <w:t>。如报废机动车回收拆解企业具备与报废机动车拆解处理相关的深加工或二次加工经营业务，应当符合其他相关污染控制要求。</w:t>
                  </w:r>
                </w:p>
              </w:tc>
              <w:tc>
                <w:tcPr>
                  <w:tcW w:w="2500" w:type="dxa"/>
                  <w:vAlign w:val="center"/>
                </w:tcPr>
                <w:p w14:paraId="3A986B84">
                  <w:pPr>
                    <w:keepNext w:val="0"/>
                    <w:keepLines w:val="0"/>
                    <w:widowControl/>
                    <w:suppressLineNumbers w:val="0"/>
                    <w:jc w:val="center"/>
                    <w:rPr>
                      <w:rFonts w:hint="default" w:ascii="Times New Roman" w:hAnsi="Times New Roman" w:cs="Times New Roman"/>
                      <w:sz w:val="21"/>
                      <w:szCs w:val="21"/>
                    </w:rPr>
                  </w:pPr>
                  <w:r>
                    <w:rPr>
                      <w:rFonts w:hint="eastAsia" w:cs="Times New Roman"/>
                      <w:color w:val="000000"/>
                      <w:kern w:val="0"/>
                      <w:sz w:val="21"/>
                      <w:szCs w:val="21"/>
                      <w:lang w:val="en-US" w:eastAsia="zh-CN" w:bidi="ar"/>
                    </w:rPr>
                    <w:t>本</w:t>
                  </w:r>
                  <w:r>
                    <w:rPr>
                      <w:rFonts w:hint="eastAsia" w:ascii="Times New Roman" w:hAnsi="Times New Roman" w:eastAsia="宋体" w:cs="Times New Roman"/>
                      <w:color w:val="000000"/>
                      <w:kern w:val="0"/>
                      <w:sz w:val="21"/>
                      <w:szCs w:val="21"/>
                      <w:lang w:val="en-US" w:eastAsia="zh-CN" w:bidi="ar"/>
                    </w:rPr>
                    <w:t>项目只对进厂的报废车进行拆解、分类储存和打包压块销售，实现资源再利用，不进行零部件修复与再制造工艺及二次加工业务。</w:t>
                  </w:r>
                </w:p>
              </w:tc>
              <w:tc>
                <w:tcPr>
                  <w:tcW w:w="766" w:type="dxa"/>
                  <w:vAlign w:val="center"/>
                </w:tcPr>
                <w:p w14:paraId="5A915BE3">
                  <w:pPr>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67B1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2" w:type="dxa"/>
                  <w:vAlign w:val="center"/>
                </w:tcPr>
                <w:p w14:paraId="2573722B">
                  <w:pPr>
                    <w:pStyle w:val="20"/>
                    <w:spacing w:before="0" w:beforeAutospacing="0" w:after="0" w:afterAutospacing="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12</w:t>
                  </w:r>
                </w:p>
              </w:tc>
              <w:tc>
                <w:tcPr>
                  <w:tcW w:w="3140" w:type="dxa"/>
                  <w:vAlign w:val="center"/>
                </w:tcPr>
                <w:p w14:paraId="5DAF0DE0">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报废机动车油箱中的燃料（汽油、柴油、天然气、液化石油气、甲醇等）应分类收集。</w:t>
                  </w:r>
                </w:p>
              </w:tc>
              <w:tc>
                <w:tcPr>
                  <w:tcW w:w="2500" w:type="dxa"/>
                  <w:vAlign w:val="center"/>
                </w:tcPr>
                <w:p w14:paraId="69EED53B">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本项目拟对各类燃料分类收集。</w:t>
                  </w:r>
                </w:p>
              </w:tc>
              <w:tc>
                <w:tcPr>
                  <w:tcW w:w="766" w:type="dxa"/>
                  <w:vAlign w:val="center"/>
                </w:tcPr>
                <w:p w14:paraId="1BDFC357">
                  <w:pPr>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相符</w:t>
                  </w:r>
                </w:p>
              </w:tc>
            </w:tr>
            <w:tr w14:paraId="5ED7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552" w:type="dxa"/>
                  <w:vAlign w:val="center"/>
                </w:tcPr>
                <w:p w14:paraId="70B513A9">
                  <w:pPr>
                    <w:pStyle w:val="20"/>
                    <w:spacing w:before="0" w:beforeAutospacing="0" w:after="0" w:afterAutospacing="0"/>
                    <w:jc w:val="center"/>
                    <w:rPr>
                      <w:rFonts w:hint="eastAsia"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四</w:t>
                  </w:r>
                </w:p>
              </w:tc>
              <w:tc>
                <w:tcPr>
                  <w:tcW w:w="6406" w:type="dxa"/>
                  <w:gridSpan w:val="3"/>
                  <w:vAlign w:val="center"/>
                </w:tcPr>
                <w:p w14:paraId="15EC217A">
                  <w:pPr>
                    <w:jc w:val="center"/>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企业环境管理要求</w:t>
                  </w:r>
                </w:p>
              </w:tc>
            </w:tr>
            <w:tr w14:paraId="60C9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52" w:type="dxa"/>
                  <w:vAlign w:val="center"/>
                </w:tcPr>
                <w:p w14:paraId="36F2DD2E">
                  <w:pPr>
                    <w:pStyle w:val="20"/>
                    <w:spacing w:before="0" w:beforeAutospacing="0" w:after="0" w:afterAutospacing="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1</w:t>
                  </w:r>
                </w:p>
              </w:tc>
              <w:tc>
                <w:tcPr>
                  <w:tcW w:w="3140" w:type="dxa"/>
                  <w:vAlign w:val="center"/>
                </w:tcPr>
                <w:p w14:paraId="4D2F68A9">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 xml:space="preserve">固体废物管理要求 </w:t>
                  </w:r>
                </w:p>
                <w:p w14:paraId="7A0F852F">
                  <w:pPr>
                    <w:pStyle w:val="20"/>
                    <w:spacing w:before="0" w:beforeAutospacing="0" w:after="0" w:afterAutospacing="0"/>
                    <w:jc w:val="center"/>
                    <w:rPr>
                      <w:rFonts w:hint="default" w:ascii="Times New Roman" w:hAnsi="Times New Roman" w:cs="Times New Roman"/>
                      <w:sz w:val="21"/>
                      <w:szCs w:val="21"/>
                    </w:rPr>
                  </w:pPr>
                  <w:r>
                    <w:rPr>
                      <w:rFonts w:hint="eastAsia" w:ascii="宋体" w:hAnsi="宋体" w:eastAsia="宋体" w:cs="宋体"/>
                      <w:color w:val="000000"/>
                      <w:kern w:val="0"/>
                      <w:sz w:val="21"/>
                      <w:szCs w:val="21"/>
                      <w:lang w:val="en-US" w:eastAsia="zh-CN" w:bidi="ar"/>
                    </w:rPr>
                    <w:t>①企业应建立、健全一般工业固体废物污染环境防治责任制度，采取以下措施防止造成环境污染：</w:t>
                  </w:r>
                  <w:r>
                    <w:rPr>
                      <w:rFonts w:hint="default" w:ascii="Times New Roman" w:hAnsi="Times New Roman" w:eastAsia="宋体" w:cs="Times New Roman"/>
                      <w:color w:val="000000"/>
                      <w:kern w:val="0"/>
                      <w:sz w:val="21"/>
                      <w:szCs w:val="21"/>
                      <w:lang w:val="en-US" w:eastAsia="zh-CN" w:bidi="ar"/>
                    </w:rPr>
                    <w:t>a</w:t>
                  </w:r>
                  <w:r>
                    <w:rPr>
                      <w:rFonts w:hint="eastAsia" w:ascii="宋体" w:hAnsi="宋体" w:eastAsia="宋体" w:cs="宋体"/>
                      <w:color w:val="000000"/>
                      <w:kern w:val="0"/>
                      <w:sz w:val="21"/>
                      <w:szCs w:val="21"/>
                      <w:lang w:val="en-US" w:eastAsia="zh-CN" w:bidi="ar"/>
                    </w:rPr>
                    <w:t>）建立一般工业固体废物台账记录，应满足一般工业固体废物管理台账制定指南相关要求；</w:t>
                  </w:r>
                  <w:r>
                    <w:rPr>
                      <w:rFonts w:hint="default" w:ascii="Times New Roman" w:hAnsi="Times New Roman" w:eastAsia="宋体" w:cs="Times New Roman"/>
                      <w:color w:val="000000"/>
                      <w:kern w:val="0"/>
                      <w:sz w:val="21"/>
                      <w:szCs w:val="21"/>
                      <w:lang w:val="en-US" w:eastAsia="zh-CN" w:bidi="ar"/>
                    </w:rPr>
                    <w:t>b</w:t>
                  </w:r>
                  <w:r>
                    <w:rPr>
                      <w:rFonts w:hint="eastAsia" w:ascii="宋体" w:hAnsi="宋体" w:eastAsia="宋体" w:cs="宋体"/>
                      <w:color w:val="000000"/>
                      <w:kern w:val="0"/>
                      <w:sz w:val="21"/>
                      <w:szCs w:val="21"/>
                      <w:lang w:val="en-US" w:eastAsia="zh-CN" w:bidi="ar"/>
                    </w:rPr>
                    <w:t>）分类收集后贮存应设置标识标签，注明拆解产物的名称、贮存时间、</w:t>
                  </w:r>
                  <w:r>
                    <w:rPr>
                      <w:rFonts w:hint="eastAsia" w:ascii="Times New Roman" w:hAnsi="Times New Roman" w:eastAsia="宋体" w:cs="Times New Roman"/>
                      <w:sz w:val="21"/>
                      <w:szCs w:val="21"/>
                      <w:lang w:val="en-US" w:eastAsia="zh-CN"/>
                    </w:rPr>
                    <w:t>数量等信息；贮存过程应采取防止货物和包装损坏或泄漏。②企业应建立、健全污染环境防治责任制度，采取以下措施严格控制危险废物造成环境污染：</w:t>
                  </w:r>
                  <w:r>
                    <w:rPr>
                      <w:rFonts w:hint="default" w:ascii="Times New Roman" w:hAnsi="Times New Roman" w:eastAsia="宋体" w:cs="Times New Roman"/>
                      <w:sz w:val="21"/>
                      <w:szCs w:val="21"/>
                      <w:lang w:val="en-US" w:eastAsia="zh-CN"/>
                    </w:rPr>
                    <w:t>a</w:t>
                  </w:r>
                  <w:r>
                    <w:rPr>
                      <w:rFonts w:hint="eastAsia" w:ascii="Times New Roman" w:hAnsi="Times New Roman" w:eastAsia="宋体" w:cs="Times New Roman"/>
                      <w:sz w:val="21"/>
                      <w:szCs w:val="21"/>
                      <w:lang w:val="en-US" w:eastAsia="zh-CN"/>
                    </w:rPr>
                    <w:t>）制定危险废物管理计划和建立危险废物台账记录，应满足</w:t>
                  </w:r>
                  <w:r>
                    <w:rPr>
                      <w:rFonts w:hint="default" w:ascii="Times New Roman" w:hAnsi="Times New Roman" w:eastAsia="宋体" w:cs="Times New Roman"/>
                      <w:sz w:val="21"/>
                      <w:szCs w:val="21"/>
                      <w:lang w:val="en-US" w:eastAsia="zh-CN"/>
                    </w:rPr>
                    <w:t>HJ1259</w:t>
                  </w:r>
                  <w:r>
                    <w:rPr>
                      <w:rFonts w:hint="eastAsia" w:ascii="Times New Roman" w:hAnsi="Times New Roman" w:eastAsia="宋体" w:cs="Times New Roman"/>
                      <w:sz w:val="21"/>
                      <w:szCs w:val="21"/>
                      <w:lang w:val="en-US" w:eastAsia="zh-CN"/>
                    </w:rPr>
                    <w:t>相关要求；</w:t>
                  </w:r>
                  <w:r>
                    <w:rPr>
                      <w:rFonts w:hint="default" w:ascii="Times New Roman" w:hAnsi="Times New Roman" w:eastAsia="宋体" w:cs="Times New Roman"/>
                      <w:sz w:val="21"/>
                      <w:szCs w:val="21"/>
                      <w:lang w:val="en-US" w:eastAsia="zh-CN"/>
                    </w:rPr>
                    <w:t>b</w:t>
                  </w:r>
                  <w:r>
                    <w:rPr>
                      <w:rFonts w:hint="eastAsia" w:ascii="Times New Roman" w:hAnsi="Times New Roman" w:eastAsia="宋体" w:cs="Times New Roman"/>
                      <w:sz w:val="21"/>
                      <w:szCs w:val="21"/>
                      <w:lang w:val="en-US" w:eastAsia="zh-CN"/>
                    </w:rPr>
                    <w:t>）交由持有危险废物经营许可证并具有相关经营范围的企业进行处理，并签订委托处理合同；</w:t>
                  </w:r>
                  <w:r>
                    <w:rPr>
                      <w:rFonts w:hint="default" w:ascii="Times New Roman" w:hAnsi="Times New Roman" w:eastAsia="宋体" w:cs="Times New Roman"/>
                      <w:sz w:val="21"/>
                      <w:szCs w:val="21"/>
                      <w:lang w:val="en-US" w:eastAsia="zh-CN"/>
                    </w:rPr>
                    <w:t>c</w:t>
                  </w:r>
                  <w:r>
                    <w:rPr>
                      <w:rFonts w:hint="eastAsia" w:ascii="Times New Roman" w:hAnsi="Times New Roman" w:eastAsia="宋体" w:cs="Times New Roman"/>
                      <w:sz w:val="21"/>
                      <w:szCs w:val="21"/>
                      <w:lang w:val="en-US" w:eastAsia="zh-CN"/>
                    </w:rPr>
                    <w:t>）拆解过程产生的固体废物危险特性不明时，按照相关要求开展危险废物鉴别工作；</w:t>
                  </w:r>
                  <w:r>
                    <w:rPr>
                      <w:rFonts w:hint="default" w:ascii="Times New Roman" w:hAnsi="Times New Roman" w:eastAsia="宋体" w:cs="Times New Roman"/>
                      <w:sz w:val="21"/>
                      <w:szCs w:val="21"/>
                      <w:lang w:val="en-US" w:eastAsia="zh-CN"/>
                    </w:rPr>
                    <w:t>d</w:t>
                  </w:r>
                  <w:r>
                    <w:rPr>
                      <w:rFonts w:hint="eastAsia" w:ascii="Times New Roman" w:hAnsi="Times New Roman" w:eastAsia="宋体" w:cs="Times New Roman"/>
                      <w:sz w:val="21"/>
                      <w:szCs w:val="21"/>
                      <w:lang w:val="en-US" w:eastAsia="zh-CN"/>
                    </w:rPr>
                    <w:t>）转移危险废物时，应严格执行《危险废物转移管理办法》有关要求。</w:t>
                  </w:r>
                </w:p>
              </w:tc>
              <w:tc>
                <w:tcPr>
                  <w:tcW w:w="2500" w:type="dxa"/>
                  <w:vAlign w:val="center"/>
                </w:tcPr>
                <w:p w14:paraId="2A4D7903">
                  <w:pPr>
                    <w:widowControl/>
                    <w:jc w:val="center"/>
                    <w:rPr>
                      <w:rFonts w:hint="default" w:ascii="Times New Roman" w:hAnsi="Times New Roman" w:cs="Times New Roman"/>
                      <w:sz w:val="21"/>
                      <w:szCs w:val="21"/>
                    </w:rPr>
                  </w:pPr>
                  <w:r>
                    <w:rPr>
                      <w:rFonts w:hint="eastAsia" w:cs="Times New Roman"/>
                      <w:sz w:val="21"/>
                      <w:szCs w:val="21"/>
                      <w:lang w:val="en-US" w:eastAsia="zh-CN"/>
                    </w:rPr>
                    <w:t>本</w:t>
                  </w:r>
                  <w:r>
                    <w:rPr>
                      <w:rFonts w:hint="eastAsia" w:ascii="Times New Roman" w:hAnsi="Times New Roman" w:eastAsia="宋体" w:cs="Times New Roman"/>
                      <w:sz w:val="21"/>
                      <w:szCs w:val="21"/>
                      <w:lang w:val="en-US" w:eastAsia="zh-CN"/>
                    </w:rPr>
                    <w:t>项目设置一般工业固废</w:t>
                  </w:r>
                  <w:r>
                    <w:rPr>
                      <w:rFonts w:hint="eastAsia" w:cs="Times New Roman"/>
                      <w:sz w:val="21"/>
                      <w:szCs w:val="21"/>
                      <w:lang w:val="en-US" w:eastAsia="zh-CN"/>
                    </w:rPr>
                    <w:t>暂存库</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00m</w:t>
                  </w:r>
                  <w:r>
                    <w:rPr>
                      <w:rFonts w:hint="default" w:ascii="Times New Roman" w:hAnsi="Times New Roman" w:eastAsia="宋体" w:cs="Times New Roman"/>
                      <w:sz w:val="21"/>
                      <w:szCs w:val="21"/>
                      <w:vertAlign w:val="superscript"/>
                      <w:lang w:val="en-US" w:eastAsia="zh-CN"/>
                    </w:rPr>
                    <w:t>2</w:t>
                  </w:r>
                  <w:r>
                    <w:rPr>
                      <w:rFonts w:hint="eastAsia" w:ascii="Times New Roman" w:hAnsi="Times New Roman" w:eastAsia="宋体" w:cs="Times New Roman"/>
                      <w:sz w:val="21"/>
                      <w:szCs w:val="21"/>
                      <w:lang w:val="en-US" w:eastAsia="zh-CN"/>
                    </w:rPr>
                    <w:t>）分类收集存放各类固体废物，并设置标识标签，建立台账；设置危废</w:t>
                  </w:r>
                  <w:r>
                    <w:rPr>
                      <w:rFonts w:hint="eastAsia" w:cs="Times New Roman"/>
                      <w:sz w:val="21"/>
                      <w:szCs w:val="21"/>
                      <w:lang w:val="en-US" w:eastAsia="zh-CN"/>
                    </w:rPr>
                    <w:t>暂存库</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00m</w:t>
                  </w:r>
                  <w:r>
                    <w:rPr>
                      <w:rFonts w:hint="default" w:ascii="Times New Roman" w:hAnsi="Times New Roman" w:eastAsia="宋体" w:cs="Times New Roman"/>
                      <w:sz w:val="21"/>
                      <w:szCs w:val="21"/>
                      <w:vertAlign w:val="superscript"/>
                      <w:lang w:val="en-US" w:eastAsia="zh-CN"/>
                    </w:rPr>
                    <w:t>2</w:t>
                  </w:r>
                  <w:r>
                    <w:rPr>
                      <w:rFonts w:hint="eastAsia" w:ascii="Times New Roman" w:hAnsi="Times New Roman" w:eastAsia="宋体" w:cs="Times New Roman"/>
                      <w:sz w:val="21"/>
                      <w:szCs w:val="21"/>
                      <w:lang w:val="en-US" w:eastAsia="zh-CN"/>
                    </w:rPr>
                    <w:t>）分类存放各类危险废物，建立危废台账，与具有危废处置资质的单位签订委托处理合同，转移危险废物时，应严格执行《危险废物转移管理办法》有关要求。</w:t>
                  </w:r>
                </w:p>
              </w:tc>
              <w:tc>
                <w:tcPr>
                  <w:tcW w:w="766" w:type="dxa"/>
                  <w:vAlign w:val="center"/>
                </w:tcPr>
                <w:p w14:paraId="680D6F15">
                  <w:pPr>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14:paraId="1DF0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52" w:type="dxa"/>
                  <w:vAlign w:val="center"/>
                </w:tcPr>
                <w:p w14:paraId="7BB92EEE">
                  <w:pPr>
                    <w:pStyle w:val="20"/>
                    <w:spacing w:before="0" w:beforeAutospacing="0" w:after="0" w:afterAutospacing="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p>
              </w:tc>
              <w:tc>
                <w:tcPr>
                  <w:tcW w:w="3140" w:type="dxa"/>
                  <w:vAlign w:val="center"/>
                </w:tcPr>
                <w:p w14:paraId="7305D024">
                  <w:pPr>
                    <w:pStyle w:val="20"/>
                    <w:spacing w:before="0" w:beforeAutospacing="0" w:after="0" w:afterAutospacing="0"/>
                    <w:jc w:val="both"/>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环境监测要求 </w:t>
                  </w:r>
                </w:p>
                <w:p w14:paraId="7A8FF0EA">
                  <w:pPr>
                    <w:pStyle w:val="20"/>
                    <w:spacing w:before="0" w:beforeAutospacing="0" w:after="0" w:afterAutospacing="0"/>
                    <w:jc w:val="both"/>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①报</w:t>
                  </w:r>
                  <w:r>
                    <w:rPr>
                      <w:rFonts w:hint="default" w:ascii="Times New Roman" w:hAnsi="Times New Roman" w:eastAsia="宋体" w:cs="Times New Roman"/>
                      <w:color w:val="000000"/>
                      <w:kern w:val="0"/>
                      <w:sz w:val="21"/>
                      <w:szCs w:val="21"/>
                      <w:lang w:val="en-US" w:eastAsia="zh-CN" w:bidi="ar"/>
                    </w:rPr>
                    <w:t>废机动车回收拆解企业应按照HJ819等规定，建立企业监测制度，制定自行监测方案，对污染物排放状况及其周边环境质量的影响开展自行监测，保存原始监测记录，并公布监测结果，监测报告记录应至少保存3年。②自行监测方案应包括企业基本情况、监测点位、监测频次、监测指标（含特征污染物）、执行排放标准及其限值、监测方法和仪器、监测质量控制、监测点位示意图、监测结果信息公开时限、应急监测方案等。③报废</w:t>
                  </w:r>
                  <w:r>
                    <w:rPr>
                      <w:rFonts w:hint="eastAsia" w:ascii="宋体" w:hAnsi="宋体" w:eastAsia="宋体" w:cs="宋体"/>
                      <w:color w:val="000000"/>
                      <w:kern w:val="0"/>
                      <w:sz w:val="21"/>
                      <w:szCs w:val="21"/>
                      <w:lang w:val="en-US" w:eastAsia="zh-CN" w:bidi="ar"/>
                    </w:rPr>
                    <w:t>机动车回收拆解企业不具备自行监测能力的，应委托具有监测服</w:t>
                  </w:r>
                </w:p>
                <w:p w14:paraId="5856F8A8">
                  <w:pPr>
                    <w:pStyle w:val="20"/>
                    <w:spacing w:before="0" w:beforeAutospacing="0" w:after="0" w:afterAutospacing="0"/>
                    <w:jc w:val="center"/>
                    <w:rPr>
                      <w:rFonts w:hint="default" w:ascii="Times New Roman" w:hAnsi="Times New Roman" w:eastAsia="宋体" w:cs="Times New Roman"/>
                      <w:sz w:val="21"/>
                      <w:szCs w:val="21"/>
                      <w:lang w:val="en-US" w:eastAsia="zh-CN"/>
                    </w:rPr>
                  </w:pPr>
                  <w:r>
                    <w:rPr>
                      <w:rFonts w:hint="eastAsia" w:ascii="宋体" w:hAnsi="宋体" w:eastAsia="宋体" w:cs="宋体"/>
                      <w:color w:val="000000"/>
                      <w:kern w:val="0"/>
                      <w:sz w:val="21"/>
                      <w:szCs w:val="21"/>
                      <w:lang w:val="en-US" w:eastAsia="zh-CN" w:bidi="ar"/>
                    </w:rPr>
                    <w:t>务资质的单位监测。</w:t>
                  </w:r>
                </w:p>
              </w:tc>
              <w:tc>
                <w:tcPr>
                  <w:tcW w:w="2500" w:type="dxa"/>
                  <w:vAlign w:val="center"/>
                </w:tcPr>
                <w:p w14:paraId="1C937AD3">
                  <w:pPr>
                    <w:spacing w:before="0" w:beforeAutospacing="0" w:after="0" w:afterAutospacing="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建设单位将按照</w:t>
                  </w:r>
                  <w:r>
                    <w:rPr>
                      <w:rFonts w:hint="default" w:ascii="Times New Roman" w:hAnsi="Times New Roman" w:eastAsia="宋体" w:cs="Times New Roman"/>
                      <w:sz w:val="21"/>
                      <w:szCs w:val="21"/>
                      <w:lang w:val="en-US" w:eastAsia="zh-CN"/>
                    </w:rPr>
                    <w:t>HJ819</w:t>
                  </w:r>
                  <w:r>
                    <w:rPr>
                      <w:rFonts w:hint="eastAsia" w:ascii="Times New Roman" w:hAnsi="Times New Roman" w:eastAsia="宋体" w:cs="Times New Roman"/>
                      <w:sz w:val="21"/>
                      <w:szCs w:val="21"/>
                      <w:lang w:val="en-US" w:eastAsia="zh-CN"/>
                    </w:rPr>
                    <w:t>等规定，制定自行监测方案或委托具有监测服务资质的单位，对污染物排放浓度开展自行监测。</w:t>
                  </w:r>
                </w:p>
              </w:tc>
              <w:tc>
                <w:tcPr>
                  <w:tcW w:w="766" w:type="dxa"/>
                  <w:vAlign w:val="center"/>
                </w:tcPr>
                <w:p w14:paraId="5D8BFBD0">
                  <w:pPr>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相符</w:t>
                  </w:r>
                </w:p>
              </w:tc>
            </w:tr>
            <w:tr w14:paraId="1A27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52" w:type="dxa"/>
                  <w:vAlign w:val="center"/>
                </w:tcPr>
                <w:p w14:paraId="671C48A7">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3140" w:type="dxa"/>
                  <w:vAlign w:val="center"/>
                </w:tcPr>
                <w:p w14:paraId="41601028">
                  <w:pPr>
                    <w:pStyle w:val="20"/>
                    <w:spacing w:before="0" w:beforeAutospacing="0" w:after="0" w:afterAutospacing="0"/>
                    <w:jc w:val="both"/>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 xml:space="preserve">技术人员管理要求 </w:t>
                  </w:r>
                </w:p>
                <w:p w14:paraId="68677A7B">
                  <w:pPr>
                    <w:pStyle w:val="20"/>
                    <w:spacing w:before="0" w:beforeAutospacing="0" w:after="0" w:afterAutospacing="0"/>
                    <w:jc w:val="both"/>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 xml:space="preserve">报废机动车回收拆解企业应对操作人员、技术人员及管理人员进行环境保护相关法律法规、环境应急处理等理论知识和操作技能培训。培训包含以下内容： </w:t>
                  </w:r>
                </w:p>
                <w:p w14:paraId="7F8DC43F">
                  <w:pPr>
                    <w:pStyle w:val="20"/>
                    <w:spacing w:before="0" w:beforeAutospacing="0" w:after="0" w:afterAutospacing="0"/>
                    <w:jc w:val="both"/>
                    <w:rPr>
                      <w:rFonts w:hint="eastAsia" w:ascii="宋体" w:hAnsi="宋体" w:eastAsia="宋体" w:cs="宋体"/>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①有关环境保护法律法规要求；②企业生产的工艺流程、污染物的产生环节和污染防治措施；③环境污染物的排放限值；④污染防治设备设施的运行维护要求；⑤发生突发环境事件的处理措施等。</w:t>
                  </w:r>
                </w:p>
              </w:tc>
              <w:tc>
                <w:tcPr>
                  <w:tcW w:w="2500" w:type="dxa"/>
                  <w:vAlign w:val="center"/>
                </w:tcPr>
                <w:p w14:paraId="31BE173E">
                  <w:pPr>
                    <w:widowControl/>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建设单位将定期组织对操作人员、技术人员及管理人员进行环境保护相关的法律法规、环境应急处理等 理论知识和操作技能培训。</w:t>
                  </w:r>
                </w:p>
              </w:tc>
              <w:tc>
                <w:tcPr>
                  <w:tcW w:w="766" w:type="dxa"/>
                  <w:vAlign w:val="center"/>
                </w:tcPr>
                <w:p w14:paraId="12619409">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r w14:paraId="69C9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52" w:type="dxa"/>
                  <w:vAlign w:val="center"/>
                </w:tcPr>
                <w:p w14:paraId="7167A138">
                  <w:pPr>
                    <w:pStyle w:val="2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3140" w:type="dxa"/>
                  <w:vAlign w:val="center"/>
                </w:tcPr>
                <w:p w14:paraId="79B0C8B1">
                  <w:pPr>
                    <w:pStyle w:val="20"/>
                    <w:spacing w:before="0" w:beforeAutospacing="0" w:after="0" w:afterAutospacing="0"/>
                    <w:jc w:val="both"/>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 xml:space="preserve">突发环境事件应急预案 </w:t>
                  </w:r>
                </w:p>
                <w:p w14:paraId="76620317">
                  <w:pPr>
                    <w:keepNext w:val="0"/>
                    <w:keepLines w:val="0"/>
                    <w:widowControl/>
                    <w:suppressLineNumbers w:val="0"/>
                    <w:jc w:val="both"/>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报废机动车回收拆解企业应健全企业突发环境事件应对工作机制，包括编制突发环境事件应急预案、制定突发环境事件应急预案培训演练制度、定期开展培训演练等。发生突发环境事件时，企业立即启动相应突发环境事件应急预案，并按突发环境事件应急预案要求向生态环境等部门报告。</w:t>
                  </w:r>
                </w:p>
              </w:tc>
              <w:tc>
                <w:tcPr>
                  <w:tcW w:w="2500" w:type="dxa"/>
                  <w:vAlign w:val="center"/>
                </w:tcPr>
                <w:p w14:paraId="2B53C558">
                  <w:pPr>
                    <w:widowControl/>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建设</w:t>
                  </w:r>
                  <w:r>
                    <w:rPr>
                      <w:rFonts w:hint="eastAsia" w:cs="Times New Roman"/>
                      <w:sz w:val="21"/>
                      <w:szCs w:val="21"/>
                      <w:lang w:val="en-US" w:eastAsia="zh-CN"/>
                    </w:rPr>
                    <w:t>单位</w:t>
                  </w:r>
                  <w:r>
                    <w:rPr>
                      <w:rFonts w:hint="eastAsia" w:ascii="Times New Roman" w:hAnsi="Times New Roman" w:eastAsia="宋体" w:cs="Times New Roman"/>
                      <w:sz w:val="21"/>
                      <w:szCs w:val="21"/>
                      <w:lang w:val="en-US" w:eastAsia="zh-CN"/>
                    </w:rPr>
                    <w:t>按</w:t>
                  </w:r>
                  <w:r>
                    <w:rPr>
                      <w:rFonts w:hint="default" w:ascii="Times New Roman" w:hAnsi="Times New Roman" w:eastAsia="宋体" w:cs="Times New Roman"/>
                      <w:sz w:val="21"/>
                      <w:szCs w:val="21"/>
                      <w:lang w:val="en-US" w:eastAsia="zh-CN"/>
                    </w:rPr>
                    <w:t>H1J348-2022</w:t>
                  </w:r>
                  <w:r>
                    <w:rPr>
                      <w:rFonts w:hint="eastAsia" w:ascii="Times New Roman" w:hAnsi="Times New Roman" w:eastAsia="宋体" w:cs="Times New Roman"/>
                      <w:sz w:val="21"/>
                      <w:szCs w:val="21"/>
                      <w:lang w:val="en-US" w:eastAsia="zh-CN"/>
                    </w:rPr>
                    <w:t>要求编制突发环境事件应急预案、制定突发环境事件应急预案培训演练制度、定期开展培训演练。</w:t>
                  </w:r>
                </w:p>
              </w:tc>
              <w:tc>
                <w:tcPr>
                  <w:tcW w:w="766" w:type="dxa"/>
                  <w:vAlign w:val="center"/>
                </w:tcPr>
                <w:p w14:paraId="24744194">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相符</w:t>
                  </w:r>
                </w:p>
              </w:tc>
            </w:tr>
          </w:tbl>
          <w:p w14:paraId="035C141B">
            <w:pPr>
              <w:pStyle w:val="20"/>
              <w:spacing w:before="0" w:beforeAutospacing="0" w:after="0" w:afterAutospacing="0" w:line="360" w:lineRule="auto"/>
              <w:ind w:firstLine="480" w:firstLineChars="200"/>
              <w:jc w:val="both"/>
              <w:rPr>
                <w:rFonts w:hint="default" w:ascii="Times New Roman" w:hAnsi="Times New Roman" w:cs="Times New Roman"/>
              </w:rPr>
            </w:pPr>
            <w:r>
              <w:rPr>
                <w:rFonts w:hint="default" w:ascii="Times New Roman" w:hAnsi="Times New Roman" w:cs="Times New Roman"/>
              </w:rPr>
              <w:t>由上表可知，本项目的建设符合</w:t>
            </w:r>
            <w:r>
              <w:rPr>
                <w:rFonts w:hint="eastAsia" w:ascii="Times New Roman" w:hAnsi="Times New Roman" w:cs="Times New Roman"/>
                <w:b w:val="0"/>
                <w:bCs w:val="0"/>
                <w:sz w:val="24"/>
                <w:szCs w:val="24"/>
                <w:lang w:val="en-US" w:eastAsia="zh-CN"/>
              </w:rPr>
              <w:t>《报废机动车拆解企业污染控制技术规范》（HJ348-2022）</w:t>
            </w:r>
            <w:r>
              <w:rPr>
                <w:rFonts w:hint="default" w:ascii="Times New Roman" w:hAnsi="Times New Roman" w:cs="Times New Roman"/>
              </w:rPr>
              <w:t>相关要求。</w:t>
            </w:r>
          </w:p>
          <w:p w14:paraId="438629E8">
            <w:pPr>
              <w:pStyle w:val="20"/>
              <w:spacing w:before="0" w:beforeAutospacing="0" w:after="0" w:afterAutospacing="0" w:line="360" w:lineRule="auto"/>
              <w:jc w:val="both"/>
              <w:rPr>
                <w:rFonts w:hint="default" w:ascii="Times New Roman" w:hAnsi="Times New Roman" w:cs="Times New Roman"/>
                <w:b/>
                <w:bCs/>
              </w:rPr>
            </w:pPr>
            <w:r>
              <w:rPr>
                <w:rFonts w:hint="default" w:ascii="Times New Roman" w:hAnsi="Times New Roman" w:cs="Times New Roman"/>
                <w:b/>
                <w:bCs/>
              </w:rPr>
              <w:t>（</w:t>
            </w:r>
            <w:r>
              <w:rPr>
                <w:rFonts w:hint="eastAsia" w:ascii="Times New Roman" w:hAnsi="Times New Roman" w:cs="Times New Roman"/>
                <w:b/>
                <w:bCs/>
                <w:lang w:val="en-US" w:eastAsia="zh-CN"/>
              </w:rPr>
              <w:t>6</w:t>
            </w:r>
            <w:r>
              <w:rPr>
                <w:rFonts w:hint="default" w:ascii="Times New Roman" w:hAnsi="Times New Roman" w:cs="Times New Roman"/>
                <w:b/>
                <w:bCs/>
              </w:rPr>
              <w:t>）与《挥发性有机物无组织排放控制标准》（GB37822-2019）符合性分析</w:t>
            </w:r>
          </w:p>
          <w:p w14:paraId="52CB32E7">
            <w:pPr>
              <w:spacing w:line="360" w:lineRule="auto"/>
              <w:ind w:firstLine="480" w:firstLineChars="200"/>
              <w:outlineLvl w:val="2"/>
              <w:rPr>
                <w:color w:val="000000"/>
                <w:kern w:val="0"/>
                <w:sz w:val="24"/>
              </w:rPr>
            </w:pPr>
            <w:r>
              <w:rPr>
                <w:rFonts w:hint="eastAsia"/>
                <w:color w:val="000000"/>
                <w:kern w:val="0"/>
                <w:sz w:val="24"/>
              </w:rPr>
              <w:t>本项目与《挥发性有机物无组织排放控制标准》符合性分析见下表。</w:t>
            </w:r>
          </w:p>
          <w:p w14:paraId="2688C185">
            <w:pPr>
              <w:spacing w:line="240" w:lineRule="atLeast"/>
              <w:jc w:val="center"/>
              <w:outlineLvl w:val="2"/>
              <w:rPr>
                <w:b/>
                <w:bCs/>
                <w:color w:val="000000"/>
                <w:kern w:val="0"/>
                <w:szCs w:val="21"/>
              </w:rPr>
            </w:pPr>
            <w:r>
              <w:rPr>
                <w:rFonts w:hint="eastAsia"/>
                <w:b/>
                <w:bCs/>
                <w:color w:val="000000"/>
                <w:kern w:val="0"/>
                <w:szCs w:val="21"/>
              </w:rPr>
              <w:t>表1-</w:t>
            </w:r>
            <w:r>
              <w:rPr>
                <w:rFonts w:hint="eastAsia"/>
                <w:b/>
                <w:bCs/>
                <w:color w:val="000000"/>
                <w:kern w:val="0"/>
                <w:szCs w:val="21"/>
                <w:lang w:val="en-US" w:eastAsia="zh-CN"/>
              </w:rPr>
              <w:t>5</w:t>
            </w:r>
            <w:r>
              <w:rPr>
                <w:rFonts w:hint="eastAsia"/>
                <w:b/>
                <w:bCs/>
                <w:color w:val="000000"/>
                <w:kern w:val="0"/>
                <w:szCs w:val="21"/>
              </w:rPr>
              <w:t xml:space="preserve">  </w:t>
            </w:r>
            <w:r>
              <w:rPr>
                <w:rFonts w:hint="eastAsia"/>
                <w:b/>
                <w:bCs/>
                <w:color w:val="000000"/>
                <w:kern w:val="0"/>
                <w:szCs w:val="21"/>
                <w:lang w:val="en-US" w:eastAsia="zh-CN"/>
              </w:rPr>
              <w:t>与</w:t>
            </w:r>
            <w:r>
              <w:rPr>
                <w:rFonts w:hint="eastAsia"/>
                <w:b/>
                <w:bCs/>
                <w:color w:val="000000"/>
                <w:kern w:val="0"/>
                <w:szCs w:val="21"/>
              </w:rPr>
              <w:t>《挥发性有机物无组织排放控制标准》符合性分析</w:t>
            </w:r>
          </w:p>
          <w:tbl>
            <w:tblPr>
              <w:tblStyle w:val="24"/>
              <w:tblW w:w="6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2828"/>
              <w:gridCol w:w="2368"/>
              <w:gridCol w:w="688"/>
            </w:tblGrid>
            <w:tr w14:paraId="5E044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1014" w:type="dxa"/>
                  <w:noWrap w:val="0"/>
                  <w:vAlign w:val="center"/>
                </w:tcPr>
                <w:p w14:paraId="76F6A49D">
                  <w:pPr>
                    <w:jc w:val="center"/>
                    <w:outlineLvl w:val="2"/>
                    <w:rPr>
                      <w:rFonts w:hint="eastAsia"/>
                      <w:b/>
                      <w:bCs/>
                      <w:color w:val="000000"/>
                      <w:kern w:val="0"/>
                      <w:szCs w:val="21"/>
                    </w:rPr>
                  </w:pPr>
                  <w:r>
                    <w:rPr>
                      <w:rFonts w:hint="eastAsia"/>
                      <w:b/>
                      <w:bCs/>
                      <w:color w:val="000000"/>
                      <w:kern w:val="0"/>
                      <w:szCs w:val="21"/>
                    </w:rPr>
                    <w:t>项目</w:t>
                  </w:r>
                </w:p>
              </w:tc>
              <w:tc>
                <w:tcPr>
                  <w:tcW w:w="2828" w:type="dxa"/>
                  <w:noWrap w:val="0"/>
                  <w:vAlign w:val="center"/>
                </w:tcPr>
                <w:p w14:paraId="77822088">
                  <w:pPr>
                    <w:jc w:val="center"/>
                    <w:outlineLvl w:val="2"/>
                    <w:rPr>
                      <w:b/>
                      <w:bCs/>
                      <w:color w:val="000000"/>
                      <w:kern w:val="0"/>
                      <w:szCs w:val="21"/>
                    </w:rPr>
                  </w:pPr>
                  <w:r>
                    <w:rPr>
                      <w:rFonts w:hint="eastAsia"/>
                      <w:b/>
                      <w:bCs/>
                      <w:color w:val="000000"/>
                      <w:kern w:val="0"/>
                      <w:szCs w:val="21"/>
                    </w:rPr>
                    <w:t>应采取的控制措施</w:t>
                  </w:r>
                </w:p>
              </w:tc>
              <w:tc>
                <w:tcPr>
                  <w:tcW w:w="2368" w:type="dxa"/>
                  <w:noWrap w:val="0"/>
                  <w:vAlign w:val="center"/>
                </w:tcPr>
                <w:p w14:paraId="41907EA2">
                  <w:pPr>
                    <w:jc w:val="center"/>
                    <w:outlineLvl w:val="2"/>
                    <w:rPr>
                      <w:b/>
                      <w:bCs/>
                      <w:color w:val="000000"/>
                      <w:kern w:val="0"/>
                      <w:szCs w:val="21"/>
                    </w:rPr>
                  </w:pPr>
                  <w:r>
                    <w:rPr>
                      <w:rFonts w:hint="eastAsia"/>
                      <w:b/>
                      <w:bCs/>
                      <w:color w:val="000000"/>
                      <w:kern w:val="0"/>
                      <w:szCs w:val="21"/>
                    </w:rPr>
                    <w:t>本项目采取的控制措施</w:t>
                  </w:r>
                </w:p>
              </w:tc>
              <w:tc>
                <w:tcPr>
                  <w:tcW w:w="688" w:type="dxa"/>
                  <w:noWrap w:val="0"/>
                  <w:vAlign w:val="center"/>
                </w:tcPr>
                <w:p w14:paraId="1BB149AD">
                  <w:pPr>
                    <w:jc w:val="center"/>
                    <w:outlineLvl w:val="2"/>
                    <w:rPr>
                      <w:rFonts w:hint="eastAsia"/>
                      <w:b/>
                      <w:bCs/>
                      <w:color w:val="000000"/>
                      <w:kern w:val="0"/>
                      <w:szCs w:val="21"/>
                    </w:rPr>
                  </w:pPr>
                  <w:r>
                    <w:rPr>
                      <w:rFonts w:hint="eastAsia"/>
                      <w:b/>
                      <w:bCs/>
                      <w:color w:val="000000"/>
                      <w:kern w:val="0"/>
                      <w:szCs w:val="21"/>
                      <w:lang w:val="en-US" w:eastAsia="zh-CN"/>
                    </w:rPr>
                    <w:t>相符</w:t>
                  </w:r>
                  <w:r>
                    <w:rPr>
                      <w:rFonts w:hint="eastAsia"/>
                      <w:b/>
                      <w:bCs/>
                      <w:color w:val="000000"/>
                      <w:kern w:val="0"/>
                      <w:szCs w:val="21"/>
                    </w:rPr>
                    <w:t>性</w:t>
                  </w:r>
                </w:p>
              </w:tc>
            </w:tr>
            <w:tr w14:paraId="0FA8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014" w:type="dxa"/>
                  <w:noWrap w:val="0"/>
                  <w:vAlign w:val="center"/>
                </w:tcPr>
                <w:p w14:paraId="19F2764A">
                  <w:pPr>
                    <w:jc w:val="center"/>
                    <w:outlineLvl w:val="2"/>
                    <w:rPr>
                      <w:color w:val="000000"/>
                      <w:kern w:val="0"/>
                      <w:szCs w:val="21"/>
                    </w:rPr>
                  </w:pPr>
                  <w:r>
                    <w:rPr>
                      <w:rFonts w:hint="eastAsia"/>
                      <w:color w:val="000000"/>
                      <w:kern w:val="0"/>
                      <w:szCs w:val="21"/>
                    </w:rPr>
                    <w:t>工艺过程VOCs无组织排放控制要求</w:t>
                  </w:r>
                </w:p>
              </w:tc>
              <w:tc>
                <w:tcPr>
                  <w:tcW w:w="2828" w:type="dxa"/>
                  <w:noWrap w:val="0"/>
                  <w:vAlign w:val="center"/>
                </w:tcPr>
                <w:p w14:paraId="3733AA9E">
                  <w:pPr>
                    <w:jc w:val="center"/>
                    <w:outlineLvl w:val="2"/>
                    <w:rPr>
                      <w:color w:val="000000"/>
                      <w:kern w:val="0"/>
                      <w:szCs w:val="21"/>
                    </w:rPr>
                  </w:pPr>
                  <w:r>
                    <w:rPr>
                      <w:rFonts w:hint="eastAsia"/>
                      <w:color w:val="000000"/>
                      <w:kern w:val="0"/>
                      <w:szCs w:val="21"/>
                    </w:rPr>
                    <w:t>VOCs质量占比大于等于10%的含VOCs产品，其实用过程采取密闭设备或在密闭空间内操作，废气应排至VOCs废气收集处理系统；无法封闭的，应采取局部气体收集措施，废气应排至VOCs废气收集处理系统。</w:t>
                  </w:r>
                </w:p>
              </w:tc>
              <w:tc>
                <w:tcPr>
                  <w:tcW w:w="2368" w:type="dxa"/>
                  <w:noWrap w:val="0"/>
                  <w:vAlign w:val="center"/>
                </w:tcPr>
                <w:p w14:paraId="30293F71">
                  <w:pPr>
                    <w:jc w:val="center"/>
                    <w:outlineLvl w:val="2"/>
                    <w:rPr>
                      <w:color w:val="000000"/>
                      <w:kern w:val="0"/>
                      <w:szCs w:val="21"/>
                    </w:rPr>
                  </w:pPr>
                  <w:r>
                    <w:rPr>
                      <w:rFonts w:hint="eastAsia"/>
                      <w:color w:val="000000"/>
                      <w:kern w:val="0"/>
                      <w:szCs w:val="21"/>
                    </w:rPr>
                    <w:t>项目</w:t>
                  </w:r>
                  <w:r>
                    <w:rPr>
                      <w:rFonts w:hint="eastAsia"/>
                      <w:color w:val="000000"/>
                      <w:kern w:val="0"/>
                      <w:szCs w:val="21"/>
                      <w:lang w:val="en-US" w:eastAsia="zh-CN"/>
                    </w:rPr>
                    <w:t>废油液</w:t>
                  </w:r>
                  <w:r>
                    <w:rPr>
                      <w:rFonts w:hint="eastAsia"/>
                      <w:color w:val="000000"/>
                      <w:kern w:val="0"/>
                      <w:szCs w:val="21"/>
                    </w:rPr>
                    <w:t>均采用密闭桶装暂存</w:t>
                  </w:r>
                  <w:r>
                    <w:rPr>
                      <w:rFonts w:hint="eastAsia"/>
                      <w:color w:val="000000"/>
                      <w:kern w:val="0"/>
                      <w:szCs w:val="21"/>
                      <w:lang w:val="en-US" w:eastAsia="zh-CN"/>
                    </w:rPr>
                    <w:t>危废暂存库</w:t>
                  </w:r>
                  <w:r>
                    <w:rPr>
                      <w:rFonts w:hint="eastAsia"/>
                      <w:color w:val="000000"/>
                      <w:kern w:val="0"/>
                      <w:szCs w:val="21"/>
                    </w:rPr>
                    <w:t>。</w:t>
                  </w:r>
                  <w:r>
                    <w:rPr>
                      <w:rFonts w:hint="eastAsia"/>
                      <w:color w:val="000000"/>
                      <w:kern w:val="0"/>
                      <w:szCs w:val="21"/>
                      <w:lang w:val="en-US" w:eastAsia="zh-CN"/>
                    </w:rPr>
                    <w:t>废油液抽取工段产生的非甲烷总烃经活性炭吸附装置净化处理后，经15m高排气筒（DA001）排放；废油液贮存工段产生的非甲烷总烃经活性炭吸附装置净化处理后，经15m高排气筒（DA002）排放。对周边环境影响较小</w:t>
                  </w:r>
                  <w:r>
                    <w:rPr>
                      <w:rFonts w:hint="eastAsia"/>
                      <w:color w:val="000000"/>
                      <w:kern w:val="0"/>
                      <w:szCs w:val="21"/>
                    </w:rPr>
                    <w:t>。</w:t>
                  </w:r>
                </w:p>
              </w:tc>
              <w:tc>
                <w:tcPr>
                  <w:tcW w:w="688" w:type="dxa"/>
                  <w:noWrap w:val="0"/>
                  <w:vAlign w:val="center"/>
                </w:tcPr>
                <w:p w14:paraId="0A1762DC">
                  <w:pPr>
                    <w:jc w:val="center"/>
                    <w:outlineLvl w:val="2"/>
                    <w:rPr>
                      <w:rFonts w:hint="eastAsia"/>
                      <w:color w:val="000000"/>
                      <w:kern w:val="0"/>
                      <w:szCs w:val="21"/>
                    </w:rPr>
                  </w:pPr>
                  <w:r>
                    <w:rPr>
                      <w:rFonts w:hint="eastAsia"/>
                      <w:color w:val="000000"/>
                      <w:kern w:val="0"/>
                      <w:szCs w:val="21"/>
                    </w:rPr>
                    <w:t>符合</w:t>
                  </w:r>
                </w:p>
              </w:tc>
            </w:tr>
            <w:tr w14:paraId="5464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014" w:type="dxa"/>
                  <w:vMerge w:val="restart"/>
                  <w:noWrap w:val="0"/>
                  <w:vAlign w:val="center"/>
                </w:tcPr>
                <w:p w14:paraId="2D5B6C11">
                  <w:pPr>
                    <w:jc w:val="center"/>
                    <w:outlineLvl w:val="2"/>
                    <w:rPr>
                      <w:color w:val="000000"/>
                      <w:kern w:val="0"/>
                      <w:szCs w:val="21"/>
                    </w:rPr>
                  </w:pPr>
                  <w:r>
                    <w:rPr>
                      <w:rFonts w:hint="eastAsia"/>
                      <w:color w:val="000000"/>
                      <w:kern w:val="0"/>
                      <w:szCs w:val="21"/>
                    </w:rPr>
                    <w:t>VOCs无组织排放废气收集处理系统要求</w:t>
                  </w:r>
                </w:p>
              </w:tc>
              <w:tc>
                <w:tcPr>
                  <w:tcW w:w="2828" w:type="dxa"/>
                  <w:noWrap w:val="0"/>
                  <w:vAlign w:val="center"/>
                </w:tcPr>
                <w:p w14:paraId="5A26F36D">
                  <w:pPr>
                    <w:jc w:val="center"/>
                    <w:outlineLvl w:val="2"/>
                    <w:rPr>
                      <w:color w:val="000000"/>
                      <w:kern w:val="0"/>
                      <w:szCs w:val="21"/>
                    </w:rPr>
                  </w:pPr>
                  <w:r>
                    <w:rPr>
                      <w:rFonts w:hint="eastAsia"/>
                      <w:color w:val="000000"/>
                      <w:kern w:val="0"/>
                      <w:szCs w:val="21"/>
                    </w:rPr>
                    <w:t>VOCs废气收集处理系统应于生产工艺设备同步进行。VOCs废气收集处理系统发生故障或检修时，对应的生产工艺设备停止运行，待检修完毕后同步投入使用；生产工艺设备不能停止运行或不能及时停止运行的，应设置废气应急处理设施或采取其他替代措施。</w:t>
                  </w:r>
                </w:p>
              </w:tc>
              <w:tc>
                <w:tcPr>
                  <w:tcW w:w="2368" w:type="dxa"/>
                  <w:noWrap w:val="0"/>
                  <w:vAlign w:val="center"/>
                </w:tcPr>
                <w:p w14:paraId="58C1AA79">
                  <w:pPr>
                    <w:jc w:val="center"/>
                    <w:outlineLvl w:val="2"/>
                    <w:rPr>
                      <w:rFonts w:hint="default" w:eastAsia="宋体"/>
                      <w:color w:val="000000"/>
                      <w:kern w:val="0"/>
                      <w:szCs w:val="21"/>
                      <w:lang w:val="en-US" w:eastAsia="zh-CN"/>
                    </w:rPr>
                  </w:pPr>
                  <w:r>
                    <w:rPr>
                      <w:rFonts w:hint="eastAsia"/>
                      <w:color w:val="000000"/>
                      <w:kern w:val="0"/>
                      <w:szCs w:val="21"/>
                      <w:lang w:val="en-US" w:eastAsia="zh-CN"/>
                    </w:rPr>
                    <w:t>项目废气收集、治理设施与主体工程同步设计、施工、运行。当发生故障或检修时，立即停产，避免对周边大气环境造成污染。</w:t>
                  </w:r>
                </w:p>
              </w:tc>
              <w:tc>
                <w:tcPr>
                  <w:tcW w:w="688" w:type="dxa"/>
                  <w:noWrap w:val="0"/>
                  <w:vAlign w:val="center"/>
                </w:tcPr>
                <w:p w14:paraId="64AA485A">
                  <w:pPr>
                    <w:jc w:val="center"/>
                    <w:outlineLvl w:val="2"/>
                    <w:rPr>
                      <w:rFonts w:hint="eastAsia"/>
                      <w:color w:val="000000"/>
                      <w:kern w:val="0"/>
                      <w:szCs w:val="21"/>
                    </w:rPr>
                  </w:pPr>
                  <w:r>
                    <w:rPr>
                      <w:rFonts w:hint="eastAsia"/>
                      <w:color w:val="000000"/>
                      <w:kern w:val="0"/>
                      <w:szCs w:val="21"/>
                    </w:rPr>
                    <w:t>符合</w:t>
                  </w:r>
                </w:p>
              </w:tc>
            </w:tr>
            <w:tr w14:paraId="45BF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014" w:type="dxa"/>
                  <w:vMerge w:val="continue"/>
                  <w:noWrap w:val="0"/>
                  <w:vAlign w:val="center"/>
                </w:tcPr>
                <w:p w14:paraId="3874FA2B">
                  <w:pPr>
                    <w:jc w:val="center"/>
                    <w:outlineLvl w:val="2"/>
                    <w:rPr>
                      <w:color w:val="000000"/>
                      <w:kern w:val="0"/>
                      <w:szCs w:val="21"/>
                    </w:rPr>
                  </w:pPr>
                </w:p>
              </w:tc>
              <w:tc>
                <w:tcPr>
                  <w:tcW w:w="2828" w:type="dxa"/>
                  <w:noWrap w:val="0"/>
                  <w:vAlign w:val="center"/>
                </w:tcPr>
                <w:p w14:paraId="0E2754AC">
                  <w:pPr>
                    <w:jc w:val="center"/>
                    <w:outlineLvl w:val="2"/>
                    <w:rPr>
                      <w:color w:val="000000"/>
                      <w:kern w:val="0"/>
                      <w:szCs w:val="21"/>
                    </w:rPr>
                  </w:pPr>
                  <w:r>
                    <w:rPr>
                      <w:rFonts w:hint="eastAsia"/>
                      <w:color w:val="000000"/>
                      <w:kern w:val="0"/>
                      <w:szCs w:val="21"/>
                    </w:rPr>
                    <w:t>企业应建立台账，记录废气收集系统、VOCs处理设施的主要运行和维护信息，如运行时间、废气处理量、操作温度、停留时间、吸附剂再生/更换周期和更换量、催化及更换周期和更换量、吸收液PH值等关键运行参数。台账保存期限不少于3年。</w:t>
                  </w:r>
                </w:p>
              </w:tc>
              <w:tc>
                <w:tcPr>
                  <w:tcW w:w="2368" w:type="dxa"/>
                  <w:noWrap w:val="0"/>
                  <w:vAlign w:val="center"/>
                </w:tcPr>
                <w:p w14:paraId="6678AFED">
                  <w:pPr>
                    <w:jc w:val="center"/>
                    <w:outlineLvl w:val="2"/>
                    <w:rPr>
                      <w:color w:val="000000"/>
                      <w:kern w:val="0"/>
                      <w:szCs w:val="21"/>
                    </w:rPr>
                  </w:pPr>
                  <w:r>
                    <w:rPr>
                      <w:rFonts w:hint="eastAsia"/>
                      <w:color w:val="000000"/>
                      <w:kern w:val="0"/>
                      <w:szCs w:val="21"/>
                    </w:rPr>
                    <w:t>企业按要求建立台账，记录有关内容。台账保存不少于3年。</w:t>
                  </w:r>
                </w:p>
              </w:tc>
              <w:tc>
                <w:tcPr>
                  <w:tcW w:w="688" w:type="dxa"/>
                  <w:noWrap w:val="0"/>
                  <w:vAlign w:val="center"/>
                </w:tcPr>
                <w:p w14:paraId="496354F7">
                  <w:pPr>
                    <w:jc w:val="center"/>
                    <w:outlineLvl w:val="2"/>
                    <w:rPr>
                      <w:color w:val="000000"/>
                      <w:kern w:val="0"/>
                      <w:szCs w:val="21"/>
                    </w:rPr>
                  </w:pPr>
                  <w:r>
                    <w:rPr>
                      <w:rFonts w:hint="eastAsia"/>
                      <w:color w:val="000000"/>
                      <w:kern w:val="0"/>
                      <w:szCs w:val="21"/>
                    </w:rPr>
                    <w:t>符合</w:t>
                  </w:r>
                </w:p>
              </w:tc>
            </w:tr>
          </w:tbl>
          <w:p w14:paraId="3F03D03E">
            <w:pPr>
              <w:spacing w:line="360" w:lineRule="auto"/>
              <w:ind w:firstLine="480" w:firstLineChars="200"/>
              <w:outlineLvl w:val="2"/>
              <w:rPr>
                <w:rFonts w:hint="default" w:ascii="Times New Roman" w:hAnsi="Times New Roman" w:eastAsia="宋体" w:cs="Times New Roman"/>
                <w:color w:val="000000"/>
                <w:kern w:val="0"/>
                <w:sz w:val="24"/>
                <w:lang w:val="en-US" w:eastAsia="zh-CN"/>
              </w:rPr>
            </w:pPr>
            <w:r>
              <w:rPr>
                <w:rFonts w:hint="default" w:ascii="Times New Roman" w:hAnsi="Times New Roman" w:eastAsia="宋体" w:cs="Times New Roman"/>
                <w:color w:val="000000"/>
                <w:kern w:val="0"/>
                <w:sz w:val="24"/>
              </w:rPr>
              <w:t>由上表可知，本项目的建设符合《挥发性有机物无组织排放控制标准》（GB37822-2019）</w:t>
            </w:r>
            <w:r>
              <w:rPr>
                <w:rFonts w:hint="eastAsia" w:ascii="Times New Roman" w:hAnsi="Times New Roman" w:eastAsia="宋体" w:cs="Times New Roman"/>
                <w:color w:val="000000"/>
                <w:kern w:val="0"/>
                <w:sz w:val="24"/>
                <w:lang w:val="en-US" w:eastAsia="zh-CN"/>
              </w:rPr>
              <w:t>中的相关要求。</w:t>
            </w:r>
          </w:p>
          <w:p w14:paraId="0FCFBE2F">
            <w:pPr>
              <w:pStyle w:val="20"/>
              <w:jc w:val="center"/>
              <w:outlineLvl w:val="0"/>
              <w:rPr>
                <w:rFonts w:hint="eastAsia" w:ascii="Times New Roman" w:hAnsi="Times New Roman" w:eastAsia="宋体"/>
                <w:snapToGrid w:val="0"/>
                <w:sz w:val="30"/>
                <w:szCs w:val="30"/>
                <w:vertAlign w:val="baseline"/>
                <w:lang w:val="en-US" w:eastAsia="zh-CN"/>
              </w:rPr>
            </w:pPr>
          </w:p>
        </w:tc>
      </w:tr>
    </w:tbl>
    <w:p w14:paraId="64CA785F">
      <w:pPr>
        <w:pStyle w:val="20"/>
        <w:jc w:val="center"/>
        <w:outlineLvl w:val="0"/>
        <w:rPr>
          <w:rFonts w:ascii="Times New Roman" w:hAnsi="Times New Roman"/>
          <w:snapToGrid w:val="0"/>
          <w:sz w:val="30"/>
          <w:szCs w:val="30"/>
        </w:rPr>
        <w:sectPr>
          <w:pgSz w:w="11906" w:h="16838"/>
          <w:pgMar w:top="1701" w:right="1531" w:bottom="1701" w:left="1531" w:header="851" w:footer="851" w:gutter="0"/>
          <w:pgNumType w:fmt="decimal"/>
          <w:cols w:space="720" w:num="1"/>
          <w:docGrid w:linePitch="312" w:charSpace="0"/>
        </w:sectPr>
      </w:pPr>
    </w:p>
    <w:p w14:paraId="0A95D0CC">
      <w:pPr>
        <w:pStyle w:val="20"/>
        <w:jc w:val="center"/>
        <w:outlineLvl w:val="0"/>
        <w:rPr>
          <w:rFonts w:ascii="Times New Roman" w:hAnsi="Times New Roman"/>
          <w:snapToGrid w:val="0"/>
          <w:sz w:val="30"/>
          <w:szCs w:val="30"/>
        </w:rPr>
      </w:pPr>
      <w:r>
        <w:rPr>
          <w:rFonts w:ascii="Times New Roman" w:hAnsi="Times New Roman"/>
          <w:snapToGrid w:val="0"/>
          <w:sz w:val="30"/>
          <w:szCs w:val="30"/>
        </w:rPr>
        <w:t>二、建设项目工程分析</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048"/>
      </w:tblGrid>
      <w:tr w14:paraId="492513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3" w:hRule="atLeast"/>
          <w:jc w:val="center"/>
        </w:trPr>
        <w:tc>
          <w:tcPr>
            <w:tcW w:w="823" w:type="dxa"/>
            <w:noWrap w:val="0"/>
            <w:vAlign w:val="center"/>
          </w:tcPr>
          <w:p w14:paraId="77BE6ACF">
            <w:pPr>
              <w:pStyle w:val="2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8048" w:type="dxa"/>
            <w:noWrap w:val="0"/>
            <w:vAlign w:val="top"/>
          </w:tcPr>
          <w:p w14:paraId="47DA62AB">
            <w:pPr>
              <w:adjustRightInd w:val="0"/>
              <w:snapToGrid w:val="0"/>
              <w:spacing w:line="360" w:lineRule="auto"/>
              <w:rPr>
                <w:rFonts w:hint="default"/>
                <w:b/>
                <w:bCs/>
                <w:sz w:val="24"/>
                <w:lang w:val="en-US" w:eastAsia="zh-CN"/>
              </w:rPr>
            </w:pPr>
            <w:r>
              <w:rPr>
                <w:rFonts w:hint="eastAsia"/>
                <w:b/>
                <w:bCs/>
                <w:sz w:val="24"/>
                <w:lang w:val="en-US" w:eastAsia="zh-CN"/>
              </w:rPr>
              <w:t>2.1环评类别判定</w:t>
            </w:r>
          </w:p>
          <w:p w14:paraId="1095D392">
            <w:pPr>
              <w:spacing w:line="360" w:lineRule="auto"/>
              <w:ind w:firstLine="480" w:firstLineChars="200"/>
              <w:rPr>
                <w:rFonts w:hint="eastAsia"/>
                <w:color w:val="000000"/>
                <w:sz w:val="24"/>
              </w:rPr>
            </w:pPr>
            <w:r>
              <w:rPr>
                <w:rFonts w:hint="eastAsia"/>
                <w:sz w:val="24"/>
                <w:shd w:val="clear" w:color="auto" w:fill="FFFFFF"/>
                <w:lang w:val="en-US" w:eastAsia="zh-CN"/>
              </w:rPr>
              <w:t>对照</w:t>
            </w:r>
            <w:r>
              <w:rPr>
                <w:rFonts w:hint="eastAsia"/>
                <w:sz w:val="24"/>
                <w:shd w:val="clear" w:color="auto" w:fill="FFFFFF"/>
              </w:rPr>
              <w:t>《中华人民共和国环境影响评价法》、《建设项目环境保护管理条例》、</w:t>
            </w:r>
            <w:r>
              <w:rPr>
                <w:sz w:val="24"/>
              </w:rPr>
              <w:t>《建设项目环境影响评价分类管理名录》（</w:t>
            </w:r>
            <w:r>
              <w:rPr>
                <w:rFonts w:hint="eastAsia"/>
                <w:sz w:val="24"/>
              </w:rPr>
              <w:t>2021年版）</w:t>
            </w:r>
            <w:r>
              <w:rPr>
                <w:rFonts w:hint="eastAsia"/>
                <w:sz w:val="24"/>
                <w:shd w:val="clear" w:color="auto" w:fill="FFFFFF"/>
              </w:rPr>
              <w:t>等有关环境保护法律、法规要求，</w:t>
            </w:r>
            <w:r>
              <w:rPr>
                <w:rFonts w:hint="eastAsia"/>
                <w:color w:val="000000"/>
                <w:sz w:val="24"/>
              </w:rPr>
              <w:t>本项目</w:t>
            </w:r>
            <w:r>
              <w:rPr>
                <w:rFonts w:hint="eastAsia"/>
                <w:color w:val="000000"/>
                <w:sz w:val="24"/>
                <w:lang w:val="en-US" w:eastAsia="zh-CN"/>
              </w:rPr>
              <w:t>主要从事报废机动车回收拆解</w:t>
            </w:r>
            <w:r>
              <w:rPr>
                <w:rFonts w:hint="eastAsia" w:ascii="Times New Roman" w:hAnsi="Times New Roman" w:eastAsia="宋体" w:cs="Times New Roman"/>
                <w:sz w:val="24"/>
                <w:shd w:val="clear" w:color="auto" w:fill="FFFFFF"/>
              </w:rPr>
              <w:t>，</w:t>
            </w:r>
            <w:r>
              <w:rPr>
                <w:rFonts w:hint="eastAsia" w:ascii="Times New Roman" w:hAnsi="Times New Roman" w:eastAsia="宋体" w:cs="Times New Roman"/>
                <w:sz w:val="24"/>
                <w:shd w:val="clear" w:color="auto" w:fill="FFFFFF"/>
                <w:lang w:val="en-US" w:eastAsia="zh-CN"/>
              </w:rPr>
              <w:t>判定环境影响评价类别为</w:t>
            </w:r>
            <w:r>
              <w:rPr>
                <w:rFonts w:hint="eastAsia"/>
                <w:color w:val="000000"/>
                <w:sz w:val="24"/>
                <w:lang w:val="en-US" w:eastAsia="zh-CN"/>
              </w:rPr>
              <w:t>报告表，具体</w:t>
            </w:r>
            <w:r>
              <w:rPr>
                <w:rFonts w:hint="eastAsia"/>
                <w:color w:val="000000"/>
                <w:sz w:val="24"/>
              </w:rPr>
              <w:t>判定情况见下表。</w:t>
            </w:r>
          </w:p>
          <w:p w14:paraId="7DC3691C">
            <w:pPr>
              <w:jc w:val="center"/>
              <w:rPr>
                <w:b/>
                <w:color w:val="000000"/>
              </w:rPr>
            </w:pPr>
            <w:r>
              <w:rPr>
                <w:rFonts w:hint="eastAsia"/>
                <w:b/>
                <w:color w:val="000000"/>
              </w:rPr>
              <w:t>表2-1  项目环评类别判定情况表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780"/>
              <w:gridCol w:w="3344"/>
              <w:gridCol w:w="939"/>
            </w:tblGrid>
            <w:tr w14:paraId="0496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22" w:type="pct"/>
                  <w:vMerge w:val="restart"/>
                  <w:noWrap w:val="0"/>
                  <w:vAlign w:val="center"/>
                </w:tcPr>
                <w:p w14:paraId="5670BE1F">
                  <w:pPr>
                    <w:jc w:val="center"/>
                    <w:rPr>
                      <w:rFonts w:hint="eastAsia"/>
                      <w:b/>
                      <w:bCs/>
                      <w:color w:val="000000"/>
                    </w:rPr>
                  </w:pPr>
                  <w:r>
                    <w:rPr>
                      <w:rFonts w:hint="eastAsia"/>
                      <w:b/>
                      <w:bCs/>
                      <w:color w:val="000000"/>
                    </w:rPr>
                    <w:t>项目类别</w:t>
                  </w:r>
                </w:p>
              </w:tc>
              <w:tc>
                <w:tcPr>
                  <w:tcW w:w="3877" w:type="pct"/>
                  <w:gridSpan w:val="3"/>
                  <w:noWrap w:val="0"/>
                  <w:vAlign w:val="center"/>
                </w:tcPr>
                <w:p w14:paraId="518C9D75">
                  <w:pPr>
                    <w:jc w:val="center"/>
                    <w:rPr>
                      <w:rFonts w:hint="eastAsia"/>
                      <w:b/>
                      <w:bCs/>
                      <w:color w:val="000000"/>
                    </w:rPr>
                  </w:pPr>
                  <w:r>
                    <w:rPr>
                      <w:rFonts w:hint="eastAsia"/>
                      <w:b/>
                      <w:bCs/>
                      <w:color w:val="000000"/>
                    </w:rPr>
                    <w:t>环境影响评价类别</w:t>
                  </w:r>
                </w:p>
              </w:tc>
            </w:tr>
            <w:tr w14:paraId="406BE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22" w:type="pct"/>
                  <w:vMerge w:val="continue"/>
                  <w:noWrap w:val="0"/>
                  <w:vAlign w:val="center"/>
                </w:tcPr>
                <w:p w14:paraId="1356A66E">
                  <w:pPr>
                    <w:jc w:val="center"/>
                    <w:rPr>
                      <w:rFonts w:hint="eastAsia"/>
                      <w:color w:val="000000"/>
                    </w:rPr>
                  </w:pPr>
                </w:p>
              </w:tc>
              <w:tc>
                <w:tcPr>
                  <w:tcW w:w="1138" w:type="pct"/>
                  <w:noWrap w:val="0"/>
                  <w:vAlign w:val="center"/>
                </w:tcPr>
                <w:p w14:paraId="666762B7">
                  <w:pPr>
                    <w:jc w:val="center"/>
                    <w:rPr>
                      <w:rFonts w:hint="eastAsia"/>
                      <w:color w:val="000000"/>
                    </w:rPr>
                  </w:pPr>
                  <w:r>
                    <w:rPr>
                      <w:rFonts w:hint="eastAsia"/>
                      <w:color w:val="000000"/>
                    </w:rPr>
                    <w:t>报告书</w:t>
                  </w:r>
                </w:p>
              </w:tc>
              <w:tc>
                <w:tcPr>
                  <w:tcW w:w="2138" w:type="pct"/>
                  <w:shd w:val="clear" w:color="auto" w:fill="BEBEBE" w:themeFill="background1" w:themeFillShade="BF"/>
                  <w:noWrap w:val="0"/>
                  <w:vAlign w:val="center"/>
                </w:tcPr>
                <w:p w14:paraId="1749163D">
                  <w:pPr>
                    <w:jc w:val="center"/>
                    <w:rPr>
                      <w:rFonts w:hint="eastAsia"/>
                      <w:color w:val="000000"/>
                    </w:rPr>
                  </w:pPr>
                  <w:r>
                    <w:rPr>
                      <w:rFonts w:hint="eastAsia"/>
                      <w:color w:val="000000"/>
                    </w:rPr>
                    <w:t>报告表</w:t>
                  </w:r>
                </w:p>
              </w:tc>
              <w:tc>
                <w:tcPr>
                  <w:tcW w:w="600" w:type="pct"/>
                  <w:noWrap w:val="0"/>
                  <w:vAlign w:val="center"/>
                </w:tcPr>
                <w:p w14:paraId="478E1FE5">
                  <w:pPr>
                    <w:jc w:val="center"/>
                    <w:rPr>
                      <w:rFonts w:hint="eastAsia"/>
                      <w:color w:val="000000"/>
                    </w:rPr>
                  </w:pPr>
                  <w:r>
                    <w:rPr>
                      <w:rFonts w:hint="eastAsia"/>
                      <w:color w:val="000000"/>
                    </w:rPr>
                    <w:t>登记表</w:t>
                  </w:r>
                </w:p>
              </w:tc>
            </w:tr>
            <w:tr w14:paraId="16F0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22" w:type="pct"/>
                  <w:shd w:val="clear" w:color="auto" w:fill="auto"/>
                  <w:noWrap w:val="0"/>
                  <w:vAlign w:val="center"/>
                </w:tcPr>
                <w:p w14:paraId="2820AA63">
                  <w:pPr>
                    <w:jc w:val="center"/>
                    <w:rPr>
                      <w:rFonts w:hint="default" w:eastAsia="宋体"/>
                      <w:color w:val="000000"/>
                      <w:lang w:val="en-US" w:eastAsia="zh-CN"/>
                    </w:rPr>
                  </w:pPr>
                  <w:r>
                    <w:rPr>
                      <w:rFonts w:hint="eastAsia"/>
                      <w:color w:val="000000"/>
                      <w:lang w:val="en-US" w:eastAsia="zh-CN"/>
                    </w:rPr>
                    <w:t>三十九、废弃资源综合利用业42</w:t>
                  </w:r>
                </w:p>
              </w:tc>
              <w:tc>
                <w:tcPr>
                  <w:tcW w:w="1138" w:type="pct"/>
                  <w:shd w:val="clear" w:color="auto" w:fill="auto"/>
                  <w:noWrap w:val="0"/>
                  <w:vAlign w:val="center"/>
                </w:tcPr>
                <w:p w14:paraId="5DF0F779">
                  <w:pPr>
                    <w:jc w:val="center"/>
                    <w:rPr>
                      <w:rFonts w:hint="default" w:eastAsia="宋体"/>
                      <w:color w:val="000000"/>
                      <w:lang w:val="en-US" w:eastAsia="zh-CN"/>
                    </w:rPr>
                  </w:pPr>
                  <w:r>
                    <w:rPr>
                      <w:rFonts w:hint="eastAsia"/>
                      <w:color w:val="000000"/>
                      <w:lang w:val="en-US" w:eastAsia="zh-CN"/>
                    </w:rPr>
                    <w:t>废电池、废油加工处理</w:t>
                  </w:r>
                </w:p>
              </w:tc>
              <w:tc>
                <w:tcPr>
                  <w:tcW w:w="2138" w:type="pct"/>
                  <w:shd w:val="clear" w:color="auto" w:fill="BEBEBE" w:themeFill="background1" w:themeFillShade="BF"/>
                  <w:noWrap w:val="0"/>
                  <w:vAlign w:val="center"/>
                </w:tcPr>
                <w:p w14:paraId="7ECE8A0E">
                  <w:pPr>
                    <w:jc w:val="center"/>
                    <w:rPr>
                      <w:rFonts w:hint="default" w:eastAsia="宋体"/>
                      <w:color w:val="000000"/>
                      <w:lang w:val="en-US" w:eastAsia="zh-CN"/>
                    </w:rPr>
                  </w:pPr>
                  <w:r>
                    <w:rPr>
                      <w:rFonts w:hint="eastAsia"/>
                      <w:color w:val="000000"/>
                      <w:lang w:val="en-US" w:eastAsia="zh-CN"/>
                    </w:rPr>
                    <w:t>废弃电器电子产品、</w:t>
                  </w:r>
                  <w:r>
                    <w:rPr>
                      <w:rFonts w:hint="eastAsia"/>
                      <w:color w:val="000000"/>
                      <w:highlight w:val="none"/>
                      <w:lang w:val="en-US" w:eastAsia="zh-CN"/>
                    </w:rPr>
                    <w:t>废机动车、</w:t>
                  </w:r>
                  <w:r>
                    <w:rPr>
                      <w:rFonts w:hint="eastAsia"/>
                      <w:color w:val="000000"/>
                      <w:lang w:val="en-US" w:eastAsia="zh-CN"/>
                    </w:rPr>
                    <w:t>废电机、废电线电缆、废钢、废铁、金属和金属化合物矿灰及残渣、有色金属废料与碎屑、废塑料、废轮胎、废船、含水洗工艺的其他废料和碎屑加工处理（农业生产产生的废旧秧盘、薄膜破碎和清洗工艺的除外）</w:t>
                  </w:r>
                </w:p>
              </w:tc>
              <w:tc>
                <w:tcPr>
                  <w:tcW w:w="600" w:type="pct"/>
                  <w:shd w:val="clear" w:color="auto" w:fill="auto"/>
                  <w:noWrap w:val="0"/>
                  <w:vAlign w:val="center"/>
                </w:tcPr>
                <w:p w14:paraId="50769342">
                  <w:pPr>
                    <w:jc w:val="center"/>
                    <w:rPr>
                      <w:rFonts w:hint="default" w:eastAsia="宋体"/>
                      <w:color w:val="000000"/>
                      <w:lang w:val="en-US" w:eastAsia="zh-CN"/>
                    </w:rPr>
                  </w:pPr>
                  <w:r>
                    <w:rPr>
                      <w:rFonts w:hint="eastAsia"/>
                      <w:color w:val="000000"/>
                      <w:lang w:val="en-US" w:eastAsia="zh-CN"/>
                    </w:rPr>
                    <w:t>/</w:t>
                  </w:r>
                </w:p>
              </w:tc>
            </w:tr>
            <w:tr w14:paraId="43D40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4"/>
                  <w:noWrap w:val="0"/>
                  <w:vAlign w:val="center"/>
                </w:tcPr>
                <w:p w14:paraId="7458AED9">
                  <w:pPr>
                    <w:jc w:val="center"/>
                    <w:rPr>
                      <w:color w:val="000000"/>
                    </w:rPr>
                  </w:pPr>
                  <w:r>
                    <w:rPr>
                      <w:rFonts w:hint="eastAsia"/>
                      <w:color w:val="000000"/>
                    </w:rPr>
                    <w:t>判定结果：项目</w:t>
                  </w:r>
                  <w:r>
                    <w:rPr>
                      <w:rFonts w:hint="eastAsia"/>
                      <w:color w:val="000000"/>
                      <w:lang w:val="en-US" w:eastAsia="zh-CN"/>
                    </w:rPr>
                    <w:t>从事废机动车回收拆解，</w:t>
                  </w:r>
                  <w:r>
                    <w:rPr>
                      <w:rFonts w:hint="eastAsia"/>
                      <w:color w:val="000000"/>
                    </w:rPr>
                    <w:t>判定环境影响评价类别为报告表</w:t>
                  </w:r>
                </w:p>
              </w:tc>
            </w:tr>
          </w:tbl>
          <w:p w14:paraId="510FEECE">
            <w:pPr>
              <w:pStyle w:val="20"/>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outlineLvl w:val="0"/>
              <w:rPr>
                <w:rFonts w:hint="default" w:ascii="Times New Roman" w:hAnsi="Times New Roman"/>
                <w:b/>
                <w:color w:val="000000"/>
                <w:lang w:val="en-US" w:eastAsia="zh-CN"/>
              </w:rPr>
            </w:pPr>
            <w:r>
              <w:rPr>
                <w:rFonts w:hint="eastAsia" w:ascii="Times New Roman" w:hAnsi="Times New Roman"/>
                <w:b/>
                <w:color w:val="000000"/>
                <w:lang w:val="en-US" w:eastAsia="zh-CN"/>
              </w:rPr>
              <w:t>2.2建设项目排污许可证类别判定</w:t>
            </w:r>
          </w:p>
          <w:p w14:paraId="68215718">
            <w:pPr>
              <w:pStyle w:val="20"/>
              <w:spacing w:before="0" w:beforeAutospacing="0" w:after="0" w:afterAutospacing="0" w:line="360" w:lineRule="auto"/>
              <w:ind w:firstLine="480" w:firstLineChars="200"/>
              <w:jc w:val="both"/>
              <w:outlineLvl w:val="0"/>
              <w:rPr>
                <w:rFonts w:hint="eastAsia" w:ascii="Times New Roman" w:hAnsi="Times New Roman" w:eastAsia="宋体" w:cs="Times New Roman"/>
                <w:bCs/>
                <w:color w:val="000000"/>
                <w:lang w:val="en-US" w:eastAsia="zh-CN"/>
              </w:rPr>
            </w:pPr>
            <w:r>
              <w:rPr>
                <w:rFonts w:hint="eastAsia" w:ascii="Times New Roman" w:hAnsi="Times New Roman" w:eastAsia="宋体" w:cs="Times New Roman"/>
                <w:bCs/>
                <w:color w:val="000000"/>
                <w:lang w:val="en-US" w:eastAsia="zh-CN"/>
              </w:rPr>
              <w:t>对照《固定污染源排污许可分类管理名录》（</w:t>
            </w:r>
            <w:r>
              <w:rPr>
                <w:rFonts w:hint="default" w:ascii="Times New Roman" w:hAnsi="Times New Roman" w:eastAsia="宋体" w:cs="Times New Roman"/>
                <w:bCs/>
                <w:color w:val="000000"/>
                <w:lang w:val="en-US" w:eastAsia="zh-CN"/>
              </w:rPr>
              <w:t>2019</w:t>
            </w:r>
            <w:r>
              <w:rPr>
                <w:rFonts w:hint="eastAsia" w:ascii="Times New Roman" w:hAnsi="Times New Roman" w:eastAsia="宋体" w:cs="Times New Roman"/>
                <w:bCs/>
                <w:color w:val="000000"/>
                <w:lang w:val="en-US" w:eastAsia="zh-CN"/>
              </w:rPr>
              <w:t>年版），</w:t>
            </w:r>
            <w:r>
              <w:rPr>
                <w:rFonts w:hint="eastAsia" w:ascii="Times New Roman" w:hAnsi="Times New Roman"/>
                <w:bCs/>
                <w:color w:val="000000"/>
                <w:lang w:val="en-US" w:eastAsia="zh-CN"/>
              </w:rPr>
              <w:t>本项目排污许可类别</w:t>
            </w:r>
            <w:r>
              <w:rPr>
                <w:rFonts w:hint="eastAsia" w:ascii="Times New Roman" w:hAnsi="Times New Roman" w:eastAsia="宋体" w:cs="Times New Roman"/>
                <w:bCs/>
                <w:color w:val="000000"/>
                <w:lang w:val="en-US" w:eastAsia="zh-CN"/>
              </w:rPr>
              <w:t>判定如下。</w:t>
            </w:r>
          </w:p>
          <w:p w14:paraId="746E8430">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firstLine="422" w:firstLineChars="200"/>
              <w:jc w:val="center"/>
              <w:textAlignment w:val="auto"/>
              <w:outlineLvl w:val="0"/>
              <w:rPr>
                <w:rFonts w:hint="eastAsia" w:ascii="Times New Roman" w:hAnsi="Times New Roman" w:eastAsia="宋体" w:cs="Times New Roman"/>
                <w:b/>
                <w:bCs w:val="0"/>
                <w:color w:val="000000"/>
                <w:lang w:val="en-US" w:eastAsia="zh-CN"/>
              </w:rPr>
            </w:pPr>
            <w:r>
              <w:rPr>
                <w:rFonts w:hint="eastAsia" w:ascii="Times New Roman" w:hAnsi="Times New Roman" w:eastAsia="宋体" w:cs="Times New Roman"/>
                <w:b/>
                <w:bCs w:val="0"/>
                <w:color w:val="000000"/>
                <w:sz w:val="21"/>
                <w:szCs w:val="16"/>
                <w:lang w:val="en-US" w:eastAsia="zh-CN"/>
              </w:rPr>
              <w:t>表</w:t>
            </w:r>
            <w:r>
              <w:rPr>
                <w:rFonts w:hint="eastAsia" w:ascii="Times New Roman" w:hAnsi="Times New Roman" w:cs="Times New Roman"/>
                <w:b/>
                <w:bCs w:val="0"/>
                <w:color w:val="000000"/>
                <w:sz w:val="21"/>
                <w:szCs w:val="16"/>
                <w:lang w:val="en-US" w:eastAsia="zh-CN"/>
              </w:rPr>
              <w:t>2-2</w:t>
            </w:r>
            <w:r>
              <w:rPr>
                <w:rFonts w:hint="eastAsia" w:ascii="Times New Roman" w:hAnsi="Times New Roman" w:eastAsia="宋体" w:cs="Times New Roman"/>
                <w:b/>
                <w:bCs w:val="0"/>
                <w:color w:val="000000"/>
                <w:sz w:val="21"/>
                <w:szCs w:val="16"/>
                <w:lang w:val="en-US" w:eastAsia="zh-CN"/>
              </w:rPr>
              <w:t xml:space="preserve">  固定污染源排污许可分类管理名录对照表（摘录）</w:t>
            </w:r>
          </w:p>
          <w:tbl>
            <w:tblPr>
              <w:tblStyle w:val="25"/>
              <w:tblW w:w="7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10"/>
              <w:gridCol w:w="1554"/>
              <w:gridCol w:w="2796"/>
              <w:gridCol w:w="1162"/>
            </w:tblGrid>
            <w:tr w14:paraId="00BB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735" w:type="dxa"/>
                  <w:shd w:val="clear" w:color="auto" w:fill="auto"/>
                  <w:noWrap w:val="0"/>
                  <w:vAlign w:val="center"/>
                </w:tcPr>
                <w:p w14:paraId="49754A82">
                  <w:pPr>
                    <w:pStyle w:val="20"/>
                    <w:spacing w:before="0" w:beforeAutospacing="0" w:after="0" w:afterAutospacing="0" w:line="240" w:lineRule="auto"/>
                    <w:jc w:val="center"/>
                    <w:outlineLvl w:val="0"/>
                    <w:rPr>
                      <w:rFonts w:hint="default" w:ascii="Times New Roman" w:hAnsi="Times New Roman" w:eastAsia="宋体" w:cs="Times New Roman"/>
                      <w:b/>
                      <w:bCs w:val="0"/>
                      <w:color w:val="000000"/>
                      <w:sz w:val="21"/>
                      <w:szCs w:val="21"/>
                      <w:vertAlign w:val="baseline"/>
                      <w:lang w:val="en-US" w:eastAsia="zh-CN"/>
                    </w:rPr>
                  </w:pPr>
                  <w:r>
                    <w:rPr>
                      <w:rFonts w:hint="eastAsia" w:ascii="Times New Roman" w:hAnsi="Times New Roman" w:eastAsia="宋体" w:cs="Times New Roman"/>
                      <w:b/>
                      <w:bCs w:val="0"/>
                      <w:color w:val="000000"/>
                      <w:sz w:val="21"/>
                      <w:szCs w:val="21"/>
                      <w:vertAlign w:val="baseline"/>
                      <w:lang w:val="en-US" w:eastAsia="zh-CN"/>
                    </w:rPr>
                    <w:t>序号</w:t>
                  </w:r>
                </w:p>
              </w:tc>
              <w:tc>
                <w:tcPr>
                  <w:tcW w:w="1710" w:type="dxa"/>
                  <w:shd w:val="clear" w:color="auto" w:fill="auto"/>
                  <w:noWrap w:val="0"/>
                  <w:vAlign w:val="center"/>
                </w:tcPr>
                <w:p w14:paraId="14A6238C">
                  <w:pPr>
                    <w:pStyle w:val="20"/>
                    <w:spacing w:before="0" w:beforeAutospacing="0" w:after="0" w:afterAutospacing="0" w:line="240" w:lineRule="auto"/>
                    <w:jc w:val="center"/>
                    <w:outlineLvl w:val="0"/>
                    <w:rPr>
                      <w:rFonts w:hint="default" w:ascii="Times New Roman" w:hAnsi="Times New Roman" w:eastAsia="宋体" w:cs="Times New Roman"/>
                      <w:b/>
                      <w:bCs w:val="0"/>
                      <w:color w:val="000000"/>
                      <w:sz w:val="21"/>
                      <w:szCs w:val="21"/>
                      <w:vertAlign w:val="baseline"/>
                      <w:lang w:val="en-US" w:eastAsia="zh-CN"/>
                    </w:rPr>
                  </w:pPr>
                  <w:r>
                    <w:rPr>
                      <w:rFonts w:hint="eastAsia" w:ascii="Times New Roman" w:hAnsi="Times New Roman" w:eastAsia="宋体" w:cs="Times New Roman"/>
                      <w:b/>
                      <w:bCs w:val="0"/>
                      <w:color w:val="000000"/>
                      <w:sz w:val="21"/>
                      <w:szCs w:val="21"/>
                      <w:vertAlign w:val="baseline"/>
                      <w:lang w:val="en-US" w:eastAsia="zh-CN"/>
                    </w:rPr>
                    <w:t>行业类别</w:t>
                  </w:r>
                </w:p>
              </w:tc>
              <w:tc>
                <w:tcPr>
                  <w:tcW w:w="1554" w:type="dxa"/>
                  <w:shd w:val="clear" w:color="auto" w:fill="auto"/>
                  <w:noWrap w:val="0"/>
                  <w:vAlign w:val="center"/>
                </w:tcPr>
                <w:p w14:paraId="10278435">
                  <w:pPr>
                    <w:pStyle w:val="20"/>
                    <w:spacing w:before="0" w:beforeAutospacing="0" w:after="0" w:afterAutospacing="0" w:line="240" w:lineRule="auto"/>
                    <w:jc w:val="center"/>
                    <w:outlineLvl w:val="0"/>
                    <w:rPr>
                      <w:rFonts w:hint="default" w:ascii="Times New Roman" w:hAnsi="Times New Roman" w:eastAsia="宋体" w:cs="Times New Roman"/>
                      <w:b/>
                      <w:bCs w:val="0"/>
                      <w:color w:val="000000"/>
                      <w:sz w:val="21"/>
                      <w:szCs w:val="21"/>
                      <w:vertAlign w:val="baseline"/>
                      <w:lang w:val="en-US" w:eastAsia="zh-CN"/>
                    </w:rPr>
                  </w:pPr>
                  <w:r>
                    <w:rPr>
                      <w:rFonts w:hint="eastAsia" w:ascii="Times New Roman" w:hAnsi="Times New Roman" w:eastAsia="宋体" w:cs="Times New Roman"/>
                      <w:b/>
                      <w:bCs w:val="0"/>
                      <w:color w:val="000000"/>
                      <w:sz w:val="21"/>
                      <w:szCs w:val="21"/>
                      <w:vertAlign w:val="baseline"/>
                      <w:lang w:val="en-US" w:eastAsia="zh-CN"/>
                    </w:rPr>
                    <w:t>重点管理</w:t>
                  </w:r>
                </w:p>
              </w:tc>
              <w:tc>
                <w:tcPr>
                  <w:tcW w:w="2796" w:type="dxa"/>
                  <w:shd w:val="clear" w:color="auto" w:fill="auto"/>
                  <w:noWrap w:val="0"/>
                  <w:vAlign w:val="center"/>
                </w:tcPr>
                <w:p w14:paraId="65D67F54">
                  <w:pPr>
                    <w:pStyle w:val="20"/>
                    <w:spacing w:before="0" w:beforeAutospacing="0" w:after="0" w:afterAutospacing="0" w:line="240" w:lineRule="auto"/>
                    <w:jc w:val="center"/>
                    <w:outlineLvl w:val="0"/>
                    <w:rPr>
                      <w:rFonts w:hint="default" w:ascii="Times New Roman" w:hAnsi="Times New Roman" w:eastAsia="宋体" w:cs="Times New Roman"/>
                      <w:b/>
                      <w:bCs w:val="0"/>
                      <w:color w:val="000000"/>
                      <w:sz w:val="21"/>
                      <w:szCs w:val="21"/>
                      <w:vertAlign w:val="baseline"/>
                      <w:lang w:val="en-US" w:eastAsia="zh-CN"/>
                    </w:rPr>
                  </w:pPr>
                  <w:r>
                    <w:rPr>
                      <w:rFonts w:hint="eastAsia" w:ascii="Times New Roman" w:hAnsi="Times New Roman" w:eastAsia="宋体" w:cs="Times New Roman"/>
                      <w:b/>
                      <w:bCs w:val="0"/>
                      <w:color w:val="000000"/>
                      <w:sz w:val="21"/>
                      <w:szCs w:val="21"/>
                      <w:vertAlign w:val="baseline"/>
                      <w:lang w:val="en-US" w:eastAsia="zh-CN"/>
                    </w:rPr>
                    <w:t>简化管理</w:t>
                  </w:r>
                </w:p>
              </w:tc>
              <w:tc>
                <w:tcPr>
                  <w:tcW w:w="1162" w:type="dxa"/>
                  <w:shd w:val="clear" w:color="auto" w:fill="D7D7D7"/>
                  <w:noWrap w:val="0"/>
                  <w:vAlign w:val="center"/>
                </w:tcPr>
                <w:p w14:paraId="59CB2A6F">
                  <w:pPr>
                    <w:pStyle w:val="20"/>
                    <w:spacing w:before="0" w:beforeAutospacing="0" w:after="0" w:afterAutospacing="0" w:line="240" w:lineRule="auto"/>
                    <w:jc w:val="center"/>
                    <w:outlineLvl w:val="0"/>
                    <w:rPr>
                      <w:rFonts w:hint="default" w:ascii="Times New Roman" w:hAnsi="Times New Roman" w:eastAsia="宋体" w:cs="Times New Roman"/>
                      <w:bCs/>
                      <w:color w:val="000000"/>
                      <w:sz w:val="21"/>
                      <w:szCs w:val="21"/>
                      <w:vertAlign w:val="baseline"/>
                      <w:lang w:val="en-US" w:eastAsia="zh-CN"/>
                    </w:rPr>
                  </w:pPr>
                  <w:r>
                    <w:rPr>
                      <w:rFonts w:hint="eastAsia" w:ascii="Times New Roman" w:hAnsi="Times New Roman" w:eastAsia="宋体" w:cs="Times New Roman"/>
                      <w:b/>
                      <w:bCs w:val="0"/>
                      <w:color w:val="000000"/>
                      <w:sz w:val="21"/>
                      <w:szCs w:val="21"/>
                      <w:vertAlign w:val="baseline"/>
                      <w:lang w:val="en-US" w:eastAsia="zh-CN"/>
                    </w:rPr>
                    <w:t>登记管理</w:t>
                  </w:r>
                </w:p>
              </w:tc>
            </w:tr>
            <w:tr w14:paraId="0DCC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7957" w:type="dxa"/>
                  <w:gridSpan w:val="5"/>
                  <w:shd w:val="clear" w:color="auto" w:fill="D7D7D7"/>
                  <w:noWrap w:val="0"/>
                  <w:vAlign w:val="center"/>
                </w:tcPr>
                <w:p w14:paraId="7AF61386">
                  <w:pPr>
                    <w:pStyle w:val="20"/>
                    <w:spacing w:before="0" w:beforeAutospacing="0" w:after="0" w:afterAutospacing="0" w:line="240" w:lineRule="auto"/>
                    <w:jc w:val="both"/>
                    <w:outlineLvl w:val="0"/>
                    <w:rPr>
                      <w:rFonts w:hint="default" w:ascii="Times New Roman" w:hAnsi="Times New Roman" w:eastAsia="宋体" w:cs="Times New Roman"/>
                      <w:bCs/>
                      <w:color w:val="000000"/>
                      <w:sz w:val="21"/>
                      <w:szCs w:val="21"/>
                      <w:vertAlign w:val="baseline"/>
                      <w:lang w:val="en-US" w:eastAsia="zh-CN"/>
                    </w:rPr>
                  </w:pPr>
                  <w:r>
                    <w:rPr>
                      <w:rFonts w:hint="eastAsia" w:ascii="Times New Roman" w:hAnsi="Times New Roman" w:eastAsia="宋体" w:cs="Times New Roman"/>
                      <w:bCs/>
                      <w:color w:val="000000"/>
                      <w:sz w:val="21"/>
                      <w:szCs w:val="21"/>
                      <w:vertAlign w:val="baseline"/>
                      <w:lang w:val="en-US" w:eastAsia="zh-CN"/>
                    </w:rPr>
                    <w:t>三十七、废弃资源综合利用业42</w:t>
                  </w:r>
                </w:p>
              </w:tc>
            </w:tr>
            <w:tr w14:paraId="7674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735" w:type="dxa"/>
                  <w:shd w:val="clear" w:color="auto" w:fill="auto"/>
                  <w:noWrap w:val="0"/>
                  <w:vAlign w:val="center"/>
                </w:tcPr>
                <w:p w14:paraId="2A1645FA">
                  <w:pPr>
                    <w:pStyle w:val="20"/>
                    <w:spacing w:before="0" w:beforeAutospacing="0" w:after="0" w:afterAutospacing="0" w:line="240" w:lineRule="auto"/>
                    <w:jc w:val="center"/>
                    <w:outlineLvl w:val="0"/>
                    <w:rPr>
                      <w:rFonts w:hint="default" w:ascii="Times New Roman" w:hAnsi="Times New Roman" w:eastAsia="宋体" w:cs="Times New Roman"/>
                      <w:bCs/>
                      <w:color w:val="000000"/>
                      <w:sz w:val="21"/>
                      <w:szCs w:val="21"/>
                      <w:vertAlign w:val="baseline"/>
                      <w:lang w:val="en-US" w:eastAsia="zh-CN"/>
                    </w:rPr>
                  </w:pPr>
                  <w:r>
                    <w:rPr>
                      <w:rFonts w:hint="eastAsia" w:ascii="Times New Roman" w:hAnsi="Times New Roman" w:eastAsia="宋体" w:cs="Times New Roman"/>
                      <w:bCs/>
                      <w:color w:val="000000"/>
                      <w:sz w:val="21"/>
                      <w:szCs w:val="21"/>
                      <w:vertAlign w:val="baseline"/>
                      <w:lang w:val="en-US" w:eastAsia="zh-CN"/>
                    </w:rPr>
                    <w:t>93</w:t>
                  </w:r>
                </w:p>
              </w:tc>
              <w:tc>
                <w:tcPr>
                  <w:tcW w:w="1710" w:type="dxa"/>
                  <w:shd w:val="clear" w:color="auto" w:fill="auto"/>
                  <w:noWrap w:val="0"/>
                  <w:vAlign w:val="center"/>
                </w:tcPr>
                <w:p w14:paraId="52BF00BB">
                  <w:pPr>
                    <w:pStyle w:val="20"/>
                    <w:spacing w:before="0" w:beforeAutospacing="0" w:after="0" w:afterAutospacing="0" w:line="240" w:lineRule="auto"/>
                    <w:jc w:val="center"/>
                    <w:outlineLvl w:val="0"/>
                    <w:rPr>
                      <w:rFonts w:hint="default" w:ascii="Times New Roman" w:hAnsi="Times New Roman" w:eastAsia="宋体" w:cs="Times New Roman"/>
                      <w:bCs/>
                      <w:color w:val="000000"/>
                      <w:sz w:val="21"/>
                      <w:szCs w:val="21"/>
                      <w:vertAlign w:val="baseline"/>
                      <w:lang w:val="en-US" w:eastAsia="zh-CN"/>
                    </w:rPr>
                  </w:pPr>
                  <w:r>
                    <w:rPr>
                      <w:rFonts w:hint="eastAsia" w:ascii="Times New Roman" w:hAnsi="Times New Roman" w:eastAsia="宋体" w:cs="Times New Roman"/>
                      <w:bCs/>
                      <w:color w:val="000000"/>
                      <w:sz w:val="21"/>
                      <w:szCs w:val="21"/>
                      <w:vertAlign w:val="baseline"/>
                      <w:lang w:val="en-US" w:eastAsia="zh-CN"/>
                    </w:rPr>
                    <w:t>金属废料和碎屑加工处理421非金属废料和碎屑加工处理422</w:t>
                  </w:r>
                </w:p>
              </w:tc>
              <w:tc>
                <w:tcPr>
                  <w:tcW w:w="1554" w:type="dxa"/>
                  <w:shd w:val="clear" w:color="auto" w:fill="auto"/>
                  <w:noWrap w:val="0"/>
                  <w:vAlign w:val="center"/>
                </w:tcPr>
                <w:p w14:paraId="00BF1C22">
                  <w:pPr>
                    <w:pStyle w:val="20"/>
                    <w:spacing w:before="0" w:beforeAutospacing="0" w:after="0" w:afterAutospacing="0" w:line="240" w:lineRule="auto"/>
                    <w:jc w:val="center"/>
                    <w:outlineLvl w:val="0"/>
                    <w:rPr>
                      <w:rFonts w:hint="default" w:ascii="Times New Roman" w:hAnsi="Times New Roman" w:eastAsia="宋体" w:cs="Times New Roman"/>
                      <w:bCs/>
                      <w:color w:val="000000"/>
                      <w:sz w:val="21"/>
                      <w:szCs w:val="21"/>
                      <w:vertAlign w:val="baseline"/>
                      <w:lang w:val="en-US" w:eastAsia="zh-CN"/>
                    </w:rPr>
                  </w:pPr>
                  <w:r>
                    <w:rPr>
                      <w:rFonts w:hint="eastAsia" w:ascii="Times New Roman" w:hAnsi="Times New Roman" w:eastAsia="宋体" w:cs="Times New Roman"/>
                      <w:bCs/>
                      <w:color w:val="000000"/>
                      <w:sz w:val="21"/>
                      <w:szCs w:val="21"/>
                      <w:vertAlign w:val="baseline"/>
                      <w:lang w:val="en-US" w:eastAsia="zh-CN"/>
                    </w:rPr>
                    <w:t>废电池、废油、废轮胎加工处理</w:t>
                  </w:r>
                </w:p>
              </w:tc>
              <w:tc>
                <w:tcPr>
                  <w:tcW w:w="2796" w:type="dxa"/>
                  <w:shd w:val="clear" w:color="auto" w:fill="D7D7D7"/>
                  <w:noWrap w:val="0"/>
                  <w:vAlign w:val="center"/>
                </w:tcPr>
                <w:p w14:paraId="6F0D6155">
                  <w:pPr>
                    <w:pStyle w:val="20"/>
                    <w:spacing w:before="0" w:beforeAutospacing="0" w:after="0" w:afterAutospacing="0" w:line="240" w:lineRule="auto"/>
                    <w:jc w:val="center"/>
                    <w:outlineLvl w:val="0"/>
                    <w:rPr>
                      <w:rFonts w:hint="default" w:ascii="Times New Roman" w:hAnsi="Times New Roman" w:eastAsia="宋体" w:cs="Times New Roman"/>
                      <w:bCs/>
                      <w:color w:val="000000"/>
                      <w:sz w:val="21"/>
                      <w:szCs w:val="21"/>
                      <w:vertAlign w:val="baseline"/>
                      <w:lang w:val="en-US" w:eastAsia="zh-CN"/>
                    </w:rPr>
                  </w:pPr>
                  <w:r>
                    <w:rPr>
                      <w:rFonts w:hint="eastAsia" w:ascii="Times New Roman" w:hAnsi="Times New Roman" w:eastAsia="宋体" w:cs="Times New Roman"/>
                      <w:bCs/>
                      <w:color w:val="000000"/>
                      <w:sz w:val="21"/>
                      <w:szCs w:val="21"/>
                      <w:vertAlign w:val="baseline"/>
                      <w:lang w:val="en-US" w:eastAsia="zh-CN"/>
                    </w:rPr>
                    <w:t>废弃电器电子产品、</w:t>
                  </w:r>
                  <w:r>
                    <w:rPr>
                      <w:rFonts w:hint="eastAsia" w:ascii="Times New Roman" w:hAnsi="Times New Roman" w:eastAsia="宋体" w:cs="Times New Roman"/>
                      <w:bCs/>
                      <w:color w:val="000000"/>
                      <w:sz w:val="21"/>
                      <w:szCs w:val="21"/>
                      <w:highlight w:val="none"/>
                      <w:vertAlign w:val="baseline"/>
                      <w:lang w:val="en-US" w:eastAsia="zh-CN"/>
                    </w:rPr>
                    <w:t>废机动车、</w:t>
                  </w:r>
                  <w:r>
                    <w:rPr>
                      <w:rFonts w:hint="eastAsia" w:ascii="Times New Roman" w:hAnsi="Times New Roman" w:eastAsia="宋体" w:cs="Times New Roman"/>
                      <w:bCs/>
                      <w:color w:val="000000"/>
                      <w:sz w:val="21"/>
                      <w:szCs w:val="21"/>
                      <w:vertAlign w:val="baseline"/>
                      <w:lang w:val="en-US" w:eastAsia="zh-CN"/>
                    </w:rPr>
                    <w:t>废电机、废电线电缆、废塑料、废船、含水洗工艺的其他废料和碎屑加工处理</w:t>
                  </w:r>
                </w:p>
              </w:tc>
              <w:tc>
                <w:tcPr>
                  <w:tcW w:w="1162" w:type="dxa"/>
                  <w:noWrap w:val="0"/>
                  <w:vAlign w:val="center"/>
                </w:tcPr>
                <w:p w14:paraId="74A5B01D">
                  <w:pPr>
                    <w:pStyle w:val="20"/>
                    <w:spacing w:before="0" w:beforeAutospacing="0" w:after="0" w:afterAutospacing="0" w:line="240" w:lineRule="auto"/>
                    <w:jc w:val="center"/>
                    <w:outlineLvl w:val="0"/>
                    <w:rPr>
                      <w:rFonts w:hint="default" w:ascii="Times New Roman" w:hAnsi="Times New Roman" w:eastAsia="宋体" w:cs="Times New Roman"/>
                      <w:bCs/>
                      <w:color w:val="000000"/>
                      <w:sz w:val="21"/>
                      <w:szCs w:val="21"/>
                      <w:vertAlign w:val="baseline"/>
                      <w:lang w:val="en-US" w:eastAsia="zh-CN"/>
                    </w:rPr>
                  </w:pPr>
                  <w:r>
                    <w:rPr>
                      <w:rFonts w:hint="eastAsia" w:ascii="Times New Roman" w:hAnsi="Times New Roman" w:eastAsia="宋体" w:cs="Times New Roman"/>
                      <w:bCs/>
                      <w:color w:val="000000"/>
                      <w:sz w:val="21"/>
                      <w:szCs w:val="21"/>
                      <w:vertAlign w:val="baseline"/>
                      <w:lang w:val="en-US" w:eastAsia="zh-CN"/>
                    </w:rPr>
                    <w:t>其他</w:t>
                  </w:r>
                </w:p>
              </w:tc>
            </w:tr>
          </w:tbl>
          <w:p w14:paraId="2F12EE49">
            <w:pPr>
              <w:pStyle w:val="20"/>
              <w:spacing w:before="0" w:beforeAutospacing="0" w:after="0" w:afterAutospacing="0" w:line="360" w:lineRule="auto"/>
              <w:ind w:firstLine="480" w:firstLineChars="200"/>
              <w:jc w:val="both"/>
              <w:outlineLvl w:val="0"/>
              <w:rPr>
                <w:rFonts w:hint="eastAsia" w:ascii="Times New Roman" w:hAnsi="Times New Roman"/>
                <w:bCs/>
                <w:color w:val="000000"/>
                <w:lang w:val="en-US" w:eastAsia="zh-CN"/>
              </w:rPr>
            </w:pPr>
            <w:r>
              <w:rPr>
                <w:rFonts w:hint="eastAsia" w:ascii="Times New Roman" w:hAnsi="Times New Roman" w:eastAsia="宋体" w:cs="Times New Roman"/>
                <w:bCs/>
                <w:color w:val="000000"/>
                <w:lang w:val="en-US" w:eastAsia="zh-CN"/>
              </w:rPr>
              <w:t>本项目属于“</w:t>
            </w:r>
            <w:r>
              <w:rPr>
                <w:rFonts w:hint="default" w:ascii="Times New Roman" w:hAnsi="Times New Roman" w:cs="Times New Roman"/>
                <w:sz w:val="24"/>
              </w:rPr>
              <w:t>C</w:t>
            </w:r>
            <w:r>
              <w:rPr>
                <w:rFonts w:hint="eastAsia" w:ascii="Times New Roman" w:hAnsi="Times New Roman" w:cs="Times New Roman"/>
                <w:sz w:val="24"/>
                <w:lang w:val="en-US" w:eastAsia="zh-CN"/>
              </w:rPr>
              <w:t>4210 金属废料和碎屑加工</w:t>
            </w:r>
            <w:r>
              <w:rPr>
                <w:rFonts w:hint="eastAsia"/>
                <w:sz w:val="24"/>
                <w:lang w:val="en-US" w:eastAsia="zh-CN"/>
              </w:rPr>
              <w:t>”中报废机动车拆解，由上表可知，属于</w:t>
            </w:r>
            <w:r>
              <w:rPr>
                <w:rFonts w:hint="eastAsia" w:ascii="Times New Roman" w:hAnsi="Times New Roman" w:eastAsia="宋体" w:cs="Times New Roman"/>
                <w:bCs/>
                <w:color w:val="000000"/>
                <w:lang w:val="en-US" w:eastAsia="zh-CN"/>
              </w:rPr>
              <w:t>简化管理</w:t>
            </w:r>
            <w:r>
              <w:rPr>
                <w:rFonts w:hint="eastAsia" w:ascii="Times New Roman" w:hAnsi="Times New Roman" w:cs="Times New Roman"/>
                <w:bCs/>
                <w:color w:val="000000"/>
                <w:lang w:val="en-US" w:eastAsia="zh-CN"/>
              </w:rPr>
              <w:t>。</w:t>
            </w:r>
            <w:r>
              <w:rPr>
                <w:rFonts w:hint="eastAsia" w:ascii="Times New Roman" w:hAnsi="Times New Roman"/>
                <w:bCs/>
                <w:color w:val="000000"/>
                <w:lang w:val="en-US" w:eastAsia="zh-CN"/>
              </w:rPr>
              <w:t>项目建成投产前，应依法申领排污许可证，并按排污许可证要求进行排污。</w:t>
            </w:r>
          </w:p>
          <w:p w14:paraId="1420CC0D">
            <w:pPr>
              <w:adjustRightInd w:val="0"/>
              <w:snapToGrid w:val="0"/>
              <w:spacing w:line="360" w:lineRule="auto"/>
              <w:rPr>
                <w:b/>
                <w:bCs/>
                <w:sz w:val="24"/>
              </w:rPr>
            </w:pPr>
            <w:r>
              <w:rPr>
                <w:b/>
                <w:bCs/>
                <w:sz w:val="24"/>
              </w:rPr>
              <w:t>2.</w:t>
            </w:r>
            <w:r>
              <w:rPr>
                <w:rFonts w:hint="eastAsia"/>
                <w:b/>
                <w:bCs/>
                <w:sz w:val="24"/>
                <w:lang w:val="en-US" w:eastAsia="zh-CN"/>
              </w:rPr>
              <w:t>2</w:t>
            </w:r>
            <w:r>
              <w:rPr>
                <w:b/>
                <w:bCs/>
                <w:sz w:val="24"/>
              </w:rPr>
              <w:t>工程建设内容</w:t>
            </w:r>
          </w:p>
          <w:p w14:paraId="4DE192FE">
            <w:pPr>
              <w:pStyle w:val="2"/>
              <w:spacing w:before="0" w:after="0" w:line="360" w:lineRule="auto"/>
              <w:ind w:right="0" w:firstLine="480" w:firstLineChars="200"/>
              <w:rPr>
                <w:bCs/>
                <w:sz w:val="24"/>
                <w:szCs w:val="24"/>
              </w:rPr>
            </w:pPr>
            <w:r>
              <w:rPr>
                <w:bCs/>
                <w:sz w:val="24"/>
                <w:szCs w:val="24"/>
              </w:rPr>
              <w:t>项目</w:t>
            </w:r>
            <w:r>
              <w:rPr>
                <w:rFonts w:hint="eastAsia"/>
                <w:bCs/>
                <w:sz w:val="24"/>
                <w:szCs w:val="24"/>
                <w:lang w:val="en-US" w:eastAsia="zh-CN"/>
              </w:rPr>
              <w:t>总占地面积16200m</w:t>
            </w:r>
            <w:r>
              <w:rPr>
                <w:rFonts w:hint="eastAsia"/>
                <w:bCs/>
                <w:sz w:val="24"/>
                <w:szCs w:val="24"/>
                <w:vertAlign w:val="superscript"/>
                <w:lang w:val="en-US" w:eastAsia="zh-CN"/>
              </w:rPr>
              <w:t>2</w:t>
            </w:r>
            <w:r>
              <w:rPr>
                <w:rFonts w:hint="eastAsia"/>
                <w:bCs/>
                <w:sz w:val="24"/>
                <w:szCs w:val="24"/>
                <w:lang w:val="en-US" w:eastAsia="zh-CN"/>
              </w:rPr>
              <w:t>，总建筑面积10267.5m</w:t>
            </w:r>
            <w:r>
              <w:rPr>
                <w:rFonts w:hint="eastAsia"/>
                <w:bCs/>
                <w:sz w:val="24"/>
                <w:szCs w:val="24"/>
                <w:vertAlign w:val="superscript"/>
                <w:lang w:val="en-US" w:eastAsia="zh-CN"/>
              </w:rPr>
              <w:t>2</w:t>
            </w:r>
            <w:r>
              <w:rPr>
                <w:rFonts w:hint="eastAsia"/>
                <w:bCs/>
                <w:sz w:val="24"/>
                <w:szCs w:val="24"/>
                <w:lang w:val="en-US" w:eastAsia="zh-CN"/>
              </w:rPr>
              <w:t>，</w:t>
            </w:r>
            <w:r>
              <w:rPr>
                <w:rFonts w:hint="eastAsia" w:ascii="Times New Roman" w:hAnsi="Times New Roman" w:cs="Times New Roman"/>
                <w:bCs/>
                <w:sz w:val="24"/>
                <w:szCs w:val="24"/>
                <w:lang w:val="en-US" w:eastAsia="zh-CN"/>
              </w:rPr>
              <w:t>租赁宿州市康雅非织造布有限公司现有生产车间、场地及其辅助设施，从事报废机动车回收拆解，</w:t>
            </w:r>
            <w:r>
              <w:rPr>
                <w:rFonts w:hint="eastAsia"/>
                <w:bCs/>
                <w:sz w:val="24"/>
                <w:szCs w:val="24"/>
                <w:lang w:val="en-US" w:eastAsia="zh-CN"/>
              </w:rPr>
              <w:t>工程</w:t>
            </w:r>
            <w:r>
              <w:rPr>
                <w:rFonts w:hint="eastAsia"/>
                <w:bCs/>
                <w:sz w:val="24"/>
                <w:szCs w:val="24"/>
              </w:rPr>
              <w:t>建设内容</w:t>
            </w:r>
            <w:r>
              <w:rPr>
                <w:rFonts w:hint="eastAsia"/>
                <w:bCs/>
                <w:sz w:val="24"/>
                <w:szCs w:val="24"/>
                <w:lang w:val="en-US" w:eastAsia="zh-CN"/>
              </w:rPr>
              <w:t>见下表</w:t>
            </w:r>
            <w:r>
              <w:rPr>
                <w:rFonts w:hint="eastAsia"/>
                <w:bCs/>
                <w:sz w:val="24"/>
                <w:szCs w:val="24"/>
              </w:rPr>
              <w:t>。</w:t>
            </w:r>
          </w:p>
          <w:p w14:paraId="30812BFC">
            <w:pPr>
              <w:spacing w:line="240" w:lineRule="atLeast"/>
              <w:ind w:firstLine="422" w:firstLineChars="200"/>
              <w:jc w:val="center"/>
              <w:rPr>
                <w:b/>
                <w:bCs/>
              </w:rPr>
            </w:pPr>
            <w:r>
              <w:rPr>
                <w:b/>
                <w:bCs/>
              </w:rPr>
              <w:t>表2-</w:t>
            </w:r>
            <w:r>
              <w:rPr>
                <w:rFonts w:hint="eastAsia"/>
                <w:b/>
                <w:bCs/>
                <w:lang w:val="en-US" w:eastAsia="zh-CN"/>
              </w:rPr>
              <w:t>3</w:t>
            </w:r>
            <w:r>
              <w:rPr>
                <w:b/>
                <w:bCs/>
              </w:rPr>
              <w:t xml:space="preserve">  </w:t>
            </w:r>
            <w:r>
              <w:rPr>
                <w:rFonts w:hint="eastAsia"/>
                <w:b/>
                <w:bCs/>
                <w:lang w:val="en-US" w:eastAsia="zh-CN"/>
              </w:rPr>
              <w:t>工程</w:t>
            </w:r>
            <w:r>
              <w:rPr>
                <w:b/>
                <w:bCs/>
              </w:rPr>
              <w:t>建设</w:t>
            </w:r>
            <w:r>
              <w:rPr>
                <w:rFonts w:hint="eastAsia"/>
                <w:b/>
                <w:bCs/>
              </w:rPr>
              <w:t>内容</w:t>
            </w:r>
            <w:r>
              <w:rPr>
                <w:b/>
                <w:bCs/>
              </w:rPr>
              <w:t>一览表</w:t>
            </w:r>
          </w:p>
          <w:tbl>
            <w:tblPr>
              <w:tblStyle w:val="24"/>
              <w:tblW w:w="7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300"/>
              <w:gridCol w:w="4635"/>
              <w:gridCol w:w="1160"/>
            </w:tblGrid>
            <w:tr w14:paraId="5A34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24" w:type="dxa"/>
                  <w:noWrap w:val="0"/>
                  <w:vAlign w:val="center"/>
                </w:tcPr>
                <w:p w14:paraId="57AF7C6A">
                  <w:pPr>
                    <w:tabs>
                      <w:tab w:val="left" w:pos="3255"/>
                    </w:tabs>
                    <w:spacing w:line="240" w:lineRule="atLeast"/>
                    <w:jc w:val="center"/>
                    <w:rPr>
                      <w:b/>
                      <w:bCs/>
                    </w:rPr>
                  </w:pPr>
                  <w:r>
                    <w:rPr>
                      <w:b/>
                      <w:bCs/>
                    </w:rPr>
                    <w:t>工程</w:t>
                  </w:r>
                </w:p>
                <w:p w14:paraId="0B67E446">
                  <w:pPr>
                    <w:tabs>
                      <w:tab w:val="left" w:pos="3255"/>
                    </w:tabs>
                    <w:spacing w:line="240" w:lineRule="atLeast"/>
                    <w:jc w:val="center"/>
                    <w:rPr>
                      <w:b/>
                      <w:bCs/>
                    </w:rPr>
                  </w:pPr>
                  <w:r>
                    <w:rPr>
                      <w:b/>
                      <w:bCs/>
                    </w:rPr>
                    <w:t>类别</w:t>
                  </w:r>
                </w:p>
              </w:tc>
              <w:tc>
                <w:tcPr>
                  <w:tcW w:w="1300" w:type="dxa"/>
                  <w:noWrap w:val="0"/>
                  <w:vAlign w:val="center"/>
                </w:tcPr>
                <w:p w14:paraId="2FE004B8">
                  <w:pPr>
                    <w:tabs>
                      <w:tab w:val="left" w:pos="3255"/>
                    </w:tabs>
                    <w:spacing w:line="240" w:lineRule="atLeast"/>
                    <w:jc w:val="center"/>
                    <w:rPr>
                      <w:b/>
                      <w:bCs/>
                    </w:rPr>
                  </w:pPr>
                  <w:r>
                    <w:rPr>
                      <w:b/>
                      <w:bCs/>
                    </w:rPr>
                    <w:t>单项工程</w:t>
                  </w:r>
                </w:p>
                <w:p w14:paraId="5D94237E">
                  <w:pPr>
                    <w:tabs>
                      <w:tab w:val="left" w:pos="3255"/>
                    </w:tabs>
                    <w:spacing w:line="240" w:lineRule="atLeast"/>
                    <w:jc w:val="center"/>
                    <w:rPr>
                      <w:b/>
                      <w:bCs/>
                    </w:rPr>
                  </w:pPr>
                  <w:r>
                    <w:rPr>
                      <w:b/>
                      <w:bCs/>
                    </w:rPr>
                    <w:t>名称</w:t>
                  </w:r>
                </w:p>
              </w:tc>
              <w:tc>
                <w:tcPr>
                  <w:tcW w:w="4635" w:type="dxa"/>
                  <w:noWrap w:val="0"/>
                  <w:vAlign w:val="center"/>
                </w:tcPr>
                <w:p w14:paraId="517BFC09">
                  <w:pPr>
                    <w:tabs>
                      <w:tab w:val="left" w:pos="3255"/>
                    </w:tabs>
                    <w:spacing w:line="240" w:lineRule="atLeast"/>
                    <w:jc w:val="center"/>
                    <w:rPr>
                      <w:b/>
                      <w:bCs/>
                    </w:rPr>
                  </w:pPr>
                  <w:r>
                    <w:rPr>
                      <w:b/>
                      <w:bCs/>
                    </w:rPr>
                    <w:t>建设内容及规模</w:t>
                  </w:r>
                </w:p>
              </w:tc>
              <w:tc>
                <w:tcPr>
                  <w:tcW w:w="1160" w:type="dxa"/>
                  <w:noWrap w:val="0"/>
                  <w:vAlign w:val="center"/>
                </w:tcPr>
                <w:p w14:paraId="67A0FDA9">
                  <w:pPr>
                    <w:tabs>
                      <w:tab w:val="left" w:pos="3255"/>
                    </w:tabs>
                    <w:spacing w:line="240" w:lineRule="atLeast"/>
                    <w:jc w:val="center"/>
                    <w:rPr>
                      <w:rFonts w:hint="eastAsia" w:eastAsia="宋体"/>
                      <w:b/>
                      <w:bCs/>
                      <w:lang w:val="en-US" w:eastAsia="zh-CN"/>
                    </w:rPr>
                  </w:pPr>
                  <w:r>
                    <w:rPr>
                      <w:rFonts w:hint="eastAsia"/>
                      <w:b/>
                      <w:bCs/>
                      <w:lang w:val="en-US" w:eastAsia="zh-CN"/>
                    </w:rPr>
                    <w:t>备注</w:t>
                  </w:r>
                </w:p>
              </w:tc>
            </w:tr>
            <w:tr w14:paraId="7C72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noWrap w:val="0"/>
                  <w:vAlign w:val="center"/>
                </w:tcPr>
                <w:p w14:paraId="00BC9648">
                  <w:pPr>
                    <w:tabs>
                      <w:tab w:val="left" w:pos="3255"/>
                    </w:tabs>
                    <w:spacing w:line="240" w:lineRule="atLeast"/>
                    <w:jc w:val="center"/>
                  </w:pPr>
                  <w:r>
                    <w:t>主体</w:t>
                  </w:r>
                </w:p>
                <w:p w14:paraId="1886CE31">
                  <w:pPr>
                    <w:tabs>
                      <w:tab w:val="left" w:pos="3255"/>
                    </w:tabs>
                    <w:spacing w:line="240" w:lineRule="atLeast"/>
                    <w:jc w:val="center"/>
                  </w:pPr>
                  <w:r>
                    <w:t>工程</w:t>
                  </w:r>
                </w:p>
              </w:tc>
              <w:tc>
                <w:tcPr>
                  <w:tcW w:w="1300" w:type="dxa"/>
                  <w:noWrap w:val="0"/>
                  <w:vAlign w:val="center"/>
                </w:tcPr>
                <w:p w14:paraId="600FA372">
                  <w:pPr>
                    <w:tabs>
                      <w:tab w:val="left" w:pos="3255"/>
                    </w:tabs>
                    <w:spacing w:line="240" w:lineRule="atLeast"/>
                    <w:jc w:val="center"/>
                  </w:pPr>
                  <w:r>
                    <w:rPr>
                      <w:rFonts w:hint="eastAsia"/>
                      <w:lang w:val="en-US" w:eastAsia="zh-CN"/>
                    </w:rPr>
                    <w:t>生产</w:t>
                  </w:r>
                  <w:r>
                    <w:t>车间</w:t>
                  </w:r>
                </w:p>
              </w:tc>
              <w:tc>
                <w:tcPr>
                  <w:tcW w:w="4635" w:type="dxa"/>
                  <w:noWrap w:val="0"/>
                  <w:vAlign w:val="center"/>
                </w:tcPr>
                <w:p w14:paraId="7865DEC7">
                  <w:pPr>
                    <w:tabs>
                      <w:tab w:val="left" w:pos="3255"/>
                    </w:tabs>
                    <w:spacing w:line="300" w:lineRule="atLeast"/>
                    <w:jc w:val="center"/>
                    <w:rPr>
                      <w:rFonts w:hint="default" w:eastAsia="宋体"/>
                      <w:lang w:val="en-US" w:eastAsia="zh-CN"/>
                    </w:rPr>
                  </w:pPr>
                  <w:r>
                    <w:rPr>
                      <w:rFonts w:hint="eastAsia"/>
                      <w:lang w:val="en-US" w:eastAsia="zh-CN"/>
                    </w:rPr>
                    <w:t>1F，钢结构车间，总建筑面积2600m</w:t>
                  </w:r>
                  <w:r>
                    <w:rPr>
                      <w:rFonts w:hint="eastAsia"/>
                      <w:vertAlign w:val="superscript"/>
                      <w:lang w:val="en-US" w:eastAsia="zh-CN"/>
                    </w:rPr>
                    <w:t>2</w:t>
                  </w:r>
                  <w:r>
                    <w:rPr>
                      <w:rFonts w:hint="eastAsia"/>
                      <w:lang w:val="en-US" w:eastAsia="zh-CN"/>
                    </w:rPr>
                    <w:t>，车间建设一条报废机动车拆解生产线，安装汽车举升翻转机、定柱式悬柱起重机等设备若干，形成年拆解12000台报废机动车的生产能力。</w:t>
                  </w:r>
                </w:p>
              </w:tc>
              <w:tc>
                <w:tcPr>
                  <w:tcW w:w="1160" w:type="dxa"/>
                  <w:noWrap w:val="0"/>
                  <w:vAlign w:val="center"/>
                </w:tcPr>
                <w:p w14:paraId="5BB63140">
                  <w:pPr>
                    <w:tabs>
                      <w:tab w:val="left" w:pos="3255"/>
                    </w:tabs>
                    <w:spacing w:line="300" w:lineRule="atLeast"/>
                    <w:jc w:val="center"/>
                    <w:rPr>
                      <w:rFonts w:hint="default"/>
                      <w:lang w:val="en-US" w:eastAsia="zh-CN"/>
                    </w:rPr>
                  </w:pPr>
                  <w:r>
                    <w:rPr>
                      <w:rFonts w:hint="eastAsia"/>
                      <w:lang w:val="en-US" w:eastAsia="zh-CN"/>
                    </w:rPr>
                    <w:t>依托现有车间</w:t>
                  </w:r>
                </w:p>
              </w:tc>
            </w:tr>
            <w:tr w14:paraId="4568C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724" w:type="dxa"/>
                  <w:vMerge w:val="restart"/>
                  <w:noWrap w:val="0"/>
                  <w:vAlign w:val="center"/>
                </w:tcPr>
                <w:p w14:paraId="4B927606">
                  <w:pPr>
                    <w:tabs>
                      <w:tab w:val="left" w:pos="3255"/>
                    </w:tabs>
                    <w:spacing w:line="240" w:lineRule="atLeast"/>
                    <w:jc w:val="center"/>
                    <w:rPr>
                      <w:rFonts w:hint="default" w:eastAsia="宋体"/>
                      <w:lang w:val="en-US" w:eastAsia="zh-CN"/>
                    </w:rPr>
                  </w:pPr>
                  <w:r>
                    <w:rPr>
                      <w:rFonts w:hint="eastAsia"/>
                      <w:lang w:val="en-US" w:eastAsia="zh-CN"/>
                    </w:rPr>
                    <w:t>储运工程</w:t>
                  </w:r>
                </w:p>
              </w:tc>
              <w:tc>
                <w:tcPr>
                  <w:tcW w:w="1300" w:type="dxa"/>
                  <w:noWrap w:val="0"/>
                  <w:vAlign w:val="center"/>
                </w:tcPr>
                <w:p w14:paraId="3594DA83">
                  <w:pPr>
                    <w:tabs>
                      <w:tab w:val="left" w:pos="3255"/>
                    </w:tabs>
                    <w:spacing w:line="240" w:lineRule="atLeast"/>
                    <w:jc w:val="center"/>
                    <w:rPr>
                      <w:rFonts w:hint="default"/>
                      <w:lang w:val="en-US" w:eastAsia="zh-CN"/>
                    </w:rPr>
                  </w:pPr>
                  <w:r>
                    <w:rPr>
                      <w:rFonts w:hint="eastAsia"/>
                      <w:lang w:val="en-US" w:eastAsia="zh-CN"/>
                    </w:rPr>
                    <w:t>报废机动车暂存区</w:t>
                  </w:r>
                </w:p>
              </w:tc>
              <w:tc>
                <w:tcPr>
                  <w:tcW w:w="4635" w:type="dxa"/>
                  <w:noWrap w:val="0"/>
                  <w:vAlign w:val="center"/>
                </w:tcPr>
                <w:p w14:paraId="35322A88">
                  <w:pPr>
                    <w:tabs>
                      <w:tab w:val="left" w:pos="3255"/>
                    </w:tabs>
                    <w:spacing w:line="300" w:lineRule="atLeast"/>
                    <w:jc w:val="center"/>
                    <w:rPr>
                      <w:rFonts w:hint="eastAsia" w:eastAsia="宋体"/>
                      <w:lang w:val="en-US" w:eastAsia="zh-CN"/>
                    </w:rPr>
                  </w:pPr>
                  <w:r>
                    <w:rPr>
                      <w:rFonts w:hint="eastAsia"/>
                      <w:lang w:val="en-US" w:eastAsia="zh-CN"/>
                    </w:rPr>
                    <w:t>位于厂区西部，包括报废燃油大型车、报废燃油小型车、报废新能源汽车及报废摩托车暂存区，总占地面积7367.5m</w:t>
                  </w:r>
                  <w:r>
                    <w:rPr>
                      <w:rFonts w:hint="eastAsia"/>
                      <w:vertAlign w:val="superscript"/>
                      <w:lang w:val="en-US" w:eastAsia="zh-CN"/>
                    </w:rPr>
                    <w:t>2</w:t>
                  </w:r>
                  <w:r>
                    <w:rPr>
                      <w:rFonts w:hint="eastAsia"/>
                      <w:lang w:val="en-US" w:eastAsia="zh-CN"/>
                    </w:rPr>
                    <w:t>。废机动车暂存区</w:t>
                  </w:r>
                  <w:r>
                    <w:rPr>
                      <w:rFonts w:hint="default" w:ascii="Times New Roman" w:hAnsi="Times New Roman" w:cs="Times New Roman"/>
                      <w:szCs w:val="21"/>
                    </w:rPr>
                    <w:t>四周设围堰收集初期雨水，地面进行防腐、防渗</w:t>
                  </w:r>
                  <w:r>
                    <w:rPr>
                      <w:rFonts w:hint="eastAsia" w:ascii="Times New Roman" w:hAnsi="Times New Roman" w:cs="Times New Roman"/>
                      <w:szCs w:val="21"/>
                      <w:lang w:eastAsia="zh-CN"/>
                    </w:rPr>
                    <w:t>。</w:t>
                  </w:r>
                </w:p>
              </w:tc>
              <w:tc>
                <w:tcPr>
                  <w:tcW w:w="1160" w:type="dxa"/>
                  <w:noWrap w:val="0"/>
                  <w:vAlign w:val="center"/>
                </w:tcPr>
                <w:p w14:paraId="49909174">
                  <w:pPr>
                    <w:tabs>
                      <w:tab w:val="left" w:pos="3255"/>
                    </w:tabs>
                    <w:spacing w:line="300" w:lineRule="atLeast"/>
                    <w:jc w:val="center"/>
                    <w:rPr>
                      <w:rFonts w:hint="default"/>
                      <w:lang w:val="en-US" w:eastAsia="zh-CN"/>
                    </w:rPr>
                  </w:pPr>
                  <w:r>
                    <w:rPr>
                      <w:rFonts w:hint="eastAsia"/>
                      <w:lang w:val="en-US" w:eastAsia="zh-CN"/>
                    </w:rPr>
                    <w:t>依托</w:t>
                  </w:r>
                  <w:r>
                    <w:rPr>
                      <w:rFonts w:hint="eastAsia"/>
                      <w:u w:val="none"/>
                      <w:lang w:val="en-US" w:eastAsia="zh-CN"/>
                    </w:rPr>
                    <w:t>现有场地</w:t>
                  </w:r>
                  <w:r>
                    <w:rPr>
                      <w:rFonts w:hint="eastAsia"/>
                      <w:lang w:val="en-US" w:eastAsia="zh-CN"/>
                    </w:rPr>
                    <w:t xml:space="preserve"> </w:t>
                  </w:r>
                </w:p>
              </w:tc>
            </w:tr>
            <w:tr w14:paraId="3AEC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24" w:type="dxa"/>
                  <w:vMerge w:val="continue"/>
                  <w:noWrap w:val="0"/>
                  <w:vAlign w:val="center"/>
                </w:tcPr>
                <w:p w14:paraId="0DC67814">
                  <w:pPr>
                    <w:tabs>
                      <w:tab w:val="left" w:pos="3255"/>
                    </w:tabs>
                    <w:spacing w:line="240" w:lineRule="atLeast"/>
                    <w:jc w:val="center"/>
                    <w:rPr>
                      <w:rFonts w:hint="eastAsia"/>
                      <w:lang w:val="en-US" w:eastAsia="zh-CN"/>
                    </w:rPr>
                  </w:pPr>
                </w:p>
              </w:tc>
              <w:tc>
                <w:tcPr>
                  <w:tcW w:w="1300" w:type="dxa"/>
                  <w:noWrap w:val="0"/>
                  <w:vAlign w:val="center"/>
                </w:tcPr>
                <w:p w14:paraId="1FF01F0E">
                  <w:pPr>
                    <w:tabs>
                      <w:tab w:val="left" w:pos="3255"/>
                    </w:tabs>
                    <w:spacing w:line="240" w:lineRule="atLeast"/>
                    <w:jc w:val="center"/>
                    <w:rPr>
                      <w:rFonts w:hint="default"/>
                      <w:lang w:val="en-US" w:eastAsia="zh-CN"/>
                    </w:rPr>
                  </w:pPr>
                  <w:r>
                    <w:rPr>
                      <w:rFonts w:hint="eastAsia"/>
                      <w:lang w:val="en-US" w:eastAsia="zh-CN"/>
                    </w:rPr>
                    <w:t>产品（回用件）暂存区</w:t>
                  </w:r>
                </w:p>
              </w:tc>
              <w:tc>
                <w:tcPr>
                  <w:tcW w:w="4635" w:type="dxa"/>
                  <w:noWrap w:val="0"/>
                  <w:vAlign w:val="center"/>
                </w:tcPr>
                <w:p w14:paraId="3C7C1612">
                  <w:pPr>
                    <w:tabs>
                      <w:tab w:val="left" w:pos="3255"/>
                    </w:tabs>
                    <w:spacing w:line="300" w:lineRule="atLeast"/>
                    <w:jc w:val="center"/>
                    <w:rPr>
                      <w:rFonts w:hint="default"/>
                      <w:lang w:val="en-US" w:eastAsia="zh-CN"/>
                    </w:rPr>
                  </w:pPr>
                  <w:r>
                    <w:rPr>
                      <w:rFonts w:hint="eastAsia"/>
                      <w:lang w:val="en-US" w:eastAsia="zh-CN"/>
                    </w:rPr>
                    <w:t>1F，钢结构车间，总占地面积200m</w:t>
                  </w:r>
                  <w:r>
                    <w:rPr>
                      <w:rFonts w:hint="eastAsia"/>
                      <w:vertAlign w:val="superscript"/>
                      <w:lang w:val="en-US" w:eastAsia="zh-CN"/>
                    </w:rPr>
                    <w:t>2</w:t>
                  </w:r>
                  <w:r>
                    <w:rPr>
                      <w:rFonts w:hint="eastAsia"/>
                      <w:lang w:val="en-US" w:eastAsia="zh-CN"/>
                    </w:rPr>
                    <w:t>，位于车间东北部，用于拆解产品储存</w:t>
                  </w:r>
                </w:p>
              </w:tc>
              <w:tc>
                <w:tcPr>
                  <w:tcW w:w="1160" w:type="dxa"/>
                  <w:noWrap w:val="0"/>
                  <w:vAlign w:val="center"/>
                </w:tcPr>
                <w:p w14:paraId="7ED95815">
                  <w:pPr>
                    <w:tabs>
                      <w:tab w:val="left" w:pos="3255"/>
                    </w:tabs>
                    <w:spacing w:line="300" w:lineRule="atLeast"/>
                    <w:jc w:val="center"/>
                    <w:rPr>
                      <w:rFonts w:hint="default"/>
                      <w:lang w:val="en-US" w:eastAsia="zh-CN"/>
                    </w:rPr>
                  </w:pPr>
                  <w:r>
                    <w:rPr>
                      <w:rFonts w:hint="eastAsia"/>
                      <w:lang w:val="en-US" w:eastAsia="zh-CN"/>
                    </w:rPr>
                    <w:t>依托现有车间</w:t>
                  </w:r>
                </w:p>
              </w:tc>
            </w:tr>
            <w:tr w14:paraId="503FE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24" w:type="dxa"/>
                  <w:noWrap w:val="0"/>
                  <w:vAlign w:val="center"/>
                </w:tcPr>
                <w:p w14:paraId="5650E2CC">
                  <w:pPr>
                    <w:tabs>
                      <w:tab w:val="left" w:pos="3255"/>
                    </w:tabs>
                    <w:spacing w:line="300" w:lineRule="atLeast"/>
                    <w:jc w:val="center"/>
                  </w:pPr>
                  <w:r>
                    <w:rPr>
                      <w:rFonts w:hint="eastAsia"/>
                    </w:rPr>
                    <w:t>辅助工程</w:t>
                  </w:r>
                </w:p>
              </w:tc>
              <w:tc>
                <w:tcPr>
                  <w:tcW w:w="1300" w:type="dxa"/>
                  <w:noWrap w:val="0"/>
                  <w:vAlign w:val="center"/>
                </w:tcPr>
                <w:p w14:paraId="25D7A442">
                  <w:pPr>
                    <w:tabs>
                      <w:tab w:val="left" w:pos="3255"/>
                    </w:tabs>
                    <w:spacing w:line="300" w:lineRule="atLeast"/>
                    <w:jc w:val="center"/>
                    <w:rPr>
                      <w:rFonts w:hint="eastAsia" w:eastAsia="宋体"/>
                      <w:lang w:eastAsia="zh-CN"/>
                    </w:rPr>
                  </w:pPr>
                  <w:r>
                    <w:rPr>
                      <w:rFonts w:hint="eastAsia"/>
                      <w:lang w:val="en-US" w:eastAsia="zh-CN"/>
                    </w:rPr>
                    <w:t>办公用房</w:t>
                  </w:r>
                </w:p>
              </w:tc>
              <w:tc>
                <w:tcPr>
                  <w:tcW w:w="4635" w:type="dxa"/>
                  <w:noWrap w:val="0"/>
                  <w:vAlign w:val="center"/>
                </w:tcPr>
                <w:p w14:paraId="18B2D0BD">
                  <w:pPr>
                    <w:tabs>
                      <w:tab w:val="left" w:pos="3255"/>
                    </w:tabs>
                    <w:spacing w:line="300" w:lineRule="atLeast"/>
                    <w:jc w:val="center"/>
                    <w:rPr>
                      <w:rFonts w:hint="default" w:eastAsia="宋体"/>
                      <w:lang w:val="en-US" w:eastAsia="zh-CN"/>
                    </w:rPr>
                  </w:pPr>
                  <w:r>
                    <w:rPr>
                      <w:rFonts w:hint="eastAsia"/>
                      <w:lang w:val="en-US" w:eastAsia="zh-CN"/>
                    </w:rPr>
                    <w:t>1F，总建筑面积120m</w:t>
                  </w:r>
                  <w:r>
                    <w:rPr>
                      <w:rFonts w:hint="eastAsia"/>
                      <w:vertAlign w:val="superscript"/>
                      <w:lang w:val="en-US" w:eastAsia="zh-CN"/>
                    </w:rPr>
                    <w:t>2</w:t>
                  </w:r>
                  <w:r>
                    <w:rPr>
                      <w:rFonts w:hint="eastAsia"/>
                      <w:lang w:val="en-US" w:eastAsia="zh-CN"/>
                    </w:rPr>
                    <w:t>，位于生产车间南侧，用于日常行政办公</w:t>
                  </w:r>
                </w:p>
              </w:tc>
              <w:tc>
                <w:tcPr>
                  <w:tcW w:w="1160" w:type="dxa"/>
                  <w:noWrap w:val="0"/>
                  <w:vAlign w:val="center"/>
                </w:tcPr>
                <w:p w14:paraId="1A86CE75">
                  <w:pPr>
                    <w:tabs>
                      <w:tab w:val="left" w:pos="3255"/>
                    </w:tabs>
                    <w:spacing w:line="300" w:lineRule="atLeast"/>
                    <w:jc w:val="center"/>
                    <w:rPr>
                      <w:rFonts w:hint="default"/>
                      <w:lang w:val="en-US" w:eastAsia="zh-CN"/>
                    </w:rPr>
                  </w:pPr>
                  <w:r>
                    <w:rPr>
                      <w:rFonts w:hint="eastAsia"/>
                      <w:lang w:val="en-US" w:eastAsia="zh-CN"/>
                    </w:rPr>
                    <w:t>依托现有</w:t>
                  </w:r>
                </w:p>
              </w:tc>
            </w:tr>
            <w:tr w14:paraId="7E38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724" w:type="dxa"/>
                  <w:vMerge w:val="restart"/>
                  <w:noWrap w:val="0"/>
                  <w:vAlign w:val="center"/>
                </w:tcPr>
                <w:p w14:paraId="261DD892">
                  <w:pPr>
                    <w:tabs>
                      <w:tab w:val="left" w:pos="3255"/>
                    </w:tabs>
                    <w:spacing w:line="240" w:lineRule="atLeast"/>
                    <w:jc w:val="center"/>
                  </w:pPr>
                  <w:r>
                    <w:t>公用</w:t>
                  </w:r>
                </w:p>
                <w:p w14:paraId="7006DF1F">
                  <w:pPr>
                    <w:tabs>
                      <w:tab w:val="left" w:pos="3255"/>
                    </w:tabs>
                    <w:spacing w:line="240" w:lineRule="atLeast"/>
                    <w:jc w:val="center"/>
                  </w:pPr>
                  <w:r>
                    <w:t>工程</w:t>
                  </w:r>
                </w:p>
              </w:tc>
              <w:tc>
                <w:tcPr>
                  <w:tcW w:w="1300" w:type="dxa"/>
                  <w:noWrap w:val="0"/>
                  <w:vAlign w:val="center"/>
                </w:tcPr>
                <w:p w14:paraId="092A7262">
                  <w:pPr>
                    <w:tabs>
                      <w:tab w:val="left" w:pos="3255"/>
                    </w:tabs>
                    <w:spacing w:line="300" w:lineRule="atLeast"/>
                    <w:jc w:val="center"/>
                  </w:pPr>
                  <w:r>
                    <w:t>给水工程</w:t>
                  </w:r>
                </w:p>
              </w:tc>
              <w:tc>
                <w:tcPr>
                  <w:tcW w:w="4635" w:type="dxa"/>
                  <w:noWrap w:val="0"/>
                  <w:vAlign w:val="center"/>
                </w:tcPr>
                <w:p w14:paraId="71D5C209">
                  <w:pPr>
                    <w:tabs>
                      <w:tab w:val="left" w:pos="3255"/>
                    </w:tabs>
                    <w:spacing w:line="300" w:lineRule="atLeast"/>
                    <w:jc w:val="center"/>
                    <w:rPr>
                      <w:rFonts w:hint="eastAsia"/>
                    </w:rPr>
                  </w:pPr>
                  <w:r>
                    <w:t>引</w:t>
                  </w:r>
                  <w:r>
                    <w:rPr>
                      <w:rFonts w:hint="eastAsia"/>
                      <w:lang w:val="en-US" w:eastAsia="zh-CN"/>
                    </w:rPr>
                    <w:t>自</w:t>
                  </w:r>
                  <w:r>
                    <w:rPr>
                      <w:rFonts w:hint="eastAsia"/>
                    </w:rPr>
                    <w:t>开发区</w:t>
                  </w:r>
                  <w:r>
                    <w:t>供水管网，年用水量</w:t>
                  </w:r>
                  <w:r>
                    <w:rPr>
                      <w:rFonts w:hint="eastAsia"/>
                      <w:lang w:val="en-US" w:eastAsia="zh-CN"/>
                    </w:rPr>
                    <w:t>960</w:t>
                  </w:r>
                  <w:r>
                    <w:rPr>
                      <w:rFonts w:hint="eastAsia"/>
                    </w:rPr>
                    <w:t>t。</w:t>
                  </w:r>
                </w:p>
              </w:tc>
              <w:tc>
                <w:tcPr>
                  <w:tcW w:w="1160" w:type="dxa"/>
                  <w:noWrap w:val="0"/>
                  <w:vAlign w:val="center"/>
                </w:tcPr>
                <w:p w14:paraId="10962461">
                  <w:pPr>
                    <w:tabs>
                      <w:tab w:val="left" w:pos="3255"/>
                    </w:tabs>
                    <w:spacing w:line="300" w:lineRule="atLeast"/>
                    <w:jc w:val="center"/>
                    <w:rPr>
                      <w:rFonts w:hint="default" w:eastAsia="宋体"/>
                      <w:lang w:val="en-US" w:eastAsia="zh-CN"/>
                    </w:rPr>
                  </w:pPr>
                  <w:r>
                    <w:rPr>
                      <w:rFonts w:hint="eastAsia"/>
                      <w:lang w:val="en-US" w:eastAsia="zh-CN"/>
                    </w:rPr>
                    <w:t>依托现有</w:t>
                  </w:r>
                </w:p>
              </w:tc>
            </w:tr>
            <w:tr w14:paraId="4CC8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Merge w:val="continue"/>
                  <w:noWrap w:val="0"/>
                  <w:vAlign w:val="center"/>
                </w:tcPr>
                <w:p w14:paraId="55EAA115">
                  <w:pPr>
                    <w:tabs>
                      <w:tab w:val="left" w:pos="3255"/>
                    </w:tabs>
                    <w:spacing w:line="240" w:lineRule="atLeast"/>
                    <w:jc w:val="center"/>
                  </w:pPr>
                </w:p>
              </w:tc>
              <w:tc>
                <w:tcPr>
                  <w:tcW w:w="1300" w:type="dxa"/>
                  <w:noWrap w:val="0"/>
                  <w:vAlign w:val="center"/>
                </w:tcPr>
                <w:p w14:paraId="71EDD3F4">
                  <w:pPr>
                    <w:tabs>
                      <w:tab w:val="left" w:pos="3255"/>
                    </w:tabs>
                    <w:spacing w:line="300" w:lineRule="atLeast"/>
                    <w:jc w:val="center"/>
                  </w:pPr>
                  <w:r>
                    <w:t>排水工程</w:t>
                  </w:r>
                </w:p>
              </w:tc>
              <w:tc>
                <w:tcPr>
                  <w:tcW w:w="4635" w:type="dxa"/>
                  <w:noWrap w:val="0"/>
                  <w:vAlign w:val="center"/>
                </w:tcPr>
                <w:p w14:paraId="7A2BC238">
                  <w:pPr>
                    <w:tabs>
                      <w:tab w:val="left" w:pos="3255"/>
                    </w:tabs>
                    <w:spacing w:line="300" w:lineRule="atLeast"/>
                    <w:jc w:val="center"/>
                  </w:pPr>
                  <w:r>
                    <w:t>雨污分流，雨水纳入市政雨水管网，</w:t>
                  </w:r>
                  <w:r>
                    <w:rPr>
                      <w:rFonts w:hint="eastAsia"/>
                      <w:lang w:val="en-US" w:eastAsia="zh-CN"/>
                    </w:rPr>
                    <w:t>地坪保洁废水、初期雨水经预处理后回用；</w:t>
                  </w:r>
                  <w:r>
                    <w:t>生活污水</w:t>
                  </w:r>
                  <w:r>
                    <w:rPr>
                      <w:rFonts w:hint="eastAsia"/>
                    </w:rPr>
                    <w:t>经预处理后，</w:t>
                  </w:r>
                  <w:r>
                    <w:rPr>
                      <w:rFonts w:hint="eastAsia"/>
                      <w:lang w:val="en-US" w:eastAsia="zh-CN"/>
                    </w:rPr>
                    <w:t>用于农田施肥，不外排</w:t>
                  </w:r>
                  <w:r>
                    <w:t>。</w:t>
                  </w:r>
                </w:p>
              </w:tc>
              <w:tc>
                <w:tcPr>
                  <w:tcW w:w="1160" w:type="dxa"/>
                  <w:noWrap w:val="0"/>
                  <w:vAlign w:val="center"/>
                </w:tcPr>
                <w:p w14:paraId="59F8961E">
                  <w:pPr>
                    <w:tabs>
                      <w:tab w:val="left" w:pos="3255"/>
                    </w:tabs>
                    <w:spacing w:line="300" w:lineRule="atLeast"/>
                    <w:jc w:val="center"/>
                  </w:pPr>
                  <w:r>
                    <w:rPr>
                      <w:rFonts w:hint="eastAsia"/>
                      <w:lang w:val="en-US" w:eastAsia="zh-CN"/>
                    </w:rPr>
                    <w:t>依托现有</w:t>
                  </w:r>
                </w:p>
              </w:tc>
            </w:tr>
            <w:tr w14:paraId="53ED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Merge w:val="continue"/>
                  <w:noWrap w:val="0"/>
                  <w:vAlign w:val="center"/>
                </w:tcPr>
                <w:p w14:paraId="6F5DFE53">
                  <w:pPr>
                    <w:tabs>
                      <w:tab w:val="left" w:pos="3255"/>
                    </w:tabs>
                    <w:spacing w:line="240" w:lineRule="atLeast"/>
                    <w:jc w:val="center"/>
                  </w:pPr>
                </w:p>
              </w:tc>
              <w:tc>
                <w:tcPr>
                  <w:tcW w:w="1300" w:type="dxa"/>
                  <w:noWrap w:val="0"/>
                  <w:vAlign w:val="center"/>
                </w:tcPr>
                <w:p w14:paraId="53185CEC">
                  <w:pPr>
                    <w:tabs>
                      <w:tab w:val="left" w:pos="3255"/>
                    </w:tabs>
                    <w:spacing w:line="300" w:lineRule="atLeast"/>
                    <w:jc w:val="center"/>
                  </w:pPr>
                  <w:r>
                    <w:t>供电工程</w:t>
                  </w:r>
                </w:p>
              </w:tc>
              <w:tc>
                <w:tcPr>
                  <w:tcW w:w="4635" w:type="dxa"/>
                  <w:noWrap w:val="0"/>
                  <w:vAlign w:val="center"/>
                </w:tcPr>
                <w:p w14:paraId="0BDBB765">
                  <w:pPr>
                    <w:tabs>
                      <w:tab w:val="left" w:pos="3255"/>
                    </w:tabs>
                    <w:spacing w:line="300" w:lineRule="atLeast"/>
                    <w:jc w:val="center"/>
                  </w:pPr>
                  <w:r>
                    <w:t>引自</w:t>
                  </w:r>
                  <w:r>
                    <w:rPr>
                      <w:rFonts w:hint="eastAsia"/>
                    </w:rPr>
                    <w:t>市政</w:t>
                  </w:r>
                  <w:r>
                    <w:t>供电管网，年用电量</w:t>
                  </w:r>
                  <w:r>
                    <w:rPr>
                      <w:rFonts w:hint="eastAsia"/>
                      <w:lang w:val="en-US" w:eastAsia="zh-CN"/>
                    </w:rPr>
                    <w:t>80</w:t>
                  </w:r>
                  <w:r>
                    <w:t>万度。</w:t>
                  </w:r>
                </w:p>
              </w:tc>
              <w:tc>
                <w:tcPr>
                  <w:tcW w:w="1160" w:type="dxa"/>
                  <w:noWrap w:val="0"/>
                  <w:vAlign w:val="center"/>
                </w:tcPr>
                <w:p w14:paraId="1B743FB0">
                  <w:pPr>
                    <w:tabs>
                      <w:tab w:val="left" w:pos="3255"/>
                    </w:tabs>
                    <w:spacing w:line="300" w:lineRule="atLeast"/>
                    <w:jc w:val="center"/>
                  </w:pPr>
                  <w:r>
                    <w:rPr>
                      <w:rFonts w:hint="eastAsia"/>
                      <w:lang w:val="en-US" w:eastAsia="zh-CN"/>
                    </w:rPr>
                    <w:t>依托现有</w:t>
                  </w:r>
                </w:p>
              </w:tc>
            </w:tr>
            <w:tr w14:paraId="16EB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24" w:type="dxa"/>
                  <w:vMerge w:val="restart"/>
                  <w:noWrap w:val="0"/>
                  <w:vAlign w:val="center"/>
                </w:tcPr>
                <w:p w14:paraId="1A3ED239">
                  <w:pPr>
                    <w:tabs>
                      <w:tab w:val="left" w:pos="3255"/>
                    </w:tabs>
                    <w:spacing w:line="240" w:lineRule="atLeast"/>
                    <w:jc w:val="center"/>
                  </w:pPr>
                  <w:r>
                    <w:t>环保</w:t>
                  </w:r>
                </w:p>
                <w:p w14:paraId="613BF5D7">
                  <w:pPr>
                    <w:tabs>
                      <w:tab w:val="left" w:pos="3255"/>
                    </w:tabs>
                    <w:spacing w:line="240" w:lineRule="atLeast"/>
                    <w:jc w:val="center"/>
                  </w:pPr>
                  <w:r>
                    <w:t>工程</w:t>
                  </w:r>
                </w:p>
              </w:tc>
              <w:tc>
                <w:tcPr>
                  <w:tcW w:w="1300" w:type="dxa"/>
                  <w:vMerge w:val="restart"/>
                  <w:noWrap w:val="0"/>
                  <w:vAlign w:val="center"/>
                </w:tcPr>
                <w:p w14:paraId="7A33129A">
                  <w:pPr>
                    <w:jc w:val="center"/>
                  </w:pPr>
                  <w:r>
                    <w:t>废水治理</w:t>
                  </w:r>
                </w:p>
              </w:tc>
              <w:tc>
                <w:tcPr>
                  <w:tcW w:w="5795" w:type="dxa"/>
                  <w:gridSpan w:val="2"/>
                  <w:noWrap w:val="0"/>
                  <w:vAlign w:val="center"/>
                </w:tcPr>
                <w:p w14:paraId="6EF6FD95">
                  <w:pPr>
                    <w:jc w:val="center"/>
                    <w:rPr>
                      <w:rFonts w:hint="eastAsia"/>
                      <w:lang w:val="en-US" w:eastAsia="zh-CN"/>
                    </w:rPr>
                  </w:pPr>
                  <w:r>
                    <w:rPr>
                      <w:rFonts w:hint="eastAsia"/>
                      <w:lang w:val="en-US" w:eastAsia="zh-CN"/>
                    </w:rPr>
                    <w:t>初期雨水经初期雨水收集池收集后，同地坪保洁废水一并经自建污水处理站（</w:t>
                  </w:r>
                  <w:r>
                    <w:rPr>
                      <w:rFonts w:hint="eastAsia" w:ascii="Times New Roman" w:hAnsi="Times New Roman"/>
                      <w:szCs w:val="21"/>
                      <w:lang w:val="en-US" w:eastAsia="zh-CN"/>
                    </w:rPr>
                    <w:t>处理能力20m</w:t>
                  </w:r>
                  <w:r>
                    <w:rPr>
                      <w:rFonts w:hint="eastAsia" w:ascii="Times New Roman" w:hAnsi="Times New Roman"/>
                      <w:szCs w:val="21"/>
                      <w:vertAlign w:val="superscript"/>
                      <w:lang w:val="en-US" w:eastAsia="zh-CN"/>
                    </w:rPr>
                    <w:t>3</w:t>
                  </w:r>
                  <w:r>
                    <w:rPr>
                      <w:rFonts w:hint="eastAsia" w:ascii="Times New Roman" w:hAnsi="Times New Roman"/>
                      <w:szCs w:val="21"/>
                      <w:lang w:val="en-US" w:eastAsia="zh-CN"/>
                    </w:rPr>
                    <w:t>/d，处理工艺为“</w:t>
                  </w:r>
                  <w:r>
                    <w:rPr>
                      <w:rFonts w:hint="default" w:ascii="Times New Roman" w:hAnsi="Times New Roman" w:cs="Times New Roman"/>
                      <w:sz w:val="21"/>
                      <w:szCs w:val="21"/>
                    </w:rPr>
                    <w:t>均质+油水分离器+絮凝沉淀+吸附过滤</w:t>
                  </w:r>
                  <w:r>
                    <w:rPr>
                      <w:rFonts w:hint="eastAsia" w:ascii="Times New Roman" w:hAnsi="Times New Roman"/>
                      <w:szCs w:val="21"/>
                      <w:lang w:val="en-US" w:eastAsia="zh-CN"/>
                    </w:rPr>
                    <w:t>”</w:t>
                  </w:r>
                  <w:r>
                    <w:rPr>
                      <w:rFonts w:hint="eastAsia"/>
                      <w:lang w:val="en-US" w:eastAsia="zh-CN"/>
                    </w:rPr>
                    <w:t>）预处理后，回用于车间保洁及厂区绿化。</w:t>
                  </w:r>
                </w:p>
              </w:tc>
            </w:tr>
            <w:tr w14:paraId="012C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Merge w:val="continue"/>
                  <w:noWrap w:val="0"/>
                  <w:vAlign w:val="center"/>
                </w:tcPr>
                <w:p w14:paraId="18EB056F">
                  <w:pPr>
                    <w:jc w:val="center"/>
                  </w:pPr>
                </w:p>
              </w:tc>
              <w:tc>
                <w:tcPr>
                  <w:tcW w:w="1300" w:type="dxa"/>
                  <w:vMerge w:val="continue"/>
                  <w:noWrap w:val="0"/>
                  <w:vAlign w:val="center"/>
                </w:tcPr>
                <w:p w14:paraId="399161A9">
                  <w:pPr>
                    <w:jc w:val="center"/>
                  </w:pPr>
                </w:p>
              </w:tc>
              <w:tc>
                <w:tcPr>
                  <w:tcW w:w="5795" w:type="dxa"/>
                  <w:gridSpan w:val="2"/>
                  <w:noWrap w:val="0"/>
                  <w:vAlign w:val="center"/>
                </w:tcPr>
                <w:p w14:paraId="2B946F90">
                  <w:pPr>
                    <w:jc w:val="center"/>
                  </w:pPr>
                  <w:r>
                    <w:t>生活污水经化粪池预处理后，</w:t>
                  </w:r>
                  <w:r>
                    <w:rPr>
                      <w:rFonts w:hint="eastAsia"/>
                      <w:lang w:val="en-US" w:eastAsia="zh-CN"/>
                    </w:rPr>
                    <w:t>用于周边农田施肥，不外排</w:t>
                  </w:r>
                  <w:r>
                    <w:t>。</w:t>
                  </w:r>
                </w:p>
              </w:tc>
            </w:tr>
            <w:tr w14:paraId="12F7E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Merge w:val="continue"/>
                  <w:noWrap w:val="0"/>
                  <w:vAlign w:val="center"/>
                </w:tcPr>
                <w:p w14:paraId="301DA84A">
                  <w:pPr>
                    <w:tabs>
                      <w:tab w:val="left" w:pos="3255"/>
                    </w:tabs>
                    <w:spacing w:line="240" w:lineRule="atLeast"/>
                    <w:jc w:val="center"/>
                  </w:pPr>
                </w:p>
              </w:tc>
              <w:tc>
                <w:tcPr>
                  <w:tcW w:w="1300" w:type="dxa"/>
                  <w:vMerge w:val="restart"/>
                  <w:noWrap w:val="0"/>
                  <w:vAlign w:val="center"/>
                </w:tcPr>
                <w:p w14:paraId="08E12611">
                  <w:pPr>
                    <w:jc w:val="center"/>
                  </w:pPr>
                  <w:r>
                    <w:t>废气治理</w:t>
                  </w:r>
                </w:p>
              </w:tc>
              <w:tc>
                <w:tcPr>
                  <w:tcW w:w="5795" w:type="dxa"/>
                  <w:gridSpan w:val="2"/>
                  <w:noWrap w:val="0"/>
                  <w:vAlign w:val="center"/>
                </w:tcPr>
                <w:p w14:paraId="628DF705">
                  <w:pPr>
                    <w:jc w:val="center"/>
                    <w:rPr>
                      <w:rFonts w:hint="eastAsia"/>
                      <w:lang w:val="en-US" w:eastAsia="zh-CN"/>
                    </w:rPr>
                  </w:pPr>
                  <w:r>
                    <w:rPr>
                      <w:rFonts w:hint="eastAsia"/>
                      <w:lang w:val="en-US" w:eastAsia="zh-CN"/>
                    </w:rPr>
                    <w:t>废油液抽取工段有机废气经集气罩收集后</w:t>
                  </w:r>
                  <w:r>
                    <w:rPr>
                      <w:rFonts w:hint="eastAsia"/>
                    </w:rPr>
                    <w:t>，</w:t>
                  </w:r>
                  <w:r>
                    <w:rPr>
                      <w:rFonts w:hint="eastAsia"/>
                      <w:lang w:val="en-US" w:eastAsia="zh-CN"/>
                    </w:rPr>
                    <w:t>引至二级活性炭吸附装置净化处理后，</w:t>
                  </w:r>
                  <w:r>
                    <w:rPr>
                      <w:rFonts w:hint="eastAsia"/>
                    </w:rPr>
                    <w:t>经15m高排气筒（DA001）排放。</w:t>
                  </w:r>
                </w:p>
              </w:tc>
            </w:tr>
            <w:tr w14:paraId="6DFD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724" w:type="dxa"/>
                  <w:vMerge w:val="continue"/>
                  <w:noWrap w:val="0"/>
                  <w:vAlign w:val="center"/>
                </w:tcPr>
                <w:p w14:paraId="5623B748">
                  <w:pPr>
                    <w:tabs>
                      <w:tab w:val="left" w:pos="3255"/>
                    </w:tabs>
                    <w:spacing w:line="240" w:lineRule="atLeast"/>
                    <w:jc w:val="center"/>
                  </w:pPr>
                </w:p>
              </w:tc>
              <w:tc>
                <w:tcPr>
                  <w:tcW w:w="1300" w:type="dxa"/>
                  <w:vMerge w:val="continue"/>
                  <w:noWrap w:val="0"/>
                  <w:vAlign w:val="center"/>
                </w:tcPr>
                <w:p w14:paraId="520363DC">
                  <w:pPr>
                    <w:jc w:val="center"/>
                  </w:pPr>
                </w:p>
              </w:tc>
              <w:tc>
                <w:tcPr>
                  <w:tcW w:w="5795" w:type="dxa"/>
                  <w:gridSpan w:val="2"/>
                  <w:noWrap w:val="0"/>
                  <w:vAlign w:val="center"/>
                </w:tcPr>
                <w:p w14:paraId="0C34C20F">
                  <w:pPr>
                    <w:jc w:val="center"/>
                    <w:rPr>
                      <w:rFonts w:hint="eastAsia"/>
                      <w:lang w:val="en-US" w:eastAsia="zh-CN"/>
                    </w:rPr>
                  </w:pPr>
                  <w:r>
                    <w:rPr>
                      <w:rFonts w:hint="eastAsia"/>
                      <w:lang w:val="en-US" w:eastAsia="zh-CN"/>
                    </w:rPr>
                    <w:t>废油液贮存工段有机废气经负压收集后，引至二级活性炭吸附装置净化处理后，</w:t>
                  </w:r>
                  <w:r>
                    <w:t>经15m高排气筒（DA00</w:t>
                  </w:r>
                  <w:r>
                    <w:rPr>
                      <w:rFonts w:hint="eastAsia"/>
                    </w:rPr>
                    <w:t>2</w:t>
                  </w:r>
                  <w:r>
                    <w:t>）排放。</w:t>
                  </w:r>
                </w:p>
              </w:tc>
            </w:tr>
            <w:tr w14:paraId="7560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24" w:type="dxa"/>
                  <w:vMerge w:val="continue"/>
                  <w:noWrap w:val="0"/>
                  <w:vAlign w:val="center"/>
                </w:tcPr>
                <w:p w14:paraId="64A040B1">
                  <w:pPr>
                    <w:tabs>
                      <w:tab w:val="left" w:pos="3255"/>
                    </w:tabs>
                    <w:spacing w:line="240" w:lineRule="atLeast"/>
                    <w:jc w:val="center"/>
                  </w:pPr>
                </w:p>
              </w:tc>
              <w:tc>
                <w:tcPr>
                  <w:tcW w:w="1300" w:type="dxa"/>
                  <w:vMerge w:val="continue"/>
                  <w:noWrap w:val="0"/>
                  <w:vAlign w:val="center"/>
                </w:tcPr>
                <w:p w14:paraId="59C5676D">
                  <w:pPr>
                    <w:jc w:val="center"/>
                  </w:pPr>
                </w:p>
              </w:tc>
              <w:tc>
                <w:tcPr>
                  <w:tcW w:w="5795" w:type="dxa"/>
                  <w:gridSpan w:val="2"/>
                  <w:noWrap w:val="0"/>
                  <w:vAlign w:val="center"/>
                </w:tcPr>
                <w:p w14:paraId="5EA1CA2B">
                  <w:pPr>
                    <w:jc w:val="center"/>
                    <w:rPr>
                      <w:rFonts w:hint="eastAsia"/>
                      <w:lang w:val="en-US" w:eastAsia="zh-CN"/>
                    </w:rPr>
                  </w:pPr>
                  <w:r>
                    <w:rPr>
                      <w:rFonts w:hint="eastAsia"/>
                      <w:lang w:val="en-US" w:eastAsia="zh-CN"/>
                    </w:rPr>
                    <w:t>切割工段产生的烟尘经集气罩收集后，引至布袋除尘器净化处理后，经</w:t>
                  </w:r>
                  <w:r>
                    <w:t>15m高排气筒（DA00</w:t>
                  </w:r>
                  <w:r>
                    <w:rPr>
                      <w:rFonts w:hint="eastAsia"/>
                      <w:lang w:val="en-US" w:eastAsia="zh-CN"/>
                    </w:rPr>
                    <w:t>3</w:t>
                  </w:r>
                  <w:r>
                    <w:t>）排放。</w:t>
                  </w:r>
                </w:p>
              </w:tc>
            </w:tr>
            <w:tr w14:paraId="7298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24" w:type="dxa"/>
                  <w:vMerge w:val="continue"/>
                  <w:noWrap w:val="0"/>
                  <w:vAlign w:val="center"/>
                </w:tcPr>
                <w:p w14:paraId="0185E430">
                  <w:pPr>
                    <w:tabs>
                      <w:tab w:val="left" w:pos="3255"/>
                    </w:tabs>
                    <w:spacing w:line="240" w:lineRule="atLeast"/>
                    <w:jc w:val="center"/>
                  </w:pPr>
                </w:p>
              </w:tc>
              <w:tc>
                <w:tcPr>
                  <w:tcW w:w="1300" w:type="dxa"/>
                  <w:noWrap w:val="0"/>
                  <w:vAlign w:val="center"/>
                </w:tcPr>
                <w:p w14:paraId="10CEEB9F">
                  <w:pPr>
                    <w:jc w:val="center"/>
                  </w:pPr>
                  <w:r>
                    <w:t>噪声治理</w:t>
                  </w:r>
                </w:p>
              </w:tc>
              <w:tc>
                <w:tcPr>
                  <w:tcW w:w="5795" w:type="dxa"/>
                  <w:gridSpan w:val="2"/>
                  <w:noWrap w:val="0"/>
                  <w:vAlign w:val="center"/>
                </w:tcPr>
                <w:p w14:paraId="4742A31F">
                  <w:pPr>
                    <w:jc w:val="center"/>
                  </w:pPr>
                  <w:r>
                    <w:t>对高噪声设备安装减振设施，通过厂房隔声、降噪等措施确保厂界噪声达标排放</w:t>
                  </w:r>
                  <w:r>
                    <w:rPr>
                      <w:rFonts w:hint="eastAsia"/>
                    </w:rPr>
                    <w:t>。</w:t>
                  </w:r>
                </w:p>
              </w:tc>
            </w:tr>
            <w:tr w14:paraId="76BB5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Merge w:val="continue"/>
                  <w:noWrap w:val="0"/>
                  <w:vAlign w:val="center"/>
                </w:tcPr>
                <w:p w14:paraId="4F8B0024">
                  <w:pPr>
                    <w:tabs>
                      <w:tab w:val="left" w:pos="3255"/>
                    </w:tabs>
                    <w:spacing w:line="240" w:lineRule="atLeast"/>
                    <w:jc w:val="center"/>
                  </w:pPr>
                </w:p>
              </w:tc>
              <w:tc>
                <w:tcPr>
                  <w:tcW w:w="1300" w:type="dxa"/>
                  <w:vMerge w:val="restart"/>
                  <w:noWrap w:val="0"/>
                  <w:vAlign w:val="center"/>
                </w:tcPr>
                <w:p w14:paraId="319E6997">
                  <w:pPr>
                    <w:jc w:val="center"/>
                  </w:pPr>
                  <w:r>
                    <w:t>固废治理</w:t>
                  </w:r>
                </w:p>
              </w:tc>
              <w:tc>
                <w:tcPr>
                  <w:tcW w:w="5795" w:type="dxa"/>
                  <w:gridSpan w:val="2"/>
                  <w:noWrap w:val="0"/>
                  <w:vAlign w:val="center"/>
                </w:tcPr>
                <w:p w14:paraId="5F904EC8">
                  <w:pPr>
                    <w:jc w:val="center"/>
                    <w:rPr>
                      <w:rFonts w:hint="eastAsia" w:eastAsia="宋体"/>
                      <w:lang w:val="en-US" w:eastAsia="zh-CN"/>
                    </w:rPr>
                  </w:pPr>
                  <w:r>
                    <w:rPr>
                      <w:rFonts w:hint="default" w:ascii="Times New Roman" w:hAnsi="Times New Roman" w:cs="Times New Roman"/>
                      <w:szCs w:val="21"/>
                    </w:rPr>
                    <w:t>设置危险废物暂存库1座，</w:t>
                  </w:r>
                  <w:r>
                    <w:rPr>
                      <w:rFonts w:hint="eastAsia" w:ascii="Times New Roman" w:hAnsi="Times New Roman" w:cs="Times New Roman"/>
                      <w:szCs w:val="21"/>
                      <w:lang w:val="en-US" w:eastAsia="zh-CN"/>
                    </w:rPr>
                    <w:t>总</w:t>
                  </w:r>
                  <w:r>
                    <w:rPr>
                      <w:rFonts w:hint="eastAsia" w:cs="Times New Roman"/>
                      <w:szCs w:val="21"/>
                      <w:lang w:val="en-US" w:eastAsia="zh-CN"/>
                    </w:rPr>
                    <w:t>建筑</w:t>
                  </w:r>
                  <w:r>
                    <w:rPr>
                      <w:rFonts w:hint="eastAsia" w:ascii="Times New Roman" w:hAnsi="Times New Roman" w:cs="Times New Roman"/>
                      <w:szCs w:val="21"/>
                      <w:lang w:val="en-US" w:eastAsia="zh-CN"/>
                    </w:rPr>
                    <w:t>面积</w:t>
                  </w:r>
                  <w:r>
                    <w:rPr>
                      <w:rFonts w:hint="eastAsia" w:cs="Times New Roman"/>
                      <w:szCs w:val="21"/>
                      <w:lang w:val="en-US" w:eastAsia="zh-CN"/>
                    </w:rPr>
                    <w:t>30</w:t>
                  </w:r>
                  <w:r>
                    <w:rPr>
                      <w:rFonts w:hint="default" w:ascii="Times New Roman" w:hAnsi="Times New Roman" w:cs="Times New Roman"/>
                      <w:szCs w:val="21"/>
                    </w:rPr>
                    <w:t>0m</w:t>
                  </w:r>
                  <w:r>
                    <w:rPr>
                      <w:rFonts w:hint="default" w:ascii="Times New Roman" w:hAnsi="Times New Roman" w:cs="Times New Roman"/>
                      <w:szCs w:val="21"/>
                      <w:vertAlign w:val="superscript"/>
                    </w:rPr>
                    <w:t>2</w:t>
                  </w:r>
                  <w:r>
                    <w:rPr>
                      <w:rFonts w:hint="default" w:ascii="Times New Roman" w:hAnsi="Times New Roman" w:cs="Times New Roman"/>
                      <w:szCs w:val="21"/>
                    </w:rPr>
                    <w:t>，危废暂存库四周设置围堰，配套建设废液收集池。危险废物分类暂存，定期委托有资质单位处置</w:t>
                  </w:r>
                  <w:r>
                    <w:rPr>
                      <w:rFonts w:hint="eastAsia" w:ascii="Times New Roman" w:hAnsi="Times New Roman" w:cs="Times New Roman"/>
                      <w:szCs w:val="21"/>
                      <w:lang w:eastAsia="zh-CN"/>
                    </w:rPr>
                    <w:t>。</w:t>
                  </w:r>
                </w:p>
              </w:tc>
            </w:tr>
            <w:tr w14:paraId="4D83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24" w:type="dxa"/>
                  <w:vMerge w:val="continue"/>
                  <w:noWrap w:val="0"/>
                  <w:vAlign w:val="center"/>
                </w:tcPr>
                <w:p w14:paraId="57FA3308">
                  <w:pPr>
                    <w:tabs>
                      <w:tab w:val="left" w:pos="3255"/>
                    </w:tabs>
                    <w:spacing w:line="240" w:lineRule="atLeast"/>
                    <w:jc w:val="center"/>
                  </w:pPr>
                </w:p>
              </w:tc>
              <w:tc>
                <w:tcPr>
                  <w:tcW w:w="1300" w:type="dxa"/>
                  <w:vMerge w:val="continue"/>
                  <w:noWrap w:val="0"/>
                  <w:vAlign w:val="center"/>
                </w:tcPr>
                <w:p w14:paraId="18E6FBBF">
                  <w:pPr>
                    <w:jc w:val="center"/>
                  </w:pPr>
                </w:p>
              </w:tc>
              <w:tc>
                <w:tcPr>
                  <w:tcW w:w="5795" w:type="dxa"/>
                  <w:gridSpan w:val="2"/>
                  <w:noWrap w:val="0"/>
                  <w:vAlign w:val="center"/>
                </w:tcPr>
                <w:p w14:paraId="71C9EDE1">
                  <w:pPr>
                    <w:jc w:val="center"/>
                    <w:rPr>
                      <w:rFonts w:hint="eastAsia" w:eastAsia="宋体"/>
                      <w:lang w:val="en-US" w:eastAsia="zh-CN"/>
                    </w:rPr>
                  </w:pPr>
                  <w:r>
                    <w:rPr>
                      <w:rFonts w:hint="default" w:ascii="Times New Roman" w:hAnsi="Times New Roman" w:cs="Times New Roman"/>
                      <w:szCs w:val="21"/>
                    </w:rPr>
                    <w:t>设置一般固废暂存库1座，</w:t>
                  </w:r>
                  <w:r>
                    <w:rPr>
                      <w:rFonts w:hint="eastAsia" w:ascii="Times New Roman" w:hAnsi="Times New Roman" w:cs="Times New Roman"/>
                      <w:szCs w:val="21"/>
                      <w:lang w:val="en-US" w:eastAsia="zh-CN"/>
                    </w:rPr>
                    <w:t>总</w:t>
                  </w:r>
                  <w:r>
                    <w:rPr>
                      <w:rFonts w:hint="eastAsia" w:cs="Times New Roman"/>
                      <w:szCs w:val="21"/>
                      <w:lang w:val="en-US" w:eastAsia="zh-CN"/>
                    </w:rPr>
                    <w:t>建筑</w:t>
                  </w:r>
                  <w:r>
                    <w:rPr>
                      <w:rFonts w:hint="eastAsia" w:ascii="Times New Roman" w:hAnsi="Times New Roman" w:cs="Times New Roman"/>
                      <w:szCs w:val="21"/>
                      <w:lang w:val="en-US" w:eastAsia="zh-CN"/>
                    </w:rPr>
                    <w:t>面积</w:t>
                  </w:r>
                  <w:r>
                    <w:rPr>
                      <w:rFonts w:hint="eastAsia" w:cs="Times New Roman"/>
                      <w:szCs w:val="21"/>
                      <w:lang w:val="en-US" w:eastAsia="zh-CN"/>
                    </w:rPr>
                    <w:t>2</w:t>
                  </w:r>
                  <w:r>
                    <w:rPr>
                      <w:rFonts w:hint="default" w:ascii="Times New Roman" w:hAnsi="Times New Roman" w:cs="Times New Roman"/>
                      <w:szCs w:val="21"/>
                    </w:rPr>
                    <w:t>00m</w:t>
                  </w:r>
                  <w:r>
                    <w:rPr>
                      <w:rFonts w:hint="default" w:ascii="Times New Roman" w:hAnsi="Times New Roman" w:cs="Times New Roman"/>
                      <w:szCs w:val="21"/>
                      <w:vertAlign w:val="superscript"/>
                    </w:rPr>
                    <w:t>2</w:t>
                  </w:r>
                  <w:r>
                    <w:rPr>
                      <w:rFonts w:hint="default" w:ascii="Times New Roman" w:hAnsi="Times New Roman" w:cs="Times New Roman"/>
                      <w:szCs w:val="21"/>
                    </w:rPr>
                    <w:t>，一般固废</w:t>
                  </w:r>
                  <w:r>
                    <w:rPr>
                      <w:rFonts w:hint="eastAsia" w:cs="Times New Roman"/>
                      <w:szCs w:val="21"/>
                      <w:lang w:val="en-US" w:eastAsia="zh-CN"/>
                    </w:rPr>
                    <w:t>分类</w:t>
                  </w:r>
                  <w:r>
                    <w:rPr>
                      <w:rFonts w:hint="default" w:ascii="Times New Roman" w:hAnsi="Times New Roman" w:cs="Times New Roman"/>
                      <w:szCs w:val="21"/>
                    </w:rPr>
                    <w:t>暂存一般固废暂存库，定期外售</w:t>
                  </w:r>
                  <w:r>
                    <w:rPr>
                      <w:rFonts w:hint="eastAsia" w:cs="Times New Roman"/>
                      <w:szCs w:val="21"/>
                      <w:lang w:val="en-US" w:eastAsia="zh-CN"/>
                    </w:rPr>
                    <w:t>物资回收公司回收利用</w:t>
                  </w:r>
                  <w:r>
                    <w:rPr>
                      <w:rFonts w:hint="eastAsia" w:ascii="Times New Roman" w:hAnsi="Times New Roman" w:cs="Times New Roman"/>
                      <w:szCs w:val="21"/>
                      <w:lang w:eastAsia="zh-CN"/>
                    </w:rPr>
                    <w:t>。</w:t>
                  </w:r>
                </w:p>
              </w:tc>
            </w:tr>
            <w:tr w14:paraId="2A0A5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Merge w:val="continue"/>
                  <w:noWrap w:val="0"/>
                  <w:vAlign w:val="center"/>
                </w:tcPr>
                <w:p w14:paraId="276AD6F1">
                  <w:pPr>
                    <w:tabs>
                      <w:tab w:val="left" w:pos="3255"/>
                    </w:tabs>
                    <w:spacing w:line="240" w:lineRule="atLeast"/>
                    <w:jc w:val="center"/>
                  </w:pPr>
                </w:p>
              </w:tc>
              <w:tc>
                <w:tcPr>
                  <w:tcW w:w="1300" w:type="dxa"/>
                  <w:vMerge w:val="continue"/>
                  <w:noWrap w:val="0"/>
                  <w:vAlign w:val="center"/>
                </w:tcPr>
                <w:p w14:paraId="54A4EBC7">
                  <w:pPr>
                    <w:jc w:val="center"/>
                  </w:pPr>
                </w:p>
              </w:tc>
              <w:tc>
                <w:tcPr>
                  <w:tcW w:w="5795" w:type="dxa"/>
                  <w:gridSpan w:val="2"/>
                  <w:noWrap w:val="0"/>
                  <w:vAlign w:val="center"/>
                </w:tcPr>
                <w:p w14:paraId="7868C20B">
                  <w:pPr>
                    <w:jc w:val="center"/>
                  </w:pPr>
                  <w:r>
                    <w:t>生活垃圾经垃圾桶收集后，委托环卫部门清运处理</w:t>
                  </w:r>
                  <w:r>
                    <w:rPr>
                      <w:rFonts w:hint="eastAsia"/>
                    </w:rPr>
                    <w:t>。</w:t>
                  </w:r>
                </w:p>
              </w:tc>
            </w:tr>
            <w:tr w14:paraId="4352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724" w:type="dxa"/>
                  <w:vMerge w:val="continue"/>
                  <w:noWrap w:val="0"/>
                  <w:vAlign w:val="center"/>
                </w:tcPr>
                <w:p w14:paraId="749C56D8">
                  <w:pPr>
                    <w:tabs>
                      <w:tab w:val="left" w:pos="3255"/>
                    </w:tabs>
                    <w:spacing w:line="240" w:lineRule="atLeast"/>
                    <w:jc w:val="center"/>
                  </w:pPr>
                </w:p>
              </w:tc>
              <w:tc>
                <w:tcPr>
                  <w:tcW w:w="1300" w:type="dxa"/>
                  <w:noWrap w:val="0"/>
                  <w:vAlign w:val="center"/>
                </w:tcPr>
                <w:p w14:paraId="298DC9DF">
                  <w:pPr>
                    <w:jc w:val="center"/>
                  </w:pPr>
                  <w:r>
                    <w:rPr>
                      <w:rFonts w:hint="eastAsia"/>
                    </w:rPr>
                    <w:t>地下水、土壤</w:t>
                  </w:r>
                </w:p>
              </w:tc>
              <w:tc>
                <w:tcPr>
                  <w:tcW w:w="5795" w:type="dxa"/>
                  <w:gridSpan w:val="2"/>
                  <w:noWrap w:val="0"/>
                  <w:vAlign w:val="center"/>
                </w:tcPr>
                <w:p w14:paraId="1B47CFAA">
                  <w:pPr>
                    <w:jc w:val="center"/>
                    <w:rPr>
                      <w:rFonts w:hint="eastAsia" w:eastAsia="宋体"/>
                      <w:lang w:val="en-US" w:eastAsia="zh-CN"/>
                    </w:rPr>
                  </w:pPr>
                  <w:r>
                    <w:rPr>
                      <w:rFonts w:hint="eastAsia"/>
                    </w:rPr>
                    <w:t>污水处理站、</w:t>
                  </w:r>
                  <w:r>
                    <w:rPr>
                      <w:rFonts w:hint="eastAsia"/>
                      <w:lang w:val="en-US" w:eastAsia="zh-CN"/>
                    </w:rPr>
                    <w:t>初期雨水收集池、应急事故</w:t>
                  </w:r>
                  <w:r>
                    <w:rPr>
                      <w:rFonts w:hint="eastAsia"/>
                    </w:rPr>
                    <w:t>池、危废暂存库实行重点防渗；</w:t>
                  </w:r>
                  <w:r>
                    <w:rPr>
                      <w:rFonts w:hint="eastAsia"/>
                      <w:lang w:val="en-US" w:eastAsia="zh-CN"/>
                    </w:rPr>
                    <w:t>生产车间</w:t>
                  </w:r>
                  <w:r>
                    <w:rPr>
                      <w:rFonts w:hint="eastAsia"/>
                    </w:rPr>
                    <w:t>、报废机动车暂存区</w:t>
                  </w:r>
                  <w:r>
                    <w:rPr>
                      <w:rFonts w:hint="eastAsia"/>
                      <w:lang w:val="en-US" w:eastAsia="zh-CN"/>
                    </w:rPr>
                    <w:t>、</w:t>
                  </w:r>
                  <w:r>
                    <w:rPr>
                      <w:rFonts w:hint="eastAsia"/>
                    </w:rPr>
                    <w:t>一般固废暂存库实行一般防渗；</w:t>
                  </w:r>
                  <w:r>
                    <w:rPr>
                      <w:rFonts w:hint="eastAsia"/>
                      <w:lang w:val="en-US" w:eastAsia="zh-CN"/>
                    </w:rPr>
                    <w:t>办公用房</w:t>
                  </w:r>
                  <w:r>
                    <w:rPr>
                      <w:rFonts w:hint="eastAsia"/>
                    </w:rPr>
                    <w:t>实行简单防渗。</w:t>
                  </w:r>
                  <w:r>
                    <w:rPr>
                      <w:rFonts w:hint="eastAsia"/>
                      <w:lang w:val="en-US" w:eastAsia="zh-CN"/>
                    </w:rPr>
                    <w:t>厂区</w:t>
                  </w:r>
                  <w:r>
                    <w:rPr>
                      <w:rFonts w:hint="default" w:ascii="Times New Roman" w:hAnsi="Times New Roman" w:cs="Times New Roman"/>
                      <w:color w:val="auto"/>
                      <w:szCs w:val="21"/>
                    </w:rPr>
                    <w:t>设置地下水监测井，定期</w:t>
                  </w:r>
                  <w:r>
                    <w:rPr>
                      <w:rFonts w:hint="eastAsia" w:ascii="Times New Roman" w:hAnsi="Times New Roman" w:cs="Times New Roman"/>
                      <w:color w:val="auto"/>
                      <w:szCs w:val="21"/>
                      <w:lang w:val="en-US" w:eastAsia="zh-CN"/>
                    </w:rPr>
                    <w:t>开展</w:t>
                  </w:r>
                  <w:r>
                    <w:rPr>
                      <w:rFonts w:hint="default" w:ascii="Times New Roman" w:hAnsi="Times New Roman" w:cs="Times New Roman"/>
                      <w:color w:val="auto"/>
                      <w:szCs w:val="21"/>
                    </w:rPr>
                    <w:t>监测</w:t>
                  </w:r>
                  <w:r>
                    <w:rPr>
                      <w:rFonts w:hint="eastAsia" w:ascii="Times New Roman" w:hAnsi="Times New Roman" w:cs="Times New Roman"/>
                      <w:color w:val="auto"/>
                      <w:szCs w:val="21"/>
                      <w:lang w:eastAsia="zh-CN"/>
                    </w:rPr>
                    <w:t>。</w:t>
                  </w:r>
                </w:p>
              </w:tc>
            </w:tr>
            <w:tr w14:paraId="25265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24" w:type="dxa"/>
                  <w:vMerge w:val="continue"/>
                  <w:noWrap w:val="0"/>
                  <w:vAlign w:val="center"/>
                </w:tcPr>
                <w:p w14:paraId="12281C94">
                  <w:pPr>
                    <w:tabs>
                      <w:tab w:val="left" w:pos="3255"/>
                    </w:tabs>
                    <w:spacing w:line="240" w:lineRule="atLeast"/>
                    <w:jc w:val="center"/>
                  </w:pPr>
                </w:p>
              </w:tc>
              <w:tc>
                <w:tcPr>
                  <w:tcW w:w="1300" w:type="dxa"/>
                  <w:noWrap w:val="0"/>
                  <w:vAlign w:val="center"/>
                </w:tcPr>
                <w:p w14:paraId="1951174F">
                  <w:pPr>
                    <w:jc w:val="center"/>
                  </w:pPr>
                  <w:r>
                    <w:rPr>
                      <w:rFonts w:hint="eastAsia"/>
                    </w:rPr>
                    <w:t>环境风险</w:t>
                  </w:r>
                </w:p>
              </w:tc>
              <w:tc>
                <w:tcPr>
                  <w:tcW w:w="5795" w:type="dxa"/>
                  <w:gridSpan w:val="2"/>
                  <w:noWrap w:val="0"/>
                  <w:vAlign w:val="center"/>
                </w:tcPr>
                <w:p w14:paraId="15ECA69C">
                  <w:pPr>
                    <w:jc w:val="center"/>
                    <w:rPr>
                      <w:rFonts w:hint="eastAsia" w:eastAsia="宋体"/>
                      <w:bCs/>
                      <w:lang w:val="en-US" w:eastAsia="zh-CN"/>
                    </w:rPr>
                  </w:pPr>
                  <w:r>
                    <w:rPr>
                      <w:rFonts w:hint="default" w:ascii="Times New Roman" w:hAnsi="Times New Roman" w:cs="Times New Roman"/>
                      <w:szCs w:val="21"/>
                    </w:rPr>
                    <w:t>厂区四周设置边沟，废机动车暂存区、废油液抽取区四周设置围堰；厂区设应急事故池（</w:t>
                  </w:r>
                  <w:r>
                    <w:rPr>
                      <w:rFonts w:hint="eastAsia" w:cs="Times New Roman"/>
                      <w:szCs w:val="21"/>
                      <w:lang w:val="en-US" w:eastAsia="zh-CN"/>
                    </w:rPr>
                    <w:t>12</w:t>
                  </w:r>
                  <w:r>
                    <w:rPr>
                      <w:rFonts w:hint="default" w:ascii="Times New Roman" w:hAnsi="Times New Roman" w:cs="Times New Roman"/>
                      <w:szCs w:val="21"/>
                    </w:rPr>
                    <w:t>0m</w:t>
                  </w:r>
                  <w:r>
                    <w:rPr>
                      <w:rFonts w:hint="default" w:ascii="Times New Roman" w:hAnsi="Times New Roman" w:cs="Times New Roman"/>
                      <w:szCs w:val="21"/>
                      <w:vertAlign w:val="superscript"/>
                    </w:rPr>
                    <w:t>3</w:t>
                  </w:r>
                  <w:r>
                    <w:rPr>
                      <w:rFonts w:hint="default" w:ascii="Times New Roman" w:hAnsi="Times New Roman" w:cs="Times New Roman"/>
                      <w:szCs w:val="21"/>
                    </w:rPr>
                    <w:t>），制定</w:t>
                  </w:r>
                  <w:r>
                    <w:rPr>
                      <w:rFonts w:hint="eastAsia" w:ascii="Times New Roman" w:hAnsi="Times New Roman" w:cs="Times New Roman"/>
                      <w:szCs w:val="21"/>
                      <w:lang w:val="en-US" w:eastAsia="zh-CN"/>
                    </w:rPr>
                    <w:t>突发环境事件</w:t>
                  </w:r>
                  <w:r>
                    <w:rPr>
                      <w:rFonts w:hint="default" w:ascii="Times New Roman" w:hAnsi="Times New Roman" w:cs="Times New Roman"/>
                      <w:szCs w:val="21"/>
                    </w:rPr>
                    <w:t>应急预案，并定期进行演练</w:t>
                  </w:r>
                  <w:r>
                    <w:rPr>
                      <w:rFonts w:hint="eastAsia" w:ascii="Times New Roman" w:hAnsi="Times New Roman" w:cs="Times New Roman"/>
                      <w:szCs w:val="21"/>
                      <w:lang w:eastAsia="zh-CN"/>
                    </w:rPr>
                    <w:t>。</w:t>
                  </w:r>
                </w:p>
              </w:tc>
            </w:tr>
          </w:tbl>
          <w:p w14:paraId="56142202">
            <w:pPr>
              <w:adjustRightInd w:val="0"/>
              <w:snapToGrid w:val="0"/>
              <w:spacing w:before="120" w:beforeLines="50" w:line="360" w:lineRule="auto"/>
              <w:rPr>
                <w:rFonts w:hint="eastAsia" w:eastAsia="宋体"/>
                <w:b/>
                <w:bCs/>
                <w:sz w:val="2"/>
                <w:szCs w:val="2"/>
                <w:lang w:eastAsia="zh-CN"/>
              </w:rPr>
            </w:pPr>
            <w:r>
              <w:rPr>
                <w:rFonts w:hint="eastAsia"/>
                <w:b/>
                <w:bCs/>
                <w:sz w:val="2"/>
                <w:szCs w:val="2"/>
                <w:lang w:eastAsia="zh-CN"/>
              </w:rPr>
              <w:t>1</w:t>
            </w:r>
          </w:p>
          <w:p w14:paraId="7BA8FDE7">
            <w:pPr>
              <w:adjustRightInd w:val="0"/>
              <w:snapToGrid w:val="0"/>
              <w:spacing w:before="120" w:beforeLines="50" w:line="360" w:lineRule="auto"/>
              <w:rPr>
                <w:rFonts w:hint="default"/>
                <w:b/>
                <w:bCs/>
                <w:sz w:val="24"/>
                <w:lang w:val="en-US"/>
              </w:rPr>
            </w:pPr>
            <w:r>
              <w:rPr>
                <w:rFonts w:hint="eastAsia"/>
                <w:b/>
                <w:bCs/>
                <w:sz w:val="24"/>
              </w:rPr>
              <w:t>2</w:t>
            </w:r>
            <w:r>
              <w:rPr>
                <w:b/>
                <w:bCs/>
                <w:sz w:val="24"/>
              </w:rPr>
              <w:t>.</w:t>
            </w:r>
            <w:r>
              <w:rPr>
                <w:rFonts w:hint="eastAsia"/>
                <w:b/>
                <w:bCs/>
                <w:sz w:val="24"/>
                <w:lang w:val="en-US" w:eastAsia="zh-CN"/>
              </w:rPr>
              <w:t>3拆解规模及运输控制要求</w:t>
            </w:r>
          </w:p>
          <w:p w14:paraId="524C1C11">
            <w:pPr>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1</w:t>
            </w:r>
            <w:r>
              <w:rPr>
                <w:rFonts w:hint="eastAsia" w:ascii="Times New Roman" w:hAnsi="Times New Roman" w:cs="Times New Roman"/>
                <w:sz w:val="24"/>
                <w:lang w:eastAsia="zh-CN"/>
              </w:rPr>
              <w:t>）</w:t>
            </w:r>
            <w:r>
              <w:rPr>
                <w:rFonts w:hint="eastAsia" w:cs="Times New Roman"/>
                <w:sz w:val="24"/>
                <w:lang w:val="en-US" w:eastAsia="zh-CN"/>
              </w:rPr>
              <w:t>拆解</w:t>
            </w:r>
            <w:r>
              <w:rPr>
                <w:rFonts w:hint="eastAsia" w:ascii="Times New Roman" w:hAnsi="Times New Roman" w:cs="Times New Roman"/>
                <w:sz w:val="24"/>
                <w:lang w:val="en-US" w:eastAsia="zh-CN"/>
              </w:rPr>
              <w:t>规模</w:t>
            </w:r>
          </w:p>
          <w:p w14:paraId="186F6F67">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Times New Roman" w:hAnsi="Times New Roman" w:cs="Times New Roman"/>
                <w:sz w:val="24"/>
                <w:lang w:eastAsia="zh-CN"/>
              </w:rPr>
            </w:pPr>
            <w:r>
              <w:rPr>
                <w:rFonts w:hint="eastAsia" w:ascii="Times New Roman" w:hAnsi="Times New Roman" w:cs="Times New Roman"/>
                <w:sz w:val="24"/>
                <w:lang w:eastAsia="zh-CN"/>
              </w:rPr>
              <w:t>本项目拆解各类废旧燃油、新能源汽车</w:t>
            </w:r>
            <w:r>
              <w:rPr>
                <w:rFonts w:hint="eastAsia" w:cs="Times New Roman"/>
                <w:sz w:val="24"/>
                <w:lang w:val="en-US" w:eastAsia="zh-CN"/>
              </w:rPr>
              <w:t>及摩托车</w:t>
            </w:r>
            <w:r>
              <w:rPr>
                <w:rFonts w:hint="eastAsia" w:ascii="Times New Roman" w:hAnsi="Times New Roman" w:cs="Times New Roman"/>
                <w:sz w:val="24"/>
                <w:lang w:eastAsia="zh-CN"/>
              </w:rPr>
              <w:t>。汽车主要为</w:t>
            </w:r>
            <w:r>
              <w:rPr>
                <w:rFonts w:hint="eastAsia" w:cs="Times New Roman"/>
                <w:sz w:val="24"/>
                <w:lang w:val="en-US" w:eastAsia="zh-CN"/>
              </w:rPr>
              <w:t>宿州</w:t>
            </w:r>
            <w:r>
              <w:rPr>
                <w:rFonts w:hint="eastAsia" w:ascii="Times New Roman" w:hAnsi="Times New Roman" w:cs="Times New Roman"/>
                <w:sz w:val="24"/>
                <w:lang w:val="en-US" w:eastAsia="zh-CN"/>
              </w:rPr>
              <w:t>市</w:t>
            </w:r>
            <w:r>
              <w:rPr>
                <w:rFonts w:hint="eastAsia" w:ascii="Times New Roman" w:hAnsi="Times New Roman" w:cs="Times New Roman"/>
                <w:sz w:val="24"/>
                <w:lang w:eastAsia="zh-CN"/>
              </w:rPr>
              <w:t>及其周边地区的报废车辆。项目仅接收一般性质使用车辆的拆解，不接收槽罐车、燃气汽车、危险化学品运输车等特殊装备车辆拆解。</w:t>
            </w:r>
          </w:p>
          <w:p w14:paraId="39EE7B73">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Times New Roman" w:hAnsi="Times New Roman" w:cs="Times New Roman"/>
                <w:sz w:val="24"/>
                <w:lang w:val="en-US" w:eastAsia="zh-CN"/>
              </w:rPr>
            </w:pPr>
            <w:r>
              <w:rPr>
                <w:rFonts w:hint="eastAsia" w:cs="Times New Roman"/>
                <w:sz w:val="24"/>
                <w:lang w:val="en-US" w:eastAsia="zh-CN"/>
              </w:rPr>
              <w:t>根据宿州市统计局于2025年4月9日发布的《宿州市2024年国民经济和社会发展统计公报》，2023年末，宿州市全市机动车保有量为92.1万辆，对照《报废汽车回收拆解企业技术规范》（GB22128-2019）可知，宿州市属于</w:t>
            </w:r>
            <w:r>
              <w:rPr>
                <w:rFonts w:hint="default" w:ascii="Times New Roman" w:hAnsi="Times New Roman" w:cs="Times New Roman"/>
                <w:sz w:val="24"/>
                <w:lang w:val="en-US" w:eastAsia="zh-CN"/>
              </w:rPr>
              <w:t>Ⅳ</w:t>
            </w:r>
            <w:r>
              <w:rPr>
                <w:rFonts w:hint="eastAsia" w:cs="Times New Roman"/>
                <w:sz w:val="24"/>
                <w:lang w:val="en-US" w:eastAsia="zh-CN"/>
              </w:rPr>
              <w:t>档地区，单个企业最低拆解产能不低于10000辆/年，本项目拆解产能为12000辆/年，满足拆解产能要求。具体</w:t>
            </w:r>
            <w:r>
              <w:rPr>
                <w:rFonts w:hint="eastAsia" w:ascii="Times New Roman" w:hAnsi="Times New Roman" w:cs="Times New Roman"/>
                <w:sz w:val="24"/>
                <w:lang w:eastAsia="zh-CN"/>
              </w:rPr>
              <w:t>拆解规模</w:t>
            </w:r>
            <w:r>
              <w:rPr>
                <w:rFonts w:hint="eastAsia" w:ascii="Times New Roman" w:hAnsi="Times New Roman" w:cs="Times New Roman"/>
                <w:sz w:val="24"/>
                <w:lang w:val="en-US" w:eastAsia="zh-CN"/>
              </w:rPr>
              <w:t>见下表。</w:t>
            </w:r>
          </w:p>
          <w:p w14:paraId="002F3A0F">
            <w:pPr>
              <w:keepNext w:val="0"/>
              <w:keepLines w:val="0"/>
              <w:pageBreakBefore w:val="0"/>
              <w:widowControl w:val="0"/>
              <w:kinsoku/>
              <w:wordWrap/>
              <w:overflowPunct/>
              <w:topLinePunct w:val="0"/>
              <w:autoSpaceDE/>
              <w:autoSpaceDN/>
              <w:bidi w:val="0"/>
              <w:adjustRightInd/>
              <w:snapToGrid/>
              <w:spacing w:line="240" w:lineRule="atLeast"/>
              <w:ind w:firstLine="482"/>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表</w:t>
            </w:r>
            <w:r>
              <w:rPr>
                <w:rFonts w:hint="eastAsia" w:ascii="Times New Roman" w:hAnsi="Times New Roman" w:cs="Times New Roman"/>
                <w:b/>
                <w:bCs/>
                <w:szCs w:val="21"/>
                <w:lang w:val="en-US" w:eastAsia="zh-CN"/>
              </w:rPr>
              <w:t>2-</w:t>
            </w:r>
            <w:r>
              <w:rPr>
                <w:rFonts w:hint="eastAsia" w:cs="Times New Roman"/>
                <w:b/>
                <w:bCs/>
                <w:szCs w:val="21"/>
                <w:lang w:val="en-US" w:eastAsia="zh-CN"/>
              </w:rPr>
              <w:t>4</w:t>
            </w:r>
            <w:r>
              <w:rPr>
                <w:rFonts w:hint="default" w:ascii="Times New Roman" w:hAnsi="Times New Roman" w:cs="Times New Roman"/>
                <w:b/>
                <w:bCs/>
                <w:szCs w:val="21"/>
              </w:rPr>
              <w:t xml:space="preserve">  本项目</w:t>
            </w:r>
            <w:r>
              <w:rPr>
                <w:rFonts w:hint="eastAsia" w:cs="Times New Roman"/>
                <w:b/>
                <w:bCs/>
                <w:szCs w:val="21"/>
                <w:lang w:val="en-US" w:eastAsia="zh-CN"/>
              </w:rPr>
              <w:t>报废机动车拆解规模一览</w:t>
            </w:r>
            <w:r>
              <w:rPr>
                <w:rFonts w:hint="default" w:ascii="Times New Roman" w:hAnsi="Times New Roman" w:cs="Times New Roman"/>
                <w:b/>
                <w:bCs/>
                <w:szCs w:val="21"/>
              </w:rPr>
              <w:t>表</w:t>
            </w:r>
          </w:p>
          <w:tbl>
            <w:tblPr>
              <w:tblStyle w:val="25"/>
              <w:tblW w:w="78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853"/>
              <w:gridCol w:w="1776"/>
              <w:gridCol w:w="1176"/>
              <w:gridCol w:w="1784"/>
              <w:gridCol w:w="1343"/>
            </w:tblGrid>
            <w:tr w14:paraId="681E2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737" w:type="dxa"/>
                  <w:gridSpan w:val="2"/>
                  <w:vAlign w:val="center"/>
                </w:tcPr>
                <w:p w14:paraId="236C346A">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拆解车型</w:t>
                  </w:r>
                </w:p>
              </w:tc>
              <w:tc>
                <w:tcPr>
                  <w:tcW w:w="1776" w:type="dxa"/>
                  <w:vAlign w:val="center"/>
                </w:tcPr>
                <w:p w14:paraId="68B2E139">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eastAsia="宋体" w:cs="Times New Roman"/>
                      <w:b/>
                      <w:bCs/>
                      <w:szCs w:val="21"/>
                      <w:lang w:val="en-US" w:eastAsia="zh-CN"/>
                    </w:rPr>
                  </w:pPr>
                  <w:r>
                    <w:rPr>
                      <w:rFonts w:hint="eastAsia" w:ascii="Times New Roman" w:hAnsi="Times New Roman" w:cs="Times New Roman"/>
                      <w:b/>
                      <w:bCs/>
                      <w:szCs w:val="21"/>
                      <w:lang w:val="en-US" w:eastAsia="zh-CN"/>
                    </w:rPr>
                    <w:t>主要类型</w:t>
                  </w:r>
                </w:p>
              </w:tc>
              <w:tc>
                <w:tcPr>
                  <w:tcW w:w="1176" w:type="dxa"/>
                  <w:vAlign w:val="center"/>
                </w:tcPr>
                <w:p w14:paraId="33E4478F">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平均重量</w:t>
                  </w:r>
                </w:p>
                <w:p w14:paraId="59A79F72">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（t/台）</w:t>
                  </w:r>
                </w:p>
              </w:tc>
              <w:tc>
                <w:tcPr>
                  <w:tcW w:w="1784" w:type="dxa"/>
                  <w:vAlign w:val="center"/>
                </w:tcPr>
                <w:p w14:paraId="60C5DDEE">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b/>
                      <w:bCs/>
                      <w:szCs w:val="21"/>
                    </w:rPr>
                  </w:pPr>
                  <w:r>
                    <w:rPr>
                      <w:rFonts w:hint="eastAsia" w:ascii="Times New Roman" w:hAnsi="Times New Roman" w:cs="Times New Roman"/>
                      <w:b/>
                      <w:bCs/>
                      <w:szCs w:val="21"/>
                      <w:lang w:val="en-US" w:eastAsia="zh-CN"/>
                    </w:rPr>
                    <w:t>一期</w:t>
                  </w:r>
                  <w:r>
                    <w:rPr>
                      <w:rFonts w:hint="default" w:ascii="Times New Roman" w:hAnsi="Times New Roman" w:cs="Times New Roman"/>
                      <w:b/>
                      <w:bCs/>
                      <w:szCs w:val="21"/>
                    </w:rPr>
                    <w:t>拆解数量</w:t>
                  </w:r>
                </w:p>
                <w:p w14:paraId="0CFD891B">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（台/年）</w:t>
                  </w:r>
                </w:p>
              </w:tc>
              <w:tc>
                <w:tcPr>
                  <w:tcW w:w="1343" w:type="dxa"/>
                  <w:vAlign w:val="center"/>
                </w:tcPr>
                <w:p w14:paraId="46349192">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eastAsia="宋体" w:cs="Times New Roman"/>
                      <w:b/>
                      <w:bCs/>
                      <w:szCs w:val="21"/>
                      <w:lang w:val="en-US" w:eastAsia="zh-CN"/>
                    </w:rPr>
                  </w:pPr>
                  <w:r>
                    <w:rPr>
                      <w:rFonts w:hint="eastAsia" w:ascii="Times New Roman" w:hAnsi="Times New Roman" w:cs="Times New Roman"/>
                      <w:b/>
                      <w:bCs/>
                      <w:szCs w:val="21"/>
                      <w:lang w:val="en-US" w:eastAsia="zh-CN"/>
                    </w:rPr>
                    <w:t>重量（t/a）</w:t>
                  </w:r>
                </w:p>
              </w:tc>
            </w:tr>
            <w:tr w14:paraId="09AF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84" w:type="dxa"/>
                  <w:vMerge w:val="restart"/>
                  <w:vAlign w:val="center"/>
                </w:tcPr>
                <w:p w14:paraId="08D311AD">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燃油</w:t>
                  </w:r>
                  <w:r>
                    <w:rPr>
                      <w:rFonts w:hint="eastAsia" w:cs="Times New Roman"/>
                      <w:szCs w:val="21"/>
                      <w:lang w:val="en-US" w:eastAsia="zh-CN"/>
                    </w:rPr>
                    <w:t>汽车</w:t>
                  </w:r>
                </w:p>
              </w:tc>
              <w:tc>
                <w:tcPr>
                  <w:tcW w:w="853" w:type="dxa"/>
                  <w:vAlign w:val="center"/>
                </w:tcPr>
                <w:p w14:paraId="187AA1B1">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szCs w:val="21"/>
                      <w:lang w:val="en-US" w:eastAsia="zh-CN"/>
                    </w:rPr>
                  </w:pPr>
                  <w:r>
                    <w:rPr>
                      <w:rFonts w:hint="eastAsia" w:cs="Times New Roman"/>
                      <w:szCs w:val="21"/>
                      <w:lang w:val="en-US" w:eastAsia="zh-CN"/>
                    </w:rPr>
                    <w:t>小型车</w:t>
                  </w:r>
                </w:p>
              </w:tc>
              <w:tc>
                <w:tcPr>
                  <w:tcW w:w="1776" w:type="dxa"/>
                  <w:vAlign w:val="center"/>
                </w:tcPr>
                <w:p w14:paraId="64D04899">
                  <w:pPr>
                    <w:keepNext w:val="0"/>
                    <w:keepLines w:val="0"/>
                    <w:pageBreakBefore w:val="0"/>
                    <w:widowControl/>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szCs w:val="21"/>
                    </w:rPr>
                  </w:pPr>
                  <w:r>
                    <w:rPr>
                      <w:rFonts w:ascii="Times New Roman" w:hAnsi="Times New Roman" w:eastAsia="宋体" w:cs="Times New Roman"/>
                      <w:bCs/>
                      <w:color w:val="auto"/>
                      <w:sz w:val="21"/>
                      <w:szCs w:val="21"/>
                    </w:rPr>
                    <w:t>轿车、 7座</w:t>
                  </w:r>
                  <w:r>
                    <w:rPr>
                      <w:rFonts w:hint="eastAsia" w:eastAsia="宋体" w:cs="Times New Roman"/>
                      <w:bCs/>
                      <w:color w:val="auto"/>
                      <w:sz w:val="21"/>
                      <w:szCs w:val="21"/>
                      <w:lang w:eastAsia="zh-CN"/>
                    </w:rPr>
                    <w:t>（</w:t>
                  </w:r>
                  <w:r>
                    <w:rPr>
                      <w:rFonts w:ascii="Times New Roman" w:hAnsi="Times New Roman" w:eastAsia="宋体" w:cs="Times New Roman"/>
                      <w:bCs/>
                      <w:color w:val="auto"/>
                      <w:sz w:val="21"/>
                      <w:szCs w:val="21"/>
                    </w:rPr>
                    <w:t>含</w:t>
                  </w:r>
                  <w:r>
                    <w:rPr>
                      <w:rFonts w:hint="eastAsia" w:eastAsia="宋体" w:cs="Times New Roman"/>
                      <w:bCs/>
                      <w:color w:val="auto"/>
                      <w:sz w:val="21"/>
                      <w:szCs w:val="21"/>
                      <w:lang w:eastAsia="zh-CN"/>
                    </w:rPr>
                    <w:t>）</w:t>
                  </w:r>
                  <w:r>
                    <w:rPr>
                      <w:rFonts w:ascii="Times New Roman" w:hAnsi="Times New Roman" w:eastAsia="宋体" w:cs="Times New Roman"/>
                      <w:bCs/>
                      <w:color w:val="auto"/>
                      <w:sz w:val="21"/>
                      <w:szCs w:val="21"/>
                    </w:rPr>
                    <w:t>以下旅行车</w:t>
                  </w:r>
                </w:p>
              </w:tc>
              <w:tc>
                <w:tcPr>
                  <w:tcW w:w="1176" w:type="dxa"/>
                  <w:vAlign w:val="center"/>
                </w:tcPr>
                <w:p w14:paraId="109FF69D">
                  <w:pPr>
                    <w:keepNext w:val="0"/>
                    <w:keepLines w:val="0"/>
                    <w:pageBreakBefore w:val="0"/>
                    <w:tabs>
                      <w:tab w:val="left" w:pos="8640"/>
                    </w:tabs>
                    <w:kinsoku/>
                    <w:wordWrap/>
                    <w:overflowPunct/>
                    <w:topLinePunct w:val="0"/>
                    <w:autoSpaceDE/>
                    <w:autoSpaceDN/>
                    <w:bidi w:val="0"/>
                    <w:adjustRightInd/>
                    <w:snapToGrid/>
                    <w:spacing w:line="230" w:lineRule="exact"/>
                    <w:jc w:val="center"/>
                    <w:textAlignment w:val="auto"/>
                    <w:rPr>
                      <w:rFonts w:hint="default" w:ascii="Times New Roman" w:hAnsi="Times New Roman" w:eastAsia="宋体" w:cs="Times New Roman"/>
                      <w:szCs w:val="21"/>
                      <w:lang w:val="en-US" w:eastAsia="zh-CN"/>
                    </w:rPr>
                  </w:pPr>
                  <w:r>
                    <w:rPr>
                      <w:rFonts w:ascii="Times New Roman" w:hAnsi="Times New Roman" w:eastAsia="宋体" w:cs="Times New Roman"/>
                      <w:bCs/>
                      <w:color w:val="auto"/>
                      <w:sz w:val="21"/>
                      <w:szCs w:val="21"/>
                    </w:rPr>
                    <w:t>1</w:t>
                  </w:r>
                  <w:r>
                    <w:rPr>
                      <w:rFonts w:hint="eastAsia" w:ascii="Times New Roman" w:hAnsi="Times New Roman" w:eastAsia="宋体" w:cs="Times New Roman"/>
                      <w:bCs/>
                      <w:color w:val="auto"/>
                      <w:sz w:val="21"/>
                      <w:szCs w:val="21"/>
                      <w:lang w:val="en-US" w:eastAsia="zh-CN"/>
                    </w:rPr>
                    <w:t>.</w:t>
                  </w:r>
                  <w:r>
                    <w:rPr>
                      <w:rFonts w:hint="eastAsia" w:cs="Times New Roman"/>
                      <w:bCs/>
                      <w:color w:val="auto"/>
                      <w:sz w:val="21"/>
                      <w:szCs w:val="21"/>
                      <w:lang w:val="en-US" w:eastAsia="zh-CN"/>
                    </w:rPr>
                    <w:t>2</w:t>
                  </w:r>
                </w:p>
              </w:tc>
              <w:tc>
                <w:tcPr>
                  <w:tcW w:w="1784" w:type="dxa"/>
                  <w:vAlign w:val="center"/>
                </w:tcPr>
                <w:p w14:paraId="4AF21739">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6</w:t>
                  </w:r>
                  <w:r>
                    <w:rPr>
                      <w:rFonts w:hint="eastAsia" w:ascii="Times New Roman" w:hAnsi="Times New Roman" w:cs="Times New Roman"/>
                      <w:szCs w:val="21"/>
                      <w:lang w:val="en-US" w:eastAsia="zh-CN"/>
                    </w:rPr>
                    <w:t>000</w:t>
                  </w:r>
                </w:p>
              </w:tc>
              <w:tc>
                <w:tcPr>
                  <w:tcW w:w="1343" w:type="dxa"/>
                  <w:vAlign w:val="center"/>
                </w:tcPr>
                <w:p w14:paraId="264A0845">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szCs w:val="21"/>
                      <w:lang w:val="en-US" w:eastAsia="zh-CN"/>
                    </w:rPr>
                  </w:pPr>
                  <w:r>
                    <w:rPr>
                      <w:rFonts w:hint="eastAsia" w:cs="Times New Roman"/>
                      <w:szCs w:val="21"/>
                      <w:lang w:val="en-US" w:eastAsia="zh-CN"/>
                    </w:rPr>
                    <w:t>7200</w:t>
                  </w:r>
                </w:p>
              </w:tc>
            </w:tr>
            <w:tr w14:paraId="1C05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84" w:type="dxa"/>
                  <w:vMerge w:val="continue"/>
                  <w:vAlign w:val="center"/>
                </w:tcPr>
                <w:p w14:paraId="6447E77E">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szCs w:val="21"/>
                      <w:lang w:val="en-US" w:eastAsia="zh-CN"/>
                    </w:rPr>
                  </w:pPr>
                </w:p>
              </w:tc>
              <w:tc>
                <w:tcPr>
                  <w:tcW w:w="853" w:type="dxa"/>
                  <w:vAlign w:val="center"/>
                </w:tcPr>
                <w:p w14:paraId="14E14C54">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szCs w:val="21"/>
                      <w:lang w:val="en-US" w:eastAsia="zh-CN"/>
                    </w:rPr>
                  </w:pPr>
                  <w:r>
                    <w:rPr>
                      <w:rFonts w:hint="eastAsia" w:cs="Times New Roman"/>
                      <w:szCs w:val="21"/>
                      <w:lang w:val="en-US" w:eastAsia="zh-CN"/>
                    </w:rPr>
                    <w:t>中型车</w:t>
                  </w:r>
                </w:p>
              </w:tc>
              <w:tc>
                <w:tcPr>
                  <w:tcW w:w="1776" w:type="dxa"/>
                  <w:vAlign w:val="top"/>
                </w:tcPr>
                <w:p w14:paraId="257E452A">
                  <w:pPr>
                    <w:keepNext w:val="0"/>
                    <w:keepLines w:val="0"/>
                    <w:pageBreakBefore w:val="0"/>
                    <w:tabs>
                      <w:tab w:val="left" w:pos="8640"/>
                    </w:tabs>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color w:val="000000"/>
                      <w:kern w:val="0"/>
                      <w:szCs w:val="21"/>
                      <w:lang w:bidi="ar"/>
                    </w:rPr>
                  </w:pPr>
                  <w:r>
                    <w:rPr>
                      <w:rFonts w:ascii="Times New Roman" w:hAnsi="Times New Roman" w:eastAsia="宋体" w:cs="Times New Roman"/>
                      <w:bCs/>
                      <w:color w:val="auto"/>
                      <w:sz w:val="21"/>
                      <w:szCs w:val="21"/>
                    </w:rPr>
                    <w:t>中型货车、客车</w:t>
                  </w:r>
                  <w:r>
                    <w:rPr>
                      <w:rFonts w:hint="eastAsia" w:ascii="Times New Roman" w:hAnsi="Times New Roman" w:eastAsia="宋体" w:cs="Times New Roman"/>
                      <w:bCs/>
                      <w:color w:val="auto"/>
                      <w:sz w:val="21"/>
                      <w:szCs w:val="21"/>
                      <w:lang w:eastAsia="zh-CN"/>
                    </w:rPr>
                    <w:t>（</w:t>
                  </w:r>
                  <w:r>
                    <w:rPr>
                      <w:rFonts w:ascii="Times New Roman" w:hAnsi="Times New Roman" w:eastAsia="宋体" w:cs="Times New Roman"/>
                      <w:bCs/>
                      <w:color w:val="auto"/>
                      <w:sz w:val="21"/>
                      <w:szCs w:val="21"/>
                    </w:rPr>
                    <w:t>7座~40座</w:t>
                  </w:r>
                  <w:r>
                    <w:rPr>
                      <w:rFonts w:hint="eastAsia" w:ascii="Times New Roman" w:hAnsi="Times New Roman" w:eastAsia="宋体" w:cs="Times New Roman"/>
                      <w:bCs/>
                      <w:color w:val="auto"/>
                      <w:sz w:val="21"/>
                      <w:szCs w:val="21"/>
                      <w:lang w:eastAsia="zh-CN"/>
                    </w:rPr>
                    <w:t>）</w:t>
                  </w:r>
                  <w:r>
                    <w:rPr>
                      <w:rFonts w:ascii="Times New Roman" w:hAnsi="Times New Roman" w:eastAsia="宋体" w:cs="Times New Roman"/>
                      <w:bCs/>
                      <w:color w:val="auto"/>
                      <w:sz w:val="21"/>
                      <w:szCs w:val="21"/>
                    </w:rPr>
                    <w:t>等</w:t>
                  </w:r>
                </w:p>
              </w:tc>
              <w:tc>
                <w:tcPr>
                  <w:tcW w:w="1176" w:type="dxa"/>
                  <w:vAlign w:val="center"/>
                </w:tcPr>
                <w:p w14:paraId="5641AC6A">
                  <w:pPr>
                    <w:keepNext w:val="0"/>
                    <w:keepLines w:val="0"/>
                    <w:pageBreakBefore w:val="0"/>
                    <w:tabs>
                      <w:tab w:val="left" w:pos="8640"/>
                    </w:tabs>
                    <w:kinsoku/>
                    <w:wordWrap/>
                    <w:overflowPunct/>
                    <w:topLinePunct w:val="0"/>
                    <w:autoSpaceDE/>
                    <w:autoSpaceDN/>
                    <w:bidi w:val="0"/>
                    <w:adjustRightInd/>
                    <w:snapToGrid/>
                    <w:spacing w:line="230" w:lineRule="exact"/>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5</w:t>
                  </w:r>
                </w:p>
              </w:tc>
              <w:tc>
                <w:tcPr>
                  <w:tcW w:w="1784" w:type="dxa"/>
                  <w:vAlign w:val="center"/>
                </w:tcPr>
                <w:p w14:paraId="2484859C">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cs="Times New Roman"/>
                      <w:szCs w:val="21"/>
                      <w:lang w:val="en-US" w:eastAsia="zh-CN"/>
                    </w:rPr>
                  </w:pPr>
                  <w:r>
                    <w:rPr>
                      <w:rFonts w:hint="eastAsia" w:cs="Times New Roman"/>
                      <w:szCs w:val="21"/>
                      <w:lang w:val="en-US" w:eastAsia="zh-CN"/>
                    </w:rPr>
                    <w:t>1500</w:t>
                  </w:r>
                </w:p>
              </w:tc>
              <w:tc>
                <w:tcPr>
                  <w:tcW w:w="1343" w:type="dxa"/>
                  <w:vAlign w:val="center"/>
                </w:tcPr>
                <w:p w14:paraId="43C270DA">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cs="Times New Roman"/>
                      <w:szCs w:val="21"/>
                      <w:lang w:val="en-US" w:eastAsia="zh-CN"/>
                    </w:rPr>
                  </w:pPr>
                  <w:r>
                    <w:rPr>
                      <w:rFonts w:hint="eastAsia" w:cs="Times New Roman"/>
                      <w:szCs w:val="21"/>
                      <w:lang w:val="en-US" w:eastAsia="zh-CN"/>
                    </w:rPr>
                    <w:t>7500</w:t>
                  </w:r>
                </w:p>
              </w:tc>
            </w:tr>
            <w:tr w14:paraId="61F5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84" w:type="dxa"/>
                  <w:vMerge w:val="continue"/>
                  <w:vAlign w:val="center"/>
                </w:tcPr>
                <w:p w14:paraId="5AAE6C56">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eastAsia="宋体" w:cs="Times New Roman"/>
                      <w:szCs w:val="21"/>
                      <w:lang w:val="en-US" w:eastAsia="zh-CN"/>
                    </w:rPr>
                  </w:pPr>
                </w:p>
              </w:tc>
              <w:tc>
                <w:tcPr>
                  <w:tcW w:w="853" w:type="dxa"/>
                  <w:vAlign w:val="center"/>
                </w:tcPr>
                <w:p w14:paraId="25ABDBDD">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大型车</w:t>
                  </w:r>
                </w:p>
              </w:tc>
              <w:tc>
                <w:tcPr>
                  <w:tcW w:w="1776" w:type="dxa"/>
                  <w:vAlign w:val="top"/>
                </w:tcPr>
                <w:p w14:paraId="65574D83">
                  <w:pPr>
                    <w:keepNext w:val="0"/>
                    <w:keepLines w:val="0"/>
                    <w:pageBreakBefore w:val="0"/>
                    <w:tabs>
                      <w:tab w:val="left" w:pos="8640"/>
                    </w:tabs>
                    <w:kinsoku/>
                    <w:wordWrap/>
                    <w:overflowPunct/>
                    <w:topLinePunct w:val="0"/>
                    <w:autoSpaceDE/>
                    <w:autoSpaceDN/>
                    <w:bidi w:val="0"/>
                    <w:adjustRightInd/>
                    <w:snapToGrid/>
                    <w:spacing w:line="230" w:lineRule="exact"/>
                    <w:jc w:val="center"/>
                    <w:textAlignment w:val="auto"/>
                    <w:rPr>
                      <w:rFonts w:hint="eastAsia" w:ascii="Times New Roman" w:hAnsi="Times New Roman" w:eastAsia="宋体" w:cs="Times New Roman"/>
                      <w:szCs w:val="21"/>
                      <w:lang w:eastAsia="zh-CN"/>
                    </w:rPr>
                  </w:pPr>
                  <w:r>
                    <w:rPr>
                      <w:rFonts w:ascii="Times New Roman" w:hAnsi="Times New Roman" w:eastAsia="宋体" w:cs="Times New Roman"/>
                      <w:bCs/>
                      <w:color w:val="auto"/>
                      <w:sz w:val="21"/>
                      <w:szCs w:val="21"/>
                    </w:rPr>
                    <w:t>大货车、大客车</w:t>
                  </w:r>
                  <w:r>
                    <w:rPr>
                      <w:rFonts w:hint="eastAsia" w:ascii="Times New Roman" w:hAnsi="Times New Roman" w:eastAsia="宋体" w:cs="Times New Roman"/>
                      <w:bCs/>
                      <w:color w:val="auto"/>
                      <w:sz w:val="21"/>
                      <w:szCs w:val="21"/>
                      <w:lang w:eastAsia="zh-CN"/>
                    </w:rPr>
                    <w:t>（</w:t>
                  </w:r>
                  <w:r>
                    <w:rPr>
                      <w:rFonts w:ascii="Times New Roman" w:hAnsi="Times New Roman" w:eastAsia="宋体" w:cs="Times New Roman"/>
                      <w:bCs/>
                      <w:color w:val="auto"/>
                      <w:sz w:val="21"/>
                      <w:szCs w:val="21"/>
                    </w:rPr>
                    <w:t>40座以上</w:t>
                  </w:r>
                  <w:r>
                    <w:rPr>
                      <w:rFonts w:hint="eastAsia" w:ascii="Times New Roman" w:hAnsi="Times New Roman" w:eastAsia="宋体" w:cs="Times New Roman"/>
                      <w:bCs/>
                      <w:color w:val="auto"/>
                      <w:sz w:val="21"/>
                      <w:szCs w:val="21"/>
                      <w:lang w:eastAsia="zh-CN"/>
                    </w:rPr>
                    <w:t>）</w:t>
                  </w:r>
                </w:p>
              </w:tc>
              <w:tc>
                <w:tcPr>
                  <w:tcW w:w="1176" w:type="dxa"/>
                  <w:vAlign w:val="center"/>
                </w:tcPr>
                <w:p w14:paraId="259ADB9F">
                  <w:pPr>
                    <w:keepNext w:val="0"/>
                    <w:keepLines w:val="0"/>
                    <w:pageBreakBefore w:val="0"/>
                    <w:tabs>
                      <w:tab w:val="left" w:pos="8640"/>
                    </w:tabs>
                    <w:kinsoku/>
                    <w:wordWrap/>
                    <w:overflowPunct/>
                    <w:topLinePunct w:val="0"/>
                    <w:autoSpaceDE/>
                    <w:autoSpaceDN/>
                    <w:bidi w:val="0"/>
                    <w:adjustRightInd/>
                    <w:snapToGrid/>
                    <w:spacing w:line="230" w:lineRule="exact"/>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10</w:t>
                  </w:r>
                </w:p>
              </w:tc>
              <w:tc>
                <w:tcPr>
                  <w:tcW w:w="1784" w:type="dxa"/>
                  <w:vAlign w:val="center"/>
                </w:tcPr>
                <w:p w14:paraId="5B449CAC">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szCs w:val="21"/>
                      <w:lang w:val="en-US"/>
                    </w:rPr>
                  </w:pPr>
                  <w:r>
                    <w:rPr>
                      <w:rFonts w:hint="eastAsia" w:cs="Times New Roman"/>
                      <w:szCs w:val="21"/>
                      <w:lang w:val="en-US" w:eastAsia="zh-CN"/>
                    </w:rPr>
                    <w:t>5</w:t>
                  </w:r>
                  <w:r>
                    <w:rPr>
                      <w:rFonts w:hint="eastAsia" w:ascii="Times New Roman" w:hAnsi="Times New Roman" w:cs="Times New Roman"/>
                      <w:szCs w:val="21"/>
                      <w:lang w:val="en-US" w:eastAsia="zh-CN"/>
                    </w:rPr>
                    <w:t>00</w:t>
                  </w:r>
                </w:p>
              </w:tc>
              <w:tc>
                <w:tcPr>
                  <w:tcW w:w="1343" w:type="dxa"/>
                  <w:vAlign w:val="center"/>
                </w:tcPr>
                <w:p w14:paraId="7DF275FA">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szCs w:val="21"/>
                      <w:lang w:val="en-US" w:eastAsia="zh-CN"/>
                    </w:rPr>
                  </w:pPr>
                  <w:r>
                    <w:rPr>
                      <w:rFonts w:hint="eastAsia" w:cs="Times New Roman"/>
                      <w:szCs w:val="21"/>
                      <w:lang w:val="en-US" w:eastAsia="zh-CN"/>
                    </w:rPr>
                    <w:t>5000</w:t>
                  </w:r>
                </w:p>
              </w:tc>
            </w:tr>
            <w:tr w14:paraId="639C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84" w:type="dxa"/>
                  <w:vMerge w:val="restart"/>
                  <w:vAlign w:val="center"/>
                </w:tcPr>
                <w:p w14:paraId="32482F5D">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新能源汽车</w:t>
                  </w:r>
                </w:p>
              </w:tc>
              <w:tc>
                <w:tcPr>
                  <w:tcW w:w="853" w:type="dxa"/>
                  <w:vAlign w:val="center"/>
                </w:tcPr>
                <w:p w14:paraId="0FCEE042">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szCs w:val="21"/>
                      <w:lang w:val="en-US" w:eastAsia="zh-CN"/>
                    </w:rPr>
                  </w:pPr>
                  <w:r>
                    <w:rPr>
                      <w:rFonts w:hint="eastAsia" w:cs="Times New Roman"/>
                      <w:szCs w:val="21"/>
                      <w:lang w:val="en-US" w:eastAsia="zh-CN"/>
                    </w:rPr>
                    <w:t>小型车</w:t>
                  </w:r>
                </w:p>
              </w:tc>
              <w:tc>
                <w:tcPr>
                  <w:tcW w:w="1776" w:type="dxa"/>
                  <w:vAlign w:val="top"/>
                </w:tcPr>
                <w:p w14:paraId="05A811AD">
                  <w:pPr>
                    <w:keepNext w:val="0"/>
                    <w:keepLines w:val="0"/>
                    <w:pageBreakBefore w:val="0"/>
                    <w:tabs>
                      <w:tab w:val="left" w:pos="8640"/>
                    </w:tabs>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szCs w:val="21"/>
                      <w:lang w:val="en-US" w:eastAsia="zh-CN"/>
                    </w:rPr>
                  </w:pPr>
                  <w:r>
                    <w:rPr>
                      <w:rFonts w:ascii="Times New Roman" w:hAnsi="Times New Roman" w:eastAsia="宋体" w:cs="Times New Roman"/>
                      <w:bCs/>
                      <w:color w:val="auto"/>
                      <w:sz w:val="21"/>
                      <w:szCs w:val="21"/>
                    </w:rPr>
                    <w:t>轿车、7座(含)以下旅行车</w:t>
                  </w:r>
                </w:p>
              </w:tc>
              <w:tc>
                <w:tcPr>
                  <w:tcW w:w="1176" w:type="dxa"/>
                  <w:vAlign w:val="center"/>
                </w:tcPr>
                <w:p w14:paraId="1B5B86BA">
                  <w:pPr>
                    <w:keepNext w:val="0"/>
                    <w:keepLines w:val="0"/>
                    <w:pageBreakBefore w:val="0"/>
                    <w:tabs>
                      <w:tab w:val="left" w:pos="8640"/>
                    </w:tabs>
                    <w:kinsoku/>
                    <w:wordWrap/>
                    <w:overflowPunct/>
                    <w:topLinePunct w:val="0"/>
                    <w:autoSpaceDE/>
                    <w:autoSpaceDN/>
                    <w:bidi w:val="0"/>
                    <w:adjustRightInd/>
                    <w:snapToGrid/>
                    <w:spacing w:line="230" w:lineRule="exact"/>
                    <w:jc w:val="center"/>
                    <w:textAlignment w:val="auto"/>
                    <w:rPr>
                      <w:rFonts w:hint="default" w:ascii="Times New Roman" w:hAnsi="Times New Roman" w:eastAsia="宋体" w:cs="Times New Roman"/>
                      <w:szCs w:val="21"/>
                      <w:lang w:val="en-US" w:eastAsia="zh-CN"/>
                    </w:rPr>
                  </w:pPr>
                  <w:r>
                    <w:rPr>
                      <w:rFonts w:hint="eastAsia" w:cs="Times New Roman"/>
                      <w:bCs/>
                      <w:color w:val="auto"/>
                      <w:sz w:val="21"/>
                      <w:szCs w:val="21"/>
                      <w:lang w:val="en-US" w:eastAsia="zh-CN"/>
                    </w:rPr>
                    <w:t>1.3</w:t>
                  </w:r>
                </w:p>
              </w:tc>
              <w:tc>
                <w:tcPr>
                  <w:tcW w:w="1784" w:type="dxa"/>
                  <w:vAlign w:val="center"/>
                </w:tcPr>
                <w:p w14:paraId="051DACFD">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1500</w:t>
                  </w:r>
                </w:p>
              </w:tc>
              <w:tc>
                <w:tcPr>
                  <w:tcW w:w="1343" w:type="dxa"/>
                  <w:vAlign w:val="center"/>
                </w:tcPr>
                <w:p w14:paraId="0CF80199">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szCs w:val="21"/>
                      <w:lang w:val="en-US" w:eastAsia="zh-CN"/>
                    </w:rPr>
                  </w:pPr>
                  <w:r>
                    <w:rPr>
                      <w:rFonts w:hint="eastAsia" w:cs="Times New Roman"/>
                      <w:szCs w:val="21"/>
                      <w:lang w:val="en-US" w:eastAsia="zh-CN"/>
                    </w:rPr>
                    <w:t>1950</w:t>
                  </w:r>
                </w:p>
              </w:tc>
            </w:tr>
            <w:tr w14:paraId="3ED1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84" w:type="dxa"/>
                  <w:vMerge w:val="continue"/>
                  <w:vAlign w:val="center"/>
                </w:tcPr>
                <w:p w14:paraId="646A9F6E">
                  <w:pPr>
                    <w:keepNext w:val="0"/>
                    <w:keepLines w:val="0"/>
                    <w:pageBreakBefore w:val="0"/>
                    <w:kinsoku/>
                    <w:wordWrap/>
                    <w:overflowPunct/>
                    <w:topLinePunct w:val="0"/>
                    <w:autoSpaceDE/>
                    <w:autoSpaceDN/>
                    <w:bidi w:val="0"/>
                    <w:adjustRightInd/>
                    <w:snapToGrid/>
                    <w:spacing w:line="230" w:lineRule="exact"/>
                    <w:jc w:val="center"/>
                    <w:textAlignment w:val="auto"/>
                    <w:rPr>
                      <w:rFonts w:hint="eastAsia" w:ascii="Times New Roman" w:hAnsi="Times New Roman" w:cs="Times New Roman"/>
                      <w:szCs w:val="21"/>
                      <w:lang w:val="en-US" w:eastAsia="zh-CN"/>
                    </w:rPr>
                  </w:pPr>
                </w:p>
              </w:tc>
              <w:tc>
                <w:tcPr>
                  <w:tcW w:w="853" w:type="dxa"/>
                  <w:vAlign w:val="center"/>
                </w:tcPr>
                <w:p w14:paraId="4CA3184E">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szCs w:val="21"/>
                      <w:lang w:val="en-US" w:eastAsia="zh-CN"/>
                    </w:rPr>
                  </w:pPr>
                  <w:r>
                    <w:rPr>
                      <w:rFonts w:hint="eastAsia" w:cs="Times New Roman"/>
                      <w:szCs w:val="21"/>
                      <w:lang w:val="en-US" w:eastAsia="zh-CN"/>
                    </w:rPr>
                    <w:t>大型车</w:t>
                  </w:r>
                </w:p>
              </w:tc>
              <w:tc>
                <w:tcPr>
                  <w:tcW w:w="1776" w:type="dxa"/>
                  <w:vAlign w:val="top"/>
                </w:tcPr>
                <w:p w14:paraId="2D30E635">
                  <w:pPr>
                    <w:keepNext w:val="0"/>
                    <w:keepLines w:val="0"/>
                    <w:pageBreakBefore w:val="0"/>
                    <w:kinsoku/>
                    <w:wordWrap/>
                    <w:overflowPunct/>
                    <w:topLinePunct w:val="0"/>
                    <w:autoSpaceDE/>
                    <w:autoSpaceDN/>
                    <w:bidi w:val="0"/>
                    <w:adjustRightInd/>
                    <w:snapToGrid/>
                    <w:spacing w:line="230" w:lineRule="exact"/>
                    <w:jc w:val="center"/>
                    <w:textAlignment w:val="auto"/>
                    <w:rPr>
                      <w:rFonts w:hint="eastAsia" w:ascii="Times New Roman" w:hAnsi="Times New Roman" w:cs="Times New Roman"/>
                      <w:szCs w:val="21"/>
                      <w:lang w:val="en-US" w:eastAsia="zh-CN"/>
                    </w:rPr>
                  </w:pPr>
                  <w:r>
                    <w:rPr>
                      <w:rFonts w:ascii="Times New Roman" w:hAnsi="Times New Roman" w:eastAsia="宋体" w:cs="Times New Roman"/>
                      <w:bCs/>
                      <w:color w:val="auto"/>
                      <w:sz w:val="21"/>
                      <w:szCs w:val="21"/>
                    </w:rPr>
                    <w:t>大货车、大客车</w:t>
                  </w:r>
                  <w:r>
                    <w:rPr>
                      <w:rFonts w:hint="eastAsia" w:ascii="Times New Roman" w:hAnsi="Times New Roman" w:eastAsia="宋体" w:cs="Times New Roman"/>
                      <w:bCs/>
                      <w:color w:val="auto"/>
                      <w:sz w:val="21"/>
                      <w:szCs w:val="21"/>
                      <w:lang w:eastAsia="zh-CN"/>
                    </w:rPr>
                    <w:t>（</w:t>
                  </w:r>
                  <w:r>
                    <w:rPr>
                      <w:rFonts w:ascii="Times New Roman" w:hAnsi="Times New Roman" w:eastAsia="宋体" w:cs="Times New Roman"/>
                      <w:bCs/>
                      <w:color w:val="auto"/>
                      <w:sz w:val="21"/>
                      <w:szCs w:val="21"/>
                    </w:rPr>
                    <w:t>40座以上</w:t>
                  </w:r>
                  <w:r>
                    <w:rPr>
                      <w:rFonts w:hint="eastAsia" w:ascii="Times New Roman" w:hAnsi="Times New Roman" w:eastAsia="宋体" w:cs="Times New Roman"/>
                      <w:bCs/>
                      <w:color w:val="auto"/>
                      <w:sz w:val="21"/>
                      <w:szCs w:val="21"/>
                      <w:lang w:eastAsia="zh-CN"/>
                    </w:rPr>
                    <w:t>）</w:t>
                  </w:r>
                </w:p>
              </w:tc>
              <w:tc>
                <w:tcPr>
                  <w:tcW w:w="1176" w:type="dxa"/>
                  <w:vAlign w:val="center"/>
                </w:tcPr>
                <w:p w14:paraId="0A885287">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szCs w:val="21"/>
                      <w:lang w:val="en-US" w:eastAsia="zh-CN"/>
                    </w:rPr>
                  </w:pPr>
                  <w:r>
                    <w:rPr>
                      <w:rFonts w:hint="eastAsia" w:cs="Times New Roman"/>
                      <w:szCs w:val="21"/>
                      <w:lang w:val="en-US" w:eastAsia="zh-CN"/>
                    </w:rPr>
                    <w:t>11</w:t>
                  </w:r>
                </w:p>
              </w:tc>
              <w:tc>
                <w:tcPr>
                  <w:tcW w:w="1784" w:type="dxa"/>
                  <w:vAlign w:val="center"/>
                </w:tcPr>
                <w:p w14:paraId="0A0B699F">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szCs w:val="21"/>
                      <w:lang w:val="en-US" w:eastAsia="zh-CN"/>
                    </w:rPr>
                  </w:pPr>
                  <w:r>
                    <w:rPr>
                      <w:rFonts w:hint="eastAsia" w:cs="Times New Roman"/>
                      <w:szCs w:val="21"/>
                      <w:lang w:val="en-US" w:eastAsia="zh-CN"/>
                    </w:rPr>
                    <w:t>500</w:t>
                  </w:r>
                </w:p>
              </w:tc>
              <w:tc>
                <w:tcPr>
                  <w:tcW w:w="1343" w:type="dxa"/>
                  <w:vAlign w:val="center"/>
                </w:tcPr>
                <w:p w14:paraId="65F16E1D">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szCs w:val="21"/>
                      <w:lang w:val="en-US" w:eastAsia="zh-CN"/>
                    </w:rPr>
                  </w:pPr>
                  <w:r>
                    <w:rPr>
                      <w:rFonts w:hint="eastAsia" w:cs="Times New Roman"/>
                      <w:szCs w:val="21"/>
                      <w:lang w:val="en-US" w:eastAsia="zh-CN"/>
                    </w:rPr>
                    <w:t>5500</w:t>
                  </w:r>
                </w:p>
              </w:tc>
            </w:tr>
            <w:tr w14:paraId="3A828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37" w:type="dxa"/>
                  <w:gridSpan w:val="2"/>
                  <w:vAlign w:val="center"/>
                </w:tcPr>
                <w:p w14:paraId="24A0A7AC">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szCs w:val="21"/>
                      <w:lang w:val="en-US" w:eastAsia="zh-CN"/>
                    </w:rPr>
                  </w:pPr>
                  <w:r>
                    <w:rPr>
                      <w:rFonts w:hint="eastAsia" w:cs="Times New Roman"/>
                      <w:szCs w:val="21"/>
                      <w:lang w:val="en-US" w:eastAsia="zh-CN"/>
                    </w:rPr>
                    <w:t>燃油摩托车/电动摩托车</w:t>
                  </w:r>
                </w:p>
              </w:tc>
              <w:tc>
                <w:tcPr>
                  <w:tcW w:w="1776" w:type="dxa"/>
                  <w:vAlign w:val="center"/>
                </w:tcPr>
                <w:p w14:paraId="6D2BA1B1">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szCs w:val="21"/>
                      <w:lang w:val="en-US" w:eastAsia="zh-CN"/>
                    </w:rPr>
                  </w:pPr>
                  <w:r>
                    <w:rPr>
                      <w:rFonts w:hint="eastAsia" w:cs="Times New Roman"/>
                      <w:szCs w:val="21"/>
                      <w:lang w:val="en-US" w:eastAsia="zh-CN"/>
                    </w:rPr>
                    <w:t>/</w:t>
                  </w:r>
                </w:p>
              </w:tc>
              <w:tc>
                <w:tcPr>
                  <w:tcW w:w="1176" w:type="dxa"/>
                  <w:vAlign w:val="center"/>
                </w:tcPr>
                <w:p w14:paraId="4A860CE0">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szCs w:val="21"/>
                      <w:lang w:val="en-US" w:eastAsia="zh-CN"/>
                    </w:rPr>
                  </w:pPr>
                  <w:r>
                    <w:rPr>
                      <w:rFonts w:hint="eastAsia" w:cs="Times New Roman"/>
                      <w:szCs w:val="21"/>
                      <w:lang w:val="en-US" w:eastAsia="zh-CN"/>
                    </w:rPr>
                    <w:t>0.13</w:t>
                  </w:r>
                </w:p>
              </w:tc>
              <w:tc>
                <w:tcPr>
                  <w:tcW w:w="1784" w:type="dxa"/>
                  <w:vAlign w:val="center"/>
                </w:tcPr>
                <w:p w14:paraId="7BCB16ED">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ascii="Times New Roman" w:hAnsi="Times New Roman" w:cs="Times New Roman"/>
                      <w:szCs w:val="21"/>
                      <w:lang w:val="en-US" w:eastAsia="zh-CN"/>
                    </w:rPr>
                  </w:pPr>
                  <w:r>
                    <w:rPr>
                      <w:rFonts w:hint="eastAsia" w:cs="Times New Roman"/>
                      <w:szCs w:val="21"/>
                      <w:lang w:val="en-US" w:eastAsia="zh-CN"/>
                    </w:rPr>
                    <w:t>2000</w:t>
                  </w:r>
                </w:p>
              </w:tc>
              <w:tc>
                <w:tcPr>
                  <w:tcW w:w="1343" w:type="dxa"/>
                  <w:vAlign w:val="center"/>
                </w:tcPr>
                <w:p w14:paraId="2347C2C7">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cs="Times New Roman"/>
                      <w:szCs w:val="21"/>
                      <w:lang w:val="en-US" w:eastAsia="zh-CN"/>
                    </w:rPr>
                  </w:pPr>
                  <w:r>
                    <w:rPr>
                      <w:rFonts w:hint="eastAsia" w:cs="Times New Roman"/>
                      <w:szCs w:val="21"/>
                      <w:lang w:val="en-US" w:eastAsia="zh-CN"/>
                    </w:rPr>
                    <w:t>260</w:t>
                  </w:r>
                </w:p>
              </w:tc>
            </w:tr>
            <w:tr w14:paraId="5E0C3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9" w:type="dxa"/>
                  <w:gridSpan w:val="4"/>
                  <w:vAlign w:val="center"/>
                </w:tcPr>
                <w:p w14:paraId="043A17AC">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cs="Times New Roman"/>
                      <w:szCs w:val="21"/>
                      <w:lang w:val="en-US" w:eastAsia="zh-CN"/>
                    </w:rPr>
                  </w:pPr>
                  <w:r>
                    <w:rPr>
                      <w:rFonts w:hint="eastAsia" w:cs="Times New Roman"/>
                      <w:szCs w:val="21"/>
                      <w:lang w:val="en-US" w:eastAsia="zh-CN"/>
                    </w:rPr>
                    <w:t>合计</w:t>
                  </w:r>
                </w:p>
              </w:tc>
              <w:tc>
                <w:tcPr>
                  <w:tcW w:w="1784" w:type="dxa"/>
                  <w:vAlign w:val="center"/>
                </w:tcPr>
                <w:p w14:paraId="0CA60549">
                  <w:pPr>
                    <w:keepNext w:val="0"/>
                    <w:keepLines w:val="0"/>
                    <w:pageBreakBefore w:val="0"/>
                    <w:kinsoku/>
                    <w:wordWrap/>
                    <w:overflowPunct/>
                    <w:topLinePunct w:val="0"/>
                    <w:autoSpaceDE/>
                    <w:autoSpaceDN/>
                    <w:bidi w:val="0"/>
                    <w:adjustRightInd/>
                    <w:snapToGrid/>
                    <w:spacing w:line="230" w:lineRule="exact"/>
                    <w:jc w:val="center"/>
                    <w:textAlignment w:val="auto"/>
                    <w:rPr>
                      <w:rFonts w:hint="default" w:cs="Times New Roman"/>
                      <w:szCs w:val="21"/>
                      <w:lang w:val="en-US" w:eastAsia="zh-CN"/>
                    </w:rPr>
                  </w:pPr>
                  <w:r>
                    <w:rPr>
                      <w:rFonts w:hint="eastAsia" w:cs="Times New Roman"/>
                      <w:szCs w:val="21"/>
                      <w:lang w:val="en-US" w:eastAsia="zh-CN"/>
                    </w:rPr>
                    <w:t>12000</w:t>
                  </w:r>
                </w:p>
              </w:tc>
              <w:tc>
                <w:tcPr>
                  <w:tcW w:w="1343" w:type="dxa"/>
                  <w:vAlign w:val="center"/>
                </w:tcPr>
                <w:p w14:paraId="5AAC5AE0">
                  <w:pPr>
                    <w:keepNext w:val="0"/>
                    <w:keepLines w:val="0"/>
                    <w:pageBreakBefore w:val="0"/>
                    <w:kinsoku/>
                    <w:wordWrap/>
                    <w:overflowPunct/>
                    <w:topLinePunct w:val="0"/>
                    <w:autoSpaceDE/>
                    <w:autoSpaceDN/>
                    <w:bidi w:val="0"/>
                    <w:adjustRightInd/>
                    <w:snapToGrid/>
                    <w:spacing w:line="230" w:lineRule="exact"/>
                    <w:jc w:val="center"/>
                    <w:textAlignment w:val="auto"/>
                    <w:rPr>
                      <w:rFonts w:hint="eastAsia" w:cs="Times New Roman"/>
                      <w:szCs w:val="21"/>
                      <w:lang w:val="en-US" w:eastAsia="zh-CN"/>
                    </w:rPr>
                  </w:pPr>
                  <w:r>
                    <w:rPr>
                      <w:rFonts w:hint="eastAsia"/>
                      <w:szCs w:val="21"/>
                    </w:rPr>
                    <w:t>27410‬</w:t>
                  </w:r>
                </w:p>
              </w:tc>
            </w:tr>
          </w:tbl>
          <w:p w14:paraId="02BCD640">
            <w:pPr>
              <w:spacing w:line="360" w:lineRule="auto"/>
              <w:ind w:firstLine="480" w:firstLineChars="200"/>
              <w:rPr>
                <w:rFonts w:hint="default" w:ascii="Times New Roman" w:hAnsi="Times New Roman" w:cs="Times New Roman"/>
                <w:sz w:val="24"/>
                <w:lang w:val="en-US" w:eastAsia="zh-CN"/>
              </w:rPr>
            </w:pPr>
            <w:r>
              <w:rPr>
                <w:rFonts w:hint="eastAsia" w:cs="Times New Roman"/>
                <w:sz w:val="24"/>
                <w:lang w:eastAsia="zh-CN"/>
              </w:rPr>
              <w:t>（</w:t>
            </w:r>
            <w:r>
              <w:rPr>
                <w:rFonts w:hint="eastAsia" w:cs="Times New Roman"/>
                <w:sz w:val="24"/>
                <w:lang w:val="en-US" w:eastAsia="zh-CN"/>
              </w:rPr>
              <w:t>2</w:t>
            </w:r>
            <w:r>
              <w:rPr>
                <w:rFonts w:hint="eastAsia" w:cs="Times New Roman"/>
                <w:sz w:val="24"/>
                <w:lang w:eastAsia="zh-CN"/>
              </w:rPr>
              <w:t>）</w:t>
            </w:r>
            <w:r>
              <w:rPr>
                <w:rFonts w:hint="eastAsia" w:cs="Times New Roman"/>
                <w:sz w:val="24"/>
                <w:lang w:val="en-US" w:eastAsia="zh-CN"/>
              </w:rPr>
              <w:t>运输及控制要求</w:t>
            </w:r>
          </w:p>
          <w:p w14:paraId="1154BAAA">
            <w:pPr>
              <w:spacing w:line="360" w:lineRule="auto"/>
              <w:ind w:firstLine="480" w:firstLineChars="200"/>
              <w:rPr>
                <w:rFonts w:hint="default" w:ascii="Times New Roman" w:hAnsi="Times New Roman" w:cs="Times New Roman"/>
                <w:sz w:val="24"/>
                <w:lang w:val="en-US" w:eastAsia="zh-CN"/>
              </w:rPr>
            </w:pPr>
            <w:r>
              <w:rPr>
                <w:rFonts w:hint="eastAsia" w:cs="Times New Roman"/>
                <w:sz w:val="24"/>
                <w:lang w:val="en-US" w:eastAsia="zh-CN"/>
              </w:rPr>
              <w:t>报废机动车运输方式包括如下两种：①达到使用年限报废的机动车，通过车主驾驶进场或采用货车装载进场；②因交通事故报废的机动车，采用拖车拖进场地或者货车装载进场，主要由车主自行负责。</w:t>
            </w:r>
          </w:p>
          <w:p w14:paraId="292DA6B3">
            <w:pPr>
              <w:spacing w:line="360" w:lineRule="auto"/>
              <w:rPr>
                <w:rFonts w:hint="default" w:ascii="Times New Roman" w:hAnsi="Times New Roman" w:cs="Times New Roman"/>
                <w:b/>
                <w:bCs/>
                <w:sz w:val="24"/>
                <w:lang w:val="en-US" w:eastAsia="zh-CN"/>
              </w:rPr>
            </w:pPr>
            <w:r>
              <w:rPr>
                <w:rFonts w:hint="eastAsia" w:cs="Times New Roman"/>
                <w:b/>
                <w:bCs/>
                <w:sz w:val="24"/>
                <w:lang w:val="en-US" w:eastAsia="zh-CN"/>
              </w:rPr>
              <w:t>2.4 主要原辅材料及能源消耗</w:t>
            </w:r>
          </w:p>
          <w:p w14:paraId="7E20167F">
            <w:pPr>
              <w:spacing w:line="360" w:lineRule="auto"/>
              <w:ind w:firstLine="480" w:firstLineChars="200"/>
              <w:rPr>
                <w:rFonts w:hint="default" w:ascii="Times New Roman" w:hAnsi="Times New Roman" w:cs="Times New Roman"/>
                <w:sz w:val="24"/>
              </w:rPr>
            </w:pPr>
            <w:r>
              <w:rPr>
                <w:rFonts w:hint="eastAsia" w:cs="Times New Roman"/>
                <w:sz w:val="24"/>
                <w:lang w:val="en-US" w:eastAsia="zh-CN"/>
              </w:rPr>
              <w:t>本项目</w:t>
            </w:r>
            <w:r>
              <w:rPr>
                <w:rFonts w:hint="default" w:ascii="Times New Roman" w:hAnsi="Times New Roman" w:cs="Times New Roman"/>
                <w:sz w:val="24"/>
              </w:rPr>
              <w:t>主要原辅材料及能源消耗见下表。</w:t>
            </w:r>
          </w:p>
          <w:p w14:paraId="31C1A22C">
            <w:pPr>
              <w:spacing w:line="240" w:lineRule="atLeast"/>
              <w:ind w:firstLine="422" w:firstLineChars="200"/>
              <w:jc w:val="center"/>
              <w:rPr>
                <w:rFonts w:hint="default" w:ascii="Times New Roman" w:hAnsi="Times New Roman" w:cs="Times New Roman"/>
                <w:b/>
                <w:bCs/>
                <w:szCs w:val="21"/>
              </w:rPr>
            </w:pPr>
            <w:r>
              <w:rPr>
                <w:rFonts w:hint="default" w:ascii="Times New Roman" w:hAnsi="Times New Roman" w:cs="Times New Roman"/>
                <w:b/>
                <w:bCs/>
                <w:szCs w:val="21"/>
              </w:rPr>
              <w:t>表</w:t>
            </w:r>
            <w:r>
              <w:rPr>
                <w:rFonts w:hint="eastAsia" w:ascii="Times New Roman" w:hAnsi="Times New Roman" w:cs="Times New Roman"/>
                <w:b/>
                <w:bCs/>
                <w:szCs w:val="21"/>
                <w:lang w:val="en-US" w:eastAsia="zh-CN"/>
              </w:rPr>
              <w:t>2-</w:t>
            </w:r>
            <w:r>
              <w:rPr>
                <w:rFonts w:hint="eastAsia" w:cs="Times New Roman"/>
                <w:b/>
                <w:bCs/>
                <w:szCs w:val="21"/>
                <w:lang w:val="en-US" w:eastAsia="zh-CN"/>
              </w:rPr>
              <w:t>5</w:t>
            </w:r>
            <w:r>
              <w:rPr>
                <w:rFonts w:hint="eastAsia" w:ascii="Times New Roman" w:hAnsi="Times New Roman" w:cs="Times New Roman"/>
                <w:b/>
                <w:bCs/>
                <w:szCs w:val="21"/>
                <w:lang w:val="en-US" w:eastAsia="zh-CN"/>
              </w:rPr>
              <w:t xml:space="preserve"> </w:t>
            </w:r>
            <w:r>
              <w:rPr>
                <w:rFonts w:hint="default" w:ascii="Times New Roman" w:hAnsi="Times New Roman" w:cs="Times New Roman"/>
                <w:b/>
                <w:bCs/>
                <w:szCs w:val="21"/>
              </w:rPr>
              <w:t xml:space="preserve"> 主要原辅材料及能源消耗一览表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389"/>
              <w:gridCol w:w="1530"/>
              <w:gridCol w:w="1310"/>
              <w:gridCol w:w="1566"/>
              <w:gridCol w:w="1150"/>
              <w:gridCol w:w="1467"/>
            </w:tblGrid>
            <w:tr w14:paraId="0570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6" w:type="dxa"/>
                  <w:vAlign w:val="center"/>
                </w:tcPr>
                <w:p w14:paraId="2E05205F">
                  <w:pPr>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1919" w:type="dxa"/>
                  <w:gridSpan w:val="2"/>
                  <w:vAlign w:val="center"/>
                </w:tcPr>
                <w:p w14:paraId="54D02445">
                  <w:pPr>
                    <w:jc w:val="center"/>
                    <w:rPr>
                      <w:rFonts w:hint="default" w:ascii="Times New Roman" w:hAnsi="Times New Roman" w:cs="Times New Roman"/>
                      <w:b/>
                      <w:bCs/>
                      <w:szCs w:val="21"/>
                    </w:rPr>
                  </w:pPr>
                  <w:r>
                    <w:rPr>
                      <w:rFonts w:hint="default" w:ascii="Times New Roman" w:hAnsi="Times New Roman" w:cs="Times New Roman"/>
                      <w:b/>
                      <w:bCs/>
                      <w:szCs w:val="21"/>
                    </w:rPr>
                    <w:t>名称</w:t>
                  </w:r>
                </w:p>
              </w:tc>
              <w:tc>
                <w:tcPr>
                  <w:tcW w:w="1310" w:type="dxa"/>
                  <w:vAlign w:val="center"/>
                </w:tcPr>
                <w:p w14:paraId="2408D5F9">
                  <w:pPr>
                    <w:jc w:val="center"/>
                    <w:rPr>
                      <w:rFonts w:hint="default" w:ascii="Times New Roman" w:hAnsi="Times New Roman" w:cs="Times New Roman"/>
                      <w:b/>
                      <w:bCs/>
                      <w:szCs w:val="21"/>
                    </w:rPr>
                  </w:pPr>
                  <w:r>
                    <w:rPr>
                      <w:rFonts w:hint="default" w:ascii="Times New Roman" w:hAnsi="Times New Roman" w:cs="Times New Roman"/>
                      <w:b/>
                      <w:bCs/>
                      <w:szCs w:val="21"/>
                    </w:rPr>
                    <w:t>年耗量</w:t>
                  </w:r>
                </w:p>
              </w:tc>
              <w:tc>
                <w:tcPr>
                  <w:tcW w:w="1566" w:type="dxa"/>
                  <w:vAlign w:val="center"/>
                </w:tcPr>
                <w:p w14:paraId="2938E2EA">
                  <w:pPr>
                    <w:jc w:val="center"/>
                    <w:rPr>
                      <w:rFonts w:hint="default" w:ascii="Times New Roman" w:hAnsi="Times New Roman" w:cs="Times New Roman"/>
                      <w:b/>
                      <w:bCs/>
                      <w:szCs w:val="21"/>
                    </w:rPr>
                  </w:pPr>
                  <w:r>
                    <w:rPr>
                      <w:rFonts w:hint="default" w:ascii="Times New Roman" w:hAnsi="Times New Roman" w:cs="Times New Roman"/>
                      <w:b/>
                      <w:bCs/>
                      <w:szCs w:val="21"/>
                    </w:rPr>
                    <w:t>储存方式</w:t>
                  </w:r>
                </w:p>
              </w:tc>
              <w:tc>
                <w:tcPr>
                  <w:tcW w:w="1150" w:type="dxa"/>
                  <w:vAlign w:val="center"/>
                </w:tcPr>
                <w:p w14:paraId="5C412E34">
                  <w:pPr>
                    <w:jc w:val="center"/>
                    <w:rPr>
                      <w:rFonts w:hint="default" w:ascii="Times New Roman" w:hAnsi="Times New Roman" w:cs="Times New Roman"/>
                      <w:b/>
                      <w:bCs/>
                      <w:szCs w:val="21"/>
                    </w:rPr>
                  </w:pPr>
                  <w:r>
                    <w:rPr>
                      <w:rFonts w:hint="default" w:ascii="Times New Roman" w:hAnsi="Times New Roman" w:cs="Times New Roman"/>
                      <w:b/>
                      <w:bCs/>
                      <w:szCs w:val="21"/>
                    </w:rPr>
                    <w:t>储存位置</w:t>
                  </w:r>
                </w:p>
              </w:tc>
              <w:tc>
                <w:tcPr>
                  <w:tcW w:w="1467" w:type="dxa"/>
                  <w:vAlign w:val="center"/>
                </w:tcPr>
                <w:p w14:paraId="5E3ED36D">
                  <w:pPr>
                    <w:jc w:val="center"/>
                    <w:rPr>
                      <w:rFonts w:hint="default" w:ascii="Times New Roman" w:hAnsi="Times New Roman" w:cs="Times New Roman"/>
                      <w:b/>
                      <w:bCs/>
                      <w:szCs w:val="21"/>
                    </w:rPr>
                  </w:pPr>
                  <w:r>
                    <w:rPr>
                      <w:rFonts w:hint="default" w:ascii="Times New Roman" w:hAnsi="Times New Roman" w:cs="Times New Roman"/>
                      <w:b/>
                      <w:bCs/>
                      <w:szCs w:val="21"/>
                    </w:rPr>
                    <w:t>最大存储量</w:t>
                  </w:r>
                </w:p>
              </w:tc>
            </w:tr>
            <w:tr w14:paraId="19F17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406" w:type="dxa"/>
                  <w:vMerge w:val="restart"/>
                  <w:vAlign w:val="center"/>
                </w:tcPr>
                <w:p w14:paraId="2D47D8E5">
                  <w:pPr>
                    <w:jc w:val="center"/>
                    <w:rPr>
                      <w:rFonts w:hint="default" w:ascii="Times New Roman" w:hAnsi="Times New Roman" w:cs="Times New Roman"/>
                      <w:szCs w:val="21"/>
                    </w:rPr>
                  </w:pPr>
                  <w:r>
                    <w:rPr>
                      <w:rFonts w:hint="default" w:ascii="Times New Roman" w:hAnsi="Times New Roman" w:cs="Times New Roman"/>
                      <w:szCs w:val="21"/>
                    </w:rPr>
                    <w:t>1</w:t>
                  </w:r>
                </w:p>
              </w:tc>
              <w:tc>
                <w:tcPr>
                  <w:tcW w:w="389" w:type="dxa"/>
                  <w:vMerge w:val="restart"/>
                  <w:vAlign w:val="center"/>
                </w:tcPr>
                <w:p w14:paraId="16354156">
                  <w:pPr>
                    <w:jc w:val="center"/>
                    <w:rPr>
                      <w:rFonts w:hint="default" w:ascii="Times New Roman" w:hAnsi="Times New Roman" w:cs="Times New Roman"/>
                      <w:szCs w:val="21"/>
                    </w:rPr>
                  </w:pPr>
                  <w:r>
                    <w:rPr>
                      <w:rFonts w:hint="eastAsia" w:cs="Times New Roman"/>
                      <w:szCs w:val="21"/>
                      <w:lang w:val="en-US" w:eastAsia="zh-CN"/>
                    </w:rPr>
                    <w:t>报废机动</w:t>
                  </w:r>
                  <w:r>
                    <w:rPr>
                      <w:rFonts w:hint="default" w:ascii="Times New Roman" w:hAnsi="Times New Roman" w:cs="Times New Roman"/>
                      <w:szCs w:val="21"/>
                    </w:rPr>
                    <w:t>车</w:t>
                  </w:r>
                </w:p>
              </w:tc>
              <w:tc>
                <w:tcPr>
                  <w:tcW w:w="1530" w:type="dxa"/>
                  <w:vAlign w:val="center"/>
                </w:tcPr>
                <w:p w14:paraId="05BA7C0A">
                  <w:pPr>
                    <w:jc w:val="center"/>
                    <w:rPr>
                      <w:rFonts w:hint="eastAsia" w:cs="Times New Roman"/>
                      <w:szCs w:val="21"/>
                      <w:lang w:val="en-US" w:eastAsia="zh-CN"/>
                    </w:rPr>
                  </w:pPr>
                  <w:r>
                    <w:rPr>
                      <w:rFonts w:hint="eastAsia" w:cs="Times New Roman"/>
                      <w:szCs w:val="21"/>
                      <w:lang w:val="en-US" w:eastAsia="zh-CN"/>
                    </w:rPr>
                    <w:t>燃油小型车</w:t>
                  </w:r>
                </w:p>
              </w:tc>
              <w:tc>
                <w:tcPr>
                  <w:tcW w:w="1310" w:type="dxa"/>
                  <w:vAlign w:val="center"/>
                </w:tcPr>
                <w:p w14:paraId="4DD02BCE">
                  <w:pPr>
                    <w:jc w:val="center"/>
                    <w:rPr>
                      <w:rFonts w:hint="default" w:ascii="Times New Roman" w:hAnsi="Times New Roman" w:cs="Times New Roman"/>
                      <w:szCs w:val="21"/>
                      <w:lang w:val="en-US"/>
                    </w:rPr>
                  </w:pPr>
                  <w:r>
                    <w:rPr>
                      <w:rFonts w:hint="eastAsia" w:cs="Times New Roman"/>
                      <w:szCs w:val="21"/>
                      <w:lang w:val="en-US" w:eastAsia="zh-CN"/>
                    </w:rPr>
                    <w:t>6000辆</w:t>
                  </w:r>
                </w:p>
              </w:tc>
              <w:tc>
                <w:tcPr>
                  <w:tcW w:w="1566" w:type="dxa"/>
                  <w:vMerge w:val="restart"/>
                  <w:vAlign w:val="center"/>
                </w:tcPr>
                <w:p w14:paraId="3C2FD8C6">
                  <w:pPr>
                    <w:jc w:val="center"/>
                    <w:rPr>
                      <w:rFonts w:hint="default" w:ascii="Times New Roman" w:hAnsi="Times New Roman" w:cs="Times New Roman"/>
                      <w:szCs w:val="21"/>
                    </w:rPr>
                  </w:pPr>
                  <w:r>
                    <w:rPr>
                      <w:rFonts w:hint="default" w:ascii="Times New Roman" w:hAnsi="Times New Roman" w:cs="Times New Roman"/>
                      <w:szCs w:val="21"/>
                    </w:rPr>
                    <w:t>露天堆放</w:t>
                  </w:r>
                </w:p>
              </w:tc>
              <w:tc>
                <w:tcPr>
                  <w:tcW w:w="1150" w:type="dxa"/>
                  <w:vMerge w:val="restart"/>
                  <w:vAlign w:val="center"/>
                </w:tcPr>
                <w:p w14:paraId="474C9F12">
                  <w:pPr>
                    <w:jc w:val="center"/>
                    <w:rPr>
                      <w:rFonts w:hint="default" w:ascii="Times New Roman" w:hAnsi="Times New Roman" w:cs="Times New Roman"/>
                      <w:szCs w:val="21"/>
                    </w:rPr>
                  </w:pPr>
                  <w:r>
                    <w:rPr>
                      <w:rFonts w:hint="eastAsia"/>
                      <w:lang w:val="en-US" w:eastAsia="zh-CN"/>
                    </w:rPr>
                    <w:t>报废机动车暂存区</w:t>
                  </w:r>
                </w:p>
              </w:tc>
              <w:tc>
                <w:tcPr>
                  <w:tcW w:w="1467" w:type="dxa"/>
                  <w:vAlign w:val="center"/>
                </w:tcPr>
                <w:p w14:paraId="52C6C6CE">
                  <w:pPr>
                    <w:jc w:val="center"/>
                    <w:rPr>
                      <w:rFonts w:hint="default" w:ascii="Times New Roman" w:hAnsi="Times New Roman" w:cs="Times New Roman"/>
                      <w:szCs w:val="21"/>
                    </w:rPr>
                  </w:pPr>
                  <w:r>
                    <w:rPr>
                      <w:rFonts w:hint="eastAsia" w:cs="Times New Roman"/>
                      <w:szCs w:val="21"/>
                      <w:lang w:val="en-US" w:eastAsia="zh-CN"/>
                    </w:rPr>
                    <w:t>60</w:t>
                  </w:r>
                  <w:r>
                    <w:rPr>
                      <w:rFonts w:hint="default" w:ascii="Times New Roman" w:hAnsi="Times New Roman" w:cs="Times New Roman"/>
                      <w:szCs w:val="21"/>
                    </w:rPr>
                    <w:t>辆</w:t>
                  </w:r>
                </w:p>
              </w:tc>
            </w:tr>
            <w:tr w14:paraId="2737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406" w:type="dxa"/>
                  <w:vMerge w:val="continue"/>
                  <w:vAlign w:val="center"/>
                </w:tcPr>
                <w:p w14:paraId="11E7215C">
                  <w:pPr>
                    <w:jc w:val="center"/>
                  </w:pPr>
                </w:p>
              </w:tc>
              <w:tc>
                <w:tcPr>
                  <w:tcW w:w="389" w:type="dxa"/>
                  <w:vMerge w:val="continue"/>
                  <w:vAlign w:val="center"/>
                </w:tcPr>
                <w:p w14:paraId="1C6B0876">
                  <w:pPr>
                    <w:jc w:val="center"/>
                  </w:pPr>
                </w:p>
              </w:tc>
              <w:tc>
                <w:tcPr>
                  <w:tcW w:w="1530" w:type="dxa"/>
                  <w:vAlign w:val="center"/>
                </w:tcPr>
                <w:p w14:paraId="03A6CF85">
                  <w:pPr>
                    <w:jc w:val="center"/>
                    <w:rPr>
                      <w:rFonts w:hint="eastAsia" w:cs="Times New Roman"/>
                      <w:szCs w:val="21"/>
                      <w:lang w:val="en-US" w:eastAsia="zh-CN"/>
                    </w:rPr>
                  </w:pPr>
                  <w:r>
                    <w:rPr>
                      <w:rFonts w:hint="eastAsia" w:cs="Times New Roman"/>
                      <w:szCs w:val="21"/>
                      <w:lang w:val="en-US" w:eastAsia="zh-CN"/>
                    </w:rPr>
                    <w:t>燃油中型车</w:t>
                  </w:r>
                </w:p>
              </w:tc>
              <w:tc>
                <w:tcPr>
                  <w:tcW w:w="1310" w:type="dxa"/>
                  <w:vAlign w:val="center"/>
                </w:tcPr>
                <w:p w14:paraId="55940F28">
                  <w:pPr>
                    <w:jc w:val="center"/>
                    <w:rPr>
                      <w:rFonts w:hint="default" w:cs="Times New Roman"/>
                      <w:szCs w:val="21"/>
                      <w:lang w:val="en-US" w:eastAsia="zh-CN"/>
                    </w:rPr>
                  </w:pPr>
                  <w:r>
                    <w:rPr>
                      <w:rFonts w:hint="eastAsia" w:cs="Times New Roman"/>
                      <w:szCs w:val="21"/>
                      <w:lang w:val="en-US" w:eastAsia="zh-CN"/>
                    </w:rPr>
                    <w:t>1500辆</w:t>
                  </w:r>
                </w:p>
              </w:tc>
              <w:tc>
                <w:tcPr>
                  <w:tcW w:w="1566" w:type="dxa"/>
                  <w:vMerge w:val="continue"/>
                  <w:vAlign w:val="center"/>
                </w:tcPr>
                <w:p w14:paraId="1F201AA2">
                  <w:pPr>
                    <w:jc w:val="center"/>
                    <w:rPr>
                      <w:rFonts w:hint="eastAsia" w:cs="Times New Roman"/>
                      <w:szCs w:val="21"/>
                      <w:lang w:val="en-US" w:eastAsia="zh-CN"/>
                    </w:rPr>
                  </w:pPr>
                </w:p>
              </w:tc>
              <w:tc>
                <w:tcPr>
                  <w:tcW w:w="1150" w:type="dxa"/>
                  <w:vMerge w:val="continue"/>
                  <w:vAlign w:val="center"/>
                </w:tcPr>
                <w:p w14:paraId="4B234252">
                  <w:pPr>
                    <w:jc w:val="center"/>
                    <w:rPr>
                      <w:rFonts w:hint="eastAsia" w:cs="Times New Roman"/>
                      <w:szCs w:val="21"/>
                      <w:lang w:val="en-US" w:eastAsia="zh-CN"/>
                    </w:rPr>
                  </w:pPr>
                </w:p>
              </w:tc>
              <w:tc>
                <w:tcPr>
                  <w:tcW w:w="1467" w:type="dxa"/>
                  <w:vAlign w:val="center"/>
                </w:tcPr>
                <w:p w14:paraId="321DD15E">
                  <w:pPr>
                    <w:jc w:val="center"/>
                    <w:rPr>
                      <w:rFonts w:hint="default" w:cs="Times New Roman"/>
                      <w:szCs w:val="21"/>
                      <w:lang w:val="en-US" w:eastAsia="zh-CN"/>
                    </w:rPr>
                  </w:pPr>
                  <w:r>
                    <w:rPr>
                      <w:rFonts w:hint="eastAsia" w:cs="Times New Roman"/>
                      <w:szCs w:val="21"/>
                      <w:lang w:val="en-US" w:eastAsia="zh-CN"/>
                    </w:rPr>
                    <w:t>15辆</w:t>
                  </w:r>
                </w:p>
              </w:tc>
            </w:tr>
            <w:tr w14:paraId="158F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406" w:type="dxa"/>
                  <w:vMerge w:val="continue"/>
                  <w:vAlign w:val="center"/>
                </w:tcPr>
                <w:p w14:paraId="01EAB234">
                  <w:pPr>
                    <w:jc w:val="center"/>
                    <w:rPr>
                      <w:rFonts w:hint="eastAsia" w:cs="Times New Roman"/>
                      <w:szCs w:val="21"/>
                      <w:lang w:val="en-US" w:eastAsia="zh-CN"/>
                    </w:rPr>
                  </w:pPr>
                </w:p>
              </w:tc>
              <w:tc>
                <w:tcPr>
                  <w:tcW w:w="389" w:type="dxa"/>
                  <w:vMerge w:val="continue"/>
                  <w:vAlign w:val="center"/>
                </w:tcPr>
                <w:p w14:paraId="0038A59A">
                  <w:pPr>
                    <w:jc w:val="center"/>
                    <w:rPr>
                      <w:rFonts w:hint="eastAsia" w:cs="Times New Roman"/>
                      <w:szCs w:val="21"/>
                      <w:lang w:val="en-US" w:eastAsia="zh-CN"/>
                    </w:rPr>
                  </w:pPr>
                </w:p>
              </w:tc>
              <w:tc>
                <w:tcPr>
                  <w:tcW w:w="1530" w:type="dxa"/>
                  <w:vAlign w:val="center"/>
                </w:tcPr>
                <w:p w14:paraId="4210BBBA">
                  <w:pPr>
                    <w:jc w:val="center"/>
                    <w:rPr>
                      <w:rFonts w:hint="eastAsia" w:cs="Times New Roman"/>
                      <w:szCs w:val="21"/>
                      <w:lang w:val="en-US" w:eastAsia="zh-CN"/>
                    </w:rPr>
                  </w:pPr>
                  <w:r>
                    <w:rPr>
                      <w:rFonts w:hint="eastAsia" w:cs="Times New Roman"/>
                      <w:szCs w:val="21"/>
                      <w:lang w:val="en-US" w:eastAsia="zh-CN"/>
                    </w:rPr>
                    <w:t>燃油大型车</w:t>
                  </w:r>
                </w:p>
              </w:tc>
              <w:tc>
                <w:tcPr>
                  <w:tcW w:w="1310" w:type="dxa"/>
                  <w:vAlign w:val="center"/>
                </w:tcPr>
                <w:p w14:paraId="297172B9">
                  <w:pPr>
                    <w:jc w:val="center"/>
                    <w:rPr>
                      <w:rFonts w:hint="default" w:cs="Times New Roman"/>
                      <w:szCs w:val="21"/>
                      <w:lang w:val="en-US" w:eastAsia="zh-CN"/>
                    </w:rPr>
                  </w:pPr>
                  <w:r>
                    <w:rPr>
                      <w:rFonts w:hint="eastAsia" w:cs="Times New Roman"/>
                      <w:szCs w:val="21"/>
                      <w:lang w:val="en-US" w:eastAsia="zh-CN"/>
                    </w:rPr>
                    <w:t>500辆</w:t>
                  </w:r>
                </w:p>
              </w:tc>
              <w:tc>
                <w:tcPr>
                  <w:tcW w:w="1566" w:type="dxa"/>
                  <w:vMerge w:val="continue"/>
                  <w:vAlign w:val="center"/>
                </w:tcPr>
                <w:p w14:paraId="693D54FD">
                  <w:pPr>
                    <w:jc w:val="center"/>
                    <w:rPr>
                      <w:rFonts w:hint="eastAsia" w:cs="Times New Roman"/>
                      <w:szCs w:val="21"/>
                      <w:lang w:val="en-US" w:eastAsia="zh-CN"/>
                    </w:rPr>
                  </w:pPr>
                </w:p>
              </w:tc>
              <w:tc>
                <w:tcPr>
                  <w:tcW w:w="1150" w:type="dxa"/>
                  <w:vMerge w:val="continue"/>
                  <w:vAlign w:val="center"/>
                </w:tcPr>
                <w:p w14:paraId="1A2B38A3">
                  <w:pPr>
                    <w:jc w:val="center"/>
                    <w:rPr>
                      <w:rFonts w:hint="eastAsia" w:cs="Times New Roman"/>
                      <w:szCs w:val="21"/>
                      <w:lang w:val="en-US" w:eastAsia="zh-CN"/>
                    </w:rPr>
                  </w:pPr>
                </w:p>
              </w:tc>
              <w:tc>
                <w:tcPr>
                  <w:tcW w:w="1467" w:type="dxa"/>
                  <w:vAlign w:val="center"/>
                </w:tcPr>
                <w:p w14:paraId="537FA63A">
                  <w:pPr>
                    <w:jc w:val="center"/>
                    <w:rPr>
                      <w:rFonts w:hint="default" w:cs="Times New Roman"/>
                      <w:szCs w:val="21"/>
                      <w:lang w:val="en-US" w:eastAsia="zh-CN"/>
                    </w:rPr>
                  </w:pPr>
                  <w:r>
                    <w:rPr>
                      <w:rFonts w:hint="eastAsia" w:cs="Times New Roman"/>
                      <w:szCs w:val="21"/>
                      <w:lang w:val="en-US" w:eastAsia="zh-CN"/>
                    </w:rPr>
                    <w:t>5辆</w:t>
                  </w:r>
                </w:p>
              </w:tc>
            </w:tr>
            <w:tr w14:paraId="4C9C0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406" w:type="dxa"/>
                  <w:vMerge w:val="continue"/>
                  <w:vAlign w:val="center"/>
                </w:tcPr>
                <w:p w14:paraId="6DEE29A5">
                  <w:pPr>
                    <w:jc w:val="center"/>
                    <w:rPr>
                      <w:rFonts w:hint="eastAsia" w:cs="Times New Roman"/>
                      <w:szCs w:val="21"/>
                      <w:lang w:val="en-US" w:eastAsia="zh-CN"/>
                    </w:rPr>
                  </w:pPr>
                </w:p>
              </w:tc>
              <w:tc>
                <w:tcPr>
                  <w:tcW w:w="389" w:type="dxa"/>
                  <w:vMerge w:val="continue"/>
                  <w:vAlign w:val="center"/>
                </w:tcPr>
                <w:p w14:paraId="2DEAEEF3">
                  <w:pPr>
                    <w:jc w:val="center"/>
                    <w:rPr>
                      <w:rFonts w:hint="eastAsia" w:cs="Times New Roman"/>
                      <w:szCs w:val="21"/>
                      <w:lang w:val="en-US" w:eastAsia="zh-CN"/>
                    </w:rPr>
                  </w:pPr>
                </w:p>
              </w:tc>
              <w:tc>
                <w:tcPr>
                  <w:tcW w:w="1530" w:type="dxa"/>
                  <w:vAlign w:val="center"/>
                </w:tcPr>
                <w:p w14:paraId="6BCAF03D">
                  <w:pPr>
                    <w:jc w:val="center"/>
                    <w:rPr>
                      <w:rFonts w:hint="default" w:cs="Times New Roman"/>
                      <w:szCs w:val="21"/>
                      <w:lang w:val="en-US" w:eastAsia="zh-CN"/>
                    </w:rPr>
                  </w:pPr>
                  <w:r>
                    <w:rPr>
                      <w:rFonts w:hint="eastAsia" w:cs="Times New Roman"/>
                      <w:szCs w:val="21"/>
                      <w:lang w:val="en-US" w:eastAsia="zh-CN"/>
                    </w:rPr>
                    <w:t>新能源小型车</w:t>
                  </w:r>
                </w:p>
              </w:tc>
              <w:tc>
                <w:tcPr>
                  <w:tcW w:w="1310" w:type="dxa"/>
                  <w:vAlign w:val="center"/>
                </w:tcPr>
                <w:p w14:paraId="3726F7B9">
                  <w:pPr>
                    <w:jc w:val="center"/>
                    <w:rPr>
                      <w:rFonts w:hint="default" w:cs="Times New Roman"/>
                      <w:szCs w:val="21"/>
                      <w:lang w:val="en-US" w:eastAsia="zh-CN"/>
                    </w:rPr>
                  </w:pPr>
                  <w:r>
                    <w:rPr>
                      <w:rFonts w:hint="eastAsia" w:cs="Times New Roman"/>
                      <w:szCs w:val="21"/>
                      <w:lang w:val="en-US" w:eastAsia="zh-CN"/>
                    </w:rPr>
                    <w:t>1500辆</w:t>
                  </w:r>
                </w:p>
              </w:tc>
              <w:tc>
                <w:tcPr>
                  <w:tcW w:w="1566" w:type="dxa"/>
                  <w:vMerge w:val="continue"/>
                  <w:vAlign w:val="center"/>
                </w:tcPr>
                <w:p w14:paraId="1F6F570D">
                  <w:pPr>
                    <w:jc w:val="center"/>
                    <w:rPr>
                      <w:rFonts w:hint="eastAsia" w:cs="Times New Roman"/>
                      <w:szCs w:val="21"/>
                      <w:lang w:val="en-US" w:eastAsia="zh-CN"/>
                    </w:rPr>
                  </w:pPr>
                </w:p>
              </w:tc>
              <w:tc>
                <w:tcPr>
                  <w:tcW w:w="1150" w:type="dxa"/>
                  <w:vMerge w:val="continue"/>
                  <w:vAlign w:val="center"/>
                </w:tcPr>
                <w:p w14:paraId="4064C8E7">
                  <w:pPr>
                    <w:jc w:val="center"/>
                    <w:rPr>
                      <w:rFonts w:hint="eastAsia" w:cs="Times New Roman"/>
                      <w:szCs w:val="21"/>
                      <w:lang w:val="en-US" w:eastAsia="zh-CN"/>
                    </w:rPr>
                  </w:pPr>
                </w:p>
              </w:tc>
              <w:tc>
                <w:tcPr>
                  <w:tcW w:w="1467" w:type="dxa"/>
                  <w:vAlign w:val="center"/>
                </w:tcPr>
                <w:p w14:paraId="64354DEF">
                  <w:pPr>
                    <w:jc w:val="center"/>
                    <w:rPr>
                      <w:rFonts w:hint="default" w:cs="Times New Roman"/>
                      <w:szCs w:val="21"/>
                      <w:lang w:val="en-US" w:eastAsia="zh-CN"/>
                    </w:rPr>
                  </w:pPr>
                  <w:r>
                    <w:rPr>
                      <w:rFonts w:hint="eastAsia" w:cs="Times New Roman"/>
                      <w:szCs w:val="21"/>
                      <w:lang w:val="en-US" w:eastAsia="zh-CN"/>
                    </w:rPr>
                    <w:t>15辆</w:t>
                  </w:r>
                </w:p>
              </w:tc>
            </w:tr>
            <w:tr w14:paraId="3481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406" w:type="dxa"/>
                  <w:vMerge w:val="continue"/>
                  <w:vAlign w:val="center"/>
                </w:tcPr>
                <w:p w14:paraId="03A8BD3F">
                  <w:pPr>
                    <w:jc w:val="center"/>
                    <w:rPr>
                      <w:rFonts w:hint="eastAsia" w:cs="Times New Roman"/>
                      <w:szCs w:val="21"/>
                      <w:lang w:val="en-US" w:eastAsia="zh-CN"/>
                    </w:rPr>
                  </w:pPr>
                </w:p>
              </w:tc>
              <w:tc>
                <w:tcPr>
                  <w:tcW w:w="389" w:type="dxa"/>
                  <w:vMerge w:val="continue"/>
                  <w:vAlign w:val="center"/>
                </w:tcPr>
                <w:p w14:paraId="25E56780">
                  <w:pPr>
                    <w:jc w:val="center"/>
                    <w:rPr>
                      <w:rFonts w:hint="eastAsia" w:cs="Times New Roman"/>
                      <w:szCs w:val="21"/>
                      <w:lang w:val="en-US" w:eastAsia="zh-CN"/>
                    </w:rPr>
                  </w:pPr>
                </w:p>
              </w:tc>
              <w:tc>
                <w:tcPr>
                  <w:tcW w:w="1530" w:type="dxa"/>
                  <w:vAlign w:val="center"/>
                </w:tcPr>
                <w:p w14:paraId="7C5E3904">
                  <w:pPr>
                    <w:jc w:val="center"/>
                    <w:rPr>
                      <w:rFonts w:hint="default" w:cs="Times New Roman"/>
                      <w:szCs w:val="21"/>
                      <w:lang w:val="en-US" w:eastAsia="zh-CN"/>
                    </w:rPr>
                  </w:pPr>
                  <w:r>
                    <w:rPr>
                      <w:rFonts w:hint="eastAsia" w:cs="Times New Roman"/>
                      <w:szCs w:val="21"/>
                      <w:lang w:val="en-US" w:eastAsia="zh-CN"/>
                    </w:rPr>
                    <w:t>新能源大型车</w:t>
                  </w:r>
                </w:p>
              </w:tc>
              <w:tc>
                <w:tcPr>
                  <w:tcW w:w="1310" w:type="dxa"/>
                  <w:vAlign w:val="center"/>
                </w:tcPr>
                <w:p w14:paraId="2AA2AD55">
                  <w:pPr>
                    <w:jc w:val="center"/>
                    <w:rPr>
                      <w:rFonts w:hint="default" w:cs="Times New Roman"/>
                      <w:szCs w:val="21"/>
                      <w:lang w:val="en-US" w:eastAsia="zh-CN"/>
                    </w:rPr>
                  </w:pPr>
                  <w:r>
                    <w:rPr>
                      <w:rFonts w:hint="eastAsia" w:cs="Times New Roman"/>
                      <w:szCs w:val="21"/>
                      <w:lang w:val="en-US" w:eastAsia="zh-CN"/>
                    </w:rPr>
                    <w:t>500辆</w:t>
                  </w:r>
                </w:p>
              </w:tc>
              <w:tc>
                <w:tcPr>
                  <w:tcW w:w="1566" w:type="dxa"/>
                  <w:vMerge w:val="continue"/>
                  <w:vAlign w:val="center"/>
                </w:tcPr>
                <w:p w14:paraId="155A5D54">
                  <w:pPr>
                    <w:jc w:val="center"/>
                    <w:rPr>
                      <w:rFonts w:hint="eastAsia" w:cs="Times New Roman"/>
                      <w:szCs w:val="21"/>
                      <w:lang w:val="en-US" w:eastAsia="zh-CN"/>
                    </w:rPr>
                  </w:pPr>
                </w:p>
              </w:tc>
              <w:tc>
                <w:tcPr>
                  <w:tcW w:w="1150" w:type="dxa"/>
                  <w:vMerge w:val="continue"/>
                  <w:vAlign w:val="center"/>
                </w:tcPr>
                <w:p w14:paraId="514A6EF5">
                  <w:pPr>
                    <w:jc w:val="center"/>
                    <w:rPr>
                      <w:rFonts w:hint="eastAsia" w:cs="Times New Roman"/>
                      <w:szCs w:val="21"/>
                      <w:lang w:val="en-US" w:eastAsia="zh-CN"/>
                    </w:rPr>
                  </w:pPr>
                </w:p>
              </w:tc>
              <w:tc>
                <w:tcPr>
                  <w:tcW w:w="1467" w:type="dxa"/>
                  <w:vAlign w:val="center"/>
                </w:tcPr>
                <w:p w14:paraId="37049F1B">
                  <w:pPr>
                    <w:jc w:val="center"/>
                    <w:rPr>
                      <w:rFonts w:hint="default" w:cs="Times New Roman"/>
                      <w:szCs w:val="21"/>
                      <w:lang w:val="en-US" w:eastAsia="zh-CN"/>
                    </w:rPr>
                  </w:pPr>
                  <w:r>
                    <w:rPr>
                      <w:rFonts w:hint="eastAsia" w:cs="Times New Roman"/>
                      <w:szCs w:val="21"/>
                      <w:lang w:val="en-US" w:eastAsia="zh-CN"/>
                    </w:rPr>
                    <w:t>5辆</w:t>
                  </w:r>
                </w:p>
              </w:tc>
            </w:tr>
            <w:tr w14:paraId="0ED7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406" w:type="dxa"/>
                  <w:vMerge w:val="continue"/>
                  <w:vAlign w:val="center"/>
                </w:tcPr>
                <w:p w14:paraId="048FF700">
                  <w:pPr>
                    <w:jc w:val="center"/>
                    <w:rPr>
                      <w:rFonts w:hint="eastAsia" w:cs="Times New Roman"/>
                      <w:szCs w:val="21"/>
                      <w:lang w:val="en-US" w:eastAsia="zh-CN"/>
                    </w:rPr>
                  </w:pPr>
                </w:p>
              </w:tc>
              <w:tc>
                <w:tcPr>
                  <w:tcW w:w="389" w:type="dxa"/>
                  <w:vMerge w:val="continue"/>
                  <w:vAlign w:val="center"/>
                </w:tcPr>
                <w:p w14:paraId="127B90EB">
                  <w:pPr>
                    <w:jc w:val="center"/>
                    <w:rPr>
                      <w:rFonts w:hint="eastAsia" w:cs="Times New Roman"/>
                      <w:szCs w:val="21"/>
                      <w:lang w:val="en-US" w:eastAsia="zh-CN"/>
                    </w:rPr>
                  </w:pPr>
                </w:p>
              </w:tc>
              <w:tc>
                <w:tcPr>
                  <w:tcW w:w="1530" w:type="dxa"/>
                  <w:vAlign w:val="center"/>
                </w:tcPr>
                <w:p w14:paraId="49CB826D">
                  <w:pPr>
                    <w:jc w:val="center"/>
                    <w:rPr>
                      <w:rFonts w:hint="default" w:cs="Times New Roman"/>
                      <w:szCs w:val="21"/>
                      <w:lang w:val="en-US" w:eastAsia="zh-CN"/>
                    </w:rPr>
                  </w:pPr>
                  <w:r>
                    <w:rPr>
                      <w:rFonts w:hint="eastAsia" w:cs="Times New Roman"/>
                      <w:szCs w:val="21"/>
                      <w:lang w:val="en-US" w:eastAsia="zh-CN"/>
                    </w:rPr>
                    <w:t>摩托车</w:t>
                  </w:r>
                </w:p>
              </w:tc>
              <w:tc>
                <w:tcPr>
                  <w:tcW w:w="1310" w:type="dxa"/>
                  <w:vAlign w:val="center"/>
                </w:tcPr>
                <w:p w14:paraId="2A3DA806">
                  <w:pPr>
                    <w:jc w:val="center"/>
                    <w:rPr>
                      <w:rFonts w:hint="default" w:cs="Times New Roman"/>
                      <w:szCs w:val="21"/>
                      <w:lang w:val="en-US" w:eastAsia="zh-CN"/>
                    </w:rPr>
                  </w:pPr>
                  <w:r>
                    <w:rPr>
                      <w:rFonts w:hint="eastAsia" w:cs="Times New Roman"/>
                      <w:szCs w:val="21"/>
                      <w:lang w:val="en-US" w:eastAsia="zh-CN"/>
                    </w:rPr>
                    <w:t>2000辆</w:t>
                  </w:r>
                </w:p>
              </w:tc>
              <w:tc>
                <w:tcPr>
                  <w:tcW w:w="1566" w:type="dxa"/>
                  <w:vMerge w:val="continue"/>
                  <w:vAlign w:val="center"/>
                </w:tcPr>
                <w:p w14:paraId="347906C7">
                  <w:pPr>
                    <w:jc w:val="center"/>
                    <w:rPr>
                      <w:rFonts w:hint="eastAsia" w:cs="Times New Roman"/>
                      <w:szCs w:val="21"/>
                      <w:lang w:val="en-US" w:eastAsia="zh-CN"/>
                    </w:rPr>
                  </w:pPr>
                </w:p>
              </w:tc>
              <w:tc>
                <w:tcPr>
                  <w:tcW w:w="1150" w:type="dxa"/>
                  <w:vMerge w:val="continue"/>
                  <w:vAlign w:val="center"/>
                </w:tcPr>
                <w:p w14:paraId="4867C37D">
                  <w:pPr>
                    <w:jc w:val="center"/>
                    <w:rPr>
                      <w:rFonts w:hint="eastAsia" w:cs="Times New Roman"/>
                      <w:szCs w:val="21"/>
                      <w:lang w:val="en-US" w:eastAsia="zh-CN"/>
                    </w:rPr>
                  </w:pPr>
                </w:p>
              </w:tc>
              <w:tc>
                <w:tcPr>
                  <w:tcW w:w="1467" w:type="dxa"/>
                  <w:vAlign w:val="center"/>
                </w:tcPr>
                <w:p w14:paraId="7C890D6F">
                  <w:pPr>
                    <w:jc w:val="center"/>
                    <w:rPr>
                      <w:rFonts w:hint="default" w:cs="Times New Roman"/>
                      <w:szCs w:val="21"/>
                      <w:lang w:val="en-US" w:eastAsia="zh-CN"/>
                    </w:rPr>
                  </w:pPr>
                  <w:r>
                    <w:rPr>
                      <w:rFonts w:hint="eastAsia" w:cs="Times New Roman"/>
                      <w:szCs w:val="21"/>
                      <w:lang w:val="en-US" w:eastAsia="zh-CN"/>
                    </w:rPr>
                    <w:t>20辆</w:t>
                  </w:r>
                </w:p>
              </w:tc>
            </w:tr>
            <w:tr w14:paraId="4BB3E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6" w:type="dxa"/>
                  <w:vAlign w:val="center"/>
                </w:tcPr>
                <w:p w14:paraId="3007B076">
                  <w:pPr>
                    <w:jc w:val="center"/>
                    <w:rPr>
                      <w:rFonts w:hint="default" w:ascii="Times New Roman" w:hAnsi="Times New Roman" w:cs="Times New Roman"/>
                      <w:szCs w:val="21"/>
                    </w:rPr>
                  </w:pPr>
                  <w:r>
                    <w:rPr>
                      <w:rFonts w:hint="default" w:ascii="Times New Roman" w:hAnsi="Times New Roman" w:cs="Times New Roman"/>
                      <w:szCs w:val="21"/>
                    </w:rPr>
                    <w:t>2</w:t>
                  </w:r>
                </w:p>
              </w:tc>
              <w:tc>
                <w:tcPr>
                  <w:tcW w:w="1919" w:type="dxa"/>
                  <w:gridSpan w:val="2"/>
                  <w:vAlign w:val="center"/>
                </w:tcPr>
                <w:p w14:paraId="353DFB8D">
                  <w:pPr>
                    <w:jc w:val="center"/>
                    <w:rPr>
                      <w:rFonts w:hint="default" w:ascii="Times New Roman" w:hAnsi="Times New Roman" w:cs="Times New Roman"/>
                      <w:szCs w:val="21"/>
                    </w:rPr>
                  </w:pPr>
                  <w:r>
                    <w:rPr>
                      <w:rFonts w:hint="default" w:ascii="Times New Roman" w:hAnsi="Times New Roman" w:cs="Times New Roman"/>
                      <w:szCs w:val="21"/>
                    </w:rPr>
                    <w:t>乙炔</w:t>
                  </w:r>
                </w:p>
              </w:tc>
              <w:tc>
                <w:tcPr>
                  <w:tcW w:w="1310" w:type="dxa"/>
                  <w:vAlign w:val="center"/>
                </w:tcPr>
                <w:p w14:paraId="22B49FE8">
                  <w:pPr>
                    <w:jc w:val="center"/>
                    <w:rPr>
                      <w:rFonts w:hint="eastAsia" w:ascii="Times New Roman" w:hAnsi="Times New Roman" w:eastAsia="宋体" w:cs="Times New Roman"/>
                      <w:szCs w:val="21"/>
                      <w:lang w:eastAsia="zh-CN"/>
                    </w:rPr>
                  </w:pPr>
                  <w:r>
                    <w:rPr>
                      <w:rFonts w:hint="eastAsia" w:cs="Times New Roman"/>
                      <w:szCs w:val="21"/>
                      <w:lang w:val="en-US" w:eastAsia="zh-CN"/>
                    </w:rPr>
                    <w:t>300瓶（1.8t/a）</w:t>
                  </w:r>
                </w:p>
              </w:tc>
              <w:tc>
                <w:tcPr>
                  <w:tcW w:w="1566" w:type="dxa"/>
                  <w:vAlign w:val="center"/>
                </w:tcPr>
                <w:p w14:paraId="129BCC75">
                  <w:pPr>
                    <w:jc w:val="center"/>
                    <w:rPr>
                      <w:rFonts w:hint="default" w:ascii="Times New Roman" w:hAnsi="Times New Roman" w:cs="Times New Roman"/>
                      <w:szCs w:val="21"/>
                    </w:rPr>
                  </w:pPr>
                  <w:r>
                    <w:rPr>
                      <w:rFonts w:hint="default" w:ascii="Times New Roman" w:hAnsi="Times New Roman" w:cs="Times New Roman"/>
                      <w:szCs w:val="21"/>
                    </w:rPr>
                    <w:t>钢瓶</w:t>
                  </w:r>
                </w:p>
              </w:tc>
              <w:tc>
                <w:tcPr>
                  <w:tcW w:w="1150" w:type="dxa"/>
                  <w:vAlign w:val="center"/>
                </w:tcPr>
                <w:p w14:paraId="706BCDD4">
                  <w:pPr>
                    <w:jc w:val="center"/>
                    <w:rPr>
                      <w:rFonts w:hint="default" w:ascii="Times New Roman" w:hAnsi="Times New Roman" w:eastAsia="宋体" w:cs="Times New Roman"/>
                      <w:szCs w:val="21"/>
                      <w:lang w:val="en-US" w:eastAsia="zh-CN"/>
                    </w:rPr>
                  </w:pPr>
                  <w:r>
                    <w:rPr>
                      <w:rFonts w:hint="eastAsia" w:cs="Times New Roman"/>
                      <w:szCs w:val="21"/>
                      <w:lang w:val="en-US" w:eastAsia="zh-CN"/>
                    </w:rPr>
                    <w:t>辅料仓库</w:t>
                  </w:r>
                </w:p>
              </w:tc>
              <w:tc>
                <w:tcPr>
                  <w:tcW w:w="1467" w:type="dxa"/>
                  <w:vAlign w:val="center"/>
                </w:tcPr>
                <w:p w14:paraId="6E64BB69">
                  <w:pPr>
                    <w:jc w:val="center"/>
                    <w:rPr>
                      <w:rFonts w:hint="default" w:ascii="Times New Roman" w:hAnsi="Times New Roman" w:cs="Times New Roman"/>
                      <w:szCs w:val="21"/>
                    </w:rPr>
                  </w:pPr>
                  <w:r>
                    <w:rPr>
                      <w:rFonts w:hint="default" w:ascii="Times New Roman" w:hAnsi="Times New Roman" w:cs="Times New Roman"/>
                      <w:szCs w:val="21"/>
                    </w:rPr>
                    <w:t>10瓶（</w:t>
                  </w:r>
                  <w:r>
                    <w:rPr>
                      <w:rFonts w:hint="eastAsia" w:cs="Times New Roman"/>
                      <w:szCs w:val="21"/>
                      <w:lang w:val="en-US" w:eastAsia="zh-CN"/>
                    </w:rPr>
                    <w:t>0.06t</w:t>
                  </w:r>
                  <w:r>
                    <w:rPr>
                      <w:rFonts w:hint="default" w:ascii="Times New Roman" w:hAnsi="Times New Roman" w:cs="Times New Roman"/>
                      <w:szCs w:val="21"/>
                    </w:rPr>
                    <w:t>）</w:t>
                  </w:r>
                </w:p>
              </w:tc>
            </w:tr>
            <w:tr w14:paraId="32F2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6" w:type="dxa"/>
                  <w:vAlign w:val="center"/>
                </w:tcPr>
                <w:p w14:paraId="1E702AE7">
                  <w:pPr>
                    <w:jc w:val="center"/>
                    <w:rPr>
                      <w:rFonts w:hint="default" w:ascii="Times New Roman" w:hAnsi="Times New Roman" w:cs="Times New Roman"/>
                      <w:szCs w:val="21"/>
                    </w:rPr>
                  </w:pPr>
                  <w:r>
                    <w:rPr>
                      <w:rFonts w:hint="default" w:ascii="Times New Roman" w:hAnsi="Times New Roman" w:cs="Times New Roman"/>
                      <w:szCs w:val="21"/>
                    </w:rPr>
                    <w:t>3</w:t>
                  </w:r>
                </w:p>
              </w:tc>
              <w:tc>
                <w:tcPr>
                  <w:tcW w:w="1919" w:type="dxa"/>
                  <w:gridSpan w:val="2"/>
                  <w:vAlign w:val="center"/>
                </w:tcPr>
                <w:p w14:paraId="5C711E04">
                  <w:pPr>
                    <w:jc w:val="center"/>
                    <w:rPr>
                      <w:rFonts w:hint="default" w:ascii="Times New Roman" w:hAnsi="Times New Roman" w:cs="Times New Roman"/>
                      <w:szCs w:val="21"/>
                    </w:rPr>
                  </w:pPr>
                  <w:r>
                    <w:rPr>
                      <w:rFonts w:hint="default" w:ascii="Times New Roman" w:hAnsi="Times New Roman" w:cs="Times New Roman"/>
                      <w:szCs w:val="21"/>
                    </w:rPr>
                    <w:t>氧气</w:t>
                  </w:r>
                </w:p>
              </w:tc>
              <w:tc>
                <w:tcPr>
                  <w:tcW w:w="1310" w:type="dxa"/>
                  <w:vAlign w:val="center"/>
                </w:tcPr>
                <w:p w14:paraId="048D2181">
                  <w:pPr>
                    <w:jc w:val="center"/>
                    <w:rPr>
                      <w:rFonts w:hint="eastAsia" w:ascii="Times New Roman" w:hAnsi="Times New Roman" w:eastAsia="宋体" w:cs="Times New Roman"/>
                      <w:szCs w:val="21"/>
                      <w:lang w:eastAsia="zh-CN"/>
                    </w:rPr>
                  </w:pPr>
                  <w:r>
                    <w:rPr>
                      <w:rFonts w:hint="eastAsia" w:cs="Times New Roman"/>
                      <w:szCs w:val="21"/>
                      <w:lang w:val="en-US" w:eastAsia="zh-CN"/>
                    </w:rPr>
                    <w:t>500瓶（3t/a）</w:t>
                  </w:r>
                </w:p>
              </w:tc>
              <w:tc>
                <w:tcPr>
                  <w:tcW w:w="1566" w:type="dxa"/>
                  <w:vAlign w:val="center"/>
                </w:tcPr>
                <w:p w14:paraId="5C569D25">
                  <w:pPr>
                    <w:jc w:val="center"/>
                    <w:rPr>
                      <w:rFonts w:hint="default" w:ascii="Times New Roman" w:hAnsi="Times New Roman" w:cs="Times New Roman"/>
                      <w:szCs w:val="21"/>
                    </w:rPr>
                  </w:pPr>
                  <w:r>
                    <w:rPr>
                      <w:rFonts w:hint="default" w:ascii="Times New Roman" w:hAnsi="Times New Roman" w:cs="Times New Roman"/>
                      <w:szCs w:val="21"/>
                    </w:rPr>
                    <w:t>钢瓶</w:t>
                  </w:r>
                </w:p>
              </w:tc>
              <w:tc>
                <w:tcPr>
                  <w:tcW w:w="1150" w:type="dxa"/>
                  <w:vAlign w:val="center"/>
                </w:tcPr>
                <w:p w14:paraId="26ABC031">
                  <w:pPr>
                    <w:jc w:val="center"/>
                    <w:rPr>
                      <w:rFonts w:hint="default" w:ascii="Times New Roman" w:hAnsi="Times New Roman" w:eastAsia="宋体" w:cs="Times New Roman"/>
                      <w:szCs w:val="21"/>
                      <w:lang w:val="en-US" w:eastAsia="zh-CN"/>
                    </w:rPr>
                  </w:pPr>
                  <w:r>
                    <w:rPr>
                      <w:rFonts w:hint="eastAsia" w:cs="Times New Roman"/>
                      <w:szCs w:val="21"/>
                      <w:lang w:val="en-US" w:eastAsia="zh-CN"/>
                    </w:rPr>
                    <w:t>辅料仓库</w:t>
                  </w:r>
                </w:p>
              </w:tc>
              <w:tc>
                <w:tcPr>
                  <w:tcW w:w="1467" w:type="dxa"/>
                  <w:vAlign w:val="center"/>
                </w:tcPr>
                <w:p w14:paraId="1A055838">
                  <w:pPr>
                    <w:jc w:val="center"/>
                    <w:rPr>
                      <w:rFonts w:hint="default" w:ascii="Times New Roman" w:hAnsi="Times New Roman" w:cs="Times New Roman"/>
                      <w:szCs w:val="21"/>
                    </w:rPr>
                  </w:pPr>
                  <w:r>
                    <w:rPr>
                      <w:rFonts w:hint="default" w:ascii="Times New Roman" w:hAnsi="Times New Roman" w:cs="Times New Roman"/>
                      <w:szCs w:val="21"/>
                    </w:rPr>
                    <w:t>20瓶（</w:t>
                  </w:r>
                  <w:r>
                    <w:rPr>
                      <w:rFonts w:hint="eastAsia" w:cs="Times New Roman"/>
                      <w:szCs w:val="21"/>
                      <w:lang w:val="en-US" w:eastAsia="zh-CN"/>
                    </w:rPr>
                    <w:t>0.12t</w:t>
                  </w:r>
                  <w:r>
                    <w:rPr>
                      <w:rFonts w:hint="default" w:ascii="Times New Roman" w:hAnsi="Times New Roman" w:cs="Times New Roman"/>
                      <w:szCs w:val="21"/>
                    </w:rPr>
                    <w:t>）</w:t>
                  </w:r>
                </w:p>
              </w:tc>
            </w:tr>
            <w:tr w14:paraId="3C17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6" w:type="dxa"/>
                  <w:vAlign w:val="center"/>
                </w:tcPr>
                <w:p w14:paraId="3832BFE8">
                  <w:pPr>
                    <w:jc w:val="center"/>
                    <w:rPr>
                      <w:rFonts w:hint="default" w:ascii="Times New Roman" w:hAnsi="Times New Roman" w:cs="Times New Roman"/>
                      <w:szCs w:val="21"/>
                    </w:rPr>
                  </w:pPr>
                  <w:r>
                    <w:rPr>
                      <w:rFonts w:hint="default" w:ascii="Times New Roman" w:hAnsi="Times New Roman" w:cs="Times New Roman"/>
                      <w:szCs w:val="21"/>
                    </w:rPr>
                    <w:t>4</w:t>
                  </w:r>
                </w:p>
              </w:tc>
              <w:tc>
                <w:tcPr>
                  <w:tcW w:w="1919" w:type="dxa"/>
                  <w:gridSpan w:val="2"/>
                  <w:vAlign w:val="center"/>
                </w:tcPr>
                <w:p w14:paraId="033893D5">
                  <w:pPr>
                    <w:jc w:val="center"/>
                    <w:rPr>
                      <w:rFonts w:hint="default" w:ascii="Times New Roman" w:hAnsi="Times New Roman" w:cs="Times New Roman"/>
                      <w:szCs w:val="21"/>
                    </w:rPr>
                  </w:pPr>
                  <w:r>
                    <w:rPr>
                      <w:rFonts w:hint="default" w:ascii="Times New Roman" w:hAnsi="Times New Roman" w:cs="Times New Roman"/>
                      <w:szCs w:val="21"/>
                    </w:rPr>
                    <w:t>电</w:t>
                  </w:r>
                </w:p>
              </w:tc>
              <w:tc>
                <w:tcPr>
                  <w:tcW w:w="1310" w:type="dxa"/>
                  <w:vAlign w:val="center"/>
                </w:tcPr>
                <w:p w14:paraId="0CC869D6">
                  <w:pPr>
                    <w:jc w:val="center"/>
                    <w:rPr>
                      <w:rFonts w:hint="default" w:ascii="Times New Roman" w:hAnsi="Times New Roman" w:cs="Times New Roman"/>
                      <w:szCs w:val="21"/>
                    </w:rPr>
                  </w:pPr>
                  <w:r>
                    <w:rPr>
                      <w:rFonts w:hint="eastAsia" w:cs="Times New Roman"/>
                      <w:szCs w:val="21"/>
                      <w:lang w:val="en-US" w:eastAsia="zh-CN"/>
                    </w:rPr>
                    <w:t>80</w:t>
                  </w:r>
                  <w:r>
                    <w:rPr>
                      <w:rFonts w:hint="default" w:ascii="Times New Roman" w:hAnsi="Times New Roman" w:cs="Times New Roman"/>
                      <w:szCs w:val="21"/>
                    </w:rPr>
                    <w:t>万kw/h</w:t>
                  </w:r>
                </w:p>
              </w:tc>
              <w:tc>
                <w:tcPr>
                  <w:tcW w:w="1566" w:type="dxa"/>
                  <w:vAlign w:val="center"/>
                </w:tcPr>
                <w:p w14:paraId="16B2E474">
                  <w:pPr>
                    <w:jc w:val="center"/>
                    <w:rPr>
                      <w:rFonts w:hint="default" w:ascii="Times New Roman" w:hAnsi="Times New Roman" w:cs="Times New Roman"/>
                      <w:szCs w:val="21"/>
                    </w:rPr>
                  </w:pPr>
                  <w:r>
                    <w:rPr>
                      <w:rFonts w:hint="default" w:ascii="Times New Roman" w:hAnsi="Times New Roman" w:cs="Times New Roman"/>
                      <w:szCs w:val="21"/>
                    </w:rPr>
                    <w:t>市政供电管网</w:t>
                  </w:r>
                </w:p>
              </w:tc>
              <w:tc>
                <w:tcPr>
                  <w:tcW w:w="1150" w:type="dxa"/>
                  <w:vAlign w:val="center"/>
                </w:tcPr>
                <w:p w14:paraId="60E33309">
                  <w:pPr>
                    <w:jc w:val="center"/>
                    <w:rPr>
                      <w:rFonts w:hint="default" w:ascii="Times New Roman" w:hAnsi="Times New Roman" w:cs="Times New Roman"/>
                      <w:szCs w:val="21"/>
                    </w:rPr>
                  </w:pPr>
                  <w:r>
                    <w:rPr>
                      <w:rFonts w:hint="default" w:ascii="Times New Roman" w:hAnsi="Times New Roman" w:cs="Times New Roman"/>
                      <w:szCs w:val="21"/>
                    </w:rPr>
                    <w:t>/</w:t>
                  </w:r>
                </w:p>
              </w:tc>
              <w:tc>
                <w:tcPr>
                  <w:tcW w:w="1467" w:type="dxa"/>
                  <w:vAlign w:val="center"/>
                </w:tcPr>
                <w:p w14:paraId="3CCB7D78">
                  <w:pPr>
                    <w:jc w:val="center"/>
                    <w:rPr>
                      <w:rFonts w:hint="default" w:ascii="Times New Roman" w:hAnsi="Times New Roman" w:cs="Times New Roman"/>
                      <w:szCs w:val="21"/>
                    </w:rPr>
                  </w:pPr>
                  <w:r>
                    <w:rPr>
                      <w:rFonts w:hint="default" w:ascii="Times New Roman" w:hAnsi="Times New Roman" w:cs="Times New Roman"/>
                      <w:szCs w:val="21"/>
                    </w:rPr>
                    <w:t>/</w:t>
                  </w:r>
                </w:p>
              </w:tc>
            </w:tr>
            <w:tr w14:paraId="6AA4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406" w:type="dxa"/>
                  <w:vAlign w:val="center"/>
                </w:tcPr>
                <w:p w14:paraId="6D27B9B9">
                  <w:pPr>
                    <w:jc w:val="center"/>
                    <w:rPr>
                      <w:rFonts w:hint="default" w:ascii="Times New Roman" w:hAnsi="Times New Roman" w:cs="Times New Roman"/>
                      <w:szCs w:val="21"/>
                    </w:rPr>
                  </w:pPr>
                  <w:r>
                    <w:rPr>
                      <w:rFonts w:hint="default" w:ascii="Times New Roman" w:hAnsi="Times New Roman" w:cs="Times New Roman"/>
                      <w:szCs w:val="21"/>
                    </w:rPr>
                    <w:t>5</w:t>
                  </w:r>
                </w:p>
              </w:tc>
              <w:tc>
                <w:tcPr>
                  <w:tcW w:w="1919" w:type="dxa"/>
                  <w:gridSpan w:val="2"/>
                  <w:vAlign w:val="center"/>
                </w:tcPr>
                <w:p w14:paraId="37F26DE2">
                  <w:pPr>
                    <w:jc w:val="center"/>
                    <w:rPr>
                      <w:rFonts w:hint="default" w:ascii="Times New Roman" w:hAnsi="Times New Roman" w:cs="Times New Roman"/>
                      <w:szCs w:val="21"/>
                    </w:rPr>
                  </w:pPr>
                  <w:r>
                    <w:rPr>
                      <w:rFonts w:hint="default" w:ascii="Times New Roman" w:hAnsi="Times New Roman" w:cs="Times New Roman"/>
                      <w:szCs w:val="21"/>
                    </w:rPr>
                    <w:t>水</w:t>
                  </w:r>
                </w:p>
              </w:tc>
              <w:tc>
                <w:tcPr>
                  <w:tcW w:w="1310" w:type="dxa"/>
                  <w:vAlign w:val="center"/>
                </w:tcPr>
                <w:p w14:paraId="06FF7842">
                  <w:pPr>
                    <w:jc w:val="center"/>
                    <w:rPr>
                      <w:rFonts w:hint="default" w:ascii="Times New Roman" w:hAnsi="Times New Roman" w:cs="Times New Roman"/>
                      <w:szCs w:val="21"/>
                    </w:rPr>
                  </w:pPr>
                  <w:r>
                    <w:rPr>
                      <w:rFonts w:hint="eastAsia" w:cs="Times New Roman"/>
                      <w:szCs w:val="21"/>
                      <w:lang w:val="en-US" w:eastAsia="zh-CN"/>
                    </w:rPr>
                    <w:t>960</w:t>
                  </w: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1566" w:type="dxa"/>
                  <w:vAlign w:val="center"/>
                </w:tcPr>
                <w:p w14:paraId="41F144B3">
                  <w:pPr>
                    <w:jc w:val="center"/>
                    <w:rPr>
                      <w:rFonts w:hint="default" w:ascii="Times New Roman" w:hAnsi="Times New Roman" w:cs="Times New Roman"/>
                      <w:szCs w:val="21"/>
                    </w:rPr>
                  </w:pPr>
                  <w:r>
                    <w:rPr>
                      <w:rFonts w:hint="default" w:ascii="Times New Roman" w:hAnsi="Times New Roman" w:cs="Times New Roman"/>
                      <w:szCs w:val="21"/>
                    </w:rPr>
                    <w:t>市政供水管网</w:t>
                  </w:r>
                </w:p>
              </w:tc>
              <w:tc>
                <w:tcPr>
                  <w:tcW w:w="1150" w:type="dxa"/>
                  <w:vAlign w:val="center"/>
                </w:tcPr>
                <w:p w14:paraId="28DEDF6C">
                  <w:pPr>
                    <w:jc w:val="center"/>
                    <w:rPr>
                      <w:rFonts w:hint="default" w:ascii="Times New Roman" w:hAnsi="Times New Roman" w:cs="Times New Roman"/>
                      <w:szCs w:val="21"/>
                    </w:rPr>
                  </w:pPr>
                  <w:r>
                    <w:rPr>
                      <w:rFonts w:hint="default" w:ascii="Times New Roman" w:hAnsi="Times New Roman" w:cs="Times New Roman"/>
                      <w:szCs w:val="21"/>
                    </w:rPr>
                    <w:t>/</w:t>
                  </w:r>
                </w:p>
              </w:tc>
              <w:tc>
                <w:tcPr>
                  <w:tcW w:w="1467" w:type="dxa"/>
                  <w:vAlign w:val="center"/>
                </w:tcPr>
                <w:p w14:paraId="77A6A7EC">
                  <w:pPr>
                    <w:jc w:val="center"/>
                    <w:rPr>
                      <w:rFonts w:hint="default" w:ascii="Times New Roman" w:hAnsi="Times New Roman" w:cs="Times New Roman"/>
                      <w:szCs w:val="21"/>
                    </w:rPr>
                  </w:pPr>
                  <w:r>
                    <w:rPr>
                      <w:rFonts w:hint="default" w:ascii="Times New Roman" w:hAnsi="Times New Roman" w:cs="Times New Roman"/>
                      <w:szCs w:val="21"/>
                    </w:rPr>
                    <w:t>/</w:t>
                  </w:r>
                </w:p>
              </w:tc>
            </w:tr>
          </w:tbl>
          <w:p w14:paraId="3BB8AAC8">
            <w:pPr>
              <w:keepNext w:val="0"/>
              <w:keepLines w:val="0"/>
              <w:pageBreakBefore w:val="0"/>
              <w:widowControl w:val="0"/>
              <w:kinsoku/>
              <w:wordWrap/>
              <w:overflowPunct/>
              <w:topLinePunct w:val="0"/>
              <w:autoSpaceDE/>
              <w:autoSpaceDN/>
              <w:bidi w:val="0"/>
              <w:adjustRightInd/>
              <w:snapToGrid/>
              <w:spacing w:line="360" w:lineRule="auto"/>
              <w:ind w:firstLine="40" w:firstLineChars="200"/>
              <w:textAlignment w:val="auto"/>
              <w:rPr>
                <w:rFonts w:hint="eastAsia" w:cs="Times New Roman"/>
                <w:b w:val="0"/>
                <w:bCs/>
                <w:sz w:val="2"/>
                <w:szCs w:val="2"/>
                <w:lang w:val="en-US" w:eastAsia="zh-CN"/>
              </w:rPr>
            </w:pPr>
            <w:r>
              <w:rPr>
                <w:rFonts w:hint="eastAsia" w:cs="Times New Roman"/>
                <w:b w:val="0"/>
                <w:bCs/>
                <w:sz w:val="2"/>
                <w:szCs w:val="2"/>
                <w:lang w:val="en-US" w:eastAsia="zh-CN"/>
              </w:rPr>
              <w:t>1</w:t>
            </w:r>
          </w:p>
          <w:p w14:paraId="5E69F3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sz w:val="24"/>
                <w:szCs w:val="18"/>
                <w:lang w:val="en-US" w:eastAsia="zh-CN"/>
              </w:rPr>
            </w:pPr>
            <w:r>
              <w:rPr>
                <w:rFonts w:hint="eastAsia" w:cs="Times New Roman"/>
                <w:b w:val="0"/>
                <w:bCs/>
                <w:sz w:val="24"/>
                <w:szCs w:val="18"/>
                <w:lang w:val="en-US" w:eastAsia="zh-CN"/>
              </w:rPr>
              <w:t>（1）报废机动车贮存要求</w:t>
            </w:r>
          </w:p>
          <w:p w14:paraId="3C3030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sz w:val="24"/>
                <w:szCs w:val="18"/>
                <w:lang w:val="en-US" w:eastAsia="zh-CN"/>
              </w:rPr>
            </w:pPr>
            <w:r>
              <w:rPr>
                <w:rFonts w:hint="default" w:cs="Times New Roman"/>
                <w:b w:val="0"/>
                <w:bCs/>
                <w:sz w:val="24"/>
                <w:szCs w:val="18"/>
                <w:lang w:val="en-US" w:eastAsia="zh-CN"/>
              </w:rPr>
              <w:t xml:space="preserve">根据《报废机动车回收拆解企业技术规范》（GB22128-2019）第六条，报废机动车在厂区的贮存要求： </w:t>
            </w:r>
          </w:p>
          <w:p w14:paraId="143A08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sz w:val="24"/>
                <w:szCs w:val="18"/>
                <w:lang w:val="en-US" w:eastAsia="zh-CN"/>
              </w:rPr>
            </w:pPr>
            <w:r>
              <w:rPr>
                <w:rFonts w:hint="eastAsia" w:cs="Times New Roman"/>
                <w:b w:val="0"/>
                <w:bCs/>
                <w:sz w:val="24"/>
                <w:szCs w:val="18"/>
                <w:lang w:val="en-US" w:eastAsia="zh-CN"/>
              </w:rPr>
              <w:t>①</w:t>
            </w:r>
            <w:r>
              <w:rPr>
                <w:rFonts w:hint="default" w:cs="Times New Roman"/>
                <w:b w:val="0"/>
                <w:bCs/>
                <w:sz w:val="24"/>
                <w:szCs w:val="18"/>
                <w:lang w:val="en-US" w:eastAsia="zh-CN"/>
              </w:rPr>
              <w:t xml:space="preserve">所有车辆应避免侧放、倒放，电动汽车在蓄电池未拆卸前不应叠放。 </w:t>
            </w:r>
          </w:p>
          <w:p w14:paraId="4FDC96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sz w:val="24"/>
                <w:szCs w:val="18"/>
                <w:lang w:val="en-US" w:eastAsia="zh-CN"/>
              </w:rPr>
            </w:pPr>
            <w:r>
              <w:rPr>
                <w:rFonts w:hint="eastAsia" w:cs="Times New Roman"/>
                <w:b w:val="0"/>
                <w:bCs/>
                <w:sz w:val="24"/>
                <w:szCs w:val="18"/>
                <w:lang w:val="en-US" w:eastAsia="zh-CN"/>
              </w:rPr>
              <w:t>②</w:t>
            </w:r>
            <w:r>
              <w:rPr>
                <w:rFonts w:hint="default" w:cs="Times New Roman"/>
                <w:b w:val="0"/>
                <w:bCs/>
                <w:sz w:val="24"/>
                <w:szCs w:val="18"/>
                <w:lang w:val="en-US" w:eastAsia="zh-CN"/>
              </w:rPr>
              <w:t>机动车如需叠放，应使上下车辆的重心尽量重合，且不应超过</w:t>
            </w:r>
            <w:r>
              <w:rPr>
                <w:rFonts w:hint="eastAsia" w:cs="Times New Roman"/>
                <w:b w:val="0"/>
                <w:bCs/>
                <w:sz w:val="24"/>
                <w:szCs w:val="18"/>
                <w:lang w:val="en-US" w:eastAsia="zh-CN"/>
              </w:rPr>
              <w:t>3</w:t>
            </w:r>
            <w:r>
              <w:rPr>
                <w:rFonts w:hint="default" w:cs="Times New Roman"/>
                <w:b w:val="0"/>
                <w:bCs/>
                <w:sz w:val="24"/>
                <w:szCs w:val="18"/>
                <w:lang w:val="en-US" w:eastAsia="zh-CN"/>
              </w:rPr>
              <w:t xml:space="preserve">层。2层和3层叠放时，高度分别不应超过3m和4.5m。大型车辆应单层平置。采用框架结构存放的，要保证安全性，并易于装卸。 </w:t>
            </w:r>
          </w:p>
          <w:p w14:paraId="50C11B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sz w:val="24"/>
                <w:szCs w:val="18"/>
                <w:lang w:val="en-US" w:eastAsia="zh-CN"/>
              </w:rPr>
            </w:pPr>
            <w:r>
              <w:rPr>
                <w:rFonts w:hint="eastAsia" w:cs="Times New Roman"/>
                <w:b w:val="0"/>
                <w:bCs/>
                <w:sz w:val="24"/>
                <w:szCs w:val="18"/>
                <w:lang w:val="en-US" w:eastAsia="zh-CN"/>
              </w:rPr>
              <w:t>③</w:t>
            </w:r>
            <w:r>
              <w:rPr>
                <w:rFonts w:hint="default" w:cs="Times New Roman"/>
                <w:b w:val="0"/>
                <w:bCs/>
                <w:sz w:val="24"/>
                <w:szCs w:val="18"/>
                <w:lang w:val="en-US" w:eastAsia="zh-CN"/>
              </w:rPr>
              <w:t xml:space="preserve">电动汽车在动力蓄电池未拆卸前应单独贮存，并采取防火、防水、 绝缘、隔热等安全保障措施。 </w:t>
            </w:r>
          </w:p>
          <w:p w14:paraId="10F91A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sz w:val="24"/>
                <w:szCs w:val="18"/>
                <w:lang w:val="en-US" w:eastAsia="zh-CN"/>
              </w:rPr>
            </w:pPr>
            <w:r>
              <w:rPr>
                <w:rFonts w:hint="eastAsia" w:cs="Times New Roman"/>
                <w:b w:val="0"/>
                <w:bCs/>
                <w:sz w:val="24"/>
                <w:szCs w:val="18"/>
                <w:lang w:val="en-US" w:eastAsia="zh-CN"/>
              </w:rPr>
              <w:t>④</w:t>
            </w:r>
            <w:r>
              <w:rPr>
                <w:rFonts w:hint="default" w:cs="Times New Roman"/>
                <w:b w:val="0"/>
                <w:bCs/>
                <w:sz w:val="24"/>
                <w:szCs w:val="18"/>
                <w:lang w:val="en-US" w:eastAsia="zh-CN"/>
              </w:rPr>
              <w:t>电动汽车中的事故车以及发生动力蓄电池破损的车辆应隔离贮存。</w:t>
            </w:r>
          </w:p>
          <w:p w14:paraId="6EF395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z w:val="24"/>
                <w:szCs w:val="18"/>
                <w:lang w:val="en-US" w:eastAsia="zh-CN"/>
              </w:rPr>
            </w:pPr>
            <w:r>
              <w:rPr>
                <w:rFonts w:hint="eastAsia" w:cs="Times New Roman"/>
                <w:b w:val="0"/>
                <w:bCs/>
                <w:sz w:val="24"/>
                <w:szCs w:val="18"/>
                <w:lang w:eastAsia="zh-CN"/>
              </w:rPr>
              <w:t>（</w:t>
            </w:r>
            <w:r>
              <w:rPr>
                <w:rFonts w:hint="eastAsia" w:cs="Times New Roman"/>
                <w:b w:val="0"/>
                <w:bCs/>
                <w:sz w:val="24"/>
                <w:szCs w:val="18"/>
                <w:lang w:val="en-US" w:eastAsia="zh-CN"/>
              </w:rPr>
              <w:t>2</w:t>
            </w:r>
            <w:r>
              <w:rPr>
                <w:rFonts w:hint="eastAsia" w:cs="Times New Roman"/>
                <w:b w:val="0"/>
                <w:bCs/>
                <w:sz w:val="24"/>
                <w:szCs w:val="18"/>
                <w:lang w:eastAsia="zh-CN"/>
              </w:rPr>
              <w:t>）</w:t>
            </w:r>
            <w:r>
              <w:rPr>
                <w:rFonts w:hint="eastAsia" w:cs="Times New Roman"/>
                <w:b w:val="0"/>
                <w:bCs/>
                <w:sz w:val="24"/>
                <w:szCs w:val="18"/>
                <w:lang w:val="en-US" w:eastAsia="zh-CN"/>
              </w:rPr>
              <w:t>主要原辅材料理化性质</w:t>
            </w:r>
          </w:p>
          <w:p w14:paraId="71C7FC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z w:val="24"/>
                <w:szCs w:val="18"/>
                <w:lang w:eastAsia="zh-CN"/>
              </w:rPr>
            </w:pPr>
            <w:r>
              <w:rPr>
                <w:rFonts w:hint="eastAsia" w:cs="Times New Roman"/>
                <w:b w:val="0"/>
                <w:bCs/>
                <w:sz w:val="24"/>
                <w:szCs w:val="18"/>
                <w:lang w:val="en-US" w:eastAsia="zh-CN"/>
              </w:rPr>
              <w:t>主要</w:t>
            </w:r>
            <w:r>
              <w:rPr>
                <w:rFonts w:hint="default" w:ascii="Times New Roman" w:hAnsi="Times New Roman" w:cs="Times New Roman"/>
                <w:b w:val="0"/>
                <w:bCs/>
                <w:sz w:val="24"/>
                <w:szCs w:val="18"/>
              </w:rPr>
              <w:t>原辅材料理化性质</w:t>
            </w:r>
            <w:r>
              <w:rPr>
                <w:rFonts w:hint="eastAsia" w:ascii="Times New Roman" w:hAnsi="Times New Roman" w:cs="Times New Roman"/>
                <w:b w:val="0"/>
                <w:bCs/>
                <w:sz w:val="24"/>
                <w:szCs w:val="18"/>
                <w:lang w:val="en-US" w:eastAsia="zh-CN"/>
              </w:rPr>
              <w:t>见下表。</w:t>
            </w:r>
          </w:p>
          <w:p w14:paraId="02190D2D">
            <w:pPr>
              <w:pStyle w:val="29"/>
              <w:keepNext w:val="0"/>
              <w:keepLines w:val="0"/>
              <w:pageBreakBefore w:val="0"/>
              <w:widowControl w:val="0"/>
              <w:kinsoku/>
              <w:wordWrap/>
              <w:overflowPunct/>
              <w:topLinePunct w:val="0"/>
              <w:autoSpaceDE w:val="0"/>
              <w:autoSpaceDN w:val="0"/>
              <w:bidi w:val="0"/>
              <w:adjustRightInd w:val="0"/>
              <w:snapToGrid/>
              <w:spacing w:line="240" w:lineRule="atLeast"/>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b/>
                <w:sz w:val="21"/>
                <w:szCs w:val="15"/>
              </w:rPr>
              <w:t>表</w:t>
            </w:r>
            <w:r>
              <w:rPr>
                <w:rFonts w:hint="eastAsia" w:ascii="Times New Roman" w:hAnsi="Times New Roman" w:eastAsia="宋体" w:cs="Times New Roman"/>
                <w:b/>
                <w:sz w:val="21"/>
                <w:szCs w:val="15"/>
                <w:lang w:val="en-US" w:eastAsia="zh-CN"/>
              </w:rPr>
              <w:t xml:space="preserve">2-6 </w:t>
            </w:r>
            <w:r>
              <w:rPr>
                <w:rFonts w:hint="default" w:ascii="Times New Roman" w:hAnsi="Times New Roman" w:eastAsia="宋体" w:cs="Times New Roman"/>
                <w:b/>
                <w:sz w:val="21"/>
                <w:szCs w:val="15"/>
              </w:rPr>
              <w:t xml:space="preserve"> 乙炔理化性质和危险特性</w:t>
            </w:r>
            <w:r>
              <w:rPr>
                <w:rFonts w:hint="eastAsia" w:ascii="Times New Roman" w:hAnsi="Times New Roman" w:eastAsia="宋体" w:cs="Times New Roman"/>
                <w:b/>
                <w:sz w:val="21"/>
                <w:szCs w:val="15"/>
                <w:lang w:val="en-US" w:eastAsia="zh-CN"/>
              </w:rPr>
              <w:t>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2061"/>
              <w:gridCol w:w="1872"/>
              <w:gridCol w:w="2495"/>
            </w:tblGrid>
            <w:tr w14:paraId="72B1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1" w:type="dxa"/>
                  <w:vAlign w:val="center"/>
                </w:tcPr>
                <w:p w14:paraId="6CBBDDFB">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国际编号</w:t>
                  </w:r>
                </w:p>
              </w:tc>
              <w:tc>
                <w:tcPr>
                  <w:tcW w:w="6428" w:type="dxa"/>
                  <w:gridSpan w:val="3"/>
                  <w:vAlign w:val="center"/>
                </w:tcPr>
                <w:p w14:paraId="1E464F63">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1001</w:t>
                  </w:r>
                </w:p>
              </w:tc>
            </w:tr>
            <w:tr w14:paraId="3E165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1" w:type="dxa"/>
                  <w:vAlign w:val="center"/>
                </w:tcPr>
                <w:p w14:paraId="7B4B66FC">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中文名称</w:t>
                  </w:r>
                </w:p>
              </w:tc>
              <w:tc>
                <w:tcPr>
                  <w:tcW w:w="6428" w:type="dxa"/>
                  <w:gridSpan w:val="3"/>
                  <w:vAlign w:val="center"/>
                </w:tcPr>
                <w:p w14:paraId="56CEAFEC">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乙炔</w:t>
                  </w:r>
                </w:p>
              </w:tc>
            </w:tr>
            <w:tr w14:paraId="4654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1" w:type="dxa"/>
                  <w:vAlign w:val="center"/>
                </w:tcPr>
                <w:p w14:paraId="644E76FA">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别名</w:t>
                  </w:r>
                </w:p>
              </w:tc>
              <w:tc>
                <w:tcPr>
                  <w:tcW w:w="6428" w:type="dxa"/>
                  <w:gridSpan w:val="3"/>
                  <w:vAlign w:val="center"/>
                </w:tcPr>
                <w:p w14:paraId="6D3EC2E3">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电石气</w:t>
                  </w:r>
                </w:p>
              </w:tc>
            </w:tr>
            <w:tr w14:paraId="6661F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371" w:type="dxa"/>
                  <w:vAlign w:val="center"/>
                </w:tcPr>
                <w:p w14:paraId="2E7CB2DB">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分子式</w:t>
                  </w:r>
                </w:p>
              </w:tc>
              <w:tc>
                <w:tcPr>
                  <w:tcW w:w="2061" w:type="dxa"/>
                  <w:vAlign w:val="center"/>
                </w:tcPr>
                <w:p w14:paraId="6C4D792E">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C</w:t>
                  </w:r>
                  <w:r>
                    <w:rPr>
                      <w:rFonts w:hint="default" w:ascii="Times New Roman" w:hAnsi="Times New Roman" w:eastAsia="宋体" w:cs="Times New Roman"/>
                      <w:b w:val="0"/>
                      <w:bCs w:val="0"/>
                      <w:sz w:val="21"/>
                      <w:szCs w:val="15"/>
                      <w:vertAlign w:val="subscript"/>
                    </w:rPr>
                    <w:t>2</w:t>
                  </w:r>
                  <w:r>
                    <w:rPr>
                      <w:rFonts w:hint="default" w:ascii="Times New Roman" w:hAnsi="Times New Roman" w:eastAsia="宋体" w:cs="Times New Roman"/>
                      <w:b w:val="0"/>
                      <w:bCs w:val="0"/>
                      <w:sz w:val="21"/>
                      <w:szCs w:val="15"/>
                    </w:rPr>
                    <w:t>H</w:t>
                  </w:r>
                  <w:r>
                    <w:rPr>
                      <w:rFonts w:hint="default" w:ascii="Times New Roman" w:hAnsi="Times New Roman" w:eastAsia="宋体" w:cs="Times New Roman"/>
                      <w:b w:val="0"/>
                      <w:bCs w:val="0"/>
                      <w:sz w:val="21"/>
                      <w:szCs w:val="15"/>
                      <w:vertAlign w:val="subscript"/>
                    </w:rPr>
                    <w:t>2</w:t>
                  </w:r>
                </w:p>
              </w:tc>
              <w:tc>
                <w:tcPr>
                  <w:tcW w:w="1872" w:type="dxa"/>
                  <w:vAlign w:val="center"/>
                </w:tcPr>
                <w:p w14:paraId="6A7A4163">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外观与性状</w:t>
                  </w:r>
                </w:p>
              </w:tc>
              <w:tc>
                <w:tcPr>
                  <w:tcW w:w="2495" w:type="dxa"/>
                  <w:vAlign w:val="center"/>
                </w:tcPr>
                <w:p w14:paraId="6836496C">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无色无臭气体，工业品有使人不愉快的大蒜气味</w:t>
                  </w:r>
                </w:p>
              </w:tc>
            </w:tr>
            <w:tr w14:paraId="01C6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1" w:type="dxa"/>
                  <w:vAlign w:val="center"/>
                </w:tcPr>
                <w:p w14:paraId="04886EA4">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分子量</w:t>
                  </w:r>
                </w:p>
              </w:tc>
              <w:tc>
                <w:tcPr>
                  <w:tcW w:w="2061" w:type="dxa"/>
                  <w:vAlign w:val="center"/>
                </w:tcPr>
                <w:p w14:paraId="4A68E3B0">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26.04</w:t>
                  </w:r>
                </w:p>
              </w:tc>
              <w:tc>
                <w:tcPr>
                  <w:tcW w:w="1872" w:type="dxa"/>
                  <w:vAlign w:val="center"/>
                </w:tcPr>
                <w:p w14:paraId="0F809082">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蒸气压</w:t>
                  </w:r>
                </w:p>
              </w:tc>
              <w:tc>
                <w:tcPr>
                  <w:tcW w:w="2495" w:type="dxa"/>
                  <w:vAlign w:val="center"/>
                </w:tcPr>
                <w:p w14:paraId="2F9129CC">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4053kpa（16.8℃）</w:t>
                  </w:r>
                </w:p>
              </w:tc>
            </w:tr>
            <w:tr w14:paraId="0750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371" w:type="dxa"/>
                  <w:vAlign w:val="center"/>
                </w:tcPr>
                <w:p w14:paraId="31C8A911">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熔点（℃）</w:t>
                  </w:r>
                </w:p>
              </w:tc>
              <w:tc>
                <w:tcPr>
                  <w:tcW w:w="2061" w:type="dxa"/>
                  <w:vAlign w:val="center"/>
                </w:tcPr>
                <w:p w14:paraId="2CFC36BD">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-81.8</w:t>
                  </w:r>
                </w:p>
              </w:tc>
              <w:tc>
                <w:tcPr>
                  <w:tcW w:w="1872" w:type="dxa"/>
                  <w:vAlign w:val="center"/>
                </w:tcPr>
                <w:p w14:paraId="5B73C035">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溶解性</w:t>
                  </w:r>
                </w:p>
              </w:tc>
              <w:tc>
                <w:tcPr>
                  <w:tcW w:w="2495" w:type="dxa"/>
                  <w:vAlign w:val="center"/>
                </w:tcPr>
                <w:p w14:paraId="4BA21AEC">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微溶于水、乙醇，溶于丙酮、氯仿、苯</w:t>
                  </w:r>
                </w:p>
              </w:tc>
            </w:tr>
            <w:tr w14:paraId="18C8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1" w:type="dxa"/>
                  <w:vAlign w:val="center"/>
                </w:tcPr>
                <w:p w14:paraId="6E3E6C99">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相对密度</w:t>
                  </w:r>
                </w:p>
              </w:tc>
              <w:tc>
                <w:tcPr>
                  <w:tcW w:w="2061" w:type="dxa"/>
                  <w:vAlign w:val="center"/>
                </w:tcPr>
                <w:p w14:paraId="11D8D373">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0.91（相对于空气）</w:t>
                  </w:r>
                </w:p>
              </w:tc>
              <w:tc>
                <w:tcPr>
                  <w:tcW w:w="1872" w:type="dxa"/>
                  <w:vAlign w:val="center"/>
                </w:tcPr>
                <w:p w14:paraId="328B4B21">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稳定性</w:t>
                  </w:r>
                </w:p>
              </w:tc>
              <w:tc>
                <w:tcPr>
                  <w:tcW w:w="2495" w:type="dxa"/>
                  <w:vAlign w:val="center"/>
                </w:tcPr>
                <w:p w14:paraId="17EF717E">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稳定</w:t>
                  </w:r>
                </w:p>
              </w:tc>
            </w:tr>
            <w:tr w14:paraId="5C05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1" w:type="dxa"/>
                  <w:vAlign w:val="center"/>
                </w:tcPr>
                <w:p w14:paraId="17936382">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毒性</w:t>
                  </w:r>
                </w:p>
              </w:tc>
              <w:tc>
                <w:tcPr>
                  <w:tcW w:w="2061" w:type="dxa"/>
                  <w:vAlign w:val="center"/>
                </w:tcPr>
                <w:p w14:paraId="344A70EF">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纯乙炔无毒</w:t>
                  </w:r>
                </w:p>
              </w:tc>
              <w:tc>
                <w:tcPr>
                  <w:tcW w:w="1872" w:type="dxa"/>
                  <w:vAlign w:val="center"/>
                </w:tcPr>
                <w:p w14:paraId="77CC5CF8">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爆炸极限（V%）</w:t>
                  </w:r>
                </w:p>
              </w:tc>
              <w:tc>
                <w:tcPr>
                  <w:tcW w:w="2495" w:type="dxa"/>
                  <w:vAlign w:val="center"/>
                </w:tcPr>
                <w:p w14:paraId="494E66F2">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2.1-80.0</w:t>
                  </w:r>
                </w:p>
              </w:tc>
            </w:tr>
            <w:tr w14:paraId="74063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371" w:type="dxa"/>
                  <w:vAlign w:val="center"/>
                </w:tcPr>
                <w:p w14:paraId="751033D1">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爆炸燃烧性</w:t>
                  </w:r>
                </w:p>
              </w:tc>
              <w:tc>
                <w:tcPr>
                  <w:tcW w:w="6428" w:type="dxa"/>
                  <w:gridSpan w:val="3"/>
                  <w:vAlign w:val="center"/>
                </w:tcPr>
                <w:p w14:paraId="5923C84E">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极易燃烧爆炸，与空气混合能形成爆炸性混合物。遇明火、高热能引起燃烧爆炸。与氧化性接触会猛烈反应。与氟、氯等接触会发生剧烈的化学反应。能与铜、银、汞等化合物生成爆炸性物质。</w:t>
                  </w:r>
                </w:p>
              </w:tc>
            </w:tr>
            <w:tr w14:paraId="2EDA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1" w:type="dxa"/>
                  <w:vAlign w:val="center"/>
                </w:tcPr>
                <w:p w14:paraId="457EDAD7">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危害</w:t>
                  </w:r>
                </w:p>
              </w:tc>
              <w:tc>
                <w:tcPr>
                  <w:tcW w:w="6428" w:type="dxa"/>
                  <w:gridSpan w:val="3"/>
                  <w:vAlign w:val="center"/>
                </w:tcPr>
                <w:p w14:paraId="25B81EF3">
                  <w:pPr>
                    <w:pStyle w:val="29"/>
                    <w:spacing w:line="240" w:lineRule="auto"/>
                    <w:jc w:val="center"/>
                    <w:rPr>
                      <w:rFonts w:hint="default" w:ascii="Times New Roman" w:hAnsi="Times New Roman" w:eastAsia="宋体" w:cs="Times New Roman"/>
                      <w:b w:val="0"/>
                      <w:bCs w:val="0"/>
                      <w:sz w:val="21"/>
                      <w:szCs w:val="15"/>
                    </w:rPr>
                  </w:pPr>
                  <w:r>
                    <w:rPr>
                      <w:rFonts w:hint="default" w:ascii="Times New Roman" w:hAnsi="Times New Roman" w:eastAsia="宋体" w:cs="Times New Roman"/>
                      <w:b w:val="0"/>
                      <w:bCs w:val="0"/>
                      <w:sz w:val="21"/>
                      <w:szCs w:val="15"/>
                    </w:rPr>
                    <w:t>具有弱麻醉作用。急性中毒：接触10~20%乙炔，可引起不同程度的缺氧症状，吸入高浓度乙炔，初期兴奋、多语、哭笑不安，后眩晕、头痛、恶心和呕吐，共济失调、嗜睡；严重者昏迷、紫绀、瞳孔对光反应消失、脉弱而不齐。停止吸入，症状可迅速消失。慢性中毒：目前未见有慢性中毒报告。</w:t>
                  </w:r>
                </w:p>
              </w:tc>
            </w:tr>
          </w:tbl>
          <w:p w14:paraId="23EA2D6F">
            <w:pPr>
              <w:spacing w:line="360" w:lineRule="auto"/>
              <w:rPr>
                <w:rFonts w:hint="default" w:eastAsia="宋体"/>
                <w:sz w:val="24"/>
                <w:szCs w:val="28"/>
                <w:lang w:val="en-US" w:eastAsia="zh-CN"/>
              </w:rPr>
            </w:pPr>
            <w:r>
              <w:rPr>
                <w:rFonts w:hint="eastAsia"/>
                <w:sz w:val="24"/>
                <w:szCs w:val="28"/>
                <w:lang w:val="en-US" w:eastAsia="zh-CN"/>
              </w:rPr>
              <w:t xml:space="preserve"> </w:t>
            </w:r>
          </w:p>
        </w:tc>
      </w:tr>
    </w:tbl>
    <w:p w14:paraId="51E4F6F4">
      <w:pPr>
        <w:pStyle w:val="20"/>
        <w:jc w:val="both"/>
        <w:rPr>
          <w:rFonts w:hint="eastAsia" w:ascii="Times New Roman" w:hAnsi="Times New Roman"/>
          <w:snapToGrid w:val="0"/>
          <w:sz w:val="36"/>
          <w:szCs w:val="36"/>
          <w:lang w:val="en-US" w:eastAsia="zh-CN"/>
        </w:rPr>
        <w:sectPr>
          <w:pgSz w:w="11906" w:h="16838"/>
          <w:pgMar w:top="1701" w:right="1531" w:bottom="1701" w:left="1531" w:header="851" w:footer="851" w:gutter="0"/>
          <w:pgNumType w:fmt="decimal"/>
          <w:cols w:space="720" w:num="1"/>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977"/>
      </w:tblGrid>
      <w:tr w14:paraId="62587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5731114E">
            <w:pPr>
              <w:pStyle w:val="20"/>
              <w:jc w:val="both"/>
              <w:rPr>
                <w:rFonts w:hint="default" w:ascii="Times New Roman" w:hAnsi="Times New Roman" w:eastAsia="宋体"/>
                <w:snapToGrid w:val="0"/>
                <w:sz w:val="24"/>
                <w:szCs w:val="24"/>
                <w:vertAlign w:val="baseline"/>
                <w:lang w:val="en-US" w:eastAsia="zh-CN"/>
              </w:rPr>
            </w:pPr>
          </w:p>
        </w:tc>
        <w:tc>
          <w:tcPr>
            <w:tcW w:w="12977" w:type="dxa"/>
          </w:tcPr>
          <w:p w14:paraId="2EC24BC9">
            <w:pPr>
              <w:spacing w:line="360" w:lineRule="auto"/>
              <w:rPr>
                <w:rFonts w:hint="default" w:ascii="Times New Roman" w:hAnsi="Times New Roman" w:cs="Times New Roman"/>
                <w:b/>
                <w:bCs/>
                <w:sz w:val="24"/>
                <w:lang w:val="en-US" w:eastAsia="zh-CN"/>
              </w:rPr>
            </w:pPr>
            <w:r>
              <w:rPr>
                <w:rFonts w:hint="eastAsia" w:cs="Times New Roman"/>
                <w:b/>
                <w:bCs/>
                <w:sz w:val="24"/>
                <w:lang w:val="en-US" w:eastAsia="zh-CN"/>
              </w:rPr>
              <w:t>2.5产品方案</w:t>
            </w:r>
          </w:p>
          <w:p w14:paraId="1A4F692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CIDFont" w:hAnsi="CIDFont" w:eastAsia="CIDFont" w:cs="CIDFont"/>
                <w:color w:val="000000"/>
                <w:kern w:val="0"/>
                <w:sz w:val="24"/>
                <w:szCs w:val="24"/>
                <w:lang w:val="en-US" w:eastAsia="zh-CN" w:bidi="ar"/>
              </w:rPr>
            </w:pPr>
            <w:r>
              <w:rPr>
                <w:rFonts w:ascii="CIDFont" w:hAnsi="CIDFont" w:eastAsia="CIDFont" w:cs="CIDFont"/>
                <w:color w:val="000000"/>
                <w:kern w:val="0"/>
                <w:sz w:val="24"/>
                <w:szCs w:val="24"/>
                <w:lang w:val="en-US" w:eastAsia="zh-CN" w:bidi="ar"/>
              </w:rPr>
              <w:t>本项目对报废机动车进行物理拆解，回收其中钢铁、有色金属、塑料件、橡胶件等可回收利用材料。</w:t>
            </w:r>
            <w:r>
              <w:rPr>
                <w:rFonts w:hint="default" w:ascii="CIDFont" w:hAnsi="CIDFont" w:eastAsia="CIDFont" w:cs="CIDFont"/>
                <w:color w:val="000000"/>
                <w:kern w:val="0"/>
                <w:sz w:val="24"/>
                <w:szCs w:val="24"/>
                <w:lang w:val="en-US" w:eastAsia="zh-CN" w:bidi="ar"/>
              </w:rPr>
              <w:t>根据《汽车报废拆解与材料回收利用》及《汽车产品回收利用技术政策》中相关资料以及同类型企业经验数据的类比分析，项目主要产品方案如下表所示。</w:t>
            </w:r>
          </w:p>
          <w:p w14:paraId="612E681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b/>
                <w:bCs/>
                <w:color w:val="000000"/>
                <w:kern w:val="0"/>
                <w:sz w:val="21"/>
                <w:szCs w:val="21"/>
                <w:lang w:val="en-US" w:eastAsia="zh-CN" w:bidi="ar"/>
              </w:rPr>
            </w:pPr>
            <w:r>
              <w:rPr>
                <w:rFonts w:hint="eastAsia" w:ascii="Times New Roman" w:hAnsi="Times New Roman" w:eastAsia="宋体" w:cs="Times New Roman"/>
                <w:b/>
                <w:bCs/>
                <w:color w:val="000000"/>
                <w:kern w:val="0"/>
                <w:sz w:val="21"/>
                <w:szCs w:val="21"/>
                <w:lang w:val="en-US" w:eastAsia="zh-CN" w:bidi="ar"/>
              </w:rPr>
              <w:t>表2-7  燃油机动车拆解方案一览表</w:t>
            </w:r>
          </w:p>
          <w:tbl>
            <w:tblPr>
              <w:tblStyle w:val="25"/>
              <w:tblW w:w="12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2183"/>
              <w:gridCol w:w="933"/>
              <w:gridCol w:w="900"/>
              <w:gridCol w:w="950"/>
              <w:gridCol w:w="917"/>
              <w:gridCol w:w="983"/>
              <w:gridCol w:w="884"/>
              <w:gridCol w:w="1116"/>
              <w:gridCol w:w="3256"/>
            </w:tblGrid>
            <w:tr w14:paraId="678D4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39" w:type="dxa"/>
                  <w:vMerge w:val="restart"/>
                  <w:vAlign w:val="center"/>
                </w:tcPr>
                <w:p w14:paraId="4E01B2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eastAsia="宋体"/>
                      <w:b/>
                      <w:bCs/>
                      <w:sz w:val="21"/>
                      <w:szCs w:val="21"/>
                      <w:vertAlign w:val="baseline"/>
                      <w:lang w:val="en-US" w:eastAsia="zh-CN"/>
                    </w:rPr>
                  </w:pPr>
                  <w:r>
                    <w:rPr>
                      <w:rFonts w:hint="eastAsia"/>
                      <w:b/>
                      <w:bCs/>
                      <w:sz w:val="21"/>
                      <w:szCs w:val="21"/>
                      <w:vertAlign w:val="baseline"/>
                      <w:lang w:val="en-US" w:eastAsia="zh-CN"/>
                    </w:rPr>
                    <w:t>序号</w:t>
                  </w:r>
                </w:p>
              </w:tc>
              <w:tc>
                <w:tcPr>
                  <w:tcW w:w="2183" w:type="dxa"/>
                  <w:vMerge w:val="restart"/>
                  <w:vAlign w:val="center"/>
                </w:tcPr>
                <w:p w14:paraId="111F46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拆解产物</w:t>
                  </w:r>
                </w:p>
              </w:tc>
              <w:tc>
                <w:tcPr>
                  <w:tcW w:w="1833" w:type="dxa"/>
                  <w:gridSpan w:val="2"/>
                  <w:vAlign w:val="center"/>
                </w:tcPr>
                <w:p w14:paraId="7F7040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燃油小型车</w:t>
                  </w:r>
                </w:p>
                <w:p w14:paraId="4EE0B6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（6000辆/年）</w:t>
                  </w:r>
                </w:p>
              </w:tc>
              <w:tc>
                <w:tcPr>
                  <w:tcW w:w="1867" w:type="dxa"/>
                  <w:gridSpan w:val="2"/>
                  <w:vAlign w:val="center"/>
                </w:tcPr>
                <w:p w14:paraId="6526BA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燃油中型车</w:t>
                  </w:r>
                </w:p>
                <w:p w14:paraId="135579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（1500辆/年）</w:t>
                  </w:r>
                </w:p>
              </w:tc>
              <w:tc>
                <w:tcPr>
                  <w:tcW w:w="1867" w:type="dxa"/>
                  <w:gridSpan w:val="2"/>
                  <w:vAlign w:val="center"/>
                </w:tcPr>
                <w:p w14:paraId="3FDB29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燃油大型车</w:t>
                  </w:r>
                </w:p>
                <w:p w14:paraId="3D22F4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（500辆/年）</w:t>
                  </w:r>
                </w:p>
              </w:tc>
              <w:tc>
                <w:tcPr>
                  <w:tcW w:w="1116" w:type="dxa"/>
                  <w:vMerge w:val="restart"/>
                  <w:vAlign w:val="center"/>
                </w:tcPr>
                <w:p w14:paraId="7A12CB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总重量</w:t>
                  </w:r>
                </w:p>
                <w:p w14:paraId="28EE2B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（t/a）</w:t>
                  </w:r>
                </w:p>
              </w:tc>
              <w:tc>
                <w:tcPr>
                  <w:tcW w:w="3256" w:type="dxa"/>
                  <w:vMerge w:val="restart"/>
                  <w:vAlign w:val="center"/>
                </w:tcPr>
                <w:p w14:paraId="2BD35D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eastAsia="宋体"/>
                      <w:b/>
                      <w:bCs/>
                      <w:sz w:val="21"/>
                      <w:szCs w:val="21"/>
                      <w:vertAlign w:val="baseline"/>
                      <w:lang w:val="en-US" w:eastAsia="zh-CN"/>
                    </w:rPr>
                  </w:pPr>
                  <w:r>
                    <w:rPr>
                      <w:rFonts w:hint="eastAsia"/>
                      <w:b/>
                      <w:bCs/>
                      <w:sz w:val="21"/>
                      <w:szCs w:val="21"/>
                      <w:vertAlign w:val="baseline"/>
                      <w:lang w:val="en-US" w:eastAsia="zh-CN"/>
                    </w:rPr>
                    <w:t>去向</w:t>
                  </w:r>
                </w:p>
              </w:tc>
            </w:tr>
            <w:tr w14:paraId="74E79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639" w:type="dxa"/>
                  <w:vMerge w:val="continue"/>
                  <w:vAlign w:val="center"/>
                </w:tcPr>
                <w:p w14:paraId="0BE4B7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p>
              </w:tc>
              <w:tc>
                <w:tcPr>
                  <w:tcW w:w="2183" w:type="dxa"/>
                  <w:vMerge w:val="continue"/>
                  <w:vAlign w:val="center"/>
                </w:tcPr>
                <w:p w14:paraId="480B72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p>
              </w:tc>
              <w:tc>
                <w:tcPr>
                  <w:tcW w:w="933" w:type="dxa"/>
                  <w:vAlign w:val="center"/>
                </w:tcPr>
                <w:p w14:paraId="4BE1D7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kg/辆</w:t>
                  </w:r>
                </w:p>
              </w:tc>
              <w:tc>
                <w:tcPr>
                  <w:tcW w:w="900" w:type="dxa"/>
                  <w:vAlign w:val="center"/>
                </w:tcPr>
                <w:p w14:paraId="7D1686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eastAsia="宋体"/>
                      <w:b/>
                      <w:bCs/>
                      <w:sz w:val="21"/>
                      <w:szCs w:val="21"/>
                      <w:vertAlign w:val="baseline"/>
                      <w:lang w:val="en-US" w:eastAsia="zh-CN"/>
                    </w:rPr>
                  </w:pPr>
                  <w:r>
                    <w:rPr>
                      <w:rFonts w:hint="eastAsia"/>
                      <w:b/>
                      <w:bCs/>
                      <w:sz w:val="21"/>
                      <w:szCs w:val="21"/>
                      <w:vertAlign w:val="baseline"/>
                      <w:lang w:val="en-US" w:eastAsia="zh-CN"/>
                    </w:rPr>
                    <w:t>t/a</w:t>
                  </w:r>
                </w:p>
              </w:tc>
              <w:tc>
                <w:tcPr>
                  <w:tcW w:w="950" w:type="dxa"/>
                  <w:vAlign w:val="center"/>
                </w:tcPr>
                <w:p w14:paraId="7209F7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kg/辆</w:t>
                  </w:r>
                </w:p>
              </w:tc>
              <w:tc>
                <w:tcPr>
                  <w:tcW w:w="917" w:type="dxa"/>
                  <w:vAlign w:val="center"/>
                </w:tcPr>
                <w:p w14:paraId="6F9BD0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eastAsia="宋体"/>
                      <w:b/>
                      <w:bCs/>
                      <w:sz w:val="21"/>
                      <w:szCs w:val="21"/>
                      <w:vertAlign w:val="baseline"/>
                      <w:lang w:val="en-US" w:eastAsia="zh-CN"/>
                    </w:rPr>
                  </w:pPr>
                  <w:r>
                    <w:rPr>
                      <w:rFonts w:hint="eastAsia"/>
                      <w:b/>
                      <w:bCs/>
                      <w:sz w:val="21"/>
                      <w:szCs w:val="21"/>
                      <w:vertAlign w:val="baseline"/>
                      <w:lang w:val="en-US" w:eastAsia="zh-CN"/>
                    </w:rPr>
                    <w:t>t/a</w:t>
                  </w:r>
                </w:p>
              </w:tc>
              <w:tc>
                <w:tcPr>
                  <w:tcW w:w="983" w:type="dxa"/>
                  <w:vAlign w:val="center"/>
                </w:tcPr>
                <w:p w14:paraId="2D3F6D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kg/辆</w:t>
                  </w:r>
                </w:p>
              </w:tc>
              <w:tc>
                <w:tcPr>
                  <w:tcW w:w="884" w:type="dxa"/>
                  <w:vAlign w:val="center"/>
                </w:tcPr>
                <w:p w14:paraId="344EDB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eastAsia="宋体"/>
                      <w:b/>
                      <w:bCs/>
                      <w:sz w:val="21"/>
                      <w:szCs w:val="21"/>
                      <w:vertAlign w:val="baseline"/>
                      <w:lang w:val="en-US" w:eastAsia="zh-CN"/>
                    </w:rPr>
                  </w:pPr>
                  <w:r>
                    <w:rPr>
                      <w:rFonts w:hint="eastAsia"/>
                      <w:b/>
                      <w:bCs/>
                      <w:sz w:val="21"/>
                      <w:szCs w:val="21"/>
                      <w:vertAlign w:val="baseline"/>
                      <w:lang w:val="en-US" w:eastAsia="zh-CN"/>
                    </w:rPr>
                    <w:t>t/a</w:t>
                  </w:r>
                </w:p>
              </w:tc>
              <w:tc>
                <w:tcPr>
                  <w:tcW w:w="1116" w:type="dxa"/>
                  <w:vMerge w:val="continue"/>
                  <w:vAlign w:val="center"/>
                </w:tcPr>
                <w:p w14:paraId="6C4671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p>
              </w:tc>
              <w:tc>
                <w:tcPr>
                  <w:tcW w:w="3256" w:type="dxa"/>
                  <w:vMerge w:val="continue"/>
                  <w:vAlign w:val="center"/>
                </w:tcPr>
                <w:p w14:paraId="7BB852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p>
              </w:tc>
            </w:tr>
            <w:tr w14:paraId="12E4F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797A7F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1</w:t>
                  </w:r>
                </w:p>
              </w:tc>
              <w:tc>
                <w:tcPr>
                  <w:tcW w:w="2183" w:type="dxa"/>
                  <w:vAlign w:val="center"/>
                </w:tcPr>
                <w:p w14:paraId="11522C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发动机</w:t>
                  </w:r>
                </w:p>
              </w:tc>
              <w:tc>
                <w:tcPr>
                  <w:tcW w:w="933" w:type="dxa"/>
                  <w:vAlign w:val="center"/>
                </w:tcPr>
                <w:p w14:paraId="16671A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120</w:t>
                  </w:r>
                </w:p>
              </w:tc>
              <w:tc>
                <w:tcPr>
                  <w:tcW w:w="900" w:type="dxa"/>
                  <w:vAlign w:val="center"/>
                </w:tcPr>
                <w:p w14:paraId="5E0106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720</w:t>
                  </w:r>
                </w:p>
              </w:tc>
              <w:tc>
                <w:tcPr>
                  <w:tcW w:w="950" w:type="dxa"/>
                  <w:vAlign w:val="center"/>
                </w:tcPr>
                <w:p w14:paraId="2ACE02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300</w:t>
                  </w:r>
                </w:p>
              </w:tc>
              <w:tc>
                <w:tcPr>
                  <w:tcW w:w="917" w:type="dxa"/>
                  <w:vAlign w:val="center"/>
                </w:tcPr>
                <w:p w14:paraId="078F57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450</w:t>
                  </w:r>
                </w:p>
              </w:tc>
              <w:tc>
                <w:tcPr>
                  <w:tcW w:w="983" w:type="dxa"/>
                  <w:vAlign w:val="center"/>
                </w:tcPr>
                <w:p w14:paraId="0EA32E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600</w:t>
                  </w:r>
                </w:p>
              </w:tc>
              <w:tc>
                <w:tcPr>
                  <w:tcW w:w="884" w:type="dxa"/>
                  <w:vAlign w:val="center"/>
                </w:tcPr>
                <w:p w14:paraId="076FE8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300</w:t>
                  </w:r>
                </w:p>
              </w:tc>
              <w:tc>
                <w:tcPr>
                  <w:tcW w:w="1116" w:type="dxa"/>
                  <w:vAlign w:val="center"/>
                </w:tcPr>
                <w:p w14:paraId="0C753A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1470</w:t>
                  </w:r>
                </w:p>
              </w:tc>
              <w:tc>
                <w:tcPr>
                  <w:tcW w:w="3256" w:type="dxa"/>
                  <w:vMerge w:val="restart"/>
                  <w:vAlign w:val="center"/>
                </w:tcPr>
                <w:p w14:paraId="0D546E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eastAsia="zh-CN"/>
                    </w:rPr>
                    <w:t>“</w:t>
                  </w:r>
                  <w:r>
                    <w:rPr>
                      <w:rFonts w:hint="eastAsia"/>
                      <w:sz w:val="21"/>
                      <w:szCs w:val="21"/>
                      <w:vertAlign w:val="baseline"/>
                      <w:lang w:val="en-US" w:eastAsia="zh-CN"/>
                    </w:rPr>
                    <w:t>五大总成</w:t>
                  </w:r>
                  <w:r>
                    <w:rPr>
                      <w:rFonts w:hint="eastAsia"/>
                      <w:sz w:val="21"/>
                      <w:szCs w:val="21"/>
                      <w:vertAlign w:val="baseline"/>
                      <w:lang w:eastAsia="zh-CN"/>
                    </w:rPr>
                    <w:t>”</w:t>
                  </w:r>
                  <w:r>
                    <w:rPr>
                      <w:rFonts w:hint="eastAsia"/>
                      <w:sz w:val="21"/>
                      <w:szCs w:val="21"/>
                      <w:vertAlign w:val="baseline"/>
                      <w:lang w:val="en-US" w:eastAsia="zh-CN"/>
                    </w:rPr>
                    <w:t>具备再制造条件的出售给具有再制造能力的单位回收利用，不具备再制造条件的，经剪段、切割后外售钢铁回收单位回收利用</w:t>
                  </w:r>
                </w:p>
              </w:tc>
            </w:tr>
            <w:tr w14:paraId="5A04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5A7300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2183" w:type="dxa"/>
                  <w:vAlign w:val="center"/>
                </w:tcPr>
                <w:p w14:paraId="37C3BB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车架</w:t>
                  </w:r>
                </w:p>
              </w:tc>
              <w:tc>
                <w:tcPr>
                  <w:tcW w:w="933" w:type="dxa"/>
                  <w:vAlign w:val="center"/>
                </w:tcPr>
                <w:p w14:paraId="421FE6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345</w:t>
                  </w:r>
                </w:p>
              </w:tc>
              <w:tc>
                <w:tcPr>
                  <w:tcW w:w="900" w:type="dxa"/>
                  <w:vAlign w:val="center"/>
                </w:tcPr>
                <w:p w14:paraId="6BD92A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2070</w:t>
                  </w:r>
                </w:p>
              </w:tc>
              <w:tc>
                <w:tcPr>
                  <w:tcW w:w="950" w:type="dxa"/>
                  <w:vAlign w:val="center"/>
                </w:tcPr>
                <w:p w14:paraId="7E9830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2000</w:t>
                  </w:r>
                </w:p>
              </w:tc>
              <w:tc>
                <w:tcPr>
                  <w:tcW w:w="917" w:type="dxa"/>
                  <w:vAlign w:val="center"/>
                </w:tcPr>
                <w:p w14:paraId="79B7EC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3000</w:t>
                  </w:r>
                </w:p>
              </w:tc>
              <w:tc>
                <w:tcPr>
                  <w:tcW w:w="983" w:type="dxa"/>
                  <w:vAlign w:val="center"/>
                </w:tcPr>
                <w:p w14:paraId="6563F3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4000</w:t>
                  </w:r>
                </w:p>
              </w:tc>
              <w:tc>
                <w:tcPr>
                  <w:tcW w:w="884" w:type="dxa"/>
                  <w:vAlign w:val="center"/>
                </w:tcPr>
                <w:p w14:paraId="3C2D83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2000</w:t>
                  </w:r>
                </w:p>
              </w:tc>
              <w:tc>
                <w:tcPr>
                  <w:tcW w:w="1116" w:type="dxa"/>
                  <w:vAlign w:val="center"/>
                </w:tcPr>
                <w:p w14:paraId="4E16AF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7070</w:t>
                  </w:r>
                </w:p>
              </w:tc>
              <w:tc>
                <w:tcPr>
                  <w:tcW w:w="3256" w:type="dxa"/>
                  <w:vMerge w:val="continue"/>
                  <w:vAlign w:val="center"/>
                </w:tcPr>
                <w:p w14:paraId="49A7E3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p>
              </w:tc>
            </w:tr>
            <w:tr w14:paraId="79D7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799547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2183" w:type="dxa"/>
                  <w:vAlign w:val="center"/>
                </w:tcPr>
                <w:p w14:paraId="1B8BF3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变速器</w:t>
                  </w:r>
                </w:p>
              </w:tc>
              <w:tc>
                <w:tcPr>
                  <w:tcW w:w="933" w:type="dxa"/>
                  <w:vAlign w:val="center"/>
                </w:tcPr>
                <w:p w14:paraId="0DB55E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w:t>
                  </w:r>
                </w:p>
              </w:tc>
              <w:tc>
                <w:tcPr>
                  <w:tcW w:w="900" w:type="dxa"/>
                  <w:vAlign w:val="center"/>
                </w:tcPr>
                <w:p w14:paraId="0F4B4C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180</w:t>
                  </w:r>
                </w:p>
              </w:tc>
              <w:tc>
                <w:tcPr>
                  <w:tcW w:w="950" w:type="dxa"/>
                  <w:vAlign w:val="center"/>
                </w:tcPr>
                <w:p w14:paraId="6B7480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100</w:t>
                  </w:r>
                </w:p>
              </w:tc>
              <w:tc>
                <w:tcPr>
                  <w:tcW w:w="917" w:type="dxa"/>
                  <w:vAlign w:val="center"/>
                </w:tcPr>
                <w:p w14:paraId="163477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150</w:t>
                  </w:r>
                </w:p>
              </w:tc>
              <w:tc>
                <w:tcPr>
                  <w:tcW w:w="983" w:type="dxa"/>
                  <w:vAlign w:val="center"/>
                </w:tcPr>
                <w:p w14:paraId="680929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200</w:t>
                  </w:r>
                </w:p>
              </w:tc>
              <w:tc>
                <w:tcPr>
                  <w:tcW w:w="884" w:type="dxa"/>
                  <w:vAlign w:val="center"/>
                </w:tcPr>
                <w:p w14:paraId="1B40AE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100</w:t>
                  </w:r>
                </w:p>
              </w:tc>
              <w:tc>
                <w:tcPr>
                  <w:tcW w:w="1116" w:type="dxa"/>
                  <w:vAlign w:val="center"/>
                </w:tcPr>
                <w:p w14:paraId="4DA2C9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430</w:t>
                  </w:r>
                </w:p>
              </w:tc>
              <w:tc>
                <w:tcPr>
                  <w:tcW w:w="3256" w:type="dxa"/>
                  <w:vMerge w:val="continue"/>
                  <w:vAlign w:val="center"/>
                </w:tcPr>
                <w:p w14:paraId="4AC388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p>
              </w:tc>
            </w:tr>
            <w:tr w14:paraId="784D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06DDE5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w:t>
                  </w:r>
                </w:p>
              </w:tc>
              <w:tc>
                <w:tcPr>
                  <w:tcW w:w="2183" w:type="dxa"/>
                  <w:vAlign w:val="center"/>
                </w:tcPr>
                <w:p w14:paraId="46A0E6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前后桥</w:t>
                  </w:r>
                </w:p>
              </w:tc>
              <w:tc>
                <w:tcPr>
                  <w:tcW w:w="933" w:type="dxa"/>
                  <w:vAlign w:val="center"/>
                </w:tcPr>
                <w:p w14:paraId="489E77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100</w:t>
                  </w:r>
                </w:p>
              </w:tc>
              <w:tc>
                <w:tcPr>
                  <w:tcW w:w="900" w:type="dxa"/>
                  <w:vAlign w:val="center"/>
                </w:tcPr>
                <w:p w14:paraId="0964C2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600</w:t>
                  </w:r>
                </w:p>
              </w:tc>
              <w:tc>
                <w:tcPr>
                  <w:tcW w:w="950" w:type="dxa"/>
                  <w:vAlign w:val="center"/>
                </w:tcPr>
                <w:p w14:paraId="184749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300</w:t>
                  </w:r>
                </w:p>
              </w:tc>
              <w:tc>
                <w:tcPr>
                  <w:tcW w:w="917" w:type="dxa"/>
                  <w:vAlign w:val="center"/>
                </w:tcPr>
                <w:p w14:paraId="047C94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450</w:t>
                  </w:r>
                </w:p>
              </w:tc>
              <w:tc>
                <w:tcPr>
                  <w:tcW w:w="983" w:type="dxa"/>
                  <w:vAlign w:val="center"/>
                </w:tcPr>
                <w:p w14:paraId="1B3C65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1200</w:t>
                  </w:r>
                </w:p>
              </w:tc>
              <w:tc>
                <w:tcPr>
                  <w:tcW w:w="884" w:type="dxa"/>
                  <w:vAlign w:val="center"/>
                </w:tcPr>
                <w:p w14:paraId="315E26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600</w:t>
                  </w:r>
                </w:p>
              </w:tc>
              <w:tc>
                <w:tcPr>
                  <w:tcW w:w="1116" w:type="dxa"/>
                  <w:vAlign w:val="center"/>
                </w:tcPr>
                <w:p w14:paraId="3C43DD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1650</w:t>
                  </w:r>
                </w:p>
              </w:tc>
              <w:tc>
                <w:tcPr>
                  <w:tcW w:w="3256" w:type="dxa"/>
                  <w:vMerge w:val="continue"/>
                  <w:vAlign w:val="center"/>
                </w:tcPr>
                <w:p w14:paraId="577632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p>
              </w:tc>
            </w:tr>
            <w:tr w14:paraId="38317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2684A3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c>
                <w:tcPr>
                  <w:tcW w:w="2183" w:type="dxa"/>
                  <w:vAlign w:val="center"/>
                </w:tcPr>
                <w:p w14:paraId="369A0C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方向机</w:t>
                  </w:r>
                </w:p>
              </w:tc>
              <w:tc>
                <w:tcPr>
                  <w:tcW w:w="933" w:type="dxa"/>
                  <w:vAlign w:val="center"/>
                </w:tcPr>
                <w:p w14:paraId="30A6E6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10</w:t>
                  </w:r>
                </w:p>
              </w:tc>
              <w:tc>
                <w:tcPr>
                  <w:tcW w:w="900" w:type="dxa"/>
                  <w:vAlign w:val="center"/>
                </w:tcPr>
                <w:p w14:paraId="1A6258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60</w:t>
                  </w:r>
                </w:p>
              </w:tc>
              <w:tc>
                <w:tcPr>
                  <w:tcW w:w="950" w:type="dxa"/>
                  <w:vAlign w:val="center"/>
                </w:tcPr>
                <w:p w14:paraId="1DAAFB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w:t>
                  </w:r>
                </w:p>
              </w:tc>
              <w:tc>
                <w:tcPr>
                  <w:tcW w:w="917" w:type="dxa"/>
                  <w:vAlign w:val="center"/>
                </w:tcPr>
                <w:p w14:paraId="09B1AA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45</w:t>
                  </w:r>
                </w:p>
              </w:tc>
              <w:tc>
                <w:tcPr>
                  <w:tcW w:w="983" w:type="dxa"/>
                  <w:vAlign w:val="center"/>
                </w:tcPr>
                <w:p w14:paraId="296C3D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40</w:t>
                  </w:r>
                </w:p>
              </w:tc>
              <w:tc>
                <w:tcPr>
                  <w:tcW w:w="884" w:type="dxa"/>
                  <w:vAlign w:val="center"/>
                </w:tcPr>
                <w:p w14:paraId="50D6D3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20</w:t>
                  </w:r>
                </w:p>
              </w:tc>
              <w:tc>
                <w:tcPr>
                  <w:tcW w:w="1116" w:type="dxa"/>
                  <w:vAlign w:val="center"/>
                </w:tcPr>
                <w:p w14:paraId="0CE19A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125</w:t>
                  </w:r>
                </w:p>
              </w:tc>
              <w:tc>
                <w:tcPr>
                  <w:tcW w:w="3256" w:type="dxa"/>
                  <w:vMerge w:val="continue"/>
                  <w:vAlign w:val="center"/>
                </w:tcPr>
                <w:p w14:paraId="37B167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p>
              </w:tc>
            </w:tr>
            <w:tr w14:paraId="06C46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5E53A3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w:t>
                  </w:r>
                </w:p>
              </w:tc>
              <w:tc>
                <w:tcPr>
                  <w:tcW w:w="2183" w:type="dxa"/>
                  <w:vAlign w:val="center"/>
                </w:tcPr>
                <w:p w14:paraId="59BED7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散热器</w:t>
                  </w:r>
                </w:p>
              </w:tc>
              <w:tc>
                <w:tcPr>
                  <w:tcW w:w="933" w:type="dxa"/>
                  <w:vAlign w:val="center"/>
                </w:tcPr>
                <w:p w14:paraId="0FCE70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10</w:t>
                  </w:r>
                </w:p>
              </w:tc>
              <w:tc>
                <w:tcPr>
                  <w:tcW w:w="900" w:type="dxa"/>
                  <w:vAlign w:val="center"/>
                </w:tcPr>
                <w:p w14:paraId="5332C9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60</w:t>
                  </w:r>
                </w:p>
              </w:tc>
              <w:tc>
                <w:tcPr>
                  <w:tcW w:w="950" w:type="dxa"/>
                  <w:vAlign w:val="center"/>
                </w:tcPr>
                <w:p w14:paraId="50B82D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60</w:t>
                  </w:r>
                </w:p>
              </w:tc>
              <w:tc>
                <w:tcPr>
                  <w:tcW w:w="917" w:type="dxa"/>
                  <w:vAlign w:val="center"/>
                </w:tcPr>
                <w:p w14:paraId="77D37F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90</w:t>
                  </w:r>
                </w:p>
              </w:tc>
              <w:tc>
                <w:tcPr>
                  <w:tcW w:w="983" w:type="dxa"/>
                  <w:vAlign w:val="center"/>
                </w:tcPr>
                <w:p w14:paraId="7E5EEB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150</w:t>
                  </w:r>
                </w:p>
              </w:tc>
              <w:tc>
                <w:tcPr>
                  <w:tcW w:w="884" w:type="dxa"/>
                  <w:vAlign w:val="center"/>
                </w:tcPr>
                <w:p w14:paraId="5A2402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75</w:t>
                  </w:r>
                </w:p>
              </w:tc>
              <w:tc>
                <w:tcPr>
                  <w:tcW w:w="1116" w:type="dxa"/>
                  <w:vAlign w:val="center"/>
                </w:tcPr>
                <w:p w14:paraId="64762E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225</w:t>
                  </w:r>
                </w:p>
              </w:tc>
              <w:tc>
                <w:tcPr>
                  <w:tcW w:w="3256" w:type="dxa"/>
                  <w:vMerge w:val="restart"/>
                  <w:vAlign w:val="center"/>
                </w:tcPr>
                <w:p w14:paraId="2E7234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外售废有色金属回收单位</w:t>
                  </w:r>
                </w:p>
              </w:tc>
            </w:tr>
            <w:tr w14:paraId="67D92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737093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7</w:t>
                  </w:r>
                </w:p>
              </w:tc>
              <w:tc>
                <w:tcPr>
                  <w:tcW w:w="2183" w:type="dxa"/>
                  <w:vAlign w:val="center"/>
                </w:tcPr>
                <w:p w14:paraId="68DB16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电线电缆</w:t>
                  </w:r>
                </w:p>
              </w:tc>
              <w:tc>
                <w:tcPr>
                  <w:tcW w:w="933" w:type="dxa"/>
                  <w:vAlign w:val="center"/>
                </w:tcPr>
                <w:p w14:paraId="72F910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10</w:t>
                  </w:r>
                </w:p>
              </w:tc>
              <w:tc>
                <w:tcPr>
                  <w:tcW w:w="900" w:type="dxa"/>
                  <w:vAlign w:val="center"/>
                </w:tcPr>
                <w:p w14:paraId="5ABC1C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60</w:t>
                  </w:r>
                </w:p>
              </w:tc>
              <w:tc>
                <w:tcPr>
                  <w:tcW w:w="950" w:type="dxa"/>
                  <w:vAlign w:val="center"/>
                </w:tcPr>
                <w:p w14:paraId="636C6D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20</w:t>
                  </w:r>
                </w:p>
              </w:tc>
              <w:tc>
                <w:tcPr>
                  <w:tcW w:w="917" w:type="dxa"/>
                  <w:vAlign w:val="center"/>
                </w:tcPr>
                <w:p w14:paraId="7D32D7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w:t>
                  </w:r>
                </w:p>
              </w:tc>
              <w:tc>
                <w:tcPr>
                  <w:tcW w:w="983" w:type="dxa"/>
                  <w:vAlign w:val="center"/>
                </w:tcPr>
                <w:p w14:paraId="20D2D1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50</w:t>
                  </w:r>
                </w:p>
              </w:tc>
              <w:tc>
                <w:tcPr>
                  <w:tcW w:w="884" w:type="dxa"/>
                  <w:vAlign w:val="center"/>
                </w:tcPr>
                <w:p w14:paraId="0009DB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25</w:t>
                  </w:r>
                </w:p>
              </w:tc>
              <w:tc>
                <w:tcPr>
                  <w:tcW w:w="1116" w:type="dxa"/>
                  <w:vAlign w:val="center"/>
                </w:tcPr>
                <w:p w14:paraId="58C007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115</w:t>
                  </w:r>
                </w:p>
              </w:tc>
              <w:tc>
                <w:tcPr>
                  <w:tcW w:w="3256" w:type="dxa"/>
                  <w:vMerge w:val="continue"/>
                  <w:vAlign w:val="center"/>
                </w:tcPr>
                <w:p w14:paraId="519984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p>
              </w:tc>
            </w:tr>
            <w:tr w14:paraId="1716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0F0026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w:t>
                  </w:r>
                </w:p>
              </w:tc>
              <w:tc>
                <w:tcPr>
                  <w:tcW w:w="2183" w:type="dxa"/>
                  <w:vAlign w:val="center"/>
                </w:tcPr>
                <w:p w14:paraId="1F628F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车门</w:t>
                  </w:r>
                </w:p>
              </w:tc>
              <w:tc>
                <w:tcPr>
                  <w:tcW w:w="933" w:type="dxa"/>
                  <w:vAlign w:val="center"/>
                </w:tcPr>
                <w:p w14:paraId="225CED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55</w:t>
                  </w:r>
                </w:p>
              </w:tc>
              <w:tc>
                <w:tcPr>
                  <w:tcW w:w="900" w:type="dxa"/>
                  <w:vAlign w:val="center"/>
                </w:tcPr>
                <w:p w14:paraId="017C0A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330</w:t>
                  </w:r>
                </w:p>
              </w:tc>
              <w:tc>
                <w:tcPr>
                  <w:tcW w:w="950" w:type="dxa"/>
                  <w:vAlign w:val="center"/>
                </w:tcPr>
                <w:p w14:paraId="05034F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120</w:t>
                  </w:r>
                </w:p>
              </w:tc>
              <w:tc>
                <w:tcPr>
                  <w:tcW w:w="917" w:type="dxa"/>
                  <w:vAlign w:val="center"/>
                </w:tcPr>
                <w:p w14:paraId="30D862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180</w:t>
                  </w:r>
                </w:p>
              </w:tc>
              <w:tc>
                <w:tcPr>
                  <w:tcW w:w="983" w:type="dxa"/>
                  <w:vAlign w:val="center"/>
                </w:tcPr>
                <w:p w14:paraId="0DD818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300</w:t>
                  </w:r>
                </w:p>
              </w:tc>
              <w:tc>
                <w:tcPr>
                  <w:tcW w:w="884" w:type="dxa"/>
                  <w:vAlign w:val="center"/>
                </w:tcPr>
                <w:p w14:paraId="4CF9B1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150</w:t>
                  </w:r>
                </w:p>
              </w:tc>
              <w:tc>
                <w:tcPr>
                  <w:tcW w:w="1116" w:type="dxa"/>
                  <w:vAlign w:val="center"/>
                </w:tcPr>
                <w:p w14:paraId="6BBDBF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660</w:t>
                  </w:r>
                </w:p>
              </w:tc>
              <w:tc>
                <w:tcPr>
                  <w:tcW w:w="3256" w:type="dxa"/>
                  <w:vMerge w:val="restart"/>
                  <w:vAlign w:val="center"/>
                </w:tcPr>
                <w:p w14:paraId="617436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外售废钢铁回收单位</w:t>
                  </w:r>
                </w:p>
              </w:tc>
            </w:tr>
            <w:tr w14:paraId="17E45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00A3D3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9</w:t>
                  </w:r>
                </w:p>
              </w:tc>
              <w:tc>
                <w:tcPr>
                  <w:tcW w:w="2183" w:type="dxa"/>
                  <w:vAlign w:val="center"/>
                </w:tcPr>
                <w:p w14:paraId="3B8237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座椅</w:t>
                  </w:r>
                </w:p>
              </w:tc>
              <w:tc>
                <w:tcPr>
                  <w:tcW w:w="933" w:type="dxa"/>
                  <w:vAlign w:val="center"/>
                </w:tcPr>
                <w:p w14:paraId="4D9125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w:t>
                  </w:r>
                </w:p>
              </w:tc>
              <w:tc>
                <w:tcPr>
                  <w:tcW w:w="900" w:type="dxa"/>
                  <w:vAlign w:val="center"/>
                </w:tcPr>
                <w:p w14:paraId="012C1E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180</w:t>
                  </w:r>
                </w:p>
              </w:tc>
              <w:tc>
                <w:tcPr>
                  <w:tcW w:w="950" w:type="dxa"/>
                  <w:vAlign w:val="center"/>
                </w:tcPr>
                <w:p w14:paraId="066710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320</w:t>
                  </w:r>
                </w:p>
              </w:tc>
              <w:tc>
                <w:tcPr>
                  <w:tcW w:w="917" w:type="dxa"/>
                  <w:vAlign w:val="center"/>
                </w:tcPr>
                <w:p w14:paraId="3C8727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480</w:t>
                  </w:r>
                </w:p>
              </w:tc>
              <w:tc>
                <w:tcPr>
                  <w:tcW w:w="983" w:type="dxa"/>
                  <w:vAlign w:val="center"/>
                </w:tcPr>
                <w:p w14:paraId="6F6E96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400</w:t>
                  </w:r>
                </w:p>
              </w:tc>
              <w:tc>
                <w:tcPr>
                  <w:tcW w:w="884" w:type="dxa"/>
                  <w:vAlign w:val="center"/>
                </w:tcPr>
                <w:p w14:paraId="2B4E4D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200</w:t>
                  </w:r>
                </w:p>
              </w:tc>
              <w:tc>
                <w:tcPr>
                  <w:tcW w:w="1116" w:type="dxa"/>
                  <w:vAlign w:val="center"/>
                </w:tcPr>
                <w:p w14:paraId="10058A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860</w:t>
                  </w:r>
                </w:p>
              </w:tc>
              <w:tc>
                <w:tcPr>
                  <w:tcW w:w="3256" w:type="dxa"/>
                  <w:vMerge w:val="continue"/>
                  <w:vAlign w:val="center"/>
                </w:tcPr>
                <w:p w14:paraId="7C02F5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p>
              </w:tc>
            </w:tr>
            <w:tr w14:paraId="32402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1FEF80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10</w:t>
                  </w:r>
                </w:p>
              </w:tc>
              <w:tc>
                <w:tcPr>
                  <w:tcW w:w="2183" w:type="dxa"/>
                  <w:vAlign w:val="center"/>
                </w:tcPr>
                <w:p w14:paraId="47DE43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保险杠</w:t>
                  </w:r>
                </w:p>
              </w:tc>
              <w:tc>
                <w:tcPr>
                  <w:tcW w:w="933" w:type="dxa"/>
                  <w:vAlign w:val="center"/>
                </w:tcPr>
                <w:p w14:paraId="50B10C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25</w:t>
                  </w:r>
                </w:p>
              </w:tc>
              <w:tc>
                <w:tcPr>
                  <w:tcW w:w="900" w:type="dxa"/>
                  <w:vAlign w:val="center"/>
                </w:tcPr>
                <w:p w14:paraId="3E1397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150</w:t>
                  </w:r>
                </w:p>
              </w:tc>
              <w:tc>
                <w:tcPr>
                  <w:tcW w:w="950" w:type="dxa"/>
                  <w:vAlign w:val="center"/>
                </w:tcPr>
                <w:p w14:paraId="162E9B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120</w:t>
                  </w:r>
                </w:p>
              </w:tc>
              <w:tc>
                <w:tcPr>
                  <w:tcW w:w="917" w:type="dxa"/>
                  <w:vAlign w:val="center"/>
                </w:tcPr>
                <w:p w14:paraId="124C36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180</w:t>
                  </w:r>
                </w:p>
              </w:tc>
              <w:tc>
                <w:tcPr>
                  <w:tcW w:w="983" w:type="dxa"/>
                  <w:vAlign w:val="center"/>
                </w:tcPr>
                <w:p w14:paraId="4BEB7A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220</w:t>
                  </w:r>
                </w:p>
              </w:tc>
              <w:tc>
                <w:tcPr>
                  <w:tcW w:w="884" w:type="dxa"/>
                  <w:vAlign w:val="center"/>
                </w:tcPr>
                <w:p w14:paraId="2DC41E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110</w:t>
                  </w:r>
                </w:p>
              </w:tc>
              <w:tc>
                <w:tcPr>
                  <w:tcW w:w="1116" w:type="dxa"/>
                  <w:vAlign w:val="center"/>
                </w:tcPr>
                <w:p w14:paraId="63809D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440</w:t>
                  </w:r>
                </w:p>
              </w:tc>
              <w:tc>
                <w:tcPr>
                  <w:tcW w:w="3256" w:type="dxa"/>
                  <w:vMerge w:val="continue"/>
                  <w:vAlign w:val="center"/>
                </w:tcPr>
                <w:p w14:paraId="59E03C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p>
              </w:tc>
            </w:tr>
            <w:tr w14:paraId="1593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2B8058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11</w:t>
                  </w:r>
                </w:p>
              </w:tc>
              <w:tc>
                <w:tcPr>
                  <w:tcW w:w="2183" w:type="dxa"/>
                  <w:vAlign w:val="center"/>
                </w:tcPr>
                <w:p w14:paraId="0DAAC9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螺丝、轴承</w:t>
                  </w:r>
                </w:p>
              </w:tc>
              <w:tc>
                <w:tcPr>
                  <w:tcW w:w="933" w:type="dxa"/>
                  <w:vAlign w:val="center"/>
                </w:tcPr>
                <w:p w14:paraId="2CD06E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40</w:t>
                  </w:r>
                </w:p>
              </w:tc>
              <w:tc>
                <w:tcPr>
                  <w:tcW w:w="900" w:type="dxa"/>
                  <w:vAlign w:val="center"/>
                </w:tcPr>
                <w:p w14:paraId="677225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240</w:t>
                  </w:r>
                </w:p>
              </w:tc>
              <w:tc>
                <w:tcPr>
                  <w:tcW w:w="950" w:type="dxa"/>
                  <w:vAlign w:val="center"/>
                </w:tcPr>
                <w:p w14:paraId="66E31C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150</w:t>
                  </w:r>
                </w:p>
              </w:tc>
              <w:tc>
                <w:tcPr>
                  <w:tcW w:w="917" w:type="dxa"/>
                  <w:vAlign w:val="center"/>
                </w:tcPr>
                <w:p w14:paraId="2FE4F1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225</w:t>
                  </w:r>
                </w:p>
              </w:tc>
              <w:tc>
                <w:tcPr>
                  <w:tcW w:w="983" w:type="dxa"/>
                  <w:vAlign w:val="center"/>
                </w:tcPr>
                <w:p w14:paraId="46EC75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300</w:t>
                  </w:r>
                </w:p>
              </w:tc>
              <w:tc>
                <w:tcPr>
                  <w:tcW w:w="884" w:type="dxa"/>
                  <w:vAlign w:val="center"/>
                </w:tcPr>
                <w:p w14:paraId="11096E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150</w:t>
                  </w:r>
                </w:p>
              </w:tc>
              <w:tc>
                <w:tcPr>
                  <w:tcW w:w="1116" w:type="dxa"/>
                  <w:vAlign w:val="center"/>
                </w:tcPr>
                <w:p w14:paraId="069BFB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615</w:t>
                  </w:r>
                </w:p>
              </w:tc>
              <w:tc>
                <w:tcPr>
                  <w:tcW w:w="3256" w:type="dxa"/>
                  <w:vMerge w:val="continue"/>
                  <w:vAlign w:val="center"/>
                </w:tcPr>
                <w:p w14:paraId="18FB12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p>
              </w:tc>
            </w:tr>
            <w:tr w14:paraId="065C7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7A295D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12</w:t>
                  </w:r>
                </w:p>
              </w:tc>
              <w:tc>
                <w:tcPr>
                  <w:tcW w:w="2183" w:type="dxa"/>
                  <w:vAlign w:val="center"/>
                </w:tcPr>
                <w:p w14:paraId="2EFEBC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消声器</w:t>
                  </w:r>
                </w:p>
              </w:tc>
              <w:tc>
                <w:tcPr>
                  <w:tcW w:w="933" w:type="dxa"/>
                  <w:vAlign w:val="center"/>
                </w:tcPr>
                <w:p w14:paraId="2AC0B6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10</w:t>
                  </w:r>
                </w:p>
              </w:tc>
              <w:tc>
                <w:tcPr>
                  <w:tcW w:w="900" w:type="dxa"/>
                  <w:vAlign w:val="center"/>
                </w:tcPr>
                <w:p w14:paraId="08D9C2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60</w:t>
                  </w:r>
                </w:p>
              </w:tc>
              <w:tc>
                <w:tcPr>
                  <w:tcW w:w="950" w:type="dxa"/>
                  <w:vAlign w:val="center"/>
                </w:tcPr>
                <w:p w14:paraId="2382DB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w:t>
                  </w:r>
                </w:p>
              </w:tc>
              <w:tc>
                <w:tcPr>
                  <w:tcW w:w="917" w:type="dxa"/>
                  <w:vAlign w:val="center"/>
                </w:tcPr>
                <w:p w14:paraId="272229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45</w:t>
                  </w:r>
                </w:p>
              </w:tc>
              <w:tc>
                <w:tcPr>
                  <w:tcW w:w="983" w:type="dxa"/>
                  <w:vAlign w:val="center"/>
                </w:tcPr>
                <w:p w14:paraId="3E0A2B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60</w:t>
                  </w:r>
                </w:p>
              </w:tc>
              <w:tc>
                <w:tcPr>
                  <w:tcW w:w="884" w:type="dxa"/>
                  <w:vAlign w:val="center"/>
                </w:tcPr>
                <w:p w14:paraId="2062E0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w:t>
                  </w:r>
                </w:p>
              </w:tc>
              <w:tc>
                <w:tcPr>
                  <w:tcW w:w="1116" w:type="dxa"/>
                  <w:vAlign w:val="center"/>
                </w:tcPr>
                <w:p w14:paraId="7E1BFC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135</w:t>
                  </w:r>
                </w:p>
              </w:tc>
              <w:tc>
                <w:tcPr>
                  <w:tcW w:w="3256" w:type="dxa"/>
                  <w:vMerge w:val="continue"/>
                  <w:vAlign w:val="center"/>
                </w:tcPr>
                <w:p w14:paraId="04BC1E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p>
              </w:tc>
            </w:tr>
            <w:tr w14:paraId="25F5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5FF688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13</w:t>
                  </w:r>
                </w:p>
              </w:tc>
              <w:tc>
                <w:tcPr>
                  <w:tcW w:w="2183" w:type="dxa"/>
                  <w:vAlign w:val="center"/>
                </w:tcPr>
                <w:p w14:paraId="77D3F9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悬架</w:t>
                  </w:r>
                </w:p>
              </w:tc>
              <w:tc>
                <w:tcPr>
                  <w:tcW w:w="933" w:type="dxa"/>
                  <w:vAlign w:val="center"/>
                </w:tcPr>
                <w:p w14:paraId="738064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120</w:t>
                  </w:r>
                </w:p>
              </w:tc>
              <w:tc>
                <w:tcPr>
                  <w:tcW w:w="900" w:type="dxa"/>
                  <w:vAlign w:val="center"/>
                </w:tcPr>
                <w:p w14:paraId="57F354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720</w:t>
                  </w:r>
                </w:p>
              </w:tc>
              <w:tc>
                <w:tcPr>
                  <w:tcW w:w="950" w:type="dxa"/>
                  <w:vAlign w:val="center"/>
                </w:tcPr>
                <w:p w14:paraId="606835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600</w:t>
                  </w:r>
                </w:p>
              </w:tc>
              <w:tc>
                <w:tcPr>
                  <w:tcW w:w="917" w:type="dxa"/>
                  <w:vAlign w:val="center"/>
                </w:tcPr>
                <w:p w14:paraId="32EFD8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900</w:t>
                  </w:r>
                </w:p>
              </w:tc>
              <w:tc>
                <w:tcPr>
                  <w:tcW w:w="983" w:type="dxa"/>
                  <w:vAlign w:val="center"/>
                </w:tcPr>
                <w:p w14:paraId="6AFC71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1200</w:t>
                  </w:r>
                </w:p>
              </w:tc>
              <w:tc>
                <w:tcPr>
                  <w:tcW w:w="884" w:type="dxa"/>
                  <w:vAlign w:val="center"/>
                </w:tcPr>
                <w:p w14:paraId="26270B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600</w:t>
                  </w:r>
                </w:p>
              </w:tc>
              <w:tc>
                <w:tcPr>
                  <w:tcW w:w="1116" w:type="dxa"/>
                  <w:vAlign w:val="center"/>
                </w:tcPr>
                <w:p w14:paraId="2529A2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2220</w:t>
                  </w:r>
                </w:p>
              </w:tc>
              <w:tc>
                <w:tcPr>
                  <w:tcW w:w="3256" w:type="dxa"/>
                  <w:vMerge w:val="continue"/>
                  <w:vAlign w:val="center"/>
                </w:tcPr>
                <w:p w14:paraId="7307F3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p>
              </w:tc>
            </w:tr>
            <w:tr w14:paraId="2320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761FBA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14</w:t>
                  </w:r>
                </w:p>
              </w:tc>
              <w:tc>
                <w:tcPr>
                  <w:tcW w:w="2183" w:type="dxa"/>
                  <w:vAlign w:val="center"/>
                </w:tcPr>
                <w:p w14:paraId="24EC2A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轮胎及其他橡胶制品</w:t>
                  </w:r>
                </w:p>
              </w:tc>
              <w:tc>
                <w:tcPr>
                  <w:tcW w:w="933" w:type="dxa"/>
                  <w:vAlign w:val="center"/>
                </w:tcPr>
                <w:p w14:paraId="20AC5C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40</w:t>
                  </w:r>
                </w:p>
              </w:tc>
              <w:tc>
                <w:tcPr>
                  <w:tcW w:w="900" w:type="dxa"/>
                  <w:vAlign w:val="center"/>
                </w:tcPr>
                <w:p w14:paraId="31E621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240</w:t>
                  </w:r>
                </w:p>
              </w:tc>
              <w:tc>
                <w:tcPr>
                  <w:tcW w:w="950" w:type="dxa"/>
                  <w:vAlign w:val="center"/>
                </w:tcPr>
                <w:p w14:paraId="0A698F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300</w:t>
                  </w:r>
                </w:p>
              </w:tc>
              <w:tc>
                <w:tcPr>
                  <w:tcW w:w="917" w:type="dxa"/>
                  <w:vAlign w:val="center"/>
                </w:tcPr>
                <w:p w14:paraId="5FC9FF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450</w:t>
                  </w:r>
                </w:p>
              </w:tc>
              <w:tc>
                <w:tcPr>
                  <w:tcW w:w="983" w:type="dxa"/>
                  <w:vAlign w:val="center"/>
                </w:tcPr>
                <w:p w14:paraId="7CC6E5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300</w:t>
                  </w:r>
                </w:p>
              </w:tc>
              <w:tc>
                <w:tcPr>
                  <w:tcW w:w="884" w:type="dxa"/>
                  <w:vAlign w:val="center"/>
                </w:tcPr>
                <w:p w14:paraId="0923E1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150</w:t>
                  </w:r>
                </w:p>
              </w:tc>
              <w:tc>
                <w:tcPr>
                  <w:tcW w:w="1116" w:type="dxa"/>
                  <w:vAlign w:val="center"/>
                </w:tcPr>
                <w:p w14:paraId="687E2B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840</w:t>
                  </w:r>
                </w:p>
              </w:tc>
              <w:tc>
                <w:tcPr>
                  <w:tcW w:w="3256" w:type="dxa"/>
                  <w:vAlign w:val="center"/>
                </w:tcPr>
                <w:p w14:paraId="499495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外售废橡胶回收单位</w:t>
                  </w:r>
                </w:p>
              </w:tc>
            </w:tr>
            <w:tr w14:paraId="507E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29BBF6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15</w:t>
                  </w:r>
                </w:p>
              </w:tc>
              <w:tc>
                <w:tcPr>
                  <w:tcW w:w="2183" w:type="dxa"/>
                  <w:vAlign w:val="center"/>
                </w:tcPr>
                <w:p w14:paraId="7D58A6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塑料</w:t>
                  </w:r>
                </w:p>
              </w:tc>
              <w:tc>
                <w:tcPr>
                  <w:tcW w:w="933" w:type="dxa"/>
                  <w:vAlign w:val="center"/>
                </w:tcPr>
                <w:p w14:paraId="446F79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25</w:t>
                  </w:r>
                </w:p>
              </w:tc>
              <w:tc>
                <w:tcPr>
                  <w:tcW w:w="900" w:type="dxa"/>
                  <w:vAlign w:val="center"/>
                </w:tcPr>
                <w:p w14:paraId="165B06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150</w:t>
                  </w:r>
                </w:p>
              </w:tc>
              <w:tc>
                <w:tcPr>
                  <w:tcW w:w="950" w:type="dxa"/>
                  <w:vAlign w:val="center"/>
                </w:tcPr>
                <w:p w14:paraId="4FE91D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200</w:t>
                  </w:r>
                </w:p>
              </w:tc>
              <w:tc>
                <w:tcPr>
                  <w:tcW w:w="917" w:type="dxa"/>
                  <w:vAlign w:val="center"/>
                </w:tcPr>
                <w:p w14:paraId="3EAE7C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300</w:t>
                  </w:r>
                </w:p>
              </w:tc>
              <w:tc>
                <w:tcPr>
                  <w:tcW w:w="983" w:type="dxa"/>
                  <w:vAlign w:val="center"/>
                </w:tcPr>
                <w:p w14:paraId="7B5969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400</w:t>
                  </w:r>
                </w:p>
              </w:tc>
              <w:tc>
                <w:tcPr>
                  <w:tcW w:w="884" w:type="dxa"/>
                  <w:vAlign w:val="center"/>
                </w:tcPr>
                <w:p w14:paraId="4EE9C4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200</w:t>
                  </w:r>
                </w:p>
              </w:tc>
              <w:tc>
                <w:tcPr>
                  <w:tcW w:w="1116" w:type="dxa"/>
                  <w:vAlign w:val="center"/>
                </w:tcPr>
                <w:p w14:paraId="4DF0A8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650</w:t>
                  </w:r>
                </w:p>
              </w:tc>
              <w:tc>
                <w:tcPr>
                  <w:tcW w:w="3256" w:type="dxa"/>
                  <w:vAlign w:val="center"/>
                </w:tcPr>
                <w:p w14:paraId="034A51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外售废塑料回收单位</w:t>
                  </w:r>
                </w:p>
              </w:tc>
            </w:tr>
            <w:tr w14:paraId="2364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08FBF9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16</w:t>
                  </w:r>
                </w:p>
              </w:tc>
              <w:tc>
                <w:tcPr>
                  <w:tcW w:w="2183" w:type="dxa"/>
                  <w:vAlign w:val="center"/>
                </w:tcPr>
                <w:p w14:paraId="10BC6E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玻璃</w:t>
                  </w:r>
                </w:p>
              </w:tc>
              <w:tc>
                <w:tcPr>
                  <w:tcW w:w="933" w:type="dxa"/>
                  <w:vAlign w:val="center"/>
                </w:tcPr>
                <w:p w14:paraId="3FD5DC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50</w:t>
                  </w:r>
                </w:p>
              </w:tc>
              <w:tc>
                <w:tcPr>
                  <w:tcW w:w="900" w:type="dxa"/>
                  <w:vAlign w:val="center"/>
                </w:tcPr>
                <w:p w14:paraId="14BDF6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300</w:t>
                  </w:r>
                </w:p>
              </w:tc>
              <w:tc>
                <w:tcPr>
                  <w:tcW w:w="950" w:type="dxa"/>
                  <w:vAlign w:val="center"/>
                </w:tcPr>
                <w:p w14:paraId="65A8F0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130</w:t>
                  </w:r>
                </w:p>
              </w:tc>
              <w:tc>
                <w:tcPr>
                  <w:tcW w:w="917" w:type="dxa"/>
                  <w:vAlign w:val="center"/>
                </w:tcPr>
                <w:p w14:paraId="4E022C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195</w:t>
                  </w:r>
                </w:p>
              </w:tc>
              <w:tc>
                <w:tcPr>
                  <w:tcW w:w="983" w:type="dxa"/>
                  <w:vAlign w:val="center"/>
                </w:tcPr>
                <w:p w14:paraId="4037D3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180</w:t>
                  </w:r>
                </w:p>
              </w:tc>
              <w:tc>
                <w:tcPr>
                  <w:tcW w:w="884" w:type="dxa"/>
                  <w:vAlign w:val="center"/>
                </w:tcPr>
                <w:p w14:paraId="434505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90</w:t>
                  </w:r>
                </w:p>
              </w:tc>
              <w:tc>
                <w:tcPr>
                  <w:tcW w:w="1116" w:type="dxa"/>
                  <w:vAlign w:val="center"/>
                </w:tcPr>
                <w:p w14:paraId="7C7D6F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585</w:t>
                  </w:r>
                </w:p>
              </w:tc>
              <w:tc>
                <w:tcPr>
                  <w:tcW w:w="3256" w:type="dxa"/>
                  <w:vAlign w:val="center"/>
                </w:tcPr>
                <w:p w14:paraId="34A04B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外售废玻璃回收单位</w:t>
                  </w:r>
                </w:p>
              </w:tc>
            </w:tr>
            <w:tr w14:paraId="20BF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4C4163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17</w:t>
                  </w:r>
                </w:p>
              </w:tc>
              <w:tc>
                <w:tcPr>
                  <w:tcW w:w="2183" w:type="dxa"/>
                  <w:vAlign w:val="center"/>
                </w:tcPr>
                <w:p w14:paraId="70494D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气囊</w:t>
                  </w:r>
                </w:p>
              </w:tc>
              <w:tc>
                <w:tcPr>
                  <w:tcW w:w="933" w:type="dxa"/>
                  <w:vAlign w:val="center"/>
                </w:tcPr>
                <w:p w14:paraId="1569A8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900" w:type="dxa"/>
                  <w:vAlign w:val="center"/>
                </w:tcPr>
                <w:p w14:paraId="51C7D2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w:t>
                  </w:r>
                </w:p>
              </w:tc>
              <w:tc>
                <w:tcPr>
                  <w:tcW w:w="950" w:type="dxa"/>
                  <w:vAlign w:val="center"/>
                </w:tcPr>
                <w:p w14:paraId="010376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917" w:type="dxa"/>
                  <w:vAlign w:val="center"/>
                </w:tcPr>
                <w:p w14:paraId="26AC48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1.5</w:t>
                  </w:r>
                </w:p>
              </w:tc>
              <w:tc>
                <w:tcPr>
                  <w:tcW w:w="983" w:type="dxa"/>
                  <w:vAlign w:val="center"/>
                </w:tcPr>
                <w:p w14:paraId="5E1D47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884" w:type="dxa"/>
                  <w:vAlign w:val="center"/>
                </w:tcPr>
                <w:p w14:paraId="510B33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1.5</w:t>
                  </w:r>
                </w:p>
              </w:tc>
              <w:tc>
                <w:tcPr>
                  <w:tcW w:w="1116" w:type="dxa"/>
                  <w:vAlign w:val="center"/>
                </w:tcPr>
                <w:p w14:paraId="05BEB3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9</w:t>
                  </w:r>
                </w:p>
              </w:tc>
              <w:tc>
                <w:tcPr>
                  <w:tcW w:w="3256" w:type="dxa"/>
                  <w:vAlign w:val="center"/>
                </w:tcPr>
                <w:p w14:paraId="48E1AB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外售物资回收单位</w:t>
                  </w:r>
                </w:p>
              </w:tc>
            </w:tr>
            <w:tr w14:paraId="6111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6B056A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18</w:t>
                  </w:r>
                </w:p>
              </w:tc>
              <w:tc>
                <w:tcPr>
                  <w:tcW w:w="2183" w:type="dxa"/>
                  <w:vAlign w:val="center"/>
                </w:tcPr>
                <w:p w14:paraId="45650F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油箱</w:t>
                  </w:r>
                </w:p>
              </w:tc>
              <w:tc>
                <w:tcPr>
                  <w:tcW w:w="933" w:type="dxa"/>
                  <w:vAlign w:val="center"/>
                </w:tcPr>
                <w:p w14:paraId="14A9CA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75</w:t>
                  </w:r>
                </w:p>
              </w:tc>
              <w:tc>
                <w:tcPr>
                  <w:tcW w:w="900" w:type="dxa"/>
                  <w:vAlign w:val="center"/>
                </w:tcPr>
                <w:p w14:paraId="591606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450</w:t>
                  </w:r>
                </w:p>
              </w:tc>
              <w:tc>
                <w:tcPr>
                  <w:tcW w:w="950" w:type="dxa"/>
                  <w:vAlign w:val="center"/>
                </w:tcPr>
                <w:p w14:paraId="492098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90</w:t>
                  </w:r>
                </w:p>
              </w:tc>
              <w:tc>
                <w:tcPr>
                  <w:tcW w:w="917" w:type="dxa"/>
                  <w:vAlign w:val="center"/>
                </w:tcPr>
                <w:p w14:paraId="2A3A5C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135</w:t>
                  </w:r>
                </w:p>
              </w:tc>
              <w:tc>
                <w:tcPr>
                  <w:tcW w:w="983" w:type="dxa"/>
                  <w:vAlign w:val="center"/>
                </w:tcPr>
                <w:p w14:paraId="3E1106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200</w:t>
                  </w:r>
                </w:p>
              </w:tc>
              <w:tc>
                <w:tcPr>
                  <w:tcW w:w="884" w:type="dxa"/>
                  <w:vAlign w:val="center"/>
                </w:tcPr>
                <w:p w14:paraId="7A18E7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100</w:t>
                  </w:r>
                </w:p>
              </w:tc>
              <w:tc>
                <w:tcPr>
                  <w:tcW w:w="1116" w:type="dxa"/>
                  <w:vAlign w:val="center"/>
                </w:tcPr>
                <w:p w14:paraId="5F4D83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685</w:t>
                  </w:r>
                </w:p>
              </w:tc>
              <w:tc>
                <w:tcPr>
                  <w:tcW w:w="3256" w:type="dxa"/>
                  <w:vAlign w:val="center"/>
                </w:tcPr>
                <w:p w14:paraId="6AD580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委托有资质单位处置</w:t>
                  </w:r>
                </w:p>
              </w:tc>
            </w:tr>
            <w:tr w14:paraId="404B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6BCF47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19</w:t>
                  </w:r>
                </w:p>
              </w:tc>
              <w:tc>
                <w:tcPr>
                  <w:tcW w:w="2183" w:type="dxa"/>
                  <w:vAlign w:val="center"/>
                </w:tcPr>
                <w:p w14:paraId="2697CE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铅蓄电池</w:t>
                  </w:r>
                </w:p>
              </w:tc>
              <w:tc>
                <w:tcPr>
                  <w:tcW w:w="933" w:type="dxa"/>
                  <w:vAlign w:val="center"/>
                </w:tcPr>
                <w:p w14:paraId="50BF23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10</w:t>
                  </w:r>
                </w:p>
              </w:tc>
              <w:tc>
                <w:tcPr>
                  <w:tcW w:w="900" w:type="dxa"/>
                  <w:vAlign w:val="center"/>
                </w:tcPr>
                <w:p w14:paraId="1518E6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60</w:t>
                  </w:r>
                </w:p>
              </w:tc>
              <w:tc>
                <w:tcPr>
                  <w:tcW w:w="950" w:type="dxa"/>
                  <w:vAlign w:val="center"/>
                </w:tcPr>
                <w:p w14:paraId="269F35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25</w:t>
                  </w:r>
                </w:p>
              </w:tc>
              <w:tc>
                <w:tcPr>
                  <w:tcW w:w="917" w:type="dxa"/>
                  <w:vAlign w:val="center"/>
                </w:tcPr>
                <w:p w14:paraId="62106A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37.5</w:t>
                  </w:r>
                </w:p>
              </w:tc>
              <w:tc>
                <w:tcPr>
                  <w:tcW w:w="983" w:type="dxa"/>
                  <w:vAlign w:val="center"/>
                </w:tcPr>
                <w:p w14:paraId="5A9C64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40</w:t>
                  </w:r>
                </w:p>
              </w:tc>
              <w:tc>
                <w:tcPr>
                  <w:tcW w:w="884" w:type="dxa"/>
                  <w:vAlign w:val="center"/>
                </w:tcPr>
                <w:p w14:paraId="4281DB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20</w:t>
                  </w:r>
                </w:p>
              </w:tc>
              <w:tc>
                <w:tcPr>
                  <w:tcW w:w="1116" w:type="dxa"/>
                  <w:vAlign w:val="center"/>
                </w:tcPr>
                <w:p w14:paraId="40E1DC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117.5</w:t>
                  </w:r>
                </w:p>
              </w:tc>
              <w:tc>
                <w:tcPr>
                  <w:tcW w:w="3256" w:type="dxa"/>
                  <w:vAlign w:val="center"/>
                </w:tcPr>
                <w:p w14:paraId="5576A3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r>
                    <w:rPr>
                      <w:rFonts w:hint="eastAsia"/>
                      <w:sz w:val="21"/>
                      <w:szCs w:val="21"/>
                      <w:vertAlign w:val="baseline"/>
                      <w:lang w:val="en-US" w:eastAsia="zh-CN"/>
                    </w:rPr>
                    <w:t>委托有资质单位处置</w:t>
                  </w:r>
                </w:p>
              </w:tc>
            </w:tr>
            <w:tr w14:paraId="7D387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291BF2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20</w:t>
                  </w:r>
                </w:p>
              </w:tc>
              <w:tc>
                <w:tcPr>
                  <w:tcW w:w="2183" w:type="dxa"/>
                  <w:vAlign w:val="center"/>
                </w:tcPr>
                <w:p w14:paraId="308D9F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电路板及电子元器件</w:t>
                  </w:r>
                </w:p>
              </w:tc>
              <w:tc>
                <w:tcPr>
                  <w:tcW w:w="933" w:type="dxa"/>
                  <w:vAlign w:val="center"/>
                </w:tcPr>
                <w:p w14:paraId="4296D0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w:t>
                  </w:r>
                </w:p>
              </w:tc>
              <w:tc>
                <w:tcPr>
                  <w:tcW w:w="900" w:type="dxa"/>
                  <w:vAlign w:val="center"/>
                </w:tcPr>
                <w:p w14:paraId="20455A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24</w:t>
                  </w:r>
                </w:p>
              </w:tc>
              <w:tc>
                <w:tcPr>
                  <w:tcW w:w="950" w:type="dxa"/>
                  <w:vAlign w:val="center"/>
                </w:tcPr>
                <w:p w14:paraId="72F078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w:t>
                  </w:r>
                </w:p>
              </w:tc>
              <w:tc>
                <w:tcPr>
                  <w:tcW w:w="917" w:type="dxa"/>
                  <w:vAlign w:val="center"/>
                </w:tcPr>
                <w:p w14:paraId="631444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9</w:t>
                  </w:r>
                </w:p>
              </w:tc>
              <w:tc>
                <w:tcPr>
                  <w:tcW w:w="983" w:type="dxa"/>
                  <w:vAlign w:val="center"/>
                </w:tcPr>
                <w:p w14:paraId="5A6751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10</w:t>
                  </w:r>
                </w:p>
              </w:tc>
              <w:tc>
                <w:tcPr>
                  <w:tcW w:w="884" w:type="dxa"/>
                  <w:vAlign w:val="center"/>
                </w:tcPr>
                <w:p w14:paraId="0A33AD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c>
                <w:tcPr>
                  <w:tcW w:w="1116" w:type="dxa"/>
                  <w:vAlign w:val="center"/>
                </w:tcPr>
                <w:p w14:paraId="547F8C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38</w:t>
                  </w:r>
                </w:p>
              </w:tc>
              <w:tc>
                <w:tcPr>
                  <w:tcW w:w="3256" w:type="dxa"/>
                  <w:vAlign w:val="center"/>
                </w:tcPr>
                <w:p w14:paraId="387B83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r>
                    <w:rPr>
                      <w:rFonts w:hint="eastAsia"/>
                      <w:sz w:val="21"/>
                      <w:szCs w:val="21"/>
                      <w:vertAlign w:val="baseline"/>
                      <w:lang w:val="en-US" w:eastAsia="zh-CN"/>
                    </w:rPr>
                    <w:t>委托有资质单位处置</w:t>
                  </w:r>
                </w:p>
              </w:tc>
            </w:tr>
            <w:tr w14:paraId="1D53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6C34B4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21</w:t>
                  </w:r>
                </w:p>
              </w:tc>
              <w:tc>
                <w:tcPr>
                  <w:tcW w:w="2183" w:type="dxa"/>
                  <w:vAlign w:val="center"/>
                </w:tcPr>
                <w:p w14:paraId="182F3F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电容器</w:t>
                  </w:r>
                </w:p>
              </w:tc>
              <w:tc>
                <w:tcPr>
                  <w:tcW w:w="933" w:type="dxa"/>
                  <w:vAlign w:val="center"/>
                </w:tcPr>
                <w:p w14:paraId="757B3F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900" w:type="dxa"/>
                  <w:vAlign w:val="center"/>
                </w:tcPr>
                <w:p w14:paraId="25BF2E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12</w:t>
                  </w:r>
                </w:p>
              </w:tc>
              <w:tc>
                <w:tcPr>
                  <w:tcW w:w="950" w:type="dxa"/>
                  <w:vAlign w:val="center"/>
                </w:tcPr>
                <w:p w14:paraId="2C8A45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917" w:type="dxa"/>
                  <w:vAlign w:val="center"/>
                </w:tcPr>
                <w:p w14:paraId="5F328D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4.5</w:t>
                  </w:r>
                </w:p>
              </w:tc>
              <w:tc>
                <w:tcPr>
                  <w:tcW w:w="983" w:type="dxa"/>
                  <w:vAlign w:val="center"/>
                </w:tcPr>
                <w:p w14:paraId="04B41B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c>
                <w:tcPr>
                  <w:tcW w:w="884" w:type="dxa"/>
                  <w:vAlign w:val="center"/>
                </w:tcPr>
                <w:p w14:paraId="1B9377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2.5</w:t>
                  </w:r>
                </w:p>
              </w:tc>
              <w:tc>
                <w:tcPr>
                  <w:tcW w:w="1116" w:type="dxa"/>
                  <w:vAlign w:val="center"/>
                </w:tcPr>
                <w:p w14:paraId="151B7B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19</w:t>
                  </w:r>
                </w:p>
              </w:tc>
              <w:tc>
                <w:tcPr>
                  <w:tcW w:w="3256" w:type="dxa"/>
                  <w:vAlign w:val="center"/>
                </w:tcPr>
                <w:p w14:paraId="78F547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r>
                    <w:rPr>
                      <w:rFonts w:hint="eastAsia"/>
                      <w:sz w:val="21"/>
                      <w:szCs w:val="21"/>
                      <w:vertAlign w:val="baseline"/>
                      <w:lang w:val="en-US" w:eastAsia="zh-CN"/>
                    </w:rPr>
                    <w:t>委托有资质单位处置</w:t>
                  </w:r>
                </w:p>
              </w:tc>
            </w:tr>
            <w:tr w14:paraId="6282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0CB382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22</w:t>
                  </w:r>
                </w:p>
              </w:tc>
              <w:tc>
                <w:tcPr>
                  <w:tcW w:w="2183" w:type="dxa"/>
                  <w:vAlign w:val="center"/>
                </w:tcPr>
                <w:p w14:paraId="587C44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燃料油</w:t>
                  </w:r>
                </w:p>
              </w:tc>
              <w:tc>
                <w:tcPr>
                  <w:tcW w:w="933" w:type="dxa"/>
                  <w:vAlign w:val="center"/>
                </w:tcPr>
                <w:p w14:paraId="320367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900" w:type="dxa"/>
                  <w:vAlign w:val="center"/>
                </w:tcPr>
                <w:p w14:paraId="1C0FC5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w:t>
                  </w:r>
                </w:p>
              </w:tc>
              <w:tc>
                <w:tcPr>
                  <w:tcW w:w="950" w:type="dxa"/>
                  <w:vAlign w:val="center"/>
                </w:tcPr>
                <w:p w14:paraId="52D0E3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1.8</w:t>
                  </w:r>
                </w:p>
              </w:tc>
              <w:tc>
                <w:tcPr>
                  <w:tcW w:w="917" w:type="dxa"/>
                  <w:vAlign w:val="center"/>
                </w:tcPr>
                <w:p w14:paraId="4D6AF2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2.7</w:t>
                  </w:r>
                </w:p>
              </w:tc>
              <w:tc>
                <w:tcPr>
                  <w:tcW w:w="983" w:type="dxa"/>
                  <w:vAlign w:val="center"/>
                </w:tcPr>
                <w:p w14:paraId="3CE94E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c>
                <w:tcPr>
                  <w:tcW w:w="884" w:type="dxa"/>
                  <w:vAlign w:val="center"/>
                </w:tcPr>
                <w:p w14:paraId="33C6EC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2.5</w:t>
                  </w:r>
                </w:p>
              </w:tc>
              <w:tc>
                <w:tcPr>
                  <w:tcW w:w="1116" w:type="dxa"/>
                  <w:vAlign w:val="center"/>
                </w:tcPr>
                <w:p w14:paraId="183AAD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11.2</w:t>
                  </w:r>
                </w:p>
              </w:tc>
              <w:tc>
                <w:tcPr>
                  <w:tcW w:w="3256" w:type="dxa"/>
                  <w:vAlign w:val="center"/>
                </w:tcPr>
                <w:p w14:paraId="529B39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r>
                    <w:rPr>
                      <w:rFonts w:hint="eastAsia"/>
                      <w:sz w:val="21"/>
                      <w:szCs w:val="21"/>
                      <w:vertAlign w:val="baseline"/>
                      <w:lang w:val="en-US" w:eastAsia="zh-CN"/>
                    </w:rPr>
                    <w:t>委托有资质单位处置</w:t>
                  </w:r>
                </w:p>
              </w:tc>
            </w:tr>
            <w:tr w14:paraId="0CAC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67BE6E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23</w:t>
                  </w:r>
                </w:p>
              </w:tc>
              <w:tc>
                <w:tcPr>
                  <w:tcW w:w="2183" w:type="dxa"/>
                  <w:vAlign w:val="center"/>
                </w:tcPr>
                <w:p w14:paraId="0E809C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机油、燃油滤清器</w:t>
                  </w:r>
                </w:p>
              </w:tc>
              <w:tc>
                <w:tcPr>
                  <w:tcW w:w="933" w:type="dxa"/>
                  <w:vAlign w:val="center"/>
                </w:tcPr>
                <w:p w14:paraId="3AF44C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0.9</w:t>
                  </w:r>
                </w:p>
              </w:tc>
              <w:tc>
                <w:tcPr>
                  <w:tcW w:w="900" w:type="dxa"/>
                  <w:vAlign w:val="center"/>
                </w:tcPr>
                <w:p w14:paraId="631EDD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5.4</w:t>
                  </w:r>
                </w:p>
              </w:tc>
              <w:tc>
                <w:tcPr>
                  <w:tcW w:w="950" w:type="dxa"/>
                  <w:vAlign w:val="center"/>
                </w:tcPr>
                <w:p w14:paraId="731050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917" w:type="dxa"/>
                  <w:vAlign w:val="center"/>
                </w:tcPr>
                <w:p w14:paraId="3D0279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983" w:type="dxa"/>
                  <w:vAlign w:val="center"/>
                </w:tcPr>
                <w:p w14:paraId="247D83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w:t>
                  </w:r>
                </w:p>
              </w:tc>
              <w:tc>
                <w:tcPr>
                  <w:tcW w:w="884" w:type="dxa"/>
                  <w:vAlign w:val="center"/>
                </w:tcPr>
                <w:p w14:paraId="1C667C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1116" w:type="dxa"/>
                  <w:vAlign w:val="center"/>
                </w:tcPr>
                <w:p w14:paraId="0CADCF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10.4</w:t>
                  </w:r>
                </w:p>
              </w:tc>
              <w:tc>
                <w:tcPr>
                  <w:tcW w:w="3256" w:type="dxa"/>
                  <w:vAlign w:val="center"/>
                </w:tcPr>
                <w:p w14:paraId="4E1322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r>
                    <w:rPr>
                      <w:rFonts w:hint="eastAsia"/>
                      <w:sz w:val="21"/>
                      <w:szCs w:val="21"/>
                      <w:vertAlign w:val="baseline"/>
                      <w:lang w:val="en-US" w:eastAsia="zh-CN"/>
                    </w:rPr>
                    <w:t>委托有资质单位处置</w:t>
                  </w:r>
                </w:p>
              </w:tc>
            </w:tr>
            <w:tr w14:paraId="1E59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777456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24</w:t>
                  </w:r>
                </w:p>
              </w:tc>
              <w:tc>
                <w:tcPr>
                  <w:tcW w:w="2183" w:type="dxa"/>
                  <w:vAlign w:val="center"/>
                </w:tcPr>
                <w:p w14:paraId="59A675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非燃料类废油液</w:t>
                  </w:r>
                </w:p>
              </w:tc>
              <w:tc>
                <w:tcPr>
                  <w:tcW w:w="933" w:type="dxa"/>
                  <w:vAlign w:val="center"/>
                </w:tcPr>
                <w:p w14:paraId="370442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900" w:type="dxa"/>
                  <w:vAlign w:val="center"/>
                </w:tcPr>
                <w:p w14:paraId="19EFDC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12</w:t>
                  </w:r>
                </w:p>
              </w:tc>
              <w:tc>
                <w:tcPr>
                  <w:tcW w:w="950" w:type="dxa"/>
                  <w:vAlign w:val="center"/>
                </w:tcPr>
                <w:p w14:paraId="72F1B7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4.5</w:t>
                  </w:r>
                </w:p>
              </w:tc>
              <w:tc>
                <w:tcPr>
                  <w:tcW w:w="917" w:type="dxa"/>
                  <w:vAlign w:val="center"/>
                </w:tcPr>
                <w:p w14:paraId="2A3205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6.75</w:t>
                  </w:r>
                </w:p>
              </w:tc>
              <w:tc>
                <w:tcPr>
                  <w:tcW w:w="983" w:type="dxa"/>
                  <w:vAlign w:val="center"/>
                </w:tcPr>
                <w:p w14:paraId="10E2A3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10</w:t>
                  </w:r>
                </w:p>
              </w:tc>
              <w:tc>
                <w:tcPr>
                  <w:tcW w:w="884" w:type="dxa"/>
                  <w:vAlign w:val="center"/>
                </w:tcPr>
                <w:p w14:paraId="0A7122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c>
                <w:tcPr>
                  <w:tcW w:w="1116" w:type="dxa"/>
                  <w:vAlign w:val="center"/>
                </w:tcPr>
                <w:p w14:paraId="1AA9BA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23.75</w:t>
                  </w:r>
                </w:p>
              </w:tc>
              <w:tc>
                <w:tcPr>
                  <w:tcW w:w="3256" w:type="dxa"/>
                  <w:vAlign w:val="center"/>
                </w:tcPr>
                <w:p w14:paraId="5AAC9C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r>
                    <w:rPr>
                      <w:rFonts w:hint="eastAsia"/>
                      <w:sz w:val="21"/>
                      <w:szCs w:val="21"/>
                      <w:vertAlign w:val="baseline"/>
                      <w:lang w:val="en-US" w:eastAsia="zh-CN"/>
                    </w:rPr>
                    <w:t>委托有资质单位处置</w:t>
                  </w:r>
                </w:p>
              </w:tc>
            </w:tr>
            <w:tr w14:paraId="70915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9" w:type="dxa"/>
                  <w:vAlign w:val="center"/>
                </w:tcPr>
                <w:p w14:paraId="0EB5C1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25</w:t>
                  </w:r>
                </w:p>
              </w:tc>
              <w:tc>
                <w:tcPr>
                  <w:tcW w:w="2183" w:type="dxa"/>
                  <w:vAlign w:val="center"/>
                </w:tcPr>
                <w:p w14:paraId="0A75A0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废防冻冷却液、废挡风玻璃洗涤液等</w:t>
                  </w:r>
                </w:p>
              </w:tc>
              <w:tc>
                <w:tcPr>
                  <w:tcW w:w="933" w:type="dxa"/>
                  <w:vAlign w:val="center"/>
                </w:tcPr>
                <w:p w14:paraId="427F53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900" w:type="dxa"/>
                  <w:vAlign w:val="center"/>
                </w:tcPr>
                <w:p w14:paraId="5D6833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18</w:t>
                  </w:r>
                </w:p>
              </w:tc>
              <w:tc>
                <w:tcPr>
                  <w:tcW w:w="950" w:type="dxa"/>
                  <w:vAlign w:val="center"/>
                </w:tcPr>
                <w:p w14:paraId="1E9443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c>
                <w:tcPr>
                  <w:tcW w:w="917" w:type="dxa"/>
                  <w:vAlign w:val="center"/>
                </w:tcPr>
                <w:p w14:paraId="379519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7.5</w:t>
                  </w:r>
                </w:p>
              </w:tc>
              <w:tc>
                <w:tcPr>
                  <w:tcW w:w="983" w:type="dxa"/>
                  <w:vAlign w:val="center"/>
                </w:tcPr>
                <w:p w14:paraId="10F7B0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50</w:t>
                  </w:r>
                </w:p>
              </w:tc>
              <w:tc>
                <w:tcPr>
                  <w:tcW w:w="884" w:type="dxa"/>
                  <w:vAlign w:val="center"/>
                </w:tcPr>
                <w:p w14:paraId="3F9E63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25</w:t>
                  </w:r>
                </w:p>
              </w:tc>
              <w:tc>
                <w:tcPr>
                  <w:tcW w:w="1116" w:type="dxa"/>
                  <w:vAlign w:val="center"/>
                </w:tcPr>
                <w:p w14:paraId="42F21F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50.5</w:t>
                  </w:r>
                </w:p>
              </w:tc>
              <w:tc>
                <w:tcPr>
                  <w:tcW w:w="3256" w:type="dxa"/>
                  <w:vAlign w:val="center"/>
                </w:tcPr>
                <w:p w14:paraId="55343E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r>
                    <w:rPr>
                      <w:rFonts w:hint="eastAsia"/>
                      <w:sz w:val="21"/>
                      <w:szCs w:val="21"/>
                      <w:vertAlign w:val="baseline"/>
                      <w:lang w:val="en-US" w:eastAsia="zh-CN"/>
                    </w:rPr>
                    <w:t>委托有资质单位处置</w:t>
                  </w:r>
                </w:p>
              </w:tc>
            </w:tr>
            <w:tr w14:paraId="2425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1A29AC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26</w:t>
                  </w:r>
                </w:p>
              </w:tc>
              <w:tc>
                <w:tcPr>
                  <w:tcW w:w="2183" w:type="dxa"/>
                  <w:vAlign w:val="center"/>
                </w:tcPr>
                <w:p w14:paraId="71EDD1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制冷剂</w:t>
                  </w:r>
                </w:p>
              </w:tc>
              <w:tc>
                <w:tcPr>
                  <w:tcW w:w="933" w:type="dxa"/>
                  <w:vAlign w:val="center"/>
                </w:tcPr>
                <w:p w14:paraId="1CB1C1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0.1</w:t>
                  </w:r>
                </w:p>
              </w:tc>
              <w:tc>
                <w:tcPr>
                  <w:tcW w:w="900" w:type="dxa"/>
                  <w:vAlign w:val="center"/>
                </w:tcPr>
                <w:p w14:paraId="308D23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0.6</w:t>
                  </w:r>
                </w:p>
              </w:tc>
              <w:tc>
                <w:tcPr>
                  <w:tcW w:w="950" w:type="dxa"/>
                  <w:vAlign w:val="center"/>
                </w:tcPr>
                <w:p w14:paraId="55C9D0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0.2</w:t>
                  </w:r>
                </w:p>
              </w:tc>
              <w:tc>
                <w:tcPr>
                  <w:tcW w:w="917" w:type="dxa"/>
                  <w:vAlign w:val="center"/>
                </w:tcPr>
                <w:p w14:paraId="6FD48D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0.3</w:t>
                  </w:r>
                </w:p>
              </w:tc>
              <w:tc>
                <w:tcPr>
                  <w:tcW w:w="983" w:type="dxa"/>
                  <w:vAlign w:val="center"/>
                </w:tcPr>
                <w:p w14:paraId="609E83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884" w:type="dxa"/>
                  <w:vAlign w:val="center"/>
                </w:tcPr>
                <w:p w14:paraId="6C298F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1116" w:type="dxa"/>
                  <w:vAlign w:val="center"/>
                </w:tcPr>
                <w:p w14:paraId="268C36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1.9</w:t>
                  </w:r>
                </w:p>
              </w:tc>
              <w:tc>
                <w:tcPr>
                  <w:tcW w:w="3256" w:type="dxa"/>
                  <w:vAlign w:val="center"/>
                </w:tcPr>
                <w:p w14:paraId="256B85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r>
                    <w:rPr>
                      <w:rFonts w:hint="eastAsia"/>
                      <w:sz w:val="21"/>
                      <w:szCs w:val="21"/>
                      <w:vertAlign w:val="baseline"/>
                      <w:lang w:val="en-US" w:eastAsia="zh-CN"/>
                    </w:rPr>
                    <w:t>委托有资质单位处置</w:t>
                  </w:r>
                </w:p>
              </w:tc>
            </w:tr>
            <w:tr w14:paraId="155E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0B5AED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27</w:t>
                  </w:r>
                </w:p>
              </w:tc>
              <w:tc>
                <w:tcPr>
                  <w:tcW w:w="2183" w:type="dxa"/>
                  <w:vAlign w:val="center"/>
                </w:tcPr>
                <w:p w14:paraId="292A9C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尾气净化器（含尾气净化催化剂）</w:t>
                  </w:r>
                </w:p>
              </w:tc>
              <w:tc>
                <w:tcPr>
                  <w:tcW w:w="933" w:type="dxa"/>
                  <w:vAlign w:val="center"/>
                </w:tcPr>
                <w:p w14:paraId="0A19D5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900" w:type="dxa"/>
                  <w:vAlign w:val="center"/>
                </w:tcPr>
                <w:p w14:paraId="37037D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w:t>
                  </w:r>
                </w:p>
              </w:tc>
              <w:tc>
                <w:tcPr>
                  <w:tcW w:w="950" w:type="dxa"/>
                  <w:vAlign w:val="center"/>
                </w:tcPr>
                <w:p w14:paraId="7BEDB7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1.5</w:t>
                  </w:r>
                </w:p>
              </w:tc>
              <w:tc>
                <w:tcPr>
                  <w:tcW w:w="917" w:type="dxa"/>
                  <w:vAlign w:val="center"/>
                </w:tcPr>
                <w:p w14:paraId="443EC2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2.25</w:t>
                  </w:r>
                </w:p>
              </w:tc>
              <w:tc>
                <w:tcPr>
                  <w:tcW w:w="983" w:type="dxa"/>
                  <w:vAlign w:val="center"/>
                </w:tcPr>
                <w:p w14:paraId="232183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c>
                <w:tcPr>
                  <w:tcW w:w="884" w:type="dxa"/>
                  <w:vAlign w:val="center"/>
                </w:tcPr>
                <w:p w14:paraId="41AA9F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2.5</w:t>
                  </w:r>
                </w:p>
              </w:tc>
              <w:tc>
                <w:tcPr>
                  <w:tcW w:w="1116" w:type="dxa"/>
                  <w:vAlign w:val="center"/>
                </w:tcPr>
                <w:p w14:paraId="73192C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10.75</w:t>
                  </w:r>
                </w:p>
              </w:tc>
              <w:tc>
                <w:tcPr>
                  <w:tcW w:w="3256" w:type="dxa"/>
                  <w:vAlign w:val="center"/>
                </w:tcPr>
                <w:p w14:paraId="42A8BE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r>
                    <w:rPr>
                      <w:rFonts w:hint="eastAsia"/>
                      <w:sz w:val="21"/>
                      <w:szCs w:val="21"/>
                      <w:vertAlign w:val="baseline"/>
                      <w:lang w:val="en-US" w:eastAsia="zh-CN"/>
                    </w:rPr>
                    <w:t>委托有资质单位处置</w:t>
                  </w:r>
                </w:p>
              </w:tc>
            </w:tr>
            <w:tr w14:paraId="2023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396D31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28</w:t>
                  </w:r>
                </w:p>
              </w:tc>
              <w:tc>
                <w:tcPr>
                  <w:tcW w:w="2183" w:type="dxa"/>
                  <w:vAlign w:val="center"/>
                </w:tcPr>
                <w:p w14:paraId="710904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废液化气罐</w:t>
                  </w:r>
                </w:p>
              </w:tc>
              <w:tc>
                <w:tcPr>
                  <w:tcW w:w="933" w:type="dxa"/>
                  <w:vAlign w:val="center"/>
                </w:tcPr>
                <w:p w14:paraId="2991CE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10</w:t>
                  </w:r>
                </w:p>
              </w:tc>
              <w:tc>
                <w:tcPr>
                  <w:tcW w:w="900" w:type="dxa"/>
                  <w:vAlign w:val="center"/>
                </w:tcPr>
                <w:p w14:paraId="037EFC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60</w:t>
                  </w:r>
                </w:p>
              </w:tc>
              <w:tc>
                <w:tcPr>
                  <w:tcW w:w="950" w:type="dxa"/>
                  <w:vAlign w:val="center"/>
                </w:tcPr>
                <w:p w14:paraId="0BD9A4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0</w:t>
                  </w:r>
                </w:p>
              </w:tc>
              <w:tc>
                <w:tcPr>
                  <w:tcW w:w="917" w:type="dxa"/>
                  <w:vAlign w:val="center"/>
                </w:tcPr>
                <w:p w14:paraId="304CFD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0</w:t>
                  </w:r>
                </w:p>
              </w:tc>
              <w:tc>
                <w:tcPr>
                  <w:tcW w:w="983" w:type="dxa"/>
                  <w:vAlign w:val="center"/>
                </w:tcPr>
                <w:p w14:paraId="2DFAE1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0</w:t>
                  </w:r>
                </w:p>
              </w:tc>
              <w:tc>
                <w:tcPr>
                  <w:tcW w:w="884" w:type="dxa"/>
                  <w:vAlign w:val="center"/>
                </w:tcPr>
                <w:p w14:paraId="133C8E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0</w:t>
                  </w:r>
                </w:p>
              </w:tc>
              <w:tc>
                <w:tcPr>
                  <w:tcW w:w="1116" w:type="dxa"/>
                  <w:vAlign w:val="center"/>
                </w:tcPr>
                <w:p w14:paraId="14CA87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60</w:t>
                  </w:r>
                </w:p>
              </w:tc>
              <w:tc>
                <w:tcPr>
                  <w:tcW w:w="3256" w:type="dxa"/>
                  <w:vAlign w:val="center"/>
                </w:tcPr>
                <w:p w14:paraId="2049A7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sz w:val="21"/>
                      <w:szCs w:val="21"/>
                      <w:vertAlign w:val="baseline"/>
                    </w:rPr>
                  </w:pPr>
                  <w:r>
                    <w:rPr>
                      <w:rFonts w:hint="eastAsia"/>
                      <w:sz w:val="21"/>
                      <w:szCs w:val="21"/>
                      <w:vertAlign w:val="baseline"/>
                      <w:lang w:val="en-US" w:eastAsia="zh-CN"/>
                    </w:rPr>
                    <w:t>委托有资质单位处置</w:t>
                  </w:r>
                </w:p>
              </w:tc>
            </w:tr>
            <w:tr w14:paraId="313C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14:paraId="612763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29</w:t>
                  </w:r>
                </w:p>
              </w:tc>
              <w:tc>
                <w:tcPr>
                  <w:tcW w:w="2183" w:type="dxa"/>
                  <w:vAlign w:val="center"/>
                </w:tcPr>
                <w:p w14:paraId="5BEF73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不可回收固废</w:t>
                  </w:r>
                </w:p>
              </w:tc>
              <w:tc>
                <w:tcPr>
                  <w:tcW w:w="933" w:type="dxa"/>
                  <w:vAlign w:val="center"/>
                </w:tcPr>
                <w:p w14:paraId="355A33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70</w:t>
                  </w:r>
                </w:p>
              </w:tc>
              <w:tc>
                <w:tcPr>
                  <w:tcW w:w="900" w:type="dxa"/>
                  <w:vAlign w:val="center"/>
                </w:tcPr>
                <w:p w14:paraId="18B1A6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420</w:t>
                  </w:r>
                </w:p>
              </w:tc>
              <w:tc>
                <w:tcPr>
                  <w:tcW w:w="950" w:type="dxa"/>
                  <w:vAlign w:val="center"/>
                </w:tcPr>
                <w:p w14:paraId="3C6277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80</w:t>
                  </w:r>
                </w:p>
              </w:tc>
              <w:tc>
                <w:tcPr>
                  <w:tcW w:w="917" w:type="dxa"/>
                  <w:vAlign w:val="center"/>
                </w:tcPr>
                <w:p w14:paraId="1974B5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120</w:t>
                  </w:r>
                </w:p>
              </w:tc>
              <w:tc>
                <w:tcPr>
                  <w:tcW w:w="983" w:type="dxa"/>
                  <w:vAlign w:val="center"/>
                </w:tcPr>
                <w:p w14:paraId="762D42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66</w:t>
                  </w:r>
                </w:p>
              </w:tc>
              <w:tc>
                <w:tcPr>
                  <w:tcW w:w="884" w:type="dxa"/>
                  <w:vAlign w:val="center"/>
                </w:tcPr>
                <w:p w14:paraId="5419E0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33</w:t>
                  </w:r>
                </w:p>
              </w:tc>
              <w:tc>
                <w:tcPr>
                  <w:tcW w:w="1116" w:type="dxa"/>
                  <w:vAlign w:val="center"/>
                </w:tcPr>
                <w:p w14:paraId="2788BF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573</w:t>
                  </w:r>
                </w:p>
              </w:tc>
              <w:tc>
                <w:tcPr>
                  <w:tcW w:w="3256" w:type="dxa"/>
                  <w:vAlign w:val="center"/>
                </w:tcPr>
                <w:p w14:paraId="564EE5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委托一般工业固体废物处置单位处置</w:t>
                  </w:r>
                </w:p>
              </w:tc>
            </w:tr>
            <w:tr w14:paraId="70AB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2" w:type="dxa"/>
                  <w:gridSpan w:val="2"/>
                  <w:vAlign w:val="center"/>
                </w:tcPr>
                <w:p w14:paraId="65A378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合计</w:t>
                  </w:r>
                </w:p>
              </w:tc>
              <w:tc>
                <w:tcPr>
                  <w:tcW w:w="933" w:type="dxa"/>
                  <w:vAlign w:val="center"/>
                </w:tcPr>
                <w:p w14:paraId="1D946E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1200</w:t>
                  </w:r>
                </w:p>
              </w:tc>
              <w:tc>
                <w:tcPr>
                  <w:tcW w:w="900" w:type="dxa"/>
                  <w:vAlign w:val="center"/>
                </w:tcPr>
                <w:p w14:paraId="05A853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7200</w:t>
                  </w:r>
                </w:p>
              </w:tc>
              <w:tc>
                <w:tcPr>
                  <w:tcW w:w="950" w:type="dxa"/>
                  <w:vAlign w:val="center"/>
                </w:tcPr>
                <w:p w14:paraId="59AA08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5000</w:t>
                  </w:r>
                </w:p>
              </w:tc>
              <w:tc>
                <w:tcPr>
                  <w:tcW w:w="917" w:type="dxa"/>
                  <w:vAlign w:val="center"/>
                </w:tcPr>
                <w:p w14:paraId="523DC4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7500</w:t>
                  </w:r>
                </w:p>
              </w:tc>
              <w:tc>
                <w:tcPr>
                  <w:tcW w:w="983" w:type="dxa"/>
                  <w:vAlign w:val="center"/>
                </w:tcPr>
                <w:p w14:paraId="41DE9C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10000</w:t>
                  </w:r>
                </w:p>
              </w:tc>
              <w:tc>
                <w:tcPr>
                  <w:tcW w:w="884" w:type="dxa"/>
                  <w:vAlign w:val="center"/>
                </w:tcPr>
                <w:p w14:paraId="280304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5000</w:t>
                  </w:r>
                </w:p>
              </w:tc>
              <w:tc>
                <w:tcPr>
                  <w:tcW w:w="1116" w:type="dxa"/>
                  <w:vAlign w:val="center"/>
                </w:tcPr>
                <w:p w14:paraId="6D1B66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19700</w:t>
                  </w:r>
                </w:p>
              </w:tc>
              <w:tc>
                <w:tcPr>
                  <w:tcW w:w="3256" w:type="dxa"/>
                  <w:vAlign w:val="center"/>
                </w:tcPr>
                <w:p w14:paraId="620489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w:t>
                  </w:r>
                </w:p>
              </w:tc>
            </w:tr>
          </w:tbl>
          <w:p w14:paraId="58CF6CD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备注：1.塑料主要产生于水箱面罩栅板、后视镜外壳、尾灯罩、仪表盘、保险杆、挡板、油箱盖等部件；</w:t>
            </w:r>
          </w:p>
          <w:p w14:paraId="2B2D05FA">
            <w:pPr>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燃料油主要为汽油、柴油；</w:t>
            </w:r>
          </w:p>
          <w:p w14:paraId="246BD7F9">
            <w:pPr>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报废机动车拆解所得五大总成部件具备再利用的直接外售，不具备再制造条件的五大总成经剪切、破碎后外售，不具备再制造条件的产生量约占总产生量的98%；</w:t>
            </w:r>
          </w:p>
          <w:p w14:paraId="7ABD9AB8">
            <w:pPr>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约有2‰小型车加装液化气罐，仅小型车涉及；</w:t>
            </w:r>
          </w:p>
          <w:p w14:paraId="41D4A35B">
            <w:pPr>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废油液主要为发动机润滑油（机油）、变速箱油、差速器油、制动液、助力转向液等。</w:t>
            </w:r>
          </w:p>
          <w:p w14:paraId="5CE8A0E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auto"/>
              <w:rPr>
                <w:rFonts w:hint="default"/>
                <w:b/>
                <w:bCs/>
                <w:snapToGrid w:val="0"/>
                <w:sz w:val="21"/>
                <w:szCs w:val="21"/>
                <w:vertAlign w:val="baseline"/>
                <w:lang w:val="en-US" w:eastAsia="zh-CN"/>
              </w:rPr>
            </w:pPr>
            <w:r>
              <w:rPr>
                <w:rFonts w:hint="eastAsia"/>
                <w:b/>
                <w:bCs/>
                <w:snapToGrid w:val="0"/>
                <w:sz w:val="21"/>
                <w:szCs w:val="21"/>
                <w:vertAlign w:val="baseline"/>
                <w:lang w:val="en-US" w:eastAsia="zh-CN"/>
              </w:rPr>
              <w:t>表2-8  新能源汽车拆解方案一览表</w:t>
            </w:r>
          </w:p>
          <w:tbl>
            <w:tblPr>
              <w:tblStyle w:val="25"/>
              <w:tblW w:w="12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150"/>
              <w:gridCol w:w="1033"/>
              <w:gridCol w:w="1000"/>
              <w:gridCol w:w="1250"/>
              <w:gridCol w:w="1167"/>
              <w:gridCol w:w="1500"/>
              <w:gridCol w:w="3889"/>
            </w:tblGrid>
            <w:tr w14:paraId="0F20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72" w:type="dxa"/>
                  <w:vMerge w:val="restart"/>
                  <w:vAlign w:val="center"/>
                </w:tcPr>
                <w:p w14:paraId="6620CB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b/>
                      <w:bCs/>
                      <w:snapToGrid w:val="0"/>
                      <w:sz w:val="21"/>
                      <w:szCs w:val="21"/>
                      <w:vertAlign w:val="baseline"/>
                      <w:lang w:val="en-US" w:eastAsia="zh-CN"/>
                    </w:rPr>
                  </w:pPr>
                  <w:r>
                    <w:rPr>
                      <w:rFonts w:hint="eastAsia"/>
                      <w:b/>
                      <w:bCs/>
                      <w:snapToGrid w:val="0"/>
                      <w:sz w:val="21"/>
                      <w:szCs w:val="21"/>
                      <w:vertAlign w:val="baseline"/>
                      <w:lang w:val="en-US" w:eastAsia="zh-CN"/>
                    </w:rPr>
                    <w:t>序号</w:t>
                  </w:r>
                </w:p>
              </w:tc>
              <w:tc>
                <w:tcPr>
                  <w:tcW w:w="2150" w:type="dxa"/>
                  <w:vMerge w:val="restart"/>
                  <w:vAlign w:val="center"/>
                </w:tcPr>
                <w:p w14:paraId="25E853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b/>
                      <w:bCs/>
                      <w:snapToGrid w:val="0"/>
                      <w:sz w:val="21"/>
                      <w:szCs w:val="21"/>
                      <w:vertAlign w:val="baseline"/>
                      <w:lang w:val="en-US" w:eastAsia="zh-CN"/>
                    </w:rPr>
                  </w:pPr>
                  <w:r>
                    <w:rPr>
                      <w:rFonts w:hint="eastAsia"/>
                      <w:b/>
                      <w:bCs/>
                      <w:snapToGrid w:val="0"/>
                      <w:sz w:val="21"/>
                      <w:szCs w:val="21"/>
                      <w:vertAlign w:val="baseline"/>
                      <w:lang w:val="en-US" w:eastAsia="zh-CN"/>
                    </w:rPr>
                    <w:t>拆解产物</w:t>
                  </w:r>
                </w:p>
              </w:tc>
              <w:tc>
                <w:tcPr>
                  <w:tcW w:w="2033" w:type="dxa"/>
                  <w:gridSpan w:val="2"/>
                  <w:vAlign w:val="center"/>
                </w:tcPr>
                <w:p w14:paraId="7E792C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b/>
                      <w:bCs/>
                      <w:snapToGrid w:val="0"/>
                      <w:sz w:val="21"/>
                      <w:szCs w:val="21"/>
                      <w:vertAlign w:val="baseline"/>
                      <w:lang w:val="en-US" w:eastAsia="zh-CN"/>
                    </w:rPr>
                  </w:pPr>
                  <w:r>
                    <w:rPr>
                      <w:rFonts w:hint="eastAsia"/>
                      <w:b/>
                      <w:bCs/>
                      <w:snapToGrid w:val="0"/>
                      <w:sz w:val="21"/>
                      <w:szCs w:val="21"/>
                      <w:vertAlign w:val="baseline"/>
                      <w:lang w:val="en-US" w:eastAsia="zh-CN"/>
                    </w:rPr>
                    <w:t>新能源小型车</w:t>
                  </w:r>
                </w:p>
                <w:p w14:paraId="5B1A32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b/>
                      <w:bCs/>
                      <w:snapToGrid w:val="0"/>
                      <w:sz w:val="21"/>
                      <w:szCs w:val="21"/>
                      <w:vertAlign w:val="baseline"/>
                      <w:lang w:val="en-US" w:eastAsia="zh-CN"/>
                    </w:rPr>
                  </w:pPr>
                  <w:r>
                    <w:rPr>
                      <w:rFonts w:hint="eastAsia"/>
                      <w:b/>
                      <w:bCs/>
                      <w:snapToGrid w:val="0"/>
                      <w:sz w:val="21"/>
                      <w:szCs w:val="21"/>
                      <w:vertAlign w:val="baseline"/>
                      <w:lang w:val="en-US" w:eastAsia="zh-CN"/>
                    </w:rPr>
                    <w:t>（1500辆/年）</w:t>
                  </w:r>
                </w:p>
              </w:tc>
              <w:tc>
                <w:tcPr>
                  <w:tcW w:w="2417" w:type="dxa"/>
                  <w:gridSpan w:val="2"/>
                  <w:vAlign w:val="center"/>
                </w:tcPr>
                <w:p w14:paraId="07FF7D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b/>
                      <w:bCs/>
                      <w:snapToGrid w:val="0"/>
                      <w:sz w:val="21"/>
                      <w:szCs w:val="21"/>
                      <w:vertAlign w:val="baseline"/>
                      <w:lang w:val="en-US" w:eastAsia="zh-CN"/>
                    </w:rPr>
                  </w:pPr>
                  <w:r>
                    <w:rPr>
                      <w:rFonts w:hint="eastAsia"/>
                      <w:b/>
                      <w:bCs/>
                      <w:snapToGrid w:val="0"/>
                      <w:sz w:val="21"/>
                      <w:szCs w:val="21"/>
                      <w:vertAlign w:val="baseline"/>
                      <w:lang w:val="en-US" w:eastAsia="zh-CN"/>
                    </w:rPr>
                    <w:t>新能源大型车</w:t>
                  </w:r>
                </w:p>
                <w:p w14:paraId="541D10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b/>
                      <w:bCs/>
                      <w:snapToGrid w:val="0"/>
                      <w:sz w:val="21"/>
                      <w:szCs w:val="21"/>
                      <w:vertAlign w:val="baseline"/>
                      <w:lang w:val="en-US" w:eastAsia="zh-CN"/>
                    </w:rPr>
                  </w:pPr>
                  <w:r>
                    <w:rPr>
                      <w:rFonts w:hint="eastAsia"/>
                      <w:b/>
                      <w:bCs/>
                      <w:snapToGrid w:val="0"/>
                      <w:sz w:val="21"/>
                      <w:szCs w:val="21"/>
                      <w:vertAlign w:val="baseline"/>
                      <w:lang w:val="en-US" w:eastAsia="zh-CN"/>
                    </w:rPr>
                    <w:t>（500辆/年）</w:t>
                  </w:r>
                </w:p>
              </w:tc>
              <w:tc>
                <w:tcPr>
                  <w:tcW w:w="1500" w:type="dxa"/>
                  <w:vMerge w:val="restart"/>
                  <w:vAlign w:val="center"/>
                </w:tcPr>
                <w:p w14:paraId="0056C2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b/>
                      <w:bCs/>
                      <w:snapToGrid w:val="0"/>
                      <w:sz w:val="21"/>
                      <w:szCs w:val="21"/>
                      <w:vertAlign w:val="baseline"/>
                      <w:lang w:val="en-US" w:eastAsia="zh-CN"/>
                    </w:rPr>
                  </w:pPr>
                  <w:r>
                    <w:rPr>
                      <w:rFonts w:hint="eastAsia"/>
                      <w:b/>
                      <w:bCs/>
                      <w:snapToGrid w:val="0"/>
                      <w:sz w:val="21"/>
                      <w:szCs w:val="21"/>
                      <w:vertAlign w:val="baseline"/>
                      <w:lang w:val="en-US" w:eastAsia="zh-CN"/>
                    </w:rPr>
                    <w:t>总重量t/a</w:t>
                  </w:r>
                </w:p>
              </w:tc>
              <w:tc>
                <w:tcPr>
                  <w:tcW w:w="3889" w:type="dxa"/>
                  <w:vMerge w:val="restart"/>
                  <w:vAlign w:val="center"/>
                </w:tcPr>
                <w:p w14:paraId="7C5491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b/>
                      <w:bCs/>
                      <w:snapToGrid w:val="0"/>
                      <w:sz w:val="21"/>
                      <w:szCs w:val="21"/>
                      <w:vertAlign w:val="baseline"/>
                      <w:lang w:val="en-US" w:eastAsia="zh-CN"/>
                    </w:rPr>
                  </w:pPr>
                  <w:r>
                    <w:rPr>
                      <w:rFonts w:hint="eastAsia"/>
                      <w:b/>
                      <w:bCs/>
                      <w:snapToGrid w:val="0"/>
                      <w:sz w:val="21"/>
                      <w:szCs w:val="21"/>
                      <w:vertAlign w:val="baseline"/>
                      <w:lang w:val="en-US" w:eastAsia="zh-CN"/>
                    </w:rPr>
                    <w:t>去向</w:t>
                  </w:r>
                </w:p>
              </w:tc>
            </w:tr>
            <w:tr w14:paraId="0E74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14:paraId="698537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p>
              </w:tc>
              <w:tc>
                <w:tcPr>
                  <w:tcW w:w="2150" w:type="dxa"/>
                  <w:vMerge w:val="continue"/>
                  <w:vAlign w:val="center"/>
                </w:tcPr>
                <w:p w14:paraId="69BBA7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p>
              </w:tc>
              <w:tc>
                <w:tcPr>
                  <w:tcW w:w="1033" w:type="dxa"/>
                  <w:vAlign w:val="center"/>
                </w:tcPr>
                <w:p w14:paraId="6255DA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b/>
                      <w:bCs/>
                      <w:snapToGrid w:val="0"/>
                      <w:sz w:val="21"/>
                      <w:szCs w:val="21"/>
                      <w:vertAlign w:val="baseline"/>
                      <w:lang w:val="en-US" w:eastAsia="zh-CN"/>
                    </w:rPr>
                  </w:pPr>
                  <w:r>
                    <w:rPr>
                      <w:rFonts w:hint="eastAsia"/>
                      <w:b/>
                      <w:bCs/>
                      <w:snapToGrid w:val="0"/>
                      <w:sz w:val="21"/>
                      <w:szCs w:val="21"/>
                      <w:vertAlign w:val="baseline"/>
                      <w:lang w:val="en-US" w:eastAsia="zh-CN"/>
                    </w:rPr>
                    <w:t>kg/辆</w:t>
                  </w:r>
                </w:p>
              </w:tc>
              <w:tc>
                <w:tcPr>
                  <w:tcW w:w="1000" w:type="dxa"/>
                  <w:vAlign w:val="center"/>
                </w:tcPr>
                <w:p w14:paraId="4B2CB5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b/>
                      <w:bCs/>
                      <w:snapToGrid w:val="0"/>
                      <w:sz w:val="21"/>
                      <w:szCs w:val="21"/>
                      <w:vertAlign w:val="baseline"/>
                      <w:lang w:val="en-US" w:eastAsia="zh-CN"/>
                    </w:rPr>
                  </w:pPr>
                  <w:r>
                    <w:rPr>
                      <w:rFonts w:hint="eastAsia"/>
                      <w:b/>
                      <w:bCs/>
                      <w:snapToGrid w:val="0"/>
                      <w:sz w:val="21"/>
                      <w:szCs w:val="21"/>
                      <w:vertAlign w:val="baseline"/>
                      <w:lang w:val="en-US" w:eastAsia="zh-CN"/>
                    </w:rPr>
                    <w:t>t/a</w:t>
                  </w:r>
                </w:p>
              </w:tc>
              <w:tc>
                <w:tcPr>
                  <w:tcW w:w="1250" w:type="dxa"/>
                  <w:vAlign w:val="center"/>
                </w:tcPr>
                <w:p w14:paraId="0D0BB6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b/>
                      <w:bCs/>
                      <w:snapToGrid w:val="0"/>
                      <w:sz w:val="21"/>
                      <w:szCs w:val="21"/>
                      <w:vertAlign w:val="baseline"/>
                      <w:lang w:val="en-US" w:eastAsia="zh-CN"/>
                    </w:rPr>
                  </w:pPr>
                  <w:r>
                    <w:rPr>
                      <w:rFonts w:hint="eastAsia"/>
                      <w:b/>
                      <w:bCs/>
                      <w:snapToGrid w:val="0"/>
                      <w:sz w:val="21"/>
                      <w:szCs w:val="21"/>
                      <w:vertAlign w:val="baseline"/>
                      <w:lang w:val="en-US" w:eastAsia="zh-CN"/>
                    </w:rPr>
                    <w:t>kg/辆</w:t>
                  </w:r>
                </w:p>
              </w:tc>
              <w:tc>
                <w:tcPr>
                  <w:tcW w:w="1167" w:type="dxa"/>
                  <w:vAlign w:val="center"/>
                </w:tcPr>
                <w:p w14:paraId="4962F2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b/>
                      <w:bCs/>
                      <w:snapToGrid w:val="0"/>
                      <w:sz w:val="21"/>
                      <w:szCs w:val="21"/>
                      <w:vertAlign w:val="baseline"/>
                      <w:lang w:val="en-US" w:eastAsia="zh-CN"/>
                    </w:rPr>
                  </w:pPr>
                  <w:r>
                    <w:rPr>
                      <w:rFonts w:hint="eastAsia"/>
                      <w:b/>
                      <w:bCs/>
                      <w:snapToGrid w:val="0"/>
                      <w:sz w:val="21"/>
                      <w:szCs w:val="21"/>
                      <w:vertAlign w:val="baseline"/>
                      <w:lang w:val="en-US" w:eastAsia="zh-CN"/>
                    </w:rPr>
                    <w:t>t/a</w:t>
                  </w:r>
                </w:p>
              </w:tc>
              <w:tc>
                <w:tcPr>
                  <w:tcW w:w="1500" w:type="dxa"/>
                  <w:vMerge w:val="continue"/>
                  <w:vAlign w:val="center"/>
                </w:tcPr>
                <w:p w14:paraId="056006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p>
              </w:tc>
              <w:tc>
                <w:tcPr>
                  <w:tcW w:w="3889" w:type="dxa"/>
                  <w:vMerge w:val="continue"/>
                  <w:vAlign w:val="center"/>
                </w:tcPr>
                <w:p w14:paraId="442D6E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p>
              </w:tc>
            </w:tr>
            <w:tr w14:paraId="3CE72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773EDC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w:t>
                  </w:r>
                </w:p>
              </w:tc>
              <w:tc>
                <w:tcPr>
                  <w:tcW w:w="2150" w:type="dxa"/>
                  <w:vAlign w:val="center"/>
                </w:tcPr>
                <w:p w14:paraId="1463A9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车架</w:t>
                  </w:r>
                </w:p>
              </w:tc>
              <w:tc>
                <w:tcPr>
                  <w:tcW w:w="1033" w:type="dxa"/>
                  <w:vAlign w:val="center"/>
                </w:tcPr>
                <w:p w14:paraId="43161B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340</w:t>
                  </w:r>
                </w:p>
              </w:tc>
              <w:tc>
                <w:tcPr>
                  <w:tcW w:w="1000" w:type="dxa"/>
                  <w:vAlign w:val="center"/>
                </w:tcPr>
                <w:p w14:paraId="5DC145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510</w:t>
                  </w:r>
                </w:p>
              </w:tc>
              <w:tc>
                <w:tcPr>
                  <w:tcW w:w="1250" w:type="dxa"/>
                  <w:vAlign w:val="center"/>
                </w:tcPr>
                <w:p w14:paraId="17AB4D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3700</w:t>
                  </w:r>
                </w:p>
              </w:tc>
              <w:tc>
                <w:tcPr>
                  <w:tcW w:w="1167" w:type="dxa"/>
                  <w:vAlign w:val="center"/>
                </w:tcPr>
                <w:p w14:paraId="4AD50E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1850</w:t>
                  </w:r>
                </w:p>
              </w:tc>
              <w:tc>
                <w:tcPr>
                  <w:tcW w:w="1500" w:type="dxa"/>
                  <w:vAlign w:val="center"/>
                </w:tcPr>
                <w:p w14:paraId="011BD9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2360</w:t>
                  </w:r>
                </w:p>
              </w:tc>
              <w:tc>
                <w:tcPr>
                  <w:tcW w:w="3889" w:type="dxa"/>
                  <w:vMerge w:val="restart"/>
                  <w:vAlign w:val="center"/>
                </w:tcPr>
                <w:p w14:paraId="6D6862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z w:val="21"/>
                      <w:szCs w:val="21"/>
                      <w:vertAlign w:val="baseline"/>
                      <w:lang w:eastAsia="zh-CN"/>
                    </w:rPr>
                    <w:t>“</w:t>
                  </w:r>
                  <w:r>
                    <w:rPr>
                      <w:rFonts w:hint="eastAsia"/>
                      <w:sz w:val="21"/>
                      <w:szCs w:val="21"/>
                      <w:vertAlign w:val="baseline"/>
                      <w:lang w:val="en-US" w:eastAsia="zh-CN"/>
                    </w:rPr>
                    <w:t>五大总成</w:t>
                  </w:r>
                  <w:r>
                    <w:rPr>
                      <w:rFonts w:hint="eastAsia"/>
                      <w:sz w:val="21"/>
                      <w:szCs w:val="21"/>
                      <w:vertAlign w:val="baseline"/>
                      <w:lang w:eastAsia="zh-CN"/>
                    </w:rPr>
                    <w:t>”</w:t>
                  </w:r>
                  <w:r>
                    <w:rPr>
                      <w:rFonts w:hint="eastAsia"/>
                      <w:sz w:val="21"/>
                      <w:szCs w:val="21"/>
                      <w:vertAlign w:val="baseline"/>
                      <w:lang w:val="en-US" w:eastAsia="zh-CN"/>
                    </w:rPr>
                    <w:t>具备再制造条件的出售给具有再制造能力的单位回收利用，不具备再制造条件的，经剪段、切割后外售钢铁回收单位回收利用</w:t>
                  </w:r>
                </w:p>
              </w:tc>
            </w:tr>
            <w:tr w14:paraId="2889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3C8286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w:t>
                  </w:r>
                </w:p>
              </w:tc>
              <w:tc>
                <w:tcPr>
                  <w:tcW w:w="2150" w:type="dxa"/>
                  <w:vAlign w:val="center"/>
                </w:tcPr>
                <w:p w14:paraId="2DAB25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变速器</w:t>
                  </w:r>
                </w:p>
              </w:tc>
              <w:tc>
                <w:tcPr>
                  <w:tcW w:w="1033" w:type="dxa"/>
                  <w:vAlign w:val="center"/>
                </w:tcPr>
                <w:p w14:paraId="6F36C6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40</w:t>
                  </w:r>
                </w:p>
              </w:tc>
              <w:tc>
                <w:tcPr>
                  <w:tcW w:w="1000" w:type="dxa"/>
                  <w:vAlign w:val="center"/>
                </w:tcPr>
                <w:p w14:paraId="64E0B8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60</w:t>
                  </w:r>
                </w:p>
              </w:tc>
              <w:tc>
                <w:tcPr>
                  <w:tcW w:w="1250" w:type="dxa"/>
                  <w:vAlign w:val="center"/>
                </w:tcPr>
                <w:p w14:paraId="1CE6C5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200</w:t>
                  </w:r>
                </w:p>
              </w:tc>
              <w:tc>
                <w:tcPr>
                  <w:tcW w:w="1167" w:type="dxa"/>
                  <w:vAlign w:val="center"/>
                </w:tcPr>
                <w:p w14:paraId="44819D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100</w:t>
                  </w:r>
                </w:p>
              </w:tc>
              <w:tc>
                <w:tcPr>
                  <w:tcW w:w="1500" w:type="dxa"/>
                  <w:vAlign w:val="center"/>
                </w:tcPr>
                <w:p w14:paraId="038B4C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160</w:t>
                  </w:r>
                </w:p>
              </w:tc>
              <w:tc>
                <w:tcPr>
                  <w:tcW w:w="3889" w:type="dxa"/>
                  <w:vMerge w:val="continue"/>
                  <w:vAlign w:val="center"/>
                </w:tcPr>
                <w:p w14:paraId="5DF593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p>
              </w:tc>
            </w:tr>
            <w:tr w14:paraId="6E43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3AC9B4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3</w:t>
                  </w:r>
                </w:p>
              </w:tc>
              <w:tc>
                <w:tcPr>
                  <w:tcW w:w="2150" w:type="dxa"/>
                  <w:vAlign w:val="center"/>
                </w:tcPr>
                <w:p w14:paraId="085120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前后桥</w:t>
                  </w:r>
                </w:p>
              </w:tc>
              <w:tc>
                <w:tcPr>
                  <w:tcW w:w="1033" w:type="dxa"/>
                  <w:vAlign w:val="center"/>
                </w:tcPr>
                <w:p w14:paraId="087A3A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100</w:t>
                  </w:r>
                </w:p>
              </w:tc>
              <w:tc>
                <w:tcPr>
                  <w:tcW w:w="1000" w:type="dxa"/>
                  <w:vAlign w:val="center"/>
                </w:tcPr>
                <w:p w14:paraId="69F037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150</w:t>
                  </w:r>
                </w:p>
              </w:tc>
              <w:tc>
                <w:tcPr>
                  <w:tcW w:w="1250" w:type="dxa"/>
                  <w:vAlign w:val="center"/>
                </w:tcPr>
                <w:p w14:paraId="268AA9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1200</w:t>
                  </w:r>
                </w:p>
              </w:tc>
              <w:tc>
                <w:tcPr>
                  <w:tcW w:w="1167" w:type="dxa"/>
                  <w:vAlign w:val="center"/>
                </w:tcPr>
                <w:p w14:paraId="6EBCC0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600</w:t>
                  </w:r>
                </w:p>
              </w:tc>
              <w:tc>
                <w:tcPr>
                  <w:tcW w:w="1500" w:type="dxa"/>
                  <w:vAlign w:val="center"/>
                </w:tcPr>
                <w:p w14:paraId="2DD631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750</w:t>
                  </w:r>
                </w:p>
              </w:tc>
              <w:tc>
                <w:tcPr>
                  <w:tcW w:w="3889" w:type="dxa"/>
                  <w:vMerge w:val="continue"/>
                  <w:vAlign w:val="center"/>
                </w:tcPr>
                <w:p w14:paraId="31974D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p>
              </w:tc>
            </w:tr>
            <w:tr w14:paraId="4DE9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29CC0C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4</w:t>
                  </w:r>
                </w:p>
              </w:tc>
              <w:tc>
                <w:tcPr>
                  <w:tcW w:w="2150" w:type="dxa"/>
                  <w:vAlign w:val="center"/>
                </w:tcPr>
                <w:p w14:paraId="25244A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方向机</w:t>
                  </w:r>
                </w:p>
              </w:tc>
              <w:tc>
                <w:tcPr>
                  <w:tcW w:w="1033" w:type="dxa"/>
                  <w:vAlign w:val="center"/>
                </w:tcPr>
                <w:p w14:paraId="69D511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10</w:t>
                  </w:r>
                </w:p>
              </w:tc>
              <w:tc>
                <w:tcPr>
                  <w:tcW w:w="1000" w:type="dxa"/>
                  <w:vAlign w:val="center"/>
                </w:tcPr>
                <w:p w14:paraId="644AB7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15</w:t>
                  </w:r>
                </w:p>
              </w:tc>
              <w:tc>
                <w:tcPr>
                  <w:tcW w:w="1250" w:type="dxa"/>
                  <w:vAlign w:val="center"/>
                </w:tcPr>
                <w:p w14:paraId="693853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40</w:t>
                  </w:r>
                </w:p>
              </w:tc>
              <w:tc>
                <w:tcPr>
                  <w:tcW w:w="1167" w:type="dxa"/>
                  <w:vAlign w:val="center"/>
                </w:tcPr>
                <w:p w14:paraId="060272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20</w:t>
                  </w:r>
                </w:p>
              </w:tc>
              <w:tc>
                <w:tcPr>
                  <w:tcW w:w="1500" w:type="dxa"/>
                  <w:vAlign w:val="center"/>
                </w:tcPr>
                <w:p w14:paraId="6DA988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35</w:t>
                  </w:r>
                </w:p>
              </w:tc>
              <w:tc>
                <w:tcPr>
                  <w:tcW w:w="3889" w:type="dxa"/>
                  <w:vMerge w:val="continue"/>
                  <w:vAlign w:val="center"/>
                </w:tcPr>
                <w:p w14:paraId="4948F2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p>
              </w:tc>
            </w:tr>
            <w:tr w14:paraId="31E6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5496F1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5</w:t>
                  </w:r>
                </w:p>
              </w:tc>
              <w:tc>
                <w:tcPr>
                  <w:tcW w:w="2150" w:type="dxa"/>
                  <w:vAlign w:val="center"/>
                </w:tcPr>
                <w:p w14:paraId="0A57D9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散热器</w:t>
                  </w:r>
                </w:p>
              </w:tc>
              <w:tc>
                <w:tcPr>
                  <w:tcW w:w="1033" w:type="dxa"/>
                  <w:vAlign w:val="center"/>
                </w:tcPr>
                <w:p w14:paraId="6A5DC2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10</w:t>
                  </w:r>
                </w:p>
              </w:tc>
              <w:tc>
                <w:tcPr>
                  <w:tcW w:w="1000" w:type="dxa"/>
                  <w:vAlign w:val="center"/>
                </w:tcPr>
                <w:p w14:paraId="6E3ADE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15</w:t>
                  </w:r>
                </w:p>
              </w:tc>
              <w:tc>
                <w:tcPr>
                  <w:tcW w:w="1250" w:type="dxa"/>
                  <w:vAlign w:val="center"/>
                </w:tcPr>
                <w:p w14:paraId="2B4940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150</w:t>
                  </w:r>
                </w:p>
              </w:tc>
              <w:tc>
                <w:tcPr>
                  <w:tcW w:w="1167" w:type="dxa"/>
                  <w:vAlign w:val="center"/>
                </w:tcPr>
                <w:p w14:paraId="4D55B8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75</w:t>
                  </w:r>
                </w:p>
              </w:tc>
              <w:tc>
                <w:tcPr>
                  <w:tcW w:w="1500" w:type="dxa"/>
                  <w:vAlign w:val="center"/>
                </w:tcPr>
                <w:p w14:paraId="08E5BC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90</w:t>
                  </w:r>
                </w:p>
              </w:tc>
              <w:tc>
                <w:tcPr>
                  <w:tcW w:w="3889" w:type="dxa"/>
                  <w:vMerge w:val="restart"/>
                  <w:vAlign w:val="center"/>
                </w:tcPr>
                <w:p w14:paraId="43F433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外售废有色金属回收单位</w:t>
                  </w:r>
                </w:p>
              </w:tc>
            </w:tr>
            <w:tr w14:paraId="3851A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612DF9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6</w:t>
                  </w:r>
                </w:p>
              </w:tc>
              <w:tc>
                <w:tcPr>
                  <w:tcW w:w="2150" w:type="dxa"/>
                  <w:vAlign w:val="center"/>
                </w:tcPr>
                <w:p w14:paraId="18B5FE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电线电缆</w:t>
                  </w:r>
                </w:p>
              </w:tc>
              <w:tc>
                <w:tcPr>
                  <w:tcW w:w="1033" w:type="dxa"/>
                  <w:vAlign w:val="center"/>
                </w:tcPr>
                <w:p w14:paraId="2946ED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15</w:t>
                  </w:r>
                </w:p>
              </w:tc>
              <w:tc>
                <w:tcPr>
                  <w:tcW w:w="1000" w:type="dxa"/>
                  <w:vAlign w:val="center"/>
                </w:tcPr>
                <w:p w14:paraId="0A550D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22.5</w:t>
                  </w:r>
                </w:p>
              </w:tc>
              <w:tc>
                <w:tcPr>
                  <w:tcW w:w="1250" w:type="dxa"/>
                  <w:vAlign w:val="center"/>
                </w:tcPr>
                <w:p w14:paraId="7D61B0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50</w:t>
                  </w:r>
                </w:p>
              </w:tc>
              <w:tc>
                <w:tcPr>
                  <w:tcW w:w="1167" w:type="dxa"/>
                  <w:vAlign w:val="center"/>
                </w:tcPr>
                <w:p w14:paraId="173BC7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25</w:t>
                  </w:r>
                </w:p>
              </w:tc>
              <w:tc>
                <w:tcPr>
                  <w:tcW w:w="1500" w:type="dxa"/>
                  <w:vAlign w:val="center"/>
                </w:tcPr>
                <w:p w14:paraId="08C45E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47.5</w:t>
                  </w:r>
                </w:p>
              </w:tc>
              <w:tc>
                <w:tcPr>
                  <w:tcW w:w="3889" w:type="dxa"/>
                  <w:vMerge w:val="continue"/>
                  <w:vAlign w:val="center"/>
                </w:tcPr>
                <w:p w14:paraId="4D6845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p>
              </w:tc>
            </w:tr>
            <w:tr w14:paraId="7E70C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77D3C5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7</w:t>
                  </w:r>
                </w:p>
              </w:tc>
              <w:tc>
                <w:tcPr>
                  <w:tcW w:w="2150" w:type="dxa"/>
                  <w:vAlign w:val="center"/>
                </w:tcPr>
                <w:p w14:paraId="386389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车门</w:t>
                  </w:r>
                </w:p>
              </w:tc>
              <w:tc>
                <w:tcPr>
                  <w:tcW w:w="1033" w:type="dxa"/>
                  <w:vAlign w:val="center"/>
                </w:tcPr>
                <w:p w14:paraId="011F9B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65</w:t>
                  </w:r>
                </w:p>
              </w:tc>
              <w:tc>
                <w:tcPr>
                  <w:tcW w:w="1000" w:type="dxa"/>
                  <w:vAlign w:val="center"/>
                </w:tcPr>
                <w:p w14:paraId="3F096F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97.5</w:t>
                  </w:r>
                </w:p>
              </w:tc>
              <w:tc>
                <w:tcPr>
                  <w:tcW w:w="1250" w:type="dxa"/>
                  <w:vAlign w:val="center"/>
                </w:tcPr>
                <w:p w14:paraId="18D222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300</w:t>
                  </w:r>
                </w:p>
              </w:tc>
              <w:tc>
                <w:tcPr>
                  <w:tcW w:w="1167" w:type="dxa"/>
                  <w:vAlign w:val="center"/>
                </w:tcPr>
                <w:p w14:paraId="5D78AD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150</w:t>
                  </w:r>
                </w:p>
              </w:tc>
              <w:tc>
                <w:tcPr>
                  <w:tcW w:w="1500" w:type="dxa"/>
                  <w:vAlign w:val="center"/>
                </w:tcPr>
                <w:p w14:paraId="4B5D94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247.5</w:t>
                  </w:r>
                </w:p>
              </w:tc>
              <w:tc>
                <w:tcPr>
                  <w:tcW w:w="3889" w:type="dxa"/>
                  <w:vMerge w:val="restart"/>
                  <w:vAlign w:val="center"/>
                </w:tcPr>
                <w:p w14:paraId="1CC20A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外售废钢铁回收单位</w:t>
                  </w:r>
                </w:p>
              </w:tc>
            </w:tr>
            <w:tr w14:paraId="62B3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0EE856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8</w:t>
                  </w:r>
                </w:p>
              </w:tc>
              <w:tc>
                <w:tcPr>
                  <w:tcW w:w="2150" w:type="dxa"/>
                  <w:vAlign w:val="center"/>
                </w:tcPr>
                <w:p w14:paraId="3C395E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座椅</w:t>
                  </w:r>
                </w:p>
              </w:tc>
              <w:tc>
                <w:tcPr>
                  <w:tcW w:w="1033" w:type="dxa"/>
                  <w:vAlign w:val="center"/>
                </w:tcPr>
                <w:p w14:paraId="4E4EA3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40</w:t>
                  </w:r>
                </w:p>
              </w:tc>
              <w:tc>
                <w:tcPr>
                  <w:tcW w:w="1000" w:type="dxa"/>
                  <w:vAlign w:val="center"/>
                </w:tcPr>
                <w:p w14:paraId="6A83C9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60</w:t>
                  </w:r>
                </w:p>
              </w:tc>
              <w:tc>
                <w:tcPr>
                  <w:tcW w:w="1250" w:type="dxa"/>
                  <w:vAlign w:val="center"/>
                </w:tcPr>
                <w:p w14:paraId="56EC4E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400</w:t>
                  </w:r>
                </w:p>
              </w:tc>
              <w:tc>
                <w:tcPr>
                  <w:tcW w:w="1167" w:type="dxa"/>
                  <w:vAlign w:val="center"/>
                </w:tcPr>
                <w:p w14:paraId="19D4C8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200</w:t>
                  </w:r>
                </w:p>
              </w:tc>
              <w:tc>
                <w:tcPr>
                  <w:tcW w:w="1500" w:type="dxa"/>
                  <w:vAlign w:val="center"/>
                </w:tcPr>
                <w:p w14:paraId="14893A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260</w:t>
                  </w:r>
                </w:p>
              </w:tc>
              <w:tc>
                <w:tcPr>
                  <w:tcW w:w="3889" w:type="dxa"/>
                  <w:vMerge w:val="continue"/>
                  <w:vAlign w:val="center"/>
                </w:tcPr>
                <w:p w14:paraId="0E45C3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p>
              </w:tc>
            </w:tr>
            <w:tr w14:paraId="0782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5147DF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9</w:t>
                  </w:r>
                </w:p>
              </w:tc>
              <w:tc>
                <w:tcPr>
                  <w:tcW w:w="2150" w:type="dxa"/>
                  <w:vAlign w:val="center"/>
                </w:tcPr>
                <w:p w14:paraId="1DAD31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保险杠</w:t>
                  </w:r>
                </w:p>
              </w:tc>
              <w:tc>
                <w:tcPr>
                  <w:tcW w:w="1033" w:type="dxa"/>
                  <w:vAlign w:val="center"/>
                </w:tcPr>
                <w:p w14:paraId="2FFE18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25</w:t>
                  </w:r>
                </w:p>
              </w:tc>
              <w:tc>
                <w:tcPr>
                  <w:tcW w:w="1000" w:type="dxa"/>
                  <w:vAlign w:val="center"/>
                </w:tcPr>
                <w:p w14:paraId="403E30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37.5</w:t>
                  </w:r>
                </w:p>
              </w:tc>
              <w:tc>
                <w:tcPr>
                  <w:tcW w:w="1250" w:type="dxa"/>
                  <w:vAlign w:val="center"/>
                </w:tcPr>
                <w:p w14:paraId="57739E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190</w:t>
                  </w:r>
                </w:p>
              </w:tc>
              <w:tc>
                <w:tcPr>
                  <w:tcW w:w="1167" w:type="dxa"/>
                  <w:vAlign w:val="center"/>
                </w:tcPr>
                <w:p w14:paraId="6B8629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95</w:t>
                  </w:r>
                </w:p>
              </w:tc>
              <w:tc>
                <w:tcPr>
                  <w:tcW w:w="1500" w:type="dxa"/>
                  <w:vAlign w:val="center"/>
                </w:tcPr>
                <w:p w14:paraId="1F4237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132.5</w:t>
                  </w:r>
                </w:p>
              </w:tc>
              <w:tc>
                <w:tcPr>
                  <w:tcW w:w="3889" w:type="dxa"/>
                  <w:vMerge w:val="continue"/>
                  <w:vAlign w:val="center"/>
                </w:tcPr>
                <w:p w14:paraId="4A8F54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p>
              </w:tc>
            </w:tr>
            <w:tr w14:paraId="0A73A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366840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10</w:t>
                  </w:r>
                </w:p>
              </w:tc>
              <w:tc>
                <w:tcPr>
                  <w:tcW w:w="2150" w:type="dxa"/>
                  <w:vAlign w:val="center"/>
                </w:tcPr>
                <w:p w14:paraId="78B50B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螺丝、轴承</w:t>
                  </w:r>
                </w:p>
              </w:tc>
              <w:tc>
                <w:tcPr>
                  <w:tcW w:w="1033" w:type="dxa"/>
                  <w:vAlign w:val="center"/>
                </w:tcPr>
                <w:p w14:paraId="4AD901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50</w:t>
                  </w:r>
                </w:p>
              </w:tc>
              <w:tc>
                <w:tcPr>
                  <w:tcW w:w="1000" w:type="dxa"/>
                  <w:vAlign w:val="center"/>
                </w:tcPr>
                <w:p w14:paraId="365E11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75</w:t>
                  </w:r>
                </w:p>
              </w:tc>
              <w:tc>
                <w:tcPr>
                  <w:tcW w:w="1250" w:type="dxa"/>
                  <w:vAlign w:val="center"/>
                </w:tcPr>
                <w:p w14:paraId="26DD99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300</w:t>
                  </w:r>
                </w:p>
              </w:tc>
              <w:tc>
                <w:tcPr>
                  <w:tcW w:w="1167" w:type="dxa"/>
                  <w:vAlign w:val="center"/>
                </w:tcPr>
                <w:p w14:paraId="6F2C68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150</w:t>
                  </w:r>
                </w:p>
              </w:tc>
              <w:tc>
                <w:tcPr>
                  <w:tcW w:w="1500" w:type="dxa"/>
                  <w:vAlign w:val="center"/>
                </w:tcPr>
                <w:p w14:paraId="61BF9E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225</w:t>
                  </w:r>
                </w:p>
              </w:tc>
              <w:tc>
                <w:tcPr>
                  <w:tcW w:w="3889" w:type="dxa"/>
                  <w:vMerge w:val="continue"/>
                  <w:vAlign w:val="center"/>
                </w:tcPr>
                <w:p w14:paraId="1B9249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p>
              </w:tc>
            </w:tr>
            <w:tr w14:paraId="5E6A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6E4009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11</w:t>
                  </w:r>
                </w:p>
              </w:tc>
              <w:tc>
                <w:tcPr>
                  <w:tcW w:w="2150" w:type="dxa"/>
                  <w:vAlign w:val="center"/>
                </w:tcPr>
                <w:p w14:paraId="003315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消声器</w:t>
                  </w:r>
                </w:p>
              </w:tc>
              <w:tc>
                <w:tcPr>
                  <w:tcW w:w="1033" w:type="dxa"/>
                  <w:vAlign w:val="center"/>
                </w:tcPr>
                <w:p w14:paraId="685D9B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10</w:t>
                  </w:r>
                </w:p>
              </w:tc>
              <w:tc>
                <w:tcPr>
                  <w:tcW w:w="1000" w:type="dxa"/>
                  <w:vAlign w:val="center"/>
                </w:tcPr>
                <w:p w14:paraId="0EC4E6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15</w:t>
                  </w:r>
                </w:p>
              </w:tc>
              <w:tc>
                <w:tcPr>
                  <w:tcW w:w="1250" w:type="dxa"/>
                  <w:vAlign w:val="center"/>
                </w:tcPr>
                <w:p w14:paraId="185F5C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50</w:t>
                  </w:r>
                </w:p>
              </w:tc>
              <w:tc>
                <w:tcPr>
                  <w:tcW w:w="1167" w:type="dxa"/>
                  <w:vAlign w:val="center"/>
                </w:tcPr>
                <w:p w14:paraId="74154B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25</w:t>
                  </w:r>
                </w:p>
              </w:tc>
              <w:tc>
                <w:tcPr>
                  <w:tcW w:w="1500" w:type="dxa"/>
                  <w:vAlign w:val="center"/>
                </w:tcPr>
                <w:p w14:paraId="71B15D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40</w:t>
                  </w:r>
                </w:p>
              </w:tc>
              <w:tc>
                <w:tcPr>
                  <w:tcW w:w="3889" w:type="dxa"/>
                  <w:vMerge w:val="continue"/>
                  <w:vAlign w:val="center"/>
                </w:tcPr>
                <w:p w14:paraId="22C547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p>
              </w:tc>
            </w:tr>
            <w:tr w14:paraId="2815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1E9613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12</w:t>
                  </w:r>
                </w:p>
              </w:tc>
              <w:tc>
                <w:tcPr>
                  <w:tcW w:w="2150" w:type="dxa"/>
                  <w:vAlign w:val="center"/>
                </w:tcPr>
                <w:p w14:paraId="68FF4F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悬架</w:t>
                  </w:r>
                </w:p>
              </w:tc>
              <w:tc>
                <w:tcPr>
                  <w:tcW w:w="1033" w:type="dxa"/>
                  <w:vAlign w:val="center"/>
                </w:tcPr>
                <w:p w14:paraId="6CEAA6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140</w:t>
                  </w:r>
                </w:p>
              </w:tc>
              <w:tc>
                <w:tcPr>
                  <w:tcW w:w="1000" w:type="dxa"/>
                  <w:vAlign w:val="center"/>
                </w:tcPr>
                <w:p w14:paraId="1A0912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210</w:t>
                  </w:r>
                </w:p>
              </w:tc>
              <w:tc>
                <w:tcPr>
                  <w:tcW w:w="1250" w:type="dxa"/>
                  <w:vAlign w:val="center"/>
                </w:tcPr>
                <w:p w14:paraId="697190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1000</w:t>
                  </w:r>
                </w:p>
              </w:tc>
              <w:tc>
                <w:tcPr>
                  <w:tcW w:w="1167" w:type="dxa"/>
                  <w:vAlign w:val="center"/>
                </w:tcPr>
                <w:p w14:paraId="2C9D9A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500</w:t>
                  </w:r>
                </w:p>
              </w:tc>
              <w:tc>
                <w:tcPr>
                  <w:tcW w:w="1500" w:type="dxa"/>
                  <w:vAlign w:val="center"/>
                </w:tcPr>
                <w:p w14:paraId="6DD279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710</w:t>
                  </w:r>
                </w:p>
              </w:tc>
              <w:tc>
                <w:tcPr>
                  <w:tcW w:w="3889" w:type="dxa"/>
                  <w:vMerge w:val="continue"/>
                  <w:vAlign w:val="center"/>
                </w:tcPr>
                <w:p w14:paraId="37FAEE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p>
              </w:tc>
            </w:tr>
            <w:tr w14:paraId="5AF0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344AAD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13</w:t>
                  </w:r>
                </w:p>
              </w:tc>
              <w:tc>
                <w:tcPr>
                  <w:tcW w:w="2150" w:type="dxa"/>
                  <w:vAlign w:val="center"/>
                </w:tcPr>
                <w:p w14:paraId="7CCC7E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驱动电机</w:t>
                  </w:r>
                </w:p>
              </w:tc>
              <w:tc>
                <w:tcPr>
                  <w:tcW w:w="1033" w:type="dxa"/>
                  <w:vAlign w:val="center"/>
                </w:tcPr>
                <w:p w14:paraId="6AB629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80</w:t>
                  </w:r>
                </w:p>
              </w:tc>
              <w:tc>
                <w:tcPr>
                  <w:tcW w:w="1000" w:type="dxa"/>
                  <w:vAlign w:val="center"/>
                </w:tcPr>
                <w:p w14:paraId="166899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120</w:t>
                  </w:r>
                </w:p>
              </w:tc>
              <w:tc>
                <w:tcPr>
                  <w:tcW w:w="1250" w:type="dxa"/>
                  <w:vAlign w:val="center"/>
                </w:tcPr>
                <w:p w14:paraId="6BEB4E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500</w:t>
                  </w:r>
                </w:p>
              </w:tc>
              <w:tc>
                <w:tcPr>
                  <w:tcW w:w="1167" w:type="dxa"/>
                  <w:vAlign w:val="center"/>
                </w:tcPr>
                <w:p w14:paraId="6B7E99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250</w:t>
                  </w:r>
                </w:p>
              </w:tc>
              <w:tc>
                <w:tcPr>
                  <w:tcW w:w="1500" w:type="dxa"/>
                  <w:vAlign w:val="center"/>
                </w:tcPr>
                <w:p w14:paraId="5347B3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370</w:t>
                  </w:r>
                </w:p>
              </w:tc>
              <w:tc>
                <w:tcPr>
                  <w:tcW w:w="3889" w:type="dxa"/>
                  <w:vMerge w:val="continue"/>
                  <w:vAlign w:val="center"/>
                </w:tcPr>
                <w:p w14:paraId="3D593F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p>
              </w:tc>
            </w:tr>
            <w:tr w14:paraId="7254C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27C088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14</w:t>
                  </w:r>
                </w:p>
              </w:tc>
              <w:tc>
                <w:tcPr>
                  <w:tcW w:w="2150" w:type="dxa"/>
                  <w:vAlign w:val="center"/>
                </w:tcPr>
                <w:p w14:paraId="5A8571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轮胎及其他橡胶制品</w:t>
                  </w:r>
                </w:p>
              </w:tc>
              <w:tc>
                <w:tcPr>
                  <w:tcW w:w="1033" w:type="dxa"/>
                  <w:vAlign w:val="center"/>
                </w:tcPr>
                <w:p w14:paraId="43AAC3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40</w:t>
                  </w:r>
                </w:p>
              </w:tc>
              <w:tc>
                <w:tcPr>
                  <w:tcW w:w="1000" w:type="dxa"/>
                  <w:vAlign w:val="center"/>
                </w:tcPr>
                <w:p w14:paraId="1D1279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60</w:t>
                  </w:r>
                </w:p>
              </w:tc>
              <w:tc>
                <w:tcPr>
                  <w:tcW w:w="1250" w:type="dxa"/>
                  <w:vAlign w:val="center"/>
                </w:tcPr>
                <w:p w14:paraId="47029D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300</w:t>
                  </w:r>
                </w:p>
              </w:tc>
              <w:tc>
                <w:tcPr>
                  <w:tcW w:w="1167" w:type="dxa"/>
                  <w:vAlign w:val="center"/>
                </w:tcPr>
                <w:p w14:paraId="48CB36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150</w:t>
                  </w:r>
                </w:p>
              </w:tc>
              <w:tc>
                <w:tcPr>
                  <w:tcW w:w="1500" w:type="dxa"/>
                  <w:vAlign w:val="center"/>
                </w:tcPr>
                <w:p w14:paraId="39B6A6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210</w:t>
                  </w:r>
                </w:p>
              </w:tc>
              <w:tc>
                <w:tcPr>
                  <w:tcW w:w="3889" w:type="dxa"/>
                  <w:vAlign w:val="center"/>
                </w:tcPr>
                <w:p w14:paraId="192ED1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z w:val="21"/>
                      <w:szCs w:val="21"/>
                      <w:vertAlign w:val="baseline"/>
                      <w:lang w:val="en-US" w:eastAsia="zh-CN"/>
                    </w:rPr>
                    <w:t>外售废橡胶回收单位</w:t>
                  </w:r>
                </w:p>
              </w:tc>
            </w:tr>
            <w:tr w14:paraId="1DA3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0CFF39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15</w:t>
                  </w:r>
                </w:p>
              </w:tc>
              <w:tc>
                <w:tcPr>
                  <w:tcW w:w="2150" w:type="dxa"/>
                  <w:vAlign w:val="center"/>
                </w:tcPr>
                <w:p w14:paraId="46A576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塑料</w:t>
                  </w:r>
                </w:p>
              </w:tc>
              <w:tc>
                <w:tcPr>
                  <w:tcW w:w="1033" w:type="dxa"/>
                  <w:vAlign w:val="center"/>
                </w:tcPr>
                <w:p w14:paraId="1C2081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25</w:t>
                  </w:r>
                </w:p>
              </w:tc>
              <w:tc>
                <w:tcPr>
                  <w:tcW w:w="1000" w:type="dxa"/>
                  <w:vAlign w:val="center"/>
                </w:tcPr>
                <w:p w14:paraId="1018AF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37.5</w:t>
                  </w:r>
                </w:p>
              </w:tc>
              <w:tc>
                <w:tcPr>
                  <w:tcW w:w="1250" w:type="dxa"/>
                  <w:vAlign w:val="center"/>
                </w:tcPr>
                <w:p w14:paraId="4A892A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300</w:t>
                  </w:r>
                </w:p>
              </w:tc>
              <w:tc>
                <w:tcPr>
                  <w:tcW w:w="1167" w:type="dxa"/>
                  <w:vAlign w:val="center"/>
                </w:tcPr>
                <w:p w14:paraId="6CD7ED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150</w:t>
                  </w:r>
                </w:p>
              </w:tc>
              <w:tc>
                <w:tcPr>
                  <w:tcW w:w="1500" w:type="dxa"/>
                  <w:vAlign w:val="center"/>
                </w:tcPr>
                <w:p w14:paraId="0F9019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187.5</w:t>
                  </w:r>
                </w:p>
              </w:tc>
              <w:tc>
                <w:tcPr>
                  <w:tcW w:w="3889" w:type="dxa"/>
                  <w:vAlign w:val="center"/>
                </w:tcPr>
                <w:p w14:paraId="50F8F8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z w:val="21"/>
                      <w:szCs w:val="21"/>
                      <w:vertAlign w:val="baseline"/>
                      <w:lang w:val="en-US" w:eastAsia="zh-CN"/>
                    </w:rPr>
                    <w:t>外售废塑料回收单位</w:t>
                  </w:r>
                </w:p>
              </w:tc>
            </w:tr>
            <w:tr w14:paraId="4889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049BC4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16</w:t>
                  </w:r>
                </w:p>
              </w:tc>
              <w:tc>
                <w:tcPr>
                  <w:tcW w:w="2150" w:type="dxa"/>
                  <w:vAlign w:val="center"/>
                </w:tcPr>
                <w:p w14:paraId="2793AC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玻璃</w:t>
                  </w:r>
                </w:p>
              </w:tc>
              <w:tc>
                <w:tcPr>
                  <w:tcW w:w="1033" w:type="dxa"/>
                  <w:vAlign w:val="center"/>
                </w:tcPr>
                <w:p w14:paraId="318E28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70</w:t>
                  </w:r>
                </w:p>
              </w:tc>
              <w:tc>
                <w:tcPr>
                  <w:tcW w:w="1000" w:type="dxa"/>
                  <w:vAlign w:val="center"/>
                </w:tcPr>
                <w:p w14:paraId="4EFFF3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105</w:t>
                  </w:r>
                </w:p>
              </w:tc>
              <w:tc>
                <w:tcPr>
                  <w:tcW w:w="1250" w:type="dxa"/>
                  <w:vAlign w:val="center"/>
                </w:tcPr>
                <w:p w14:paraId="389EB6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180</w:t>
                  </w:r>
                </w:p>
              </w:tc>
              <w:tc>
                <w:tcPr>
                  <w:tcW w:w="1167" w:type="dxa"/>
                  <w:vAlign w:val="center"/>
                </w:tcPr>
                <w:p w14:paraId="63A7C0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90</w:t>
                  </w:r>
                </w:p>
              </w:tc>
              <w:tc>
                <w:tcPr>
                  <w:tcW w:w="1500" w:type="dxa"/>
                  <w:vAlign w:val="center"/>
                </w:tcPr>
                <w:p w14:paraId="2FBDA8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195</w:t>
                  </w:r>
                </w:p>
              </w:tc>
              <w:tc>
                <w:tcPr>
                  <w:tcW w:w="3889" w:type="dxa"/>
                  <w:vAlign w:val="center"/>
                </w:tcPr>
                <w:p w14:paraId="572FF1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z w:val="21"/>
                      <w:szCs w:val="21"/>
                      <w:vertAlign w:val="baseline"/>
                      <w:lang w:val="en-US" w:eastAsia="zh-CN"/>
                    </w:rPr>
                    <w:t>外售废玻璃回收单位</w:t>
                  </w:r>
                </w:p>
              </w:tc>
            </w:tr>
            <w:tr w14:paraId="2A94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1B865E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17</w:t>
                  </w:r>
                </w:p>
              </w:tc>
              <w:tc>
                <w:tcPr>
                  <w:tcW w:w="2150" w:type="dxa"/>
                  <w:vAlign w:val="center"/>
                </w:tcPr>
                <w:p w14:paraId="118CA2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气囊</w:t>
                  </w:r>
                </w:p>
              </w:tc>
              <w:tc>
                <w:tcPr>
                  <w:tcW w:w="1033" w:type="dxa"/>
                  <w:vAlign w:val="center"/>
                </w:tcPr>
                <w:p w14:paraId="20BEAF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w:t>
                  </w:r>
                </w:p>
              </w:tc>
              <w:tc>
                <w:tcPr>
                  <w:tcW w:w="1000" w:type="dxa"/>
                  <w:vAlign w:val="center"/>
                </w:tcPr>
                <w:p w14:paraId="73C4C4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1.5</w:t>
                  </w:r>
                </w:p>
              </w:tc>
              <w:tc>
                <w:tcPr>
                  <w:tcW w:w="1250" w:type="dxa"/>
                  <w:vAlign w:val="center"/>
                </w:tcPr>
                <w:p w14:paraId="23E8D3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3</w:t>
                  </w:r>
                </w:p>
              </w:tc>
              <w:tc>
                <w:tcPr>
                  <w:tcW w:w="1167" w:type="dxa"/>
                  <w:vAlign w:val="center"/>
                </w:tcPr>
                <w:p w14:paraId="0158C5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1.5</w:t>
                  </w:r>
                </w:p>
              </w:tc>
              <w:tc>
                <w:tcPr>
                  <w:tcW w:w="1500" w:type="dxa"/>
                  <w:vAlign w:val="center"/>
                </w:tcPr>
                <w:p w14:paraId="6E19D6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3</w:t>
                  </w:r>
                </w:p>
              </w:tc>
              <w:tc>
                <w:tcPr>
                  <w:tcW w:w="3889" w:type="dxa"/>
                  <w:vAlign w:val="center"/>
                </w:tcPr>
                <w:p w14:paraId="60FCEF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z w:val="21"/>
                      <w:szCs w:val="21"/>
                      <w:vertAlign w:val="baseline"/>
                      <w:lang w:val="en-US" w:eastAsia="zh-CN"/>
                    </w:rPr>
                    <w:t>外售物资回收单位</w:t>
                  </w:r>
                </w:p>
              </w:tc>
            </w:tr>
            <w:tr w14:paraId="01AB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2" w:type="dxa"/>
                  <w:vAlign w:val="center"/>
                </w:tcPr>
                <w:p w14:paraId="74A77F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18</w:t>
                  </w:r>
                </w:p>
              </w:tc>
              <w:tc>
                <w:tcPr>
                  <w:tcW w:w="2150" w:type="dxa"/>
                  <w:vAlign w:val="center"/>
                </w:tcPr>
                <w:p w14:paraId="3E5943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动力蓄电池（锂电池、镍氢电池）</w:t>
                  </w:r>
                </w:p>
              </w:tc>
              <w:tc>
                <w:tcPr>
                  <w:tcW w:w="1033" w:type="dxa"/>
                  <w:vAlign w:val="center"/>
                </w:tcPr>
                <w:p w14:paraId="737100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160</w:t>
                  </w:r>
                </w:p>
              </w:tc>
              <w:tc>
                <w:tcPr>
                  <w:tcW w:w="1000" w:type="dxa"/>
                  <w:vAlign w:val="center"/>
                </w:tcPr>
                <w:p w14:paraId="1614E7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240</w:t>
                  </w:r>
                </w:p>
              </w:tc>
              <w:tc>
                <w:tcPr>
                  <w:tcW w:w="1250" w:type="dxa"/>
                  <w:vAlign w:val="center"/>
                </w:tcPr>
                <w:p w14:paraId="020AC6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2000</w:t>
                  </w:r>
                </w:p>
              </w:tc>
              <w:tc>
                <w:tcPr>
                  <w:tcW w:w="1167" w:type="dxa"/>
                  <w:vAlign w:val="center"/>
                </w:tcPr>
                <w:p w14:paraId="1395F6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1000</w:t>
                  </w:r>
                </w:p>
              </w:tc>
              <w:tc>
                <w:tcPr>
                  <w:tcW w:w="1500" w:type="dxa"/>
                  <w:vAlign w:val="center"/>
                </w:tcPr>
                <w:p w14:paraId="4B9E03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1240</w:t>
                  </w:r>
                </w:p>
              </w:tc>
              <w:tc>
                <w:tcPr>
                  <w:tcW w:w="3889" w:type="dxa"/>
                  <w:vAlign w:val="center"/>
                </w:tcPr>
                <w:p w14:paraId="16AAEB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外售专业资质单位回收</w:t>
                  </w:r>
                </w:p>
              </w:tc>
            </w:tr>
            <w:tr w14:paraId="63E6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694EEA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19</w:t>
                  </w:r>
                </w:p>
              </w:tc>
              <w:tc>
                <w:tcPr>
                  <w:tcW w:w="2150" w:type="dxa"/>
                  <w:vAlign w:val="center"/>
                </w:tcPr>
                <w:p w14:paraId="196026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电路板及电子元器件</w:t>
                  </w:r>
                </w:p>
              </w:tc>
              <w:tc>
                <w:tcPr>
                  <w:tcW w:w="1033" w:type="dxa"/>
                  <w:vAlign w:val="center"/>
                </w:tcPr>
                <w:p w14:paraId="414EEE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4</w:t>
                  </w:r>
                </w:p>
              </w:tc>
              <w:tc>
                <w:tcPr>
                  <w:tcW w:w="1000" w:type="dxa"/>
                  <w:vAlign w:val="center"/>
                </w:tcPr>
                <w:p w14:paraId="4C4AE4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6</w:t>
                  </w:r>
                </w:p>
              </w:tc>
              <w:tc>
                <w:tcPr>
                  <w:tcW w:w="1250" w:type="dxa"/>
                  <w:vAlign w:val="center"/>
                </w:tcPr>
                <w:p w14:paraId="0A1427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10</w:t>
                  </w:r>
                </w:p>
              </w:tc>
              <w:tc>
                <w:tcPr>
                  <w:tcW w:w="1167" w:type="dxa"/>
                  <w:vAlign w:val="center"/>
                </w:tcPr>
                <w:p w14:paraId="54ADD7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5</w:t>
                  </w:r>
                </w:p>
              </w:tc>
              <w:tc>
                <w:tcPr>
                  <w:tcW w:w="1500" w:type="dxa"/>
                  <w:vAlign w:val="center"/>
                </w:tcPr>
                <w:p w14:paraId="0F2615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11</w:t>
                  </w:r>
                </w:p>
              </w:tc>
              <w:tc>
                <w:tcPr>
                  <w:tcW w:w="3889" w:type="dxa"/>
                  <w:vAlign w:val="center"/>
                </w:tcPr>
                <w:p w14:paraId="448A1E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委托有资质单位处置</w:t>
                  </w:r>
                </w:p>
              </w:tc>
            </w:tr>
            <w:tr w14:paraId="70CE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140CA3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20</w:t>
                  </w:r>
                </w:p>
              </w:tc>
              <w:tc>
                <w:tcPr>
                  <w:tcW w:w="2150" w:type="dxa"/>
                  <w:vAlign w:val="center"/>
                </w:tcPr>
                <w:p w14:paraId="198324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电容器</w:t>
                  </w:r>
                </w:p>
              </w:tc>
              <w:tc>
                <w:tcPr>
                  <w:tcW w:w="1033" w:type="dxa"/>
                  <w:vAlign w:val="center"/>
                </w:tcPr>
                <w:p w14:paraId="39A690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w:t>
                  </w:r>
                </w:p>
              </w:tc>
              <w:tc>
                <w:tcPr>
                  <w:tcW w:w="1000" w:type="dxa"/>
                  <w:vAlign w:val="center"/>
                </w:tcPr>
                <w:p w14:paraId="078CFD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3</w:t>
                  </w:r>
                </w:p>
              </w:tc>
              <w:tc>
                <w:tcPr>
                  <w:tcW w:w="1250" w:type="dxa"/>
                  <w:vAlign w:val="center"/>
                </w:tcPr>
                <w:p w14:paraId="76B3A0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5</w:t>
                  </w:r>
                </w:p>
              </w:tc>
              <w:tc>
                <w:tcPr>
                  <w:tcW w:w="1167" w:type="dxa"/>
                  <w:vAlign w:val="center"/>
                </w:tcPr>
                <w:p w14:paraId="2735B8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2.5</w:t>
                  </w:r>
                </w:p>
              </w:tc>
              <w:tc>
                <w:tcPr>
                  <w:tcW w:w="1500" w:type="dxa"/>
                  <w:vAlign w:val="center"/>
                </w:tcPr>
                <w:p w14:paraId="3B68EA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5.5</w:t>
                  </w:r>
                </w:p>
              </w:tc>
              <w:tc>
                <w:tcPr>
                  <w:tcW w:w="3889" w:type="dxa"/>
                  <w:vAlign w:val="center"/>
                </w:tcPr>
                <w:p w14:paraId="7E9A2F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委托有资质单位处置</w:t>
                  </w:r>
                </w:p>
              </w:tc>
            </w:tr>
            <w:tr w14:paraId="53E4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502811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21</w:t>
                  </w:r>
                </w:p>
              </w:tc>
              <w:tc>
                <w:tcPr>
                  <w:tcW w:w="2150" w:type="dxa"/>
                  <w:vAlign w:val="center"/>
                </w:tcPr>
                <w:p w14:paraId="5C2906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非燃料类废油液</w:t>
                  </w:r>
                </w:p>
              </w:tc>
              <w:tc>
                <w:tcPr>
                  <w:tcW w:w="1033" w:type="dxa"/>
                  <w:vAlign w:val="center"/>
                </w:tcPr>
                <w:p w14:paraId="464E05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w:t>
                  </w:r>
                </w:p>
              </w:tc>
              <w:tc>
                <w:tcPr>
                  <w:tcW w:w="1000" w:type="dxa"/>
                  <w:vAlign w:val="center"/>
                </w:tcPr>
                <w:p w14:paraId="776289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3</w:t>
                  </w:r>
                </w:p>
              </w:tc>
              <w:tc>
                <w:tcPr>
                  <w:tcW w:w="1250" w:type="dxa"/>
                  <w:vAlign w:val="center"/>
                </w:tcPr>
                <w:p w14:paraId="52F4F6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10</w:t>
                  </w:r>
                </w:p>
              </w:tc>
              <w:tc>
                <w:tcPr>
                  <w:tcW w:w="1167" w:type="dxa"/>
                  <w:vAlign w:val="center"/>
                </w:tcPr>
                <w:p w14:paraId="769AB1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5</w:t>
                  </w:r>
                </w:p>
              </w:tc>
              <w:tc>
                <w:tcPr>
                  <w:tcW w:w="1500" w:type="dxa"/>
                  <w:vAlign w:val="center"/>
                </w:tcPr>
                <w:p w14:paraId="6CA06C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8</w:t>
                  </w:r>
                </w:p>
              </w:tc>
              <w:tc>
                <w:tcPr>
                  <w:tcW w:w="3889" w:type="dxa"/>
                  <w:vAlign w:val="center"/>
                </w:tcPr>
                <w:p w14:paraId="232863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委托有资质单位处置</w:t>
                  </w:r>
                </w:p>
              </w:tc>
            </w:tr>
            <w:tr w14:paraId="4C0A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6C6C4B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22</w:t>
                  </w:r>
                </w:p>
              </w:tc>
              <w:tc>
                <w:tcPr>
                  <w:tcW w:w="2150" w:type="dxa"/>
                  <w:vAlign w:val="center"/>
                </w:tcPr>
                <w:p w14:paraId="65E05C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废防冻冷却液、废挡风玻璃洗涤液</w:t>
                  </w:r>
                </w:p>
              </w:tc>
              <w:tc>
                <w:tcPr>
                  <w:tcW w:w="1033" w:type="dxa"/>
                  <w:vAlign w:val="center"/>
                </w:tcPr>
                <w:p w14:paraId="0341F6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0.9</w:t>
                  </w:r>
                </w:p>
              </w:tc>
              <w:tc>
                <w:tcPr>
                  <w:tcW w:w="1000" w:type="dxa"/>
                  <w:vAlign w:val="center"/>
                </w:tcPr>
                <w:p w14:paraId="41BF7ED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1.35</w:t>
                  </w:r>
                </w:p>
              </w:tc>
              <w:tc>
                <w:tcPr>
                  <w:tcW w:w="1250" w:type="dxa"/>
                  <w:vAlign w:val="center"/>
                </w:tcPr>
                <w:p w14:paraId="626B95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50</w:t>
                  </w:r>
                </w:p>
              </w:tc>
              <w:tc>
                <w:tcPr>
                  <w:tcW w:w="1167" w:type="dxa"/>
                  <w:vAlign w:val="center"/>
                </w:tcPr>
                <w:p w14:paraId="665DEB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25</w:t>
                  </w:r>
                </w:p>
              </w:tc>
              <w:tc>
                <w:tcPr>
                  <w:tcW w:w="1500" w:type="dxa"/>
                  <w:vAlign w:val="center"/>
                </w:tcPr>
                <w:p w14:paraId="1E843E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26.35</w:t>
                  </w:r>
                </w:p>
              </w:tc>
              <w:tc>
                <w:tcPr>
                  <w:tcW w:w="3889" w:type="dxa"/>
                  <w:vAlign w:val="center"/>
                </w:tcPr>
                <w:p w14:paraId="28FE62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委托有资质单位处置</w:t>
                  </w:r>
                </w:p>
              </w:tc>
            </w:tr>
            <w:tr w14:paraId="6895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5BA24D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23</w:t>
                  </w:r>
                </w:p>
              </w:tc>
              <w:tc>
                <w:tcPr>
                  <w:tcW w:w="2150" w:type="dxa"/>
                  <w:vAlign w:val="center"/>
                </w:tcPr>
                <w:p w14:paraId="400668D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制冷剂</w:t>
                  </w:r>
                </w:p>
              </w:tc>
              <w:tc>
                <w:tcPr>
                  <w:tcW w:w="1033" w:type="dxa"/>
                  <w:vAlign w:val="center"/>
                </w:tcPr>
                <w:p w14:paraId="60E67A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0.1</w:t>
                  </w:r>
                </w:p>
              </w:tc>
              <w:tc>
                <w:tcPr>
                  <w:tcW w:w="1000" w:type="dxa"/>
                  <w:vAlign w:val="center"/>
                </w:tcPr>
                <w:p w14:paraId="4AB3ED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0.15</w:t>
                  </w:r>
                </w:p>
              </w:tc>
              <w:tc>
                <w:tcPr>
                  <w:tcW w:w="1250" w:type="dxa"/>
                  <w:vAlign w:val="center"/>
                </w:tcPr>
                <w:p w14:paraId="477DD7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w:t>
                  </w:r>
                </w:p>
              </w:tc>
              <w:tc>
                <w:tcPr>
                  <w:tcW w:w="1167" w:type="dxa"/>
                  <w:vAlign w:val="center"/>
                </w:tcPr>
                <w:p w14:paraId="6842C3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w:t>
                  </w:r>
                </w:p>
              </w:tc>
              <w:tc>
                <w:tcPr>
                  <w:tcW w:w="1500" w:type="dxa"/>
                  <w:vAlign w:val="center"/>
                </w:tcPr>
                <w:p w14:paraId="2D9338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1.15</w:t>
                  </w:r>
                </w:p>
              </w:tc>
              <w:tc>
                <w:tcPr>
                  <w:tcW w:w="3889" w:type="dxa"/>
                  <w:vAlign w:val="center"/>
                </w:tcPr>
                <w:p w14:paraId="7E2A44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委托有资质单位处置</w:t>
                  </w:r>
                </w:p>
              </w:tc>
            </w:tr>
            <w:tr w14:paraId="7A90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428C36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24</w:t>
                  </w:r>
                </w:p>
              </w:tc>
              <w:tc>
                <w:tcPr>
                  <w:tcW w:w="2150" w:type="dxa"/>
                  <w:vAlign w:val="center"/>
                </w:tcPr>
                <w:p w14:paraId="49FE91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不可回收固废</w:t>
                  </w:r>
                </w:p>
              </w:tc>
              <w:tc>
                <w:tcPr>
                  <w:tcW w:w="1033" w:type="dxa"/>
                  <w:vAlign w:val="center"/>
                </w:tcPr>
                <w:p w14:paraId="514094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70</w:t>
                  </w:r>
                </w:p>
              </w:tc>
              <w:tc>
                <w:tcPr>
                  <w:tcW w:w="1000" w:type="dxa"/>
                  <w:vAlign w:val="center"/>
                </w:tcPr>
                <w:p w14:paraId="768D24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105</w:t>
                  </w:r>
                </w:p>
              </w:tc>
              <w:tc>
                <w:tcPr>
                  <w:tcW w:w="1250" w:type="dxa"/>
                  <w:vAlign w:val="center"/>
                </w:tcPr>
                <w:p w14:paraId="20BAA2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60</w:t>
                  </w:r>
                </w:p>
              </w:tc>
              <w:tc>
                <w:tcPr>
                  <w:tcW w:w="1167" w:type="dxa"/>
                  <w:vAlign w:val="center"/>
                </w:tcPr>
                <w:p w14:paraId="3B5F2B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30</w:t>
                  </w:r>
                </w:p>
              </w:tc>
              <w:tc>
                <w:tcPr>
                  <w:tcW w:w="1500" w:type="dxa"/>
                  <w:vAlign w:val="center"/>
                </w:tcPr>
                <w:p w14:paraId="167CFE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135</w:t>
                  </w:r>
                </w:p>
              </w:tc>
              <w:tc>
                <w:tcPr>
                  <w:tcW w:w="3889" w:type="dxa"/>
                  <w:vAlign w:val="center"/>
                </w:tcPr>
                <w:p w14:paraId="6C3EDE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委托一般工业固体废物处置单位处置</w:t>
                  </w:r>
                </w:p>
              </w:tc>
            </w:tr>
            <w:tr w14:paraId="678E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2" w:type="dxa"/>
                  <w:gridSpan w:val="2"/>
                  <w:vAlign w:val="center"/>
                </w:tcPr>
                <w:p w14:paraId="5BF807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合计</w:t>
                  </w:r>
                </w:p>
              </w:tc>
              <w:tc>
                <w:tcPr>
                  <w:tcW w:w="1033" w:type="dxa"/>
                  <w:vAlign w:val="center"/>
                </w:tcPr>
                <w:p w14:paraId="1DCAA9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1300</w:t>
                  </w:r>
                </w:p>
              </w:tc>
              <w:tc>
                <w:tcPr>
                  <w:tcW w:w="1000" w:type="dxa"/>
                  <w:vAlign w:val="center"/>
                </w:tcPr>
                <w:p w14:paraId="73C50D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1950</w:t>
                  </w:r>
                </w:p>
              </w:tc>
              <w:tc>
                <w:tcPr>
                  <w:tcW w:w="1250" w:type="dxa"/>
                  <w:vAlign w:val="center"/>
                </w:tcPr>
                <w:p w14:paraId="2250C1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11000</w:t>
                  </w:r>
                </w:p>
              </w:tc>
              <w:tc>
                <w:tcPr>
                  <w:tcW w:w="1167" w:type="dxa"/>
                  <w:vAlign w:val="center"/>
                </w:tcPr>
                <w:p w14:paraId="7CD197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5500</w:t>
                  </w:r>
                </w:p>
              </w:tc>
              <w:tc>
                <w:tcPr>
                  <w:tcW w:w="1500" w:type="dxa"/>
                  <w:vAlign w:val="center"/>
                </w:tcPr>
                <w:p w14:paraId="2850DB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7450</w:t>
                  </w:r>
                </w:p>
              </w:tc>
              <w:tc>
                <w:tcPr>
                  <w:tcW w:w="3889" w:type="dxa"/>
                  <w:vAlign w:val="center"/>
                </w:tcPr>
                <w:p w14:paraId="31FB29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snapToGrid w:val="0"/>
                      <w:sz w:val="21"/>
                      <w:szCs w:val="21"/>
                      <w:vertAlign w:val="baseline"/>
                      <w:lang w:val="en-US" w:eastAsia="zh-CN"/>
                    </w:rPr>
                  </w:pPr>
                  <w:r>
                    <w:rPr>
                      <w:rFonts w:hint="eastAsia"/>
                      <w:snapToGrid w:val="0"/>
                      <w:sz w:val="21"/>
                      <w:szCs w:val="21"/>
                      <w:vertAlign w:val="baseline"/>
                      <w:lang w:val="en-US" w:eastAsia="zh-CN"/>
                    </w:rPr>
                    <w:t>/</w:t>
                  </w:r>
                </w:p>
              </w:tc>
            </w:tr>
          </w:tbl>
          <w:p w14:paraId="34C9DA8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备注：1.塑料主要产生于水箱面罩栅板、后视镜外壳、尾灯罩、仪表盘、</w:t>
            </w:r>
            <w:r>
              <w:rPr>
                <w:rFonts w:hint="eastAsia" w:cs="Times New Roman"/>
                <w:color w:val="000000"/>
                <w:kern w:val="0"/>
                <w:sz w:val="21"/>
                <w:szCs w:val="21"/>
                <w:lang w:val="en-US" w:eastAsia="zh-CN" w:bidi="ar"/>
              </w:rPr>
              <w:t>挡板</w:t>
            </w:r>
            <w:r>
              <w:rPr>
                <w:rFonts w:hint="eastAsia" w:ascii="Times New Roman" w:hAnsi="Times New Roman" w:eastAsia="宋体" w:cs="Times New Roman"/>
                <w:color w:val="000000"/>
                <w:kern w:val="0"/>
                <w:sz w:val="21"/>
                <w:szCs w:val="21"/>
                <w:lang w:val="en-US" w:eastAsia="zh-CN" w:bidi="ar"/>
              </w:rPr>
              <w:t>等部件；</w:t>
            </w:r>
          </w:p>
          <w:p w14:paraId="74132D9B">
            <w:pPr>
              <w:keepNext w:val="0"/>
              <w:keepLines w:val="0"/>
              <w:pageBreakBefore w:val="0"/>
              <w:widowControl/>
              <w:numPr>
                <w:ilvl w:val="0"/>
                <w:numId w:val="2"/>
              </w:numPr>
              <w:suppressLineNumbers w:val="0"/>
              <w:kinsoku/>
              <w:wordWrap/>
              <w:overflowPunct/>
              <w:topLinePunct w:val="0"/>
              <w:autoSpaceDE/>
              <w:autoSpaceDN/>
              <w:bidi w:val="0"/>
              <w:adjustRightInd/>
              <w:snapToGrid/>
              <w:spacing w:line="240" w:lineRule="auto"/>
              <w:jc w:val="left"/>
              <w:textAlignment w:val="auto"/>
              <w:rPr>
                <w:rFonts w:hint="eastAsia" w:cs="Times New Roman"/>
                <w:color w:val="000000"/>
                <w:kern w:val="0"/>
                <w:sz w:val="21"/>
                <w:szCs w:val="21"/>
                <w:lang w:val="en-US" w:eastAsia="zh-CN" w:bidi="ar"/>
              </w:rPr>
            </w:pPr>
            <w:r>
              <w:rPr>
                <w:rFonts w:hint="eastAsia" w:cs="Times New Roman"/>
                <w:color w:val="000000"/>
                <w:kern w:val="0"/>
                <w:sz w:val="21"/>
                <w:szCs w:val="21"/>
                <w:lang w:val="en-US" w:eastAsia="zh-CN" w:bidi="ar"/>
              </w:rPr>
              <w:t>废油液主要为变速箱油、差速器油、制动液、助力转动液等；</w:t>
            </w:r>
          </w:p>
          <w:p w14:paraId="2C1F263E">
            <w:pPr>
              <w:keepNext w:val="0"/>
              <w:keepLines w:val="0"/>
              <w:pageBreakBefore w:val="0"/>
              <w:widowControl/>
              <w:numPr>
                <w:ilvl w:val="0"/>
                <w:numId w:val="2"/>
              </w:numPr>
              <w:suppressLineNumbers w:val="0"/>
              <w:kinsoku/>
              <w:wordWrap/>
              <w:overflowPunct/>
              <w:topLinePunct w:val="0"/>
              <w:autoSpaceDE/>
              <w:autoSpaceDN/>
              <w:bidi w:val="0"/>
              <w:adjustRightInd/>
              <w:snapToGrid/>
              <w:spacing w:line="240" w:lineRule="auto"/>
              <w:jc w:val="left"/>
              <w:textAlignment w:val="auto"/>
              <w:rPr>
                <w:rFonts w:hint="default"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报废机动车拆解所得五大总成部件具备再利用的直接外售，不具备再制造条件的五大总成经剪切、破碎后外售，不具备再制造条件的产生量约占总产生量的98%；</w:t>
            </w:r>
          </w:p>
          <w:p w14:paraId="389BFBF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snapToGrid w:val="0"/>
                <w:sz w:val="15"/>
                <w:szCs w:val="15"/>
                <w:vertAlign w:val="baseline"/>
                <w:lang w:val="en-US" w:eastAsia="zh-CN"/>
              </w:rPr>
            </w:pPr>
          </w:p>
          <w:p w14:paraId="642CB96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snapToGrid w:val="0"/>
                <w:sz w:val="15"/>
                <w:szCs w:val="15"/>
                <w:vertAlign w:val="baseline"/>
                <w:lang w:val="en-US" w:eastAsia="zh-CN"/>
              </w:rPr>
            </w:pPr>
          </w:p>
          <w:p w14:paraId="5A5B624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snapToGrid w:val="0"/>
                <w:sz w:val="15"/>
                <w:szCs w:val="15"/>
                <w:vertAlign w:val="baseline"/>
                <w:lang w:val="en-US" w:eastAsia="zh-CN"/>
              </w:rPr>
            </w:pPr>
          </w:p>
          <w:p w14:paraId="082A2BB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snapToGrid w:val="0"/>
                <w:sz w:val="15"/>
                <w:szCs w:val="15"/>
                <w:vertAlign w:val="baseline"/>
                <w:lang w:val="en-US" w:eastAsia="zh-CN"/>
              </w:rPr>
            </w:pPr>
          </w:p>
          <w:p w14:paraId="05247D5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snapToGrid w:val="0"/>
                <w:sz w:val="15"/>
                <w:szCs w:val="15"/>
                <w:vertAlign w:val="baseline"/>
                <w:lang w:val="en-US" w:eastAsia="zh-CN"/>
              </w:rPr>
            </w:pPr>
          </w:p>
          <w:p w14:paraId="0A4EB24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snapToGrid w:val="0"/>
                <w:sz w:val="15"/>
                <w:szCs w:val="15"/>
                <w:vertAlign w:val="baseline"/>
                <w:lang w:val="en-US" w:eastAsia="zh-CN"/>
              </w:rPr>
            </w:pPr>
          </w:p>
          <w:p w14:paraId="680D384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snapToGrid w:val="0"/>
                <w:sz w:val="15"/>
                <w:szCs w:val="15"/>
                <w:vertAlign w:val="baseline"/>
                <w:lang w:val="en-US" w:eastAsia="zh-CN"/>
              </w:rPr>
            </w:pPr>
          </w:p>
        </w:tc>
      </w:tr>
    </w:tbl>
    <w:p w14:paraId="4AFCEFCE">
      <w:pPr>
        <w:pStyle w:val="20"/>
        <w:jc w:val="both"/>
        <w:rPr>
          <w:rFonts w:hint="default" w:ascii="Times New Roman" w:hAnsi="Times New Roman" w:eastAsia="宋体"/>
          <w:snapToGrid w:val="0"/>
          <w:sz w:val="24"/>
          <w:szCs w:val="24"/>
          <w:lang w:val="en-US" w:eastAsia="zh-CN"/>
        </w:rPr>
        <w:sectPr>
          <w:pgSz w:w="16838" w:h="11906" w:orient="landscape"/>
          <w:pgMar w:top="1531" w:right="1701" w:bottom="1531" w:left="1701" w:header="851" w:footer="850" w:gutter="0"/>
          <w:pgNumType w:fmt="decimal"/>
          <w:cols w:space="0" w:num="1"/>
          <w:rtlGutter w:val="0"/>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8637"/>
      </w:tblGrid>
      <w:tr w14:paraId="24A4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14:paraId="6874E3BF">
            <w:pPr>
              <w:pStyle w:val="20"/>
              <w:jc w:val="both"/>
              <w:rPr>
                <w:rFonts w:hint="default" w:ascii="Times New Roman" w:hAnsi="Times New Roman" w:eastAsia="宋体"/>
                <w:snapToGrid w:val="0"/>
                <w:sz w:val="24"/>
                <w:szCs w:val="24"/>
                <w:vertAlign w:val="baseline"/>
                <w:lang w:val="en-US" w:eastAsia="zh-CN"/>
              </w:rPr>
            </w:pPr>
          </w:p>
        </w:tc>
        <w:tc>
          <w:tcPr>
            <w:tcW w:w="8099" w:type="dxa"/>
          </w:tcPr>
          <w:p w14:paraId="51F50A5B">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lang w:val="en-US" w:eastAsia="zh-CN"/>
              </w:rPr>
            </w:pPr>
            <w:r>
              <w:rPr>
                <w:rFonts w:hint="eastAsia"/>
                <w:b/>
                <w:bCs w:val="0"/>
                <w:color w:val="000000"/>
                <w:sz w:val="21"/>
                <w:szCs w:val="21"/>
                <w:u w:val="none"/>
                <w:lang w:val="en-US" w:eastAsia="zh-CN"/>
              </w:rPr>
              <w:t>表2-9  报废摩托车（2000辆）拆解产物一览表</w:t>
            </w:r>
          </w:p>
          <w:tbl>
            <w:tblPr>
              <w:tblStyle w:val="25"/>
              <w:tblW w:w="83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2814"/>
              <w:gridCol w:w="1219"/>
              <w:gridCol w:w="1165"/>
              <w:gridCol w:w="2387"/>
            </w:tblGrid>
            <w:tr w14:paraId="109F4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92" w:type="dxa"/>
                  <w:vAlign w:val="center"/>
                </w:tcPr>
                <w:p w14:paraId="44B692C4">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b/>
                      <w:bCs w:val="0"/>
                      <w:color w:val="000000"/>
                      <w:sz w:val="21"/>
                      <w:szCs w:val="21"/>
                      <w:u w:val="none"/>
                      <w:vertAlign w:val="baseline"/>
                      <w:lang w:val="en-US" w:eastAsia="zh-CN"/>
                    </w:rPr>
                  </w:pPr>
                  <w:r>
                    <w:rPr>
                      <w:rFonts w:hint="eastAsia"/>
                      <w:b/>
                      <w:bCs w:val="0"/>
                      <w:color w:val="000000"/>
                      <w:sz w:val="21"/>
                      <w:szCs w:val="21"/>
                      <w:u w:val="none"/>
                      <w:vertAlign w:val="baseline"/>
                      <w:lang w:val="en-US" w:eastAsia="zh-CN"/>
                    </w:rPr>
                    <w:t>序号</w:t>
                  </w:r>
                </w:p>
              </w:tc>
              <w:tc>
                <w:tcPr>
                  <w:tcW w:w="2814" w:type="dxa"/>
                  <w:vAlign w:val="center"/>
                </w:tcPr>
                <w:p w14:paraId="61DF1090">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b/>
                      <w:bCs w:val="0"/>
                      <w:color w:val="000000"/>
                      <w:sz w:val="21"/>
                      <w:szCs w:val="21"/>
                      <w:u w:val="none"/>
                      <w:vertAlign w:val="baseline"/>
                      <w:lang w:val="en-US" w:eastAsia="zh-CN"/>
                    </w:rPr>
                  </w:pPr>
                  <w:r>
                    <w:rPr>
                      <w:rFonts w:hint="eastAsia"/>
                      <w:b/>
                      <w:bCs w:val="0"/>
                      <w:color w:val="000000"/>
                      <w:sz w:val="21"/>
                      <w:szCs w:val="21"/>
                      <w:u w:val="none"/>
                      <w:vertAlign w:val="baseline"/>
                      <w:lang w:val="en-US" w:eastAsia="zh-CN"/>
                    </w:rPr>
                    <w:t>拆解产品</w:t>
                  </w:r>
                </w:p>
              </w:tc>
              <w:tc>
                <w:tcPr>
                  <w:tcW w:w="1219" w:type="dxa"/>
                  <w:vAlign w:val="center"/>
                </w:tcPr>
                <w:p w14:paraId="1CB8785A">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b/>
                      <w:bCs w:val="0"/>
                      <w:color w:val="000000"/>
                      <w:sz w:val="21"/>
                      <w:szCs w:val="21"/>
                      <w:u w:val="none"/>
                      <w:vertAlign w:val="baseline"/>
                      <w:lang w:val="en-US" w:eastAsia="zh-CN"/>
                    </w:rPr>
                  </w:pPr>
                  <w:r>
                    <w:rPr>
                      <w:rFonts w:hint="eastAsia"/>
                      <w:b/>
                      <w:bCs w:val="0"/>
                      <w:color w:val="000000"/>
                      <w:sz w:val="21"/>
                      <w:szCs w:val="21"/>
                      <w:u w:val="none"/>
                      <w:vertAlign w:val="baseline"/>
                      <w:lang w:val="en-US" w:eastAsia="zh-CN"/>
                    </w:rPr>
                    <w:t>单车重量（kg/辆）</w:t>
                  </w:r>
                </w:p>
              </w:tc>
              <w:tc>
                <w:tcPr>
                  <w:tcW w:w="1165" w:type="dxa"/>
                  <w:vAlign w:val="center"/>
                </w:tcPr>
                <w:p w14:paraId="3E153D65">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b/>
                      <w:bCs w:val="0"/>
                      <w:color w:val="000000"/>
                      <w:sz w:val="21"/>
                      <w:szCs w:val="21"/>
                      <w:u w:val="none"/>
                      <w:vertAlign w:val="baseline"/>
                      <w:lang w:val="en-US" w:eastAsia="zh-CN"/>
                    </w:rPr>
                  </w:pPr>
                  <w:r>
                    <w:rPr>
                      <w:rFonts w:hint="eastAsia"/>
                      <w:b/>
                      <w:bCs w:val="0"/>
                      <w:color w:val="000000"/>
                      <w:sz w:val="21"/>
                      <w:szCs w:val="21"/>
                      <w:u w:val="none"/>
                      <w:vertAlign w:val="baseline"/>
                      <w:lang w:val="en-US" w:eastAsia="zh-CN"/>
                    </w:rPr>
                    <w:t>拆解重量（t/a）</w:t>
                  </w:r>
                </w:p>
              </w:tc>
              <w:tc>
                <w:tcPr>
                  <w:tcW w:w="2387" w:type="dxa"/>
                  <w:vAlign w:val="center"/>
                </w:tcPr>
                <w:p w14:paraId="74B3B704">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bCs/>
                      <w:snapToGrid w:val="0"/>
                      <w:sz w:val="21"/>
                      <w:szCs w:val="21"/>
                      <w:vertAlign w:val="baseline"/>
                      <w:lang w:val="en-US" w:eastAsia="zh-CN"/>
                    </w:rPr>
                    <w:t>去向</w:t>
                  </w:r>
                </w:p>
              </w:tc>
            </w:tr>
            <w:tr w14:paraId="5979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92" w:type="dxa"/>
                  <w:vAlign w:val="center"/>
                </w:tcPr>
                <w:p w14:paraId="68BD9524">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1</w:t>
                  </w:r>
                </w:p>
              </w:tc>
              <w:tc>
                <w:tcPr>
                  <w:tcW w:w="2814" w:type="dxa"/>
                  <w:vAlign w:val="center"/>
                </w:tcPr>
                <w:p w14:paraId="7D246B22">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钢铁（包括车壳、座椅、方向机、轮毂、废电机等）</w:t>
                  </w:r>
                </w:p>
              </w:tc>
              <w:tc>
                <w:tcPr>
                  <w:tcW w:w="1219" w:type="dxa"/>
                  <w:vAlign w:val="center"/>
                </w:tcPr>
                <w:p w14:paraId="7398FE7C">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45.5</w:t>
                  </w:r>
                </w:p>
              </w:tc>
              <w:tc>
                <w:tcPr>
                  <w:tcW w:w="1165" w:type="dxa"/>
                  <w:vAlign w:val="center"/>
                </w:tcPr>
                <w:p w14:paraId="746D6B59">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91</w:t>
                  </w:r>
                </w:p>
              </w:tc>
              <w:tc>
                <w:tcPr>
                  <w:tcW w:w="2387" w:type="dxa"/>
                  <w:vAlign w:val="center"/>
                </w:tcPr>
                <w:p w14:paraId="4222F24E">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val="0"/>
                      <w:bCs/>
                      <w:color w:val="000000"/>
                      <w:sz w:val="21"/>
                      <w:szCs w:val="21"/>
                      <w:u w:val="none"/>
                      <w:vertAlign w:val="baseline"/>
                      <w:lang w:val="en-US" w:eastAsia="zh-CN"/>
                    </w:rPr>
                  </w:pPr>
                  <w:r>
                    <w:rPr>
                      <w:rFonts w:hint="eastAsia"/>
                      <w:snapToGrid w:val="0"/>
                      <w:sz w:val="21"/>
                      <w:szCs w:val="21"/>
                      <w:vertAlign w:val="baseline"/>
                      <w:lang w:val="en-US" w:eastAsia="zh-CN"/>
                    </w:rPr>
                    <w:t>外售废钢铁回收单位</w:t>
                  </w:r>
                </w:p>
              </w:tc>
            </w:tr>
            <w:tr w14:paraId="3932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92" w:type="dxa"/>
                  <w:vAlign w:val="center"/>
                </w:tcPr>
                <w:p w14:paraId="3DA6399D">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2</w:t>
                  </w:r>
                </w:p>
              </w:tc>
              <w:tc>
                <w:tcPr>
                  <w:tcW w:w="2814" w:type="dxa"/>
                  <w:vAlign w:val="center"/>
                </w:tcPr>
                <w:p w14:paraId="1131BC79">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有色金属（水箱、铝轮毂、废电线电缆等）</w:t>
                  </w:r>
                </w:p>
              </w:tc>
              <w:tc>
                <w:tcPr>
                  <w:tcW w:w="1219" w:type="dxa"/>
                  <w:vAlign w:val="center"/>
                </w:tcPr>
                <w:p w14:paraId="303FA1D5">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44</w:t>
                  </w:r>
                </w:p>
              </w:tc>
              <w:tc>
                <w:tcPr>
                  <w:tcW w:w="1165" w:type="dxa"/>
                  <w:vAlign w:val="center"/>
                </w:tcPr>
                <w:p w14:paraId="55311FE0">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88</w:t>
                  </w:r>
                </w:p>
              </w:tc>
              <w:tc>
                <w:tcPr>
                  <w:tcW w:w="2387" w:type="dxa"/>
                  <w:vAlign w:val="center"/>
                </w:tcPr>
                <w:p w14:paraId="1879AB54">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val="0"/>
                      <w:bCs/>
                      <w:color w:val="000000"/>
                      <w:sz w:val="21"/>
                      <w:szCs w:val="21"/>
                      <w:u w:val="none"/>
                      <w:vertAlign w:val="baseline"/>
                      <w:lang w:val="en-US" w:eastAsia="zh-CN"/>
                    </w:rPr>
                  </w:pPr>
                  <w:r>
                    <w:rPr>
                      <w:rFonts w:hint="eastAsia"/>
                      <w:snapToGrid w:val="0"/>
                      <w:sz w:val="21"/>
                      <w:szCs w:val="21"/>
                      <w:vertAlign w:val="baseline"/>
                      <w:lang w:val="en-US" w:eastAsia="zh-CN"/>
                    </w:rPr>
                    <w:t>外售废有色金属回收单位</w:t>
                  </w:r>
                </w:p>
              </w:tc>
            </w:tr>
            <w:tr w14:paraId="319C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792" w:type="dxa"/>
                  <w:vAlign w:val="center"/>
                </w:tcPr>
                <w:p w14:paraId="12DF7F19">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3</w:t>
                  </w:r>
                </w:p>
              </w:tc>
              <w:tc>
                <w:tcPr>
                  <w:tcW w:w="2814" w:type="dxa"/>
                  <w:vAlign w:val="center"/>
                </w:tcPr>
                <w:p w14:paraId="12429247">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橡胶（轮胎等）</w:t>
                  </w:r>
                </w:p>
              </w:tc>
              <w:tc>
                <w:tcPr>
                  <w:tcW w:w="1219" w:type="dxa"/>
                  <w:vAlign w:val="center"/>
                </w:tcPr>
                <w:p w14:paraId="58189159">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20</w:t>
                  </w:r>
                </w:p>
              </w:tc>
              <w:tc>
                <w:tcPr>
                  <w:tcW w:w="1165" w:type="dxa"/>
                  <w:vAlign w:val="center"/>
                </w:tcPr>
                <w:p w14:paraId="3BD4372F">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40</w:t>
                  </w:r>
                </w:p>
              </w:tc>
              <w:tc>
                <w:tcPr>
                  <w:tcW w:w="2387" w:type="dxa"/>
                  <w:vAlign w:val="center"/>
                </w:tcPr>
                <w:p w14:paraId="105637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b w:val="0"/>
                      <w:bCs/>
                      <w:color w:val="000000"/>
                      <w:sz w:val="21"/>
                      <w:szCs w:val="21"/>
                      <w:u w:val="none"/>
                      <w:vertAlign w:val="baseline"/>
                      <w:lang w:val="en-US" w:eastAsia="zh-CN"/>
                    </w:rPr>
                  </w:pPr>
                  <w:r>
                    <w:rPr>
                      <w:rFonts w:hint="eastAsia"/>
                      <w:sz w:val="21"/>
                      <w:szCs w:val="21"/>
                      <w:vertAlign w:val="baseline"/>
                      <w:lang w:val="en-US" w:eastAsia="zh-CN"/>
                    </w:rPr>
                    <w:t>外售废橡胶回收单位</w:t>
                  </w:r>
                </w:p>
              </w:tc>
            </w:tr>
            <w:tr w14:paraId="469E5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792" w:type="dxa"/>
                  <w:vAlign w:val="center"/>
                </w:tcPr>
                <w:p w14:paraId="52536150">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4</w:t>
                  </w:r>
                </w:p>
              </w:tc>
              <w:tc>
                <w:tcPr>
                  <w:tcW w:w="2814" w:type="dxa"/>
                  <w:vAlign w:val="center"/>
                </w:tcPr>
                <w:p w14:paraId="551128A3">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废塑料</w:t>
                  </w:r>
                </w:p>
              </w:tc>
              <w:tc>
                <w:tcPr>
                  <w:tcW w:w="1219" w:type="dxa"/>
                  <w:vAlign w:val="center"/>
                </w:tcPr>
                <w:p w14:paraId="48E57668">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7.5</w:t>
                  </w:r>
                </w:p>
              </w:tc>
              <w:tc>
                <w:tcPr>
                  <w:tcW w:w="1165" w:type="dxa"/>
                  <w:vAlign w:val="center"/>
                </w:tcPr>
                <w:p w14:paraId="423A1D27">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15</w:t>
                  </w:r>
                </w:p>
              </w:tc>
              <w:tc>
                <w:tcPr>
                  <w:tcW w:w="2387" w:type="dxa"/>
                  <w:vAlign w:val="center"/>
                </w:tcPr>
                <w:p w14:paraId="5F30AB32">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val="0"/>
                      <w:bCs/>
                      <w:color w:val="000000"/>
                      <w:sz w:val="21"/>
                      <w:szCs w:val="21"/>
                      <w:u w:val="none"/>
                      <w:vertAlign w:val="baseline"/>
                      <w:lang w:val="en-US" w:eastAsia="zh-CN"/>
                    </w:rPr>
                  </w:pPr>
                  <w:r>
                    <w:rPr>
                      <w:rFonts w:hint="eastAsia"/>
                      <w:sz w:val="21"/>
                      <w:szCs w:val="21"/>
                      <w:vertAlign w:val="baseline"/>
                      <w:lang w:val="en-US" w:eastAsia="zh-CN"/>
                    </w:rPr>
                    <w:t>外售废塑料回收单位</w:t>
                  </w:r>
                </w:p>
              </w:tc>
            </w:tr>
            <w:tr w14:paraId="2021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792" w:type="dxa"/>
                  <w:vAlign w:val="center"/>
                </w:tcPr>
                <w:p w14:paraId="200F5769">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5</w:t>
                  </w:r>
                </w:p>
              </w:tc>
              <w:tc>
                <w:tcPr>
                  <w:tcW w:w="2814" w:type="dxa"/>
                  <w:vAlign w:val="center"/>
                </w:tcPr>
                <w:p w14:paraId="2CF17A62">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废铅酸蓄电池（电瓶）</w:t>
                  </w:r>
                </w:p>
              </w:tc>
              <w:tc>
                <w:tcPr>
                  <w:tcW w:w="1219" w:type="dxa"/>
                  <w:vAlign w:val="center"/>
                </w:tcPr>
                <w:p w14:paraId="7FF49431">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3</w:t>
                  </w:r>
                </w:p>
              </w:tc>
              <w:tc>
                <w:tcPr>
                  <w:tcW w:w="1165" w:type="dxa"/>
                  <w:vAlign w:val="center"/>
                </w:tcPr>
                <w:p w14:paraId="74DD3EA7">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6</w:t>
                  </w:r>
                </w:p>
              </w:tc>
              <w:tc>
                <w:tcPr>
                  <w:tcW w:w="2387" w:type="dxa"/>
                  <w:vAlign w:val="center"/>
                </w:tcPr>
                <w:p w14:paraId="148858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b w:val="0"/>
                      <w:bCs/>
                      <w:color w:val="000000"/>
                      <w:sz w:val="21"/>
                      <w:szCs w:val="21"/>
                      <w:u w:val="none"/>
                      <w:vertAlign w:val="baseline"/>
                      <w:lang w:val="en-US" w:eastAsia="zh-CN"/>
                    </w:rPr>
                  </w:pPr>
                  <w:r>
                    <w:rPr>
                      <w:rFonts w:hint="eastAsia"/>
                      <w:sz w:val="21"/>
                      <w:szCs w:val="21"/>
                      <w:vertAlign w:val="baseline"/>
                      <w:lang w:val="en-US" w:eastAsia="zh-CN"/>
                    </w:rPr>
                    <w:t>委托有资质单位处置</w:t>
                  </w:r>
                </w:p>
              </w:tc>
            </w:tr>
            <w:tr w14:paraId="0C7B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92" w:type="dxa"/>
                  <w:vAlign w:val="center"/>
                </w:tcPr>
                <w:p w14:paraId="4E315966">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6</w:t>
                  </w:r>
                </w:p>
              </w:tc>
              <w:tc>
                <w:tcPr>
                  <w:tcW w:w="2814" w:type="dxa"/>
                  <w:vAlign w:val="center"/>
                </w:tcPr>
                <w:p w14:paraId="70C975CD">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sz w:val="21"/>
                      <w:szCs w:val="21"/>
                      <w:vertAlign w:val="baseline"/>
                      <w:lang w:val="en-US" w:eastAsia="zh-CN"/>
                    </w:rPr>
                    <w:t>尾气净化器（含尾气净化催化剂）</w:t>
                  </w:r>
                </w:p>
              </w:tc>
              <w:tc>
                <w:tcPr>
                  <w:tcW w:w="1219" w:type="dxa"/>
                  <w:vAlign w:val="center"/>
                </w:tcPr>
                <w:p w14:paraId="24F01CDB">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0.2</w:t>
                  </w:r>
                </w:p>
              </w:tc>
              <w:tc>
                <w:tcPr>
                  <w:tcW w:w="1165" w:type="dxa"/>
                  <w:vAlign w:val="center"/>
                </w:tcPr>
                <w:p w14:paraId="37C484D3">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0.4</w:t>
                  </w:r>
                </w:p>
              </w:tc>
              <w:tc>
                <w:tcPr>
                  <w:tcW w:w="2387" w:type="dxa"/>
                  <w:vAlign w:val="center"/>
                </w:tcPr>
                <w:p w14:paraId="686C50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b w:val="0"/>
                      <w:bCs/>
                      <w:color w:val="000000"/>
                      <w:sz w:val="21"/>
                      <w:szCs w:val="21"/>
                      <w:u w:val="none"/>
                      <w:vertAlign w:val="baseline"/>
                      <w:lang w:val="en-US" w:eastAsia="zh-CN"/>
                    </w:rPr>
                  </w:pPr>
                  <w:r>
                    <w:rPr>
                      <w:rFonts w:hint="eastAsia"/>
                      <w:sz w:val="21"/>
                      <w:szCs w:val="21"/>
                      <w:vertAlign w:val="baseline"/>
                      <w:lang w:val="en-US" w:eastAsia="zh-CN"/>
                    </w:rPr>
                    <w:t>委托有资质单位处置</w:t>
                  </w:r>
                </w:p>
              </w:tc>
            </w:tr>
            <w:tr w14:paraId="674B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792" w:type="dxa"/>
                  <w:vAlign w:val="center"/>
                </w:tcPr>
                <w:p w14:paraId="5EEC0331">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7</w:t>
                  </w:r>
                </w:p>
              </w:tc>
              <w:tc>
                <w:tcPr>
                  <w:tcW w:w="2814" w:type="dxa"/>
                  <w:vAlign w:val="center"/>
                </w:tcPr>
                <w:p w14:paraId="10D935BC">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废线路板</w:t>
                  </w:r>
                </w:p>
              </w:tc>
              <w:tc>
                <w:tcPr>
                  <w:tcW w:w="1219" w:type="dxa"/>
                  <w:vAlign w:val="center"/>
                </w:tcPr>
                <w:p w14:paraId="5FA2AF9B">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0.1</w:t>
                  </w:r>
                </w:p>
              </w:tc>
              <w:tc>
                <w:tcPr>
                  <w:tcW w:w="1165" w:type="dxa"/>
                  <w:vAlign w:val="center"/>
                </w:tcPr>
                <w:p w14:paraId="235758F4">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0.2</w:t>
                  </w:r>
                </w:p>
              </w:tc>
              <w:tc>
                <w:tcPr>
                  <w:tcW w:w="2387" w:type="dxa"/>
                  <w:vAlign w:val="center"/>
                </w:tcPr>
                <w:p w14:paraId="2C0A1F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b w:val="0"/>
                      <w:bCs/>
                      <w:color w:val="000000"/>
                      <w:sz w:val="21"/>
                      <w:szCs w:val="21"/>
                      <w:u w:val="none"/>
                      <w:vertAlign w:val="baseline"/>
                      <w:lang w:val="en-US" w:eastAsia="zh-CN"/>
                    </w:rPr>
                  </w:pPr>
                  <w:r>
                    <w:rPr>
                      <w:rFonts w:hint="eastAsia"/>
                      <w:sz w:val="21"/>
                      <w:szCs w:val="21"/>
                      <w:vertAlign w:val="baseline"/>
                      <w:lang w:val="en-US" w:eastAsia="zh-CN"/>
                    </w:rPr>
                    <w:t>委托有资质单位处置</w:t>
                  </w:r>
                </w:p>
              </w:tc>
            </w:tr>
            <w:tr w14:paraId="18D45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792" w:type="dxa"/>
                  <w:vAlign w:val="center"/>
                </w:tcPr>
                <w:p w14:paraId="4D0DD9D0">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8</w:t>
                  </w:r>
                </w:p>
              </w:tc>
              <w:tc>
                <w:tcPr>
                  <w:tcW w:w="2814" w:type="dxa"/>
                  <w:vAlign w:val="center"/>
                </w:tcPr>
                <w:p w14:paraId="0CD85757">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废机油、燃油滤清器</w:t>
                  </w:r>
                </w:p>
              </w:tc>
              <w:tc>
                <w:tcPr>
                  <w:tcW w:w="1219" w:type="dxa"/>
                  <w:vAlign w:val="center"/>
                </w:tcPr>
                <w:p w14:paraId="7EFD4BA8">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0.5</w:t>
                  </w:r>
                </w:p>
              </w:tc>
              <w:tc>
                <w:tcPr>
                  <w:tcW w:w="1165" w:type="dxa"/>
                  <w:vAlign w:val="center"/>
                </w:tcPr>
                <w:p w14:paraId="65326900">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sz w:val="21"/>
                      <w:szCs w:val="16"/>
                      <w:lang w:val="en-US" w:eastAsia="zh-CN"/>
                    </w:rPr>
                    <w:t>1</w:t>
                  </w:r>
                </w:p>
              </w:tc>
              <w:tc>
                <w:tcPr>
                  <w:tcW w:w="2387" w:type="dxa"/>
                  <w:vAlign w:val="center"/>
                </w:tcPr>
                <w:p w14:paraId="64557B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sz w:val="21"/>
                      <w:szCs w:val="16"/>
                      <w:lang w:val="en-US" w:eastAsia="zh-CN"/>
                    </w:rPr>
                  </w:pPr>
                  <w:r>
                    <w:rPr>
                      <w:rFonts w:hint="eastAsia"/>
                      <w:sz w:val="21"/>
                      <w:szCs w:val="21"/>
                      <w:vertAlign w:val="baseline"/>
                      <w:lang w:val="en-US" w:eastAsia="zh-CN"/>
                    </w:rPr>
                    <w:t>委托有资质单位处置</w:t>
                  </w:r>
                </w:p>
              </w:tc>
            </w:tr>
            <w:tr w14:paraId="5012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792" w:type="dxa"/>
                  <w:vAlign w:val="center"/>
                </w:tcPr>
                <w:p w14:paraId="7220AF7B">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9</w:t>
                  </w:r>
                </w:p>
              </w:tc>
              <w:tc>
                <w:tcPr>
                  <w:tcW w:w="2814" w:type="dxa"/>
                  <w:vAlign w:val="center"/>
                </w:tcPr>
                <w:p w14:paraId="5D50D363">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燃料油</w:t>
                  </w:r>
                </w:p>
              </w:tc>
              <w:tc>
                <w:tcPr>
                  <w:tcW w:w="1219" w:type="dxa"/>
                  <w:vAlign w:val="center"/>
                </w:tcPr>
                <w:p w14:paraId="12523FE1">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0.1</w:t>
                  </w:r>
                </w:p>
              </w:tc>
              <w:tc>
                <w:tcPr>
                  <w:tcW w:w="1165" w:type="dxa"/>
                  <w:vAlign w:val="center"/>
                </w:tcPr>
                <w:p w14:paraId="1C890DAA">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0.2</w:t>
                  </w:r>
                </w:p>
              </w:tc>
              <w:tc>
                <w:tcPr>
                  <w:tcW w:w="2387" w:type="dxa"/>
                  <w:vAlign w:val="center"/>
                </w:tcPr>
                <w:p w14:paraId="1CDD1A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b w:val="0"/>
                      <w:bCs/>
                      <w:color w:val="000000"/>
                      <w:sz w:val="21"/>
                      <w:szCs w:val="21"/>
                      <w:u w:val="none"/>
                      <w:vertAlign w:val="baseline"/>
                      <w:lang w:val="en-US" w:eastAsia="zh-CN"/>
                    </w:rPr>
                  </w:pPr>
                  <w:r>
                    <w:rPr>
                      <w:rFonts w:hint="eastAsia"/>
                      <w:sz w:val="21"/>
                      <w:szCs w:val="21"/>
                      <w:vertAlign w:val="baseline"/>
                      <w:lang w:val="en-US" w:eastAsia="zh-CN"/>
                    </w:rPr>
                    <w:t>委托有资质单位处置</w:t>
                  </w:r>
                </w:p>
              </w:tc>
            </w:tr>
            <w:tr w14:paraId="570A7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792" w:type="dxa"/>
                  <w:vAlign w:val="center"/>
                </w:tcPr>
                <w:p w14:paraId="18ACC763">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10</w:t>
                  </w:r>
                </w:p>
              </w:tc>
              <w:tc>
                <w:tcPr>
                  <w:tcW w:w="2814" w:type="dxa"/>
                  <w:vAlign w:val="center"/>
                </w:tcPr>
                <w:p w14:paraId="7B141FFD">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非燃料类废油液</w:t>
                  </w:r>
                </w:p>
              </w:tc>
              <w:tc>
                <w:tcPr>
                  <w:tcW w:w="1219" w:type="dxa"/>
                  <w:vAlign w:val="center"/>
                </w:tcPr>
                <w:p w14:paraId="46ACD647">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0.1</w:t>
                  </w:r>
                </w:p>
              </w:tc>
              <w:tc>
                <w:tcPr>
                  <w:tcW w:w="1165" w:type="dxa"/>
                  <w:vAlign w:val="center"/>
                </w:tcPr>
                <w:p w14:paraId="57B564F6">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0.2</w:t>
                  </w:r>
                </w:p>
              </w:tc>
              <w:tc>
                <w:tcPr>
                  <w:tcW w:w="2387" w:type="dxa"/>
                  <w:vAlign w:val="center"/>
                </w:tcPr>
                <w:p w14:paraId="13A390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b w:val="0"/>
                      <w:bCs/>
                      <w:color w:val="000000"/>
                      <w:sz w:val="21"/>
                      <w:szCs w:val="21"/>
                      <w:u w:val="none"/>
                      <w:vertAlign w:val="baseline"/>
                      <w:lang w:val="en-US" w:eastAsia="zh-CN"/>
                    </w:rPr>
                  </w:pPr>
                  <w:r>
                    <w:rPr>
                      <w:rFonts w:hint="eastAsia"/>
                      <w:sz w:val="21"/>
                      <w:szCs w:val="21"/>
                      <w:vertAlign w:val="baseline"/>
                      <w:lang w:val="en-US" w:eastAsia="zh-CN"/>
                    </w:rPr>
                    <w:t>委托有资质单位处置</w:t>
                  </w:r>
                </w:p>
              </w:tc>
            </w:tr>
            <w:tr w14:paraId="5681A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92" w:type="dxa"/>
                  <w:vAlign w:val="center"/>
                </w:tcPr>
                <w:p w14:paraId="7248B245">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11</w:t>
                  </w:r>
                </w:p>
              </w:tc>
              <w:tc>
                <w:tcPr>
                  <w:tcW w:w="2814" w:type="dxa"/>
                  <w:vAlign w:val="center"/>
                </w:tcPr>
                <w:p w14:paraId="48BB74EC">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不可利用材料（海绵、电子废物、布料等）</w:t>
                  </w:r>
                </w:p>
              </w:tc>
              <w:tc>
                <w:tcPr>
                  <w:tcW w:w="1219" w:type="dxa"/>
                  <w:vAlign w:val="center"/>
                </w:tcPr>
                <w:p w14:paraId="666CBE22">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9</w:t>
                  </w:r>
                </w:p>
              </w:tc>
              <w:tc>
                <w:tcPr>
                  <w:tcW w:w="1165" w:type="dxa"/>
                  <w:vAlign w:val="center"/>
                </w:tcPr>
                <w:p w14:paraId="6EED8E98">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18</w:t>
                  </w:r>
                </w:p>
              </w:tc>
              <w:tc>
                <w:tcPr>
                  <w:tcW w:w="2387" w:type="dxa"/>
                  <w:vAlign w:val="center"/>
                </w:tcPr>
                <w:p w14:paraId="460A91F1">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val="0"/>
                      <w:bCs/>
                      <w:color w:val="000000"/>
                      <w:sz w:val="21"/>
                      <w:szCs w:val="21"/>
                      <w:u w:val="none"/>
                      <w:vertAlign w:val="baseline"/>
                      <w:lang w:val="en-US" w:eastAsia="zh-CN"/>
                    </w:rPr>
                  </w:pPr>
                  <w:r>
                    <w:rPr>
                      <w:rFonts w:hint="eastAsia"/>
                      <w:snapToGrid w:val="0"/>
                      <w:sz w:val="21"/>
                      <w:szCs w:val="21"/>
                      <w:vertAlign w:val="baseline"/>
                      <w:lang w:val="en-US" w:eastAsia="zh-CN"/>
                    </w:rPr>
                    <w:t>委托一般工业固体废物处置单位处置</w:t>
                  </w:r>
                </w:p>
              </w:tc>
            </w:tr>
            <w:tr w14:paraId="3CDB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92" w:type="dxa"/>
                  <w:vAlign w:val="center"/>
                </w:tcPr>
                <w:p w14:paraId="75C25714">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p>
              </w:tc>
              <w:tc>
                <w:tcPr>
                  <w:tcW w:w="2814" w:type="dxa"/>
                  <w:vAlign w:val="center"/>
                </w:tcPr>
                <w:p w14:paraId="1956B6CD">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合计</w:t>
                  </w:r>
                </w:p>
              </w:tc>
              <w:tc>
                <w:tcPr>
                  <w:tcW w:w="1219" w:type="dxa"/>
                  <w:vAlign w:val="center"/>
                </w:tcPr>
                <w:p w14:paraId="36AF491A">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130</w:t>
                  </w:r>
                </w:p>
              </w:tc>
              <w:tc>
                <w:tcPr>
                  <w:tcW w:w="1165" w:type="dxa"/>
                  <w:vAlign w:val="center"/>
                </w:tcPr>
                <w:p w14:paraId="23C45056">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b/>
                      <w:bCs w:val="0"/>
                      <w:color w:val="000000"/>
                      <w:sz w:val="21"/>
                      <w:szCs w:val="21"/>
                      <w:u w:val="none"/>
                      <w:vertAlign w:val="baseline"/>
                      <w:lang w:val="en-US" w:eastAsia="zh-CN"/>
                    </w:rPr>
                  </w:pPr>
                  <w:r>
                    <w:rPr>
                      <w:rFonts w:hint="eastAsia"/>
                      <w:b w:val="0"/>
                      <w:bCs/>
                      <w:color w:val="000000"/>
                      <w:sz w:val="21"/>
                      <w:szCs w:val="21"/>
                      <w:u w:val="none"/>
                      <w:vertAlign w:val="baseline"/>
                      <w:lang w:val="en-US" w:eastAsia="zh-CN"/>
                    </w:rPr>
                    <w:t>260</w:t>
                  </w:r>
                </w:p>
              </w:tc>
              <w:tc>
                <w:tcPr>
                  <w:tcW w:w="2387" w:type="dxa"/>
                  <w:vAlign w:val="center"/>
                </w:tcPr>
                <w:p w14:paraId="58C9FDE6">
                  <w:pPr>
                    <w:pStyle w:val="23"/>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b w:val="0"/>
                      <w:bCs/>
                      <w:color w:val="000000"/>
                      <w:sz w:val="21"/>
                      <w:szCs w:val="21"/>
                      <w:u w:val="none"/>
                      <w:vertAlign w:val="baseline"/>
                      <w:lang w:val="en-US" w:eastAsia="zh-CN"/>
                    </w:rPr>
                  </w:pPr>
                  <w:r>
                    <w:rPr>
                      <w:rFonts w:hint="eastAsia"/>
                      <w:b w:val="0"/>
                      <w:bCs/>
                      <w:color w:val="000000"/>
                      <w:sz w:val="21"/>
                      <w:szCs w:val="21"/>
                      <w:u w:val="none"/>
                      <w:vertAlign w:val="baseline"/>
                      <w:lang w:val="en-US" w:eastAsia="zh-CN"/>
                    </w:rPr>
                    <w:t>/</w:t>
                  </w:r>
                </w:p>
              </w:tc>
            </w:tr>
          </w:tbl>
          <w:p w14:paraId="41668407">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b w:val="0"/>
                <w:bCs/>
                <w:color w:val="000000"/>
                <w:sz w:val="24"/>
                <w:szCs w:val="24"/>
                <w:u w:val="none"/>
                <w:lang w:val="en-US" w:eastAsia="zh-CN"/>
              </w:rPr>
            </w:pPr>
            <w:r>
              <w:rPr>
                <w:rFonts w:hint="eastAsia"/>
                <w:b w:val="0"/>
                <w:bCs/>
                <w:color w:val="000000"/>
                <w:sz w:val="24"/>
                <w:szCs w:val="24"/>
                <w:u w:val="none"/>
                <w:lang w:val="en-US" w:eastAsia="zh-CN"/>
              </w:rPr>
              <w:t>本项目不涉及发动机、方向机等部件的回收再造，不涉及回收产品的再加工，拆解产生的零部件（包括发动机、方向机、变速器、前后桥、车架等）按照国家有关规定出售给具有再制造能力的企业经过再制造予以循环利用，不具备再制造条件的，钢铁、有色金属、塑料、玻璃、橡胶等物品出售给钢铁企业、废旧物品回收公司回收利用，剩余物品中属国家规定危险固废的委托有资质单位处置。具体产品方案见下表。</w:t>
            </w:r>
          </w:p>
          <w:p w14:paraId="2190C264">
            <w:pPr>
              <w:keepNext w:val="0"/>
              <w:keepLines w:val="0"/>
              <w:pageBreakBefore w:val="0"/>
              <w:widowControl w:val="0"/>
              <w:tabs>
                <w:tab w:val="left" w:pos="2887"/>
              </w:tabs>
              <w:kinsoku/>
              <w:wordWrap/>
              <w:overflowPunct/>
              <w:topLinePunct w:val="0"/>
              <w:autoSpaceDE/>
              <w:autoSpaceDN/>
              <w:bidi w:val="0"/>
              <w:adjustRightInd/>
              <w:snapToGrid/>
              <w:spacing w:line="240" w:lineRule="exact"/>
              <w:jc w:val="center"/>
              <w:textAlignment w:val="auto"/>
              <w:rPr>
                <w:rFonts w:hint="default"/>
                <w:b/>
                <w:bCs w:val="0"/>
                <w:color w:val="000000"/>
                <w:sz w:val="21"/>
                <w:szCs w:val="21"/>
                <w:u w:val="none"/>
                <w:lang w:val="en-US" w:eastAsia="zh-CN"/>
              </w:rPr>
            </w:pPr>
            <w:r>
              <w:rPr>
                <w:rFonts w:hint="eastAsia"/>
                <w:b/>
                <w:bCs w:val="0"/>
                <w:color w:val="000000"/>
                <w:sz w:val="21"/>
                <w:szCs w:val="21"/>
                <w:u w:val="none"/>
                <w:lang w:eastAsia="zh-CN"/>
              </w:rPr>
              <w:t>表</w:t>
            </w:r>
            <w:r>
              <w:rPr>
                <w:rFonts w:hint="eastAsia"/>
                <w:b/>
                <w:bCs w:val="0"/>
                <w:color w:val="000000"/>
                <w:sz w:val="21"/>
                <w:szCs w:val="21"/>
                <w:u w:val="none"/>
                <w:lang w:val="en-US" w:eastAsia="zh-CN"/>
              </w:rPr>
              <w:t>2-10  建设</w:t>
            </w:r>
            <w:r>
              <w:rPr>
                <w:rFonts w:hint="eastAsia"/>
                <w:b/>
                <w:bCs w:val="0"/>
                <w:color w:val="000000"/>
                <w:sz w:val="21"/>
                <w:szCs w:val="21"/>
                <w:u w:val="none"/>
                <w:lang w:eastAsia="zh-CN"/>
              </w:rPr>
              <w:t>项目报废汽车拆解产品方案</w:t>
            </w:r>
          </w:p>
          <w:tbl>
            <w:tblPr>
              <w:tblStyle w:val="24"/>
              <w:tblW w:w="8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6"/>
              <w:gridCol w:w="2635"/>
              <w:gridCol w:w="1526"/>
              <w:gridCol w:w="2911"/>
            </w:tblGrid>
            <w:tr w14:paraId="4346A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981" w:type="dxa"/>
                  <w:gridSpan w:val="2"/>
                  <w:noWrap w:val="0"/>
                  <w:vAlign w:val="center"/>
                </w:tcPr>
                <w:p w14:paraId="4971ED11">
                  <w:pPr>
                    <w:spacing w:line="240" w:lineRule="auto"/>
                    <w:jc w:val="center"/>
                    <w:rPr>
                      <w:rFonts w:hint="eastAsia"/>
                      <w:b/>
                      <w:bCs/>
                      <w:color w:val="000000"/>
                      <w:sz w:val="21"/>
                      <w:szCs w:val="21"/>
                      <w:u w:val="none"/>
                    </w:rPr>
                  </w:pPr>
                  <w:r>
                    <w:rPr>
                      <w:rFonts w:hint="eastAsia"/>
                      <w:b/>
                      <w:bCs/>
                      <w:color w:val="000000"/>
                      <w:sz w:val="21"/>
                      <w:szCs w:val="21"/>
                      <w:u w:val="none"/>
                    </w:rPr>
                    <w:t>类型</w:t>
                  </w:r>
                </w:p>
              </w:tc>
              <w:tc>
                <w:tcPr>
                  <w:tcW w:w="1526" w:type="dxa"/>
                  <w:noWrap w:val="0"/>
                  <w:vAlign w:val="center"/>
                </w:tcPr>
                <w:p w14:paraId="3B79C33B">
                  <w:pPr>
                    <w:spacing w:line="240" w:lineRule="auto"/>
                    <w:jc w:val="center"/>
                    <w:rPr>
                      <w:rFonts w:hint="eastAsia" w:eastAsia="宋体"/>
                      <w:b/>
                      <w:bCs/>
                      <w:color w:val="000000"/>
                      <w:sz w:val="21"/>
                      <w:szCs w:val="21"/>
                      <w:u w:val="none"/>
                      <w:lang w:eastAsia="zh-CN"/>
                    </w:rPr>
                  </w:pPr>
                  <w:r>
                    <w:rPr>
                      <w:rFonts w:hint="eastAsia"/>
                      <w:b/>
                      <w:bCs/>
                      <w:color w:val="000000"/>
                      <w:sz w:val="21"/>
                      <w:szCs w:val="21"/>
                      <w:u w:val="none"/>
                    </w:rPr>
                    <w:t>重量</w:t>
                  </w:r>
                  <w:r>
                    <w:rPr>
                      <w:rFonts w:hint="eastAsia"/>
                      <w:b/>
                      <w:bCs/>
                      <w:color w:val="000000"/>
                      <w:sz w:val="21"/>
                      <w:szCs w:val="21"/>
                      <w:u w:val="none"/>
                      <w:lang w:eastAsia="zh-CN"/>
                    </w:rPr>
                    <w:t>（</w:t>
                  </w:r>
                  <w:r>
                    <w:rPr>
                      <w:rFonts w:hint="eastAsia"/>
                      <w:b/>
                      <w:bCs/>
                      <w:color w:val="000000"/>
                      <w:sz w:val="21"/>
                      <w:szCs w:val="21"/>
                      <w:u w:val="none"/>
                    </w:rPr>
                    <w:t>t/a</w:t>
                  </w:r>
                  <w:r>
                    <w:rPr>
                      <w:rFonts w:hint="eastAsia"/>
                      <w:b/>
                      <w:bCs/>
                      <w:color w:val="000000"/>
                      <w:sz w:val="21"/>
                      <w:szCs w:val="21"/>
                      <w:u w:val="none"/>
                      <w:lang w:eastAsia="zh-CN"/>
                    </w:rPr>
                    <w:t>）</w:t>
                  </w:r>
                </w:p>
              </w:tc>
              <w:tc>
                <w:tcPr>
                  <w:tcW w:w="2911" w:type="dxa"/>
                  <w:noWrap w:val="0"/>
                  <w:vAlign w:val="center"/>
                </w:tcPr>
                <w:p w14:paraId="6D34D6B8">
                  <w:pPr>
                    <w:spacing w:line="240" w:lineRule="auto"/>
                    <w:jc w:val="center"/>
                    <w:rPr>
                      <w:rFonts w:hint="default" w:eastAsia="宋体"/>
                      <w:b/>
                      <w:bCs/>
                      <w:color w:val="000000"/>
                      <w:sz w:val="21"/>
                      <w:szCs w:val="21"/>
                      <w:u w:val="none"/>
                      <w:lang w:val="en-US" w:eastAsia="zh-CN"/>
                    </w:rPr>
                  </w:pPr>
                  <w:r>
                    <w:rPr>
                      <w:rFonts w:hint="eastAsia"/>
                      <w:b/>
                      <w:bCs/>
                      <w:color w:val="000000"/>
                      <w:sz w:val="21"/>
                      <w:szCs w:val="21"/>
                      <w:u w:val="none"/>
                      <w:lang w:val="en-US" w:eastAsia="zh-CN"/>
                    </w:rPr>
                    <w:t>处理方式</w:t>
                  </w:r>
                </w:p>
              </w:tc>
            </w:tr>
            <w:tr w14:paraId="0982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346" w:type="dxa"/>
                  <w:vMerge w:val="restart"/>
                  <w:noWrap w:val="0"/>
                  <w:vAlign w:val="center"/>
                </w:tcPr>
                <w:p w14:paraId="41C2F921">
                  <w:pPr>
                    <w:spacing w:line="240" w:lineRule="auto"/>
                    <w:jc w:val="center"/>
                    <w:rPr>
                      <w:rFonts w:hint="eastAsia" w:eastAsia="宋体"/>
                      <w:color w:val="000000"/>
                      <w:sz w:val="21"/>
                      <w:szCs w:val="21"/>
                      <w:u w:val="none"/>
                      <w:lang w:eastAsia="zh-CN"/>
                    </w:rPr>
                  </w:pPr>
                  <w:r>
                    <w:rPr>
                      <w:rFonts w:hint="eastAsia"/>
                      <w:color w:val="000000"/>
                      <w:sz w:val="21"/>
                      <w:szCs w:val="21"/>
                      <w:u w:val="none"/>
                    </w:rPr>
                    <w:t>可利用</w:t>
                  </w:r>
                  <w:r>
                    <w:rPr>
                      <w:rFonts w:hint="eastAsia"/>
                      <w:color w:val="000000"/>
                      <w:sz w:val="21"/>
                      <w:szCs w:val="21"/>
                      <w:u w:val="none"/>
                      <w:lang w:val="en-US" w:eastAsia="zh-CN"/>
                    </w:rPr>
                    <w:t>资源</w:t>
                  </w:r>
                </w:p>
              </w:tc>
              <w:tc>
                <w:tcPr>
                  <w:tcW w:w="2635" w:type="dxa"/>
                  <w:noWrap w:val="0"/>
                  <w:vAlign w:val="center"/>
                </w:tcPr>
                <w:p w14:paraId="73BB8F3D">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具有再制造条件的五大总成（部分发动机、变速器、前后桥、车架）</w:t>
                  </w:r>
                </w:p>
              </w:tc>
              <w:tc>
                <w:tcPr>
                  <w:tcW w:w="1526" w:type="dxa"/>
                  <w:noWrap w:val="0"/>
                  <w:vAlign w:val="center"/>
                </w:tcPr>
                <w:p w14:paraId="4D13254C">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281</w:t>
                  </w:r>
                </w:p>
              </w:tc>
              <w:tc>
                <w:tcPr>
                  <w:tcW w:w="2911" w:type="dxa"/>
                  <w:noWrap w:val="0"/>
                  <w:vAlign w:val="center"/>
                </w:tcPr>
                <w:p w14:paraId="2C735C5A">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出售给具有再制造能力的单位</w:t>
                  </w:r>
                </w:p>
              </w:tc>
            </w:tr>
            <w:tr w14:paraId="59C66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346" w:type="dxa"/>
                  <w:vMerge w:val="continue"/>
                  <w:noWrap w:val="0"/>
                  <w:vAlign w:val="center"/>
                </w:tcPr>
                <w:p w14:paraId="03A64CCF">
                  <w:pPr>
                    <w:spacing w:line="240" w:lineRule="auto"/>
                    <w:jc w:val="center"/>
                    <w:rPr>
                      <w:rFonts w:hint="eastAsia"/>
                      <w:color w:val="000000"/>
                      <w:sz w:val="21"/>
                      <w:szCs w:val="21"/>
                      <w:u w:val="none"/>
                    </w:rPr>
                  </w:pPr>
                </w:p>
              </w:tc>
              <w:tc>
                <w:tcPr>
                  <w:tcW w:w="2635" w:type="dxa"/>
                  <w:noWrap w:val="0"/>
                  <w:vAlign w:val="center"/>
                </w:tcPr>
                <w:p w14:paraId="7F81B6E4">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废钢铁</w:t>
                  </w:r>
                </w:p>
              </w:tc>
              <w:tc>
                <w:tcPr>
                  <w:tcW w:w="1526" w:type="dxa"/>
                  <w:noWrap w:val="0"/>
                  <w:vAlign w:val="center"/>
                </w:tcPr>
                <w:p w14:paraId="7B28395B">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20775</w:t>
                  </w:r>
                </w:p>
              </w:tc>
              <w:tc>
                <w:tcPr>
                  <w:tcW w:w="2911" w:type="dxa"/>
                  <w:noWrap w:val="0"/>
                  <w:vAlign w:val="center"/>
                </w:tcPr>
                <w:p w14:paraId="580B2C91">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外售废钢铁回收单位</w:t>
                  </w:r>
                </w:p>
              </w:tc>
            </w:tr>
            <w:tr w14:paraId="41D6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346" w:type="dxa"/>
                  <w:vMerge w:val="continue"/>
                  <w:noWrap w:val="0"/>
                  <w:vAlign w:val="center"/>
                </w:tcPr>
                <w:p w14:paraId="271E7DD1">
                  <w:pPr>
                    <w:spacing w:line="240" w:lineRule="auto"/>
                    <w:jc w:val="center"/>
                    <w:rPr>
                      <w:rFonts w:hint="eastAsia"/>
                      <w:color w:val="000000"/>
                      <w:sz w:val="21"/>
                      <w:szCs w:val="21"/>
                      <w:u w:val="none"/>
                    </w:rPr>
                  </w:pPr>
                </w:p>
              </w:tc>
              <w:tc>
                <w:tcPr>
                  <w:tcW w:w="2635" w:type="dxa"/>
                  <w:noWrap w:val="0"/>
                  <w:vAlign w:val="center"/>
                </w:tcPr>
                <w:p w14:paraId="6E3EE1B4">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废橡胶（包括轮胎、密封条等）</w:t>
                  </w:r>
                </w:p>
              </w:tc>
              <w:tc>
                <w:tcPr>
                  <w:tcW w:w="1526" w:type="dxa"/>
                  <w:noWrap w:val="0"/>
                  <w:vAlign w:val="center"/>
                </w:tcPr>
                <w:p w14:paraId="7C734697">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1090</w:t>
                  </w:r>
                </w:p>
              </w:tc>
              <w:tc>
                <w:tcPr>
                  <w:tcW w:w="2911" w:type="dxa"/>
                  <w:noWrap w:val="0"/>
                  <w:vAlign w:val="center"/>
                </w:tcPr>
                <w:p w14:paraId="2EEF3FE1">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外售废橡胶回收单位</w:t>
                  </w:r>
                </w:p>
              </w:tc>
            </w:tr>
            <w:tr w14:paraId="6D50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346" w:type="dxa"/>
                  <w:vMerge w:val="continue"/>
                  <w:noWrap w:val="0"/>
                  <w:vAlign w:val="center"/>
                </w:tcPr>
                <w:p w14:paraId="1D586644">
                  <w:pPr>
                    <w:spacing w:line="240" w:lineRule="auto"/>
                    <w:jc w:val="center"/>
                    <w:rPr>
                      <w:rFonts w:hint="eastAsia"/>
                      <w:color w:val="000000"/>
                      <w:sz w:val="21"/>
                      <w:szCs w:val="21"/>
                      <w:u w:val="none"/>
                    </w:rPr>
                  </w:pPr>
                </w:p>
              </w:tc>
              <w:tc>
                <w:tcPr>
                  <w:tcW w:w="2635" w:type="dxa"/>
                  <w:noWrap w:val="0"/>
                  <w:vAlign w:val="center"/>
                </w:tcPr>
                <w:p w14:paraId="0E9FBD73">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废塑料</w:t>
                  </w:r>
                </w:p>
              </w:tc>
              <w:tc>
                <w:tcPr>
                  <w:tcW w:w="1526" w:type="dxa"/>
                  <w:noWrap w:val="0"/>
                  <w:vAlign w:val="center"/>
                </w:tcPr>
                <w:p w14:paraId="56C7C733">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852.5</w:t>
                  </w:r>
                </w:p>
              </w:tc>
              <w:tc>
                <w:tcPr>
                  <w:tcW w:w="2911" w:type="dxa"/>
                  <w:noWrap w:val="0"/>
                  <w:vAlign w:val="center"/>
                </w:tcPr>
                <w:p w14:paraId="2D5F945B">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外售废塑料回收单位</w:t>
                  </w:r>
                </w:p>
              </w:tc>
            </w:tr>
            <w:tr w14:paraId="7E87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346" w:type="dxa"/>
                  <w:vMerge w:val="continue"/>
                  <w:noWrap w:val="0"/>
                  <w:vAlign w:val="center"/>
                </w:tcPr>
                <w:p w14:paraId="373C8082">
                  <w:pPr>
                    <w:spacing w:line="240" w:lineRule="auto"/>
                    <w:jc w:val="center"/>
                    <w:rPr>
                      <w:rFonts w:hint="eastAsia"/>
                      <w:color w:val="000000"/>
                      <w:sz w:val="21"/>
                      <w:szCs w:val="21"/>
                      <w:u w:val="none"/>
                    </w:rPr>
                  </w:pPr>
                </w:p>
              </w:tc>
              <w:tc>
                <w:tcPr>
                  <w:tcW w:w="2635" w:type="dxa"/>
                  <w:noWrap w:val="0"/>
                  <w:vAlign w:val="center"/>
                </w:tcPr>
                <w:p w14:paraId="44C92166">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废玻璃</w:t>
                  </w:r>
                </w:p>
              </w:tc>
              <w:tc>
                <w:tcPr>
                  <w:tcW w:w="1526" w:type="dxa"/>
                  <w:noWrap w:val="0"/>
                  <w:vAlign w:val="center"/>
                </w:tcPr>
                <w:p w14:paraId="559A96E4">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780</w:t>
                  </w:r>
                </w:p>
              </w:tc>
              <w:tc>
                <w:tcPr>
                  <w:tcW w:w="2911" w:type="dxa"/>
                  <w:noWrap w:val="0"/>
                  <w:vAlign w:val="center"/>
                </w:tcPr>
                <w:p w14:paraId="73924A3A">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外售废玻璃回收单位</w:t>
                  </w:r>
                </w:p>
              </w:tc>
            </w:tr>
            <w:tr w14:paraId="4A95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346" w:type="dxa"/>
                  <w:vMerge w:val="continue"/>
                  <w:noWrap w:val="0"/>
                  <w:vAlign w:val="center"/>
                </w:tcPr>
                <w:p w14:paraId="49B0D7FA">
                  <w:pPr>
                    <w:spacing w:line="240" w:lineRule="auto"/>
                    <w:jc w:val="center"/>
                    <w:rPr>
                      <w:rFonts w:hint="eastAsia"/>
                      <w:color w:val="000000"/>
                      <w:sz w:val="21"/>
                      <w:szCs w:val="21"/>
                      <w:u w:val="none"/>
                    </w:rPr>
                  </w:pPr>
                </w:p>
              </w:tc>
              <w:tc>
                <w:tcPr>
                  <w:tcW w:w="2635" w:type="dxa"/>
                  <w:noWrap w:val="0"/>
                  <w:vAlign w:val="center"/>
                </w:tcPr>
                <w:p w14:paraId="7576D2DC">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废有色金属</w:t>
                  </w:r>
                </w:p>
              </w:tc>
              <w:tc>
                <w:tcPr>
                  <w:tcW w:w="1526" w:type="dxa"/>
                  <w:noWrap w:val="0"/>
                  <w:vAlign w:val="center"/>
                </w:tcPr>
                <w:p w14:paraId="50CA9B8A">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565.5</w:t>
                  </w:r>
                </w:p>
              </w:tc>
              <w:tc>
                <w:tcPr>
                  <w:tcW w:w="2911" w:type="dxa"/>
                  <w:noWrap w:val="0"/>
                  <w:vAlign w:val="center"/>
                </w:tcPr>
                <w:p w14:paraId="6FDA54BD">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外售废有色金属回收单位</w:t>
                  </w:r>
                </w:p>
              </w:tc>
            </w:tr>
            <w:tr w14:paraId="4125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346" w:type="dxa"/>
                  <w:vMerge w:val="continue"/>
                  <w:noWrap w:val="0"/>
                  <w:vAlign w:val="center"/>
                </w:tcPr>
                <w:p w14:paraId="4A7DCABC">
                  <w:pPr>
                    <w:spacing w:line="240" w:lineRule="auto"/>
                    <w:jc w:val="center"/>
                    <w:rPr>
                      <w:rFonts w:hint="eastAsia"/>
                      <w:color w:val="000000"/>
                      <w:sz w:val="21"/>
                      <w:szCs w:val="21"/>
                      <w:u w:val="none"/>
                    </w:rPr>
                  </w:pPr>
                </w:p>
              </w:tc>
              <w:tc>
                <w:tcPr>
                  <w:tcW w:w="2635" w:type="dxa"/>
                  <w:noWrap w:val="0"/>
                  <w:vAlign w:val="center"/>
                </w:tcPr>
                <w:p w14:paraId="066E215B">
                  <w:pPr>
                    <w:spacing w:line="240" w:lineRule="auto"/>
                    <w:jc w:val="center"/>
                    <w:rPr>
                      <w:rFonts w:hint="default"/>
                      <w:color w:val="000000"/>
                      <w:sz w:val="21"/>
                      <w:szCs w:val="21"/>
                      <w:u w:val="none"/>
                      <w:lang w:val="en-US" w:eastAsia="zh-CN"/>
                    </w:rPr>
                  </w:pPr>
                  <w:r>
                    <w:rPr>
                      <w:rFonts w:hint="eastAsia"/>
                      <w:color w:val="000000"/>
                      <w:sz w:val="21"/>
                      <w:szCs w:val="21"/>
                      <w:u w:val="none"/>
                      <w:lang w:val="en-US" w:eastAsia="zh-CN"/>
                    </w:rPr>
                    <w:t>爆破的安全气囊</w:t>
                  </w:r>
                </w:p>
              </w:tc>
              <w:tc>
                <w:tcPr>
                  <w:tcW w:w="1526" w:type="dxa"/>
                  <w:noWrap w:val="0"/>
                  <w:vAlign w:val="center"/>
                </w:tcPr>
                <w:p w14:paraId="7546ED94">
                  <w:pPr>
                    <w:spacing w:line="240" w:lineRule="auto"/>
                    <w:jc w:val="center"/>
                    <w:rPr>
                      <w:rFonts w:hint="default"/>
                      <w:color w:val="000000"/>
                      <w:sz w:val="21"/>
                      <w:szCs w:val="21"/>
                      <w:u w:val="none"/>
                      <w:lang w:val="en-US" w:eastAsia="zh-CN"/>
                    </w:rPr>
                  </w:pPr>
                  <w:r>
                    <w:rPr>
                      <w:rFonts w:hint="eastAsia"/>
                      <w:color w:val="000000"/>
                      <w:sz w:val="21"/>
                      <w:szCs w:val="21"/>
                      <w:u w:val="none"/>
                      <w:lang w:val="en-US" w:eastAsia="zh-CN"/>
                    </w:rPr>
                    <w:t>12</w:t>
                  </w:r>
                </w:p>
              </w:tc>
              <w:tc>
                <w:tcPr>
                  <w:tcW w:w="2911" w:type="dxa"/>
                  <w:noWrap w:val="0"/>
                  <w:vAlign w:val="center"/>
                </w:tcPr>
                <w:p w14:paraId="0FF63984">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外售物资回收单位</w:t>
                  </w:r>
                </w:p>
              </w:tc>
            </w:tr>
            <w:tr w14:paraId="76757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346" w:type="dxa"/>
                  <w:vMerge w:val="restart"/>
                  <w:noWrap w:val="0"/>
                  <w:vAlign w:val="center"/>
                </w:tcPr>
                <w:p w14:paraId="3615E1DD">
                  <w:pPr>
                    <w:spacing w:line="240" w:lineRule="auto"/>
                    <w:jc w:val="center"/>
                    <w:rPr>
                      <w:rFonts w:hint="eastAsia"/>
                      <w:color w:val="000000"/>
                      <w:sz w:val="21"/>
                      <w:szCs w:val="21"/>
                      <w:u w:val="none"/>
                      <w:lang w:val="en-US" w:eastAsia="zh-CN"/>
                    </w:rPr>
                  </w:pPr>
                  <w:r>
                    <w:rPr>
                      <w:rFonts w:hint="eastAsia"/>
                      <w:color w:val="000000"/>
                      <w:sz w:val="21"/>
                      <w:szCs w:val="21"/>
                      <w:u w:val="none"/>
                      <w:lang w:val="en-US" w:eastAsia="zh-CN"/>
                    </w:rPr>
                    <w:t>一般</w:t>
                  </w:r>
                </w:p>
                <w:p w14:paraId="0F8CF37D">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固废</w:t>
                  </w:r>
                </w:p>
              </w:tc>
              <w:tc>
                <w:tcPr>
                  <w:tcW w:w="2635" w:type="dxa"/>
                  <w:noWrap w:val="0"/>
                  <w:vAlign w:val="center"/>
                </w:tcPr>
                <w:p w14:paraId="023159CE">
                  <w:pPr>
                    <w:spacing w:line="240" w:lineRule="auto"/>
                    <w:jc w:val="center"/>
                    <w:rPr>
                      <w:rFonts w:hint="default"/>
                      <w:color w:val="000000"/>
                      <w:sz w:val="21"/>
                      <w:szCs w:val="21"/>
                      <w:u w:val="none"/>
                      <w:lang w:val="en-US" w:eastAsia="zh-CN"/>
                    </w:rPr>
                  </w:pPr>
                  <w:r>
                    <w:rPr>
                      <w:rFonts w:hint="eastAsia"/>
                      <w:color w:val="000000"/>
                      <w:sz w:val="21"/>
                      <w:szCs w:val="21"/>
                      <w:u w:val="none"/>
                      <w:lang w:val="en-US" w:eastAsia="zh-CN"/>
                    </w:rPr>
                    <w:t>不可利用废料（碎玻璃、安全带及内饰件）</w:t>
                  </w:r>
                </w:p>
              </w:tc>
              <w:tc>
                <w:tcPr>
                  <w:tcW w:w="1526" w:type="dxa"/>
                  <w:noWrap w:val="0"/>
                  <w:vAlign w:val="center"/>
                </w:tcPr>
                <w:p w14:paraId="30DA77C8">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726</w:t>
                  </w:r>
                </w:p>
              </w:tc>
              <w:tc>
                <w:tcPr>
                  <w:tcW w:w="2911" w:type="dxa"/>
                  <w:vMerge w:val="restart"/>
                  <w:noWrap w:val="0"/>
                  <w:vAlign w:val="center"/>
                </w:tcPr>
                <w:p w14:paraId="4E1FBD9C">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物资回收公司回收利用</w:t>
                  </w:r>
                </w:p>
              </w:tc>
            </w:tr>
            <w:tr w14:paraId="2CB6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346" w:type="dxa"/>
                  <w:vMerge w:val="continue"/>
                  <w:noWrap w:val="0"/>
                  <w:vAlign w:val="center"/>
                </w:tcPr>
                <w:p w14:paraId="4A145343">
                  <w:pPr>
                    <w:spacing w:line="240" w:lineRule="auto"/>
                    <w:jc w:val="center"/>
                    <w:rPr>
                      <w:rFonts w:hint="eastAsia"/>
                      <w:color w:val="000000"/>
                      <w:sz w:val="21"/>
                      <w:szCs w:val="21"/>
                      <w:u w:val="none"/>
                    </w:rPr>
                  </w:pPr>
                </w:p>
              </w:tc>
              <w:tc>
                <w:tcPr>
                  <w:tcW w:w="2635" w:type="dxa"/>
                  <w:noWrap w:val="0"/>
                  <w:vAlign w:val="center"/>
                </w:tcPr>
                <w:p w14:paraId="35254BFD">
                  <w:pPr>
                    <w:spacing w:line="240" w:lineRule="auto"/>
                    <w:jc w:val="center"/>
                    <w:rPr>
                      <w:rFonts w:hint="default"/>
                      <w:color w:val="000000"/>
                      <w:sz w:val="21"/>
                      <w:szCs w:val="21"/>
                      <w:u w:val="none"/>
                      <w:lang w:val="en-US" w:eastAsia="zh-CN"/>
                    </w:rPr>
                  </w:pPr>
                  <w:r>
                    <w:rPr>
                      <w:rFonts w:hint="eastAsia"/>
                      <w:color w:val="000000"/>
                      <w:sz w:val="21"/>
                      <w:szCs w:val="21"/>
                      <w:u w:val="none"/>
                      <w:lang w:val="en-US" w:eastAsia="zh-CN"/>
                    </w:rPr>
                    <w:t>动力蓄电池（锂电池、镍氢电池）</w:t>
                  </w:r>
                </w:p>
              </w:tc>
              <w:tc>
                <w:tcPr>
                  <w:tcW w:w="1526" w:type="dxa"/>
                  <w:noWrap w:val="0"/>
                  <w:vAlign w:val="center"/>
                </w:tcPr>
                <w:p w14:paraId="5943CA5F">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1240</w:t>
                  </w:r>
                </w:p>
              </w:tc>
              <w:tc>
                <w:tcPr>
                  <w:tcW w:w="2911" w:type="dxa"/>
                  <w:vMerge w:val="continue"/>
                  <w:noWrap w:val="0"/>
                  <w:vAlign w:val="center"/>
                </w:tcPr>
                <w:p w14:paraId="1CFA29A8">
                  <w:pPr>
                    <w:spacing w:line="240" w:lineRule="auto"/>
                    <w:jc w:val="center"/>
                    <w:rPr>
                      <w:rFonts w:hint="eastAsia"/>
                      <w:color w:val="000000"/>
                      <w:sz w:val="21"/>
                      <w:szCs w:val="21"/>
                      <w:u w:val="none"/>
                    </w:rPr>
                  </w:pPr>
                </w:p>
              </w:tc>
            </w:tr>
            <w:tr w14:paraId="5ECC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346" w:type="dxa"/>
                  <w:vMerge w:val="restart"/>
                  <w:noWrap w:val="0"/>
                  <w:vAlign w:val="center"/>
                </w:tcPr>
                <w:p w14:paraId="77B43F38">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危险废物</w:t>
                  </w:r>
                </w:p>
              </w:tc>
              <w:tc>
                <w:tcPr>
                  <w:tcW w:w="2635" w:type="dxa"/>
                  <w:noWrap w:val="0"/>
                  <w:vAlign w:val="center"/>
                </w:tcPr>
                <w:p w14:paraId="2FE03CC9">
                  <w:pPr>
                    <w:spacing w:line="240" w:lineRule="auto"/>
                    <w:jc w:val="center"/>
                    <w:rPr>
                      <w:rFonts w:hint="default"/>
                      <w:color w:val="000000"/>
                      <w:sz w:val="21"/>
                      <w:szCs w:val="21"/>
                      <w:u w:val="none"/>
                      <w:lang w:val="en-US" w:eastAsia="zh-CN"/>
                    </w:rPr>
                  </w:pPr>
                  <w:r>
                    <w:rPr>
                      <w:rFonts w:hint="eastAsia"/>
                      <w:color w:val="000000"/>
                      <w:sz w:val="21"/>
                      <w:szCs w:val="21"/>
                      <w:u w:val="none"/>
                      <w:lang w:val="en-US" w:eastAsia="zh-CN"/>
                    </w:rPr>
                    <w:t>废燃料油</w:t>
                  </w:r>
                </w:p>
              </w:tc>
              <w:tc>
                <w:tcPr>
                  <w:tcW w:w="1526" w:type="dxa"/>
                  <w:noWrap w:val="0"/>
                  <w:vAlign w:val="center"/>
                </w:tcPr>
                <w:p w14:paraId="3946B75E">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11.4</w:t>
                  </w:r>
                </w:p>
              </w:tc>
              <w:tc>
                <w:tcPr>
                  <w:tcW w:w="2911" w:type="dxa"/>
                  <w:vMerge w:val="restart"/>
                  <w:noWrap w:val="0"/>
                  <w:vAlign w:val="center"/>
                </w:tcPr>
                <w:p w14:paraId="4B61CD23">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分类暂存厂区危废暂存库，委托有资质单位处置</w:t>
                  </w:r>
                </w:p>
              </w:tc>
            </w:tr>
            <w:tr w14:paraId="62A3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346" w:type="dxa"/>
                  <w:vMerge w:val="continue"/>
                  <w:noWrap w:val="0"/>
                  <w:vAlign w:val="center"/>
                </w:tcPr>
                <w:p w14:paraId="3ECD52C2">
                  <w:pPr>
                    <w:spacing w:line="240" w:lineRule="auto"/>
                    <w:jc w:val="center"/>
                    <w:rPr>
                      <w:rFonts w:hint="eastAsia"/>
                      <w:color w:val="000000"/>
                      <w:sz w:val="21"/>
                      <w:szCs w:val="21"/>
                      <w:u w:val="none"/>
                    </w:rPr>
                  </w:pPr>
                </w:p>
              </w:tc>
              <w:tc>
                <w:tcPr>
                  <w:tcW w:w="2635" w:type="dxa"/>
                  <w:noWrap w:val="0"/>
                  <w:vAlign w:val="center"/>
                </w:tcPr>
                <w:p w14:paraId="14C3922E">
                  <w:pPr>
                    <w:spacing w:line="240" w:lineRule="auto"/>
                    <w:jc w:val="center"/>
                    <w:rPr>
                      <w:rFonts w:hint="default"/>
                      <w:color w:val="000000"/>
                      <w:sz w:val="21"/>
                      <w:szCs w:val="21"/>
                      <w:u w:val="none"/>
                      <w:lang w:val="en-US" w:eastAsia="zh-CN"/>
                    </w:rPr>
                  </w:pPr>
                  <w:r>
                    <w:rPr>
                      <w:rFonts w:hint="eastAsia"/>
                      <w:color w:val="000000"/>
                      <w:sz w:val="21"/>
                      <w:szCs w:val="21"/>
                      <w:u w:val="none"/>
                      <w:lang w:val="en-US" w:eastAsia="zh-CN"/>
                    </w:rPr>
                    <w:t>非燃料类废油液</w:t>
                  </w:r>
                </w:p>
              </w:tc>
              <w:tc>
                <w:tcPr>
                  <w:tcW w:w="1526" w:type="dxa"/>
                  <w:noWrap w:val="0"/>
                  <w:vAlign w:val="center"/>
                </w:tcPr>
                <w:p w14:paraId="66A3F983">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31.95</w:t>
                  </w:r>
                </w:p>
              </w:tc>
              <w:tc>
                <w:tcPr>
                  <w:tcW w:w="2911" w:type="dxa"/>
                  <w:vMerge w:val="continue"/>
                  <w:noWrap w:val="0"/>
                  <w:vAlign w:val="center"/>
                </w:tcPr>
                <w:p w14:paraId="43E486DA">
                  <w:pPr>
                    <w:spacing w:line="240" w:lineRule="auto"/>
                    <w:jc w:val="center"/>
                    <w:rPr>
                      <w:rFonts w:hint="eastAsia"/>
                      <w:color w:val="000000"/>
                      <w:sz w:val="21"/>
                      <w:szCs w:val="21"/>
                      <w:u w:val="none"/>
                    </w:rPr>
                  </w:pPr>
                </w:p>
              </w:tc>
            </w:tr>
            <w:tr w14:paraId="1DA3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346" w:type="dxa"/>
                  <w:vMerge w:val="continue"/>
                  <w:noWrap w:val="0"/>
                  <w:vAlign w:val="center"/>
                </w:tcPr>
                <w:p w14:paraId="1C413028">
                  <w:pPr>
                    <w:spacing w:line="240" w:lineRule="auto"/>
                    <w:jc w:val="center"/>
                    <w:rPr>
                      <w:rFonts w:hint="eastAsia"/>
                      <w:color w:val="000000"/>
                      <w:sz w:val="21"/>
                      <w:szCs w:val="21"/>
                      <w:u w:val="none"/>
                    </w:rPr>
                  </w:pPr>
                </w:p>
              </w:tc>
              <w:tc>
                <w:tcPr>
                  <w:tcW w:w="2635" w:type="dxa"/>
                  <w:noWrap w:val="0"/>
                  <w:vAlign w:val="center"/>
                </w:tcPr>
                <w:p w14:paraId="62ABCD4A">
                  <w:pPr>
                    <w:spacing w:line="240" w:lineRule="auto"/>
                    <w:jc w:val="center"/>
                    <w:rPr>
                      <w:rFonts w:hint="default"/>
                      <w:color w:val="000000"/>
                      <w:sz w:val="21"/>
                      <w:szCs w:val="21"/>
                      <w:u w:val="none"/>
                      <w:lang w:val="en-US" w:eastAsia="zh-CN"/>
                    </w:rPr>
                  </w:pPr>
                  <w:r>
                    <w:rPr>
                      <w:rFonts w:hint="eastAsia"/>
                      <w:color w:val="000000"/>
                      <w:sz w:val="21"/>
                      <w:szCs w:val="21"/>
                      <w:u w:val="none"/>
                      <w:lang w:val="en-US" w:eastAsia="zh-CN"/>
                    </w:rPr>
                    <w:t>废铅酸蓄电池</w:t>
                  </w:r>
                </w:p>
              </w:tc>
              <w:tc>
                <w:tcPr>
                  <w:tcW w:w="1526" w:type="dxa"/>
                  <w:noWrap w:val="0"/>
                  <w:vAlign w:val="center"/>
                </w:tcPr>
                <w:p w14:paraId="46016AFE">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123.5</w:t>
                  </w:r>
                </w:p>
              </w:tc>
              <w:tc>
                <w:tcPr>
                  <w:tcW w:w="2911" w:type="dxa"/>
                  <w:vMerge w:val="continue"/>
                  <w:noWrap w:val="0"/>
                  <w:vAlign w:val="center"/>
                </w:tcPr>
                <w:p w14:paraId="68E4990A">
                  <w:pPr>
                    <w:spacing w:line="240" w:lineRule="auto"/>
                    <w:jc w:val="center"/>
                    <w:rPr>
                      <w:rFonts w:hint="eastAsia"/>
                      <w:color w:val="000000"/>
                      <w:sz w:val="21"/>
                      <w:szCs w:val="21"/>
                      <w:u w:val="none"/>
                    </w:rPr>
                  </w:pPr>
                </w:p>
              </w:tc>
            </w:tr>
            <w:tr w14:paraId="403C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346" w:type="dxa"/>
                  <w:vMerge w:val="continue"/>
                  <w:noWrap w:val="0"/>
                  <w:vAlign w:val="center"/>
                </w:tcPr>
                <w:p w14:paraId="2CAF7668">
                  <w:pPr>
                    <w:spacing w:line="240" w:lineRule="auto"/>
                    <w:jc w:val="center"/>
                    <w:rPr>
                      <w:rFonts w:hint="eastAsia"/>
                      <w:color w:val="000000"/>
                      <w:sz w:val="21"/>
                      <w:szCs w:val="21"/>
                      <w:u w:val="none"/>
                    </w:rPr>
                  </w:pPr>
                </w:p>
              </w:tc>
              <w:tc>
                <w:tcPr>
                  <w:tcW w:w="2635" w:type="dxa"/>
                  <w:noWrap w:val="0"/>
                  <w:vAlign w:val="center"/>
                </w:tcPr>
                <w:p w14:paraId="1A2C1C82">
                  <w:pPr>
                    <w:spacing w:line="240" w:lineRule="auto"/>
                    <w:jc w:val="center"/>
                    <w:rPr>
                      <w:rFonts w:hint="default"/>
                      <w:color w:val="000000"/>
                      <w:sz w:val="21"/>
                      <w:szCs w:val="21"/>
                      <w:u w:val="none"/>
                      <w:lang w:val="en-US" w:eastAsia="zh-CN"/>
                    </w:rPr>
                  </w:pPr>
                  <w:r>
                    <w:rPr>
                      <w:rFonts w:hint="eastAsia"/>
                      <w:color w:val="000000"/>
                      <w:sz w:val="21"/>
                      <w:szCs w:val="21"/>
                      <w:u w:val="none"/>
                      <w:lang w:val="en-US" w:eastAsia="zh-CN"/>
                    </w:rPr>
                    <w:t>废机油、燃油滤清器</w:t>
                  </w:r>
                </w:p>
              </w:tc>
              <w:tc>
                <w:tcPr>
                  <w:tcW w:w="1526" w:type="dxa"/>
                  <w:noWrap w:val="0"/>
                  <w:vAlign w:val="center"/>
                </w:tcPr>
                <w:p w14:paraId="54DEFAAA">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11.4</w:t>
                  </w:r>
                </w:p>
              </w:tc>
              <w:tc>
                <w:tcPr>
                  <w:tcW w:w="2911" w:type="dxa"/>
                  <w:vMerge w:val="continue"/>
                  <w:noWrap w:val="0"/>
                  <w:vAlign w:val="center"/>
                </w:tcPr>
                <w:p w14:paraId="2EE59AC7">
                  <w:pPr>
                    <w:spacing w:line="240" w:lineRule="auto"/>
                    <w:jc w:val="center"/>
                    <w:rPr>
                      <w:rFonts w:hint="eastAsia"/>
                      <w:color w:val="000000"/>
                      <w:sz w:val="21"/>
                      <w:szCs w:val="21"/>
                      <w:u w:val="none"/>
                    </w:rPr>
                  </w:pPr>
                </w:p>
              </w:tc>
            </w:tr>
            <w:tr w14:paraId="795EC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346" w:type="dxa"/>
                  <w:vMerge w:val="continue"/>
                  <w:noWrap w:val="0"/>
                  <w:vAlign w:val="center"/>
                </w:tcPr>
                <w:p w14:paraId="6A400379">
                  <w:pPr>
                    <w:spacing w:line="240" w:lineRule="auto"/>
                    <w:jc w:val="center"/>
                    <w:rPr>
                      <w:rFonts w:hint="eastAsia"/>
                      <w:color w:val="000000"/>
                      <w:sz w:val="21"/>
                      <w:szCs w:val="21"/>
                      <w:u w:val="none"/>
                    </w:rPr>
                  </w:pPr>
                </w:p>
              </w:tc>
              <w:tc>
                <w:tcPr>
                  <w:tcW w:w="2635" w:type="dxa"/>
                  <w:noWrap w:val="0"/>
                  <w:vAlign w:val="center"/>
                </w:tcPr>
                <w:p w14:paraId="2B3C8248">
                  <w:pPr>
                    <w:spacing w:line="240" w:lineRule="auto"/>
                    <w:jc w:val="center"/>
                    <w:rPr>
                      <w:rFonts w:hint="default"/>
                      <w:color w:val="000000"/>
                      <w:sz w:val="21"/>
                      <w:szCs w:val="21"/>
                      <w:u w:val="none"/>
                      <w:lang w:val="en-US" w:eastAsia="zh-CN"/>
                    </w:rPr>
                  </w:pPr>
                  <w:r>
                    <w:rPr>
                      <w:rFonts w:hint="eastAsia"/>
                      <w:color w:val="000000"/>
                      <w:sz w:val="21"/>
                      <w:szCs w:val="21"/>
                      <w:u w:val="none"/>
                      <w:lang w:val="en-US" w:eastAsia="zh-CN"/>
                    </w:rPr>
                    <w:t>废空调制冷剂</w:t>
                  </w:r>
                </w:p>
              </w:tc>
              <w:tc>
                <w:tcPr>
                  <w:tcW w:w="1526" w:type="dxa"/>
                  <w:noWrap w:val="0"/>
                  <w:vAlign w:val="center"/>
                </w:tcPr>
                <w:p w14:paraId="18E18C7E">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3.05</w:t>
                  </w:r>
                </w:p>
              </w:tc>
              <w:tc>
                <w:tcPr>
                  <w:tcW w:w="2911" w:type="dxa"/>
                  <w:vMerge w:val="continue"/>
                  <w:noWrap w:val="0"/>
                  <w:vAlign w:val="center"/>
                </w:tcPr>
                <w:p w14:paraId="7B3AC388">
                  <w:pPr>
                    <w:spacing w:line="240" w:lineRule="auto"/>
                    <w:jc w:val="center"/>
                    <w:rPr>
                      <w:rFonts w:hint="eastAsia"/>
                      <w:color w:val="000000"/>
                      <w:sz w:val="21"/>
                      <w:szCs w:val="21"/>
                      <w:u w:val="none"/>
                    </w:rPr>
                  </w:pPr>
                </w:p>
              </w:tc>
            </w:tr>
            <w:tr w14:paraId="58CF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346" w:type="dxa"/>
                  <w:vMerge w:val="continue"/>
                  <w:noWrap w:val="0"/>
                  <w:vAlign w:val="center"/>
                </w:tcPr>
                <w:p w14:paraId="2C47A498">
                  <w:pPr>
                    <w:spacing w:line="240" w:lineRule="auto"/>
                    <w:jc w:val="center"/>
                    <w:rPr>
                      <w:rFonts w:hint="eastAsia"/>
                      <w:color w:val="000000"/>
                      <w:sz w:val="21"/>
                      <w:szCs w:val="21"/>
                      <w:u w:val="none"/>
                    </w:rPr>
                  </w:pPr>
                </w:p>
              </w:tc>
              <w:tc>
                <w:tcPr>
                  <w:tcW w:w="2635" w:type="dxa"/>
                  <w:noWrap w:val="0"/>
                  <w:vAlign w:val="center"/>
                </w:tcPr>
                <w:p w14:paraId="05B9998D">
                  <w:pPr>
                    <w:spacing w:line="240" w:lineRule="auto"/>
                    <w:jc w:val="center"/>
                    <w:rPr>
                      <w:rFonts w:hint="default"/>
                      <w:color w:val="000000"/>
                      <w:sz w:val="21"/>
                      <w:szCs w:val="21"/>
                      <w:u w:val="none"/>
                      <w:lang w:val="en-US" w:eastAsia="zh-CN"/>
                    </w:rPr>
                  </w:pPr>
                  <w:r>
                    <w:rPr>
                      <w:rFonts w:hint="eastAsia"/>
                      <w:color w:val="000000"/>
                      <w:sz w:val="21"/>
                      <w:szCs w:val="21"/>
                      <w:u w:val="none"/>
                      <w:lang w:val="en-US" w:eastAsia="zh-CN"/>
                    </w:rPr>
                    <w:t>废电路板及电子元器件</w:t>
                  </w:r>
                </w:p>
              </w:tc>
              <w:tc>
                <w:tcPr>
                  <w:tcW w:w="1526" w:type="dxa"/>
                  <w:noWrap w:val="0"/>
                  <w:vAlign w:val="center"/>
                </w:tcPr>
                <w:p w14:paraId="577EE434">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49.2</w:t>
                  </w:r>
                </w:p>
              </w:tc>
              <w:tc>
                <w:tcPr>
                  <w:tcW w:w="2911" w:type="dxa"/>
                  <w:vMerge w:val="continue"/>
                  <w:noWrap w:val="0"/>
                  <w:vAlign w:val="center"/>
                </w:tcPr>
                <w:p w14:paraId="7AF09370">
                  <w:pPr>
                    <w:spacing w:line="240" w:lineRule="auto"/>
                    <w:jc w:val="center"/>
                    <w:rPr>
                      <w:rFonts w:hint="eastAsia"/>
                      <w:color w:val="000000"/>
                      <w:sz w:val="21"/>
                      <w:szCs w:val="21"/>
                      <w:u w:val="none"/>
                    </w:rPr>
                  </w:pPr>
                </w:p>
              </w:tc>
            </w:tr>
            <w:tr w14:paraId="2026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346" w:type="dxa"/>
                  <w:vMerge w:val="continue"/>
                  <w:noWrap w:val="0"/>
                  <w:vAlign w:val="center"/>
                </w:tcPr>
                <w:p w14:paraId="5089AC6F">
                  <w:pPr>
                    <w:spacing w:line="240" w:lineRule="auto"/>
                    <w:jc w:val="center"/>
                    <w:rPr>
                      <w:rFonts w:hint="eastAsia"/>
                      <w:color w:val="000000"/>
                      <w:sz w:val="21"/>
                      <w:szCs w:val="21"/>
                      <w:u w:val="none"/>
                    </w:rPr>
                  </w:pPr>
                </w:p>
              </w:tc>
              <w:tc>
                <w:tcPr>
                  <w:tcW w:w="2635" w:type="dxa"/>
                  <w:noWrap w:val="0"/>
                  <w:vAlign w:val="center"/>
                </w:tcPr>
                <w:p w14:paraId="737696B1">
                  <w:pPr>
                    <w:spacing w:line="240" w:lineRule="auto"/>
                    <w:jc w:val="center"/>
                    <w:rPr>
                      <w:rFonts w:hint="default"/>
                      <w:color w:val="000000"/>
                      <w:sz w:val="21"/>
                      <w:szCs w:val="21"/>
                      <w:u w:val="none"/>
                      <w:lang w:val="en-US" w:eastAsia="zh-CN"/>
                    </w:rPr>
                  </w:pPr>
                  <w:r>
                    <w:rPr>
                      <w:rFonts w:hint="eastAsia"/>
                      <w:color w:val="000000"/>
                      <w:sz w:val="21"/>
                      <w:szCs w:val="21"/>
                      <w:u w:val="none"/>
                      <w:lang w:val="en-US" w:eastAsia="zh-CN"/>
                    </w:rPr>
                    <w:t>废电容器</w:t>
                  </w:r>
                </w:p>
              </w:tc>
              <w:tc>
                <w:tcPr>
                  <w:tcW w:w="1526" w:type="dxa"/>
                  <w:noWrap w:val="0"/>
                  <w:vAlign w:val="center"/>
                </w:tcPr>
                <w:p w14:paraId="7E454B59">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24.5</w:t>
                  </w:r>
                </w:p>
              </w:tc>
              <w:tc>
                <w:tcPr>
                  <w:tcW w:w="2911" w:type="dxa"/>
                  <w:vMerge w:val="continue"/>
                  <w:noWrap w:val="0"/>
                  <w:vAlign w:val="center"/>
                </w:tcPr>
                <w:p w14:paraId="661D9E46">
                  <w:pPr>
                    <w:spacing w:line="240" w:lineRule="auto"/>
                    <w:jc w:val="center"/>
                    <w:rPr>
                      <w:rFonts w:hint="eastAsia"/>
                      <w:color w:val="000000"/>
                      <w:sz w:val="21"/>
                      <w:szCs w:val="21"/>
                      <w:u w:val="none"/>
                    </w:rPr>
                  </w:pPr>
                </w:p>
              </w:tc>
            </w:tr>
            <w:tr w14:paraId="1902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346" w:type="dxa"/>
                  <w:vMerge w:val="continue"/>
                  <w:noWrap w:val="0"/>
                  <w:vAlign w:val="center"/>
                </w:tcPr>
                <w:p w14:paraId="253A64EA">
                  <w:pPr>
                    <w:spacing w:line="240" w:lineRule="auto"/>
                    <w:jc w:val="center"/>
                    <w:rPr>
                      <w:rFonts w:hint="eastAsia"/>
                      <w:color w:val="000000"/>
                      <w:sz w:val="21"/>
                      <w:szCs w:val="21"/>
                      <w:u w:val="none"/>
                    </w:rPr>
                  </w:pPr>
                </w:p>
              </w:tc>
              <w:tc>
                <w:tcPr>
                  <w:tcW w:w="2635" w:type="dxa"/>
                  <w:noWrap w:val="0"/>
                  <w:vAlign w:val="center"/>
                </w:tcPr>
                <w:p w14:paraId="2DF123E8">
                  <w:pPr>
                    <w:spacing w:line="240" w:lineRule="auto"/>
                    <w:jc w:val="center"/>
                    <w:rPr>
                      <w:rFonts w:hint="default"/>
                      <w:color w:val="000000"/>
                      <w:sz w:val="21"/>
                      <w:szCs w:val="21"/>
                      <w:u w:val="none"/>
                      <w:lang w:val="en-US" w:eastAsia="zh-CN"/>
                    </w:rPr>
                  </w:pPr>
                  <w:r>
                    <w:rPr>
                      <w:rFonts w:hint="eastAsia"/>
                      <w:color w:val="000000"/>
                      <w:sz w:val="21"/>
                      <w:szCs w:val="21"/>
                      <w:u w:val="none"/>
                      <w:lang w:val="en-US" w:eastAsia="zh-CN"/>
                    </w:rPr>
                    <w:t>废尾气净化器（含尾气净化催化剂）</w:t>
                  </w:r>
                </w:p>
              </w:tc>
              <w:tc>
                <w:tcPr>
                  <w:tcW w:w="1526" w:type="dxa"/>
                  <w:noWrap w:val="0"/>
                  <w:vAlign w:val="center"/>
                </w:tcPr>
                <w:p w14:paraId="0F1BA059">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11.15</w:t>
                  </w:r>
                </w:p>
              </w:tc>
              <w:tc>
                <w:tcPr>
                  <w:tcW w:w="2911" w:type="dxa"/>
                  <w:vMerge w:val="continue"/>
                  <w:noWrap w:val="0"/>
                  <w:vAlign w:val="center"/>
                </w:tcPr>
                <w:p w14:paraId="4C602215">
                  <w:pPr>
                    <w:spacing w:line="240" w:lineRule="auto"/>
                    <w:jc w:val="center"/>
                    <w:rPr>
                      <w:rFonts w:hint="eastAsia"/>
                      <w:color w:val="000000"/>
                      <w:sz w:val="21"/>
                      <w:szCs w:val="21"/>
                      <w:u w:val="none"/>
                    </w:rPr>
                  </w:pPr>
                </w:p>
              </w:tc>
            </w:tr>
            <w:tr w14:paraId="6207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46" w:type="dxa"/>
                  <w:vMerge w:val="continue"/>
                  <w:noWrap w:val="0"/>
                  <w:vAlign w:val="center"/>
                </w:tcPr>
                <w:p w14:paraId="31999CE9">
                  <w:pPr>
                    <w:spacing w:line="240" w:lineRule="auto"/>
                    <w:jc w:val="center"/>
                    <w:rPr>
                      <w:rFonts w:hint="eastAsia"/>
                      <w:color w:val="000000"/>
                      <w:sz w:val="21"/>
                      <w:szCs w:val="21"/>
                      <w:u w:val="none"/>
                    </w:rPr>
                  </w:pPr>
                </w:p>
              </w:tc>
              <w:tc>
                <w:tcPr>
                  <w:tcW w:w="2635" w:type="dxa"/>
                  <w:noWrap w:val="0"/>
                  <w:vAlign w:val="center"/>
                </w:tcPr>
                <w:p w14:paraId="3B362C1B">
                  <w:pPr>
                    <w:spacing w:line="240" w:lineRule="auto"/>
                    <w:jc w:val="center"/>
                    <w:rPr>
                      <w:rFonts w:hint="default"/>
                      <w:color w:val="000000"/>
                      <w:sz w:val="21"/>
                      <w:szCs w:val="21"/>
                      <w:u w:val="none"/>
                      <w:lang w:val="en-US" w:eastAsia="zh-CN"/>
                    </w:rPr>
                  </w:pPr>
                  <w:r>
                    <w:rPr>
                      <w:rFonts w:hint="eastAsia"/>
                      <w:color w:val="000000"/>
                      <w:sz w:val="21"/>
                      <w:szCs w:val="21"/>
                      <w:u w:val="none"/>
                      <w:lang w:val="en-US" w:eastAsia="zh-CN"/>
                    </w:rPr>
                    <w:t>废油箱</w:t>
                  </w:r>
                </w:p>
              </w:tc>
              <w:tc>
                <w:tcPr>
                  <w:tcW w:w="1526" w:type="dxa"/>
                  <w:noWrap w:val="0"/>
                  <w:vAlign w:val="center"/>
                </w:tcPr>
                <w:p w14:paraId="69D87FC4">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685</w:t>
                  </w:r>
                </w:p>
              </w:tc>
              <w:tc>
                <w:tcPr>
                  <w:tcW w:w="2911" w:type="dxa"/>
                  <w:vMerge w:val="continue"/>
                  <w:noWrap w:val="0"/>
                  <w:vAlign w:val="center"/>
                </w:tcPr>
                <w:p w14:paraId="6437D541">
                  <w:pPr>
                    <w:spacing w:line="240" w:lineRule="auto"/>
                    <w:jc w:val="center"/>
                    <w:rPr>
                      <w:rFonts w:hint="eastAsia"/>
                      <w:color w:val="000000"/>
                      <w:sz w:val="21"/>
                      <w:szCs w:val="21"/>
                      <w:u w:val="none"/>
                    </w:rPr>
                  </w:pPr>
                </w:p>
              </w:tc>
            </w:tr>
            <w:tr w14:paraId="2684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346" w:type="dxa"/>
                  <w:vMerge w:val="continue"/>
                  <w:noWrap w:val="0"/>
                  <w:vAlign w:val="center"/>
                </w:tcPr>
                <w:p w14:paraId="53A17351">
                  <w:pPr>
                    <w:spacing w:line="240" w:lineRule="auto"/>
                    <w:jc w:val="center"/>
                    <w:rPr>
                      <w:rFonts w:hint="eastAsia"/>
                      <w:color w:val="000000"/>
                      <w:sz w:val="21"/>
                      <w:szCs w:val="21"/>
                      <w:u w:val="none"/>
                    </w:rPr>
                  </w:pPr>
                </w:p>
              </w:tc>
              <w:tc>
                <w:tcPr>
                  <w:tcW w:w="2635" w:type="dxa"/>
                  <w:noWrap w:val="0"/>
                  <w:vAlign w:val="center"/>
                </w:tcPr>
                <w:p w14:paraId="78F2AF1E">
                  <w:pPr>
                    <w:spacing w:line="240" w:lineRule="auto"/>
                    <w:jc w:val="center"/>
                    <w:rPr>
                      <w:rFonts w:hint="default"/>
                      <w:color w:val="000000"/>
                      <w:sz w:val="21"/>
                      <w:szCs w:val="21"/>
                      <w:u w:val="none"/>
                      <w:lang w:val="en-US" w:eastAsia="zh-CN"/>
                    </w:rPr>
                  </w:pPr>
                  <w:r>
                    <w:rPr>
                      <w:rFonts w:hint="eastAsia"/>
                      <w:color w:val="000000"/>
                      <w:sz w:val="21"/>
                      <w:szCs w:val="21"/>
                      <w:u w:val="none"/>
                      <w:lang w:val="en-US" w:eastAsia="zh-CN"/>
                    </w:rPr>
                    <w:t>废防冻冷却液、废挡风玻璃洗涤液</w:t>
                  </w:r>
                </w:p>
              </w:tc>
              <w:tc>
                <w:tcPr>
                  <w:tcW w:w="1526" w:type="dxa"/>
                  <w:noWrap w:val="0"/>
                  <w:vAlign w:val="center"/>
                </w:tcPr>
                <w:p w14:paraId="412B7783">
                  <w:pPr>
                    <w:spacing w:line="240" w:lineRule="auto"/>
                    <w:jc w:val="center"/>
                    <w:rPr>
                      <w:rFonts w:hint="default"/>
                      <w:color w:val="000000"/>
                      <w:sz w:val="21"/>
                      <w:szCs w:val="21"/>
                      <w:u w:val="none"/>
                      <w:lang w:val="en-US" w:eastAsia="zh-CN"/>
                    </w:rPr>
                  </w:pPr>
                  <w:r>
                    <w:rPr>
                      <w:rFonts w:hint="eastAsia"/>
                      <w:color w:val="000000"/>
                      <w:sz w:val="21"/>
                      <w:szCs w:val="21"/>
                      <w:u w:val="none"/>
                      <w:lang w:val="en-US" w:eastAsia="zh-CN"/>
                    </w:rPr>
                    <w:t>76.85</w:t>
                  </w:r>
                </w:p>
              </w:tc>
              <w:tc>
                <w:tcPr>
                  <w:tcW w:w="2911" w:type="dxa"/>
                  <w:vMerge w:val="continue"/>
                  <w:noWrap w:val="0"/>
                  <w:vAlign w:val="center"/>
                </w:tcPr>
                <w:p w14:paraId="33037BFD">
                  <w:pPr>
                    <w:spacing w:line="240" w:lineRule="auto"/>
                    <w:jc w:val="center"/>
                    <w:rPr>
                      <w:rFonts w:hint="eastAsia"/>
                      <w:color w:val="000000"/>
                      <w:sz w:val="21"/>
                      <w:szCs w:val="21"/>
                      <w:u w:val="none"/>
                    </w:rPr>
                  </w:pPr>
                </w:p>
              </w:tc>
            </w:tr>
            <w:tr w14:paraId="61138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46" w:type="dxa"/>
                  <w:vMerge w:val="continue"/>
                  <w:noWrap w:val="0"/>
                  <w:vAlign w:val="center"/>
                </w:tcPr>
                <w:p w14:paraId="447E3210">
                  <w:pPr>
                    <w:spacing w:line="240" w:lineRule="auto"/>
                    <w:jc w:val="center"/>
                    <w:rPr>
                      <w:rFonts w:hint="eastAsia"/>
                      <w:color w:val="000000"/>
                      <w:sz w:val="21"/>
                      <w:szCs w:val="21"/>
                      <w:u w:val="none"/>
                    </w:rPr>
                  </w:pPr>
                </w:p>
              </w:tc>
              <w:tc>
                <w:tcPr>
                  <w:tcW w:w="2635" w:type="dxa"/>
                  <w:noWrap w:val="0"/>
                  <w:vAlign w:val="center"/>
                </w:tcPr>
                <w:p w14:paraId="2449165B">
                  <w:pPr>
                    <w:spacing w:line="240" w:lineRule="auto"/>
                    <w:jc w:val="center"/>
                    <w:rPr>
                      <w:rFonts w:hint="default"/>
                      <w:color w:val="000000"/>
                      <w:sz w:val="21"/>
                      <w:szCs w:val="21"/>
                      <w:u w:val="none"/>
                      <w:lang w:val="en-US" w:eastAsia="zh-CN"/>
                    </w:rPr>
                  </w:pPr>
                  <w:r>
                    <w:rPr>
                      <w:rFonts w:hint="eastAsia"/>
                      <w:color w:val="000000"/>
                      <w:sz w:val="21"/>
                      <w:szCs w:val="21"/>
                      <w:u w:val="none"/>
                      <w:lang w:val="en-US" w:eastAsia="zh-CN"/>
                    </w:rPr>
                    <w:t>废液化气罐</w:t>
                  </w:r>
                </w:p>
              </w:tc>
              <w:tc>
                <w:tcPr>
                  <w:tcW w:w="1526" w:type="dxa"/>
                  <w:noWrap w:val="0"/>
                  <w:vAlign w:val="center"/>
                </w:tcPr>
                <w:p w14:paraId="459BE7FB">
                  <w:pPr>
                    <w:spacing w:line="240" w:lineRule="auto"/>
                    <w:jc w:val="center"/>
                    <w:rPr>
                      <w:rFonts w:hint="default"/>
                      <w:color w:val="000000"/>
                      <w:sz w:val="21"/>
                      <w:szCs w:val="21"/>
                      <w:u w:val="none"/>
                      <w:lang w:val="en-US" w:eastAsia="zh-CN"/>
                    </w:rPr>
                  </w:pPr>
                  <w:r>
                    <w:rPr>
                      <w:rFonts w:hint="eastAsia"/>
                      <w:color w:val="000000"/>
                      <w:sz w:val="21"/>
                      <w:szCs w:val="21"/>
                      <w:u w:val="none"/>
                      <w:lang w:val="en-US" w:eastAsia="zh-CN"/>
                    </w:rPr>
                    <w:t>60</w:t>
                  </w:r>
                </w:p>
              </w:tc>
              <w:tc>
                <w:tcPr>
                  <w:tcW w:w="2911" w:type="dxa"/>
                  <w:vMerge w:val="continue"/>
                  <w:noWrap w:val="0"/>
                  <w:vAlign w:val="center"/>
                </w:tcPr>
                <w:p w14:paraId="2DE252C2">
                  <w:pPr>
                    <w:spacing w:line="240" w:lineRule="auto"/>
                    <w:jc w:val="center"/>
                    <w:rPr>
                      <w:rFonts w:hint="eastAsia"/>
                      <w:color w:val="000000"/>
                      <w:sz w:val="21"/>
                      <w:szCs w:val="21"/>
                      <w:u w:val="none"/>
                    </w:rPr>
                  </w:pPr>
                </w:p>
              </w:tc>
            </w:tr>
            <w:tr w14:paraId="619C9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981" w:type="dxa"/>
                  <w:gridSpan w:val="2"/>
                  <w:noWrap w:val="0"/>
                  <w:vAlign w:val="center"/>
                </w:tcPr>
                <w:p w14:paraId="1409848F">
                  <w:pPr>
                    <w:spacing w:line="240" w:lineRule="auto"/>
                    <w:jc w:val="center"/>
                    <w:rPr>
                      <w:rFonts w:hint="eastAsia"/>
                      <w:color w:val="000000"/>
                      <w:sz w:val="21"/>
                      <w:szCs w:val="21"/>
                      <w:u w:val="none"/>
                    </w:rPr>
                  </w:pPr>
                  <w:r>
                    <w:rPr>
                      <w:rFonts w:hint="eastAsia"/>
                      <w:color w:val="000000"/>
                      <w:sz w:val="21"/>
                      <w:szCs w:val="21"/>
                      <w:u w:val="none"/>
                    </w:rPr>
                    <w:t>合计</w:t>
                  </w:r>
                </w:p>
              </w:tc>
              <w:tc>
                <w:tcPr>
                  <w:tcW w:w="1526" w:type="dxa"/>
                  <w:noWrap w:val="0"/>
                  <w:vAlign w:val="center"/>
                </w:tcPr>
                <w:p w14:paraId="5D548206">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27410</w:t>
                  </w:r>
                </w:p>
              </w:tc>
              <w:tc>
                <w:tcPr>
                  <w:tcW w:w="2911" w:type="dxa"/>
                  <w:noWrap w:val="0"/>
                  <w:vAlign w:val="center"/>
                </w:tcPr>
                <w:p w14:paraId="4416B4AF">
                  <w:pPr>
                    <w:spacing w:line="240" w:lineRule="auto"/>
                    <w:jc w:val="center"/>
                    <w:rPr>
                      <w:rFonts w:hint="default"/>
                      <w:color w:val="000000"/>
                      <w:sz w:val="21"/>
                      <w:szCs w:val="21"/>
                      <w:u w:val="none"/>
                      <w:lang w:val="en-US" w:eastAsia="zh-CN"/>
                    </w:rPr>
                  </w:pPr>
                  <w:r>
                    <w:rPr>
                      <w:rFonts w:hint="eastAsia"/>
                      <w:color w:val="000000"/>
                      <w:sz w:val="21"/>
                      <w:szCs w:val="21"/>
                      <w:u w:val="none"/>
                      <w:lang w:val="en-US" w:eastAsia="zh-CN"/>
                    </w:rPr>
                    <w:t>/</w:t>
                  </w:r>
                </w:p>
              </w:tc>
            </w:tr>
          </w:tbl>
          <w:p w14:paraId="06A76185">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b/>
                <w:bCs/>
                <w:sz w:val="24"/>
                <w:szCs w:val="32"/>
              </w:rPr>
            </w:pPr>
            <w:r>
              <w:rPr>
                <w:rFonts w:hint="eastAsia"/>
                <w:b/>
                <w:bCs/>
                <w:sz w:val="24"/>
                <w:szCs w:val="32"/>
                <w:lang w:val="en-US" w:eastAsia="zh-CN"/>
              </w:rPr>
              <w:t>2</w:t>
            </w:r>
            <w:r>
              <w:rPr>
                <w:b/>
                <w:bCs/>
                <w:sz w:val="24"/>
                <w:szCs w:val="32"/>
              </w:rPr>
              <w:t>.</w:t>
            </w:r>
            <w:r>
              <w:rPr>
                <w:rFonts w:hint="eastAsia"/>
                <w:b/>
                <w:bCs/>
                <w:sz w:val="24"/>
                <w:szCs w:val="32"/>
                <w:lang w:val="en-US" w:eastAsia="zh-CN"/>
              </w:rPr>
              <w:t>6</w:t>
            </w:r>
            <w:r>
              <w:rPr>
                <w:b/>
                <w:bCs/>
                <w:sz w:val="24"/>
                <w:szCs w:val="32"/>
              </w:rPr>
              <w:t>主要生产设备</w:t>
            </w:r>
          </w:p>
          <w:p w14:paraId="53757251">
            <w:pPr>
              <w:spacing w:line="360" w:lineRule="auto"/>
              <w:ind w:firstLine="480" w:firstLineChars="200"/>
              <w:rPr>
                <w:sz w:val="24"/>
                <w:szCs w:val="32"/>
              </w:rPr>
            </w:pPr>
            <w:r>
              <w:rPr>
                <w:sz w:val="24"/>
                <w:szCs w:val="32"/>
              </w:rPr>
              <w:t>主要生产设备见下表。</w:t>
            </w:r>
          </w:p>
          <w:p w14:paraId="24DDA49F">
            <w:pPr>
              <w:spacing w:line="240" w:lineRule="atLeast"/>
              <w:jc w:val="center"/>
              <w:rPr>
                <w:b/>
                <w:bCs/>
              </w:rPr>
            </w:pPr>
            <w:r>
              <w:rPr>
                <w:b/>
                <w:bCs/>
              </w:rPr>
              <w:t>表2-</w:t>
            </w:r>
            <w:r>
              <w:rPr>
                <w:rFonts w:hint="eastAsia"/>
                <w:b/>
                <w:bCs/>
                <w:lang w:val="en-US" w:eastAsia="zh-CN"/>
              </w:rPr>
              <w:t>11</w:t>
            </w:r>
            <w:r>
              <w:rPr>
                <w:b/>
                <w:bCs/>
              </w:rPr>
              <w:t xml:space="preserve">  主要生产设备一览表</w:t>
            </w:r>
          </w:p>
          <w:tbl>
            <w:tblPr>
              <w:tblStyle w:val="25"/>
              <w:tblW w:w="8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2900"/>
              <w:gridCol w:w="2002"/>
              <w:gridCol w:w="1313"/>
              <w:gridCol w:w="1213"/>
            </w:tblGrid>
            <w:tr w14:paraId="5648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5F0EC4C3">
                  <w:pPr>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2900" w:type="dxa"/>
                  <w:vAlign w:val="center"/>
                </w:tcPr>
                <w:p w14:paraId="79F3A982">
                  <w:pPr>
                    <w:jc w:val="center"/>
                    <w:rPr>
                      <w:rFonts w:hint="default" w:ascii="Times New Roman" w:hAnsi="Times New Roman" w:cs="Times New Roman"/>
                      <w:b/>
                      <w:bCs/>
                      <w:szCs w:val="21"/>
                    </w:rPr>
                  </w:pPr>
                  <w:r>
                    <w:rPr>
                      <w:rFonts w:hint="default" w:ascii="Times New Roman" w:hAnsi="Times New Roman" w:cs="Times New Roman"/>
                      <w:b/>
                      <w:bCs/>
                      <w:szCs w:val="21"/>
                    </w:rPr>
                    <w:t>名称</w:t>
                  </w:r>
                </w:p>
              </w:tc>
              <w:tc>
                <w:tcPr>
                  <w:tcW w:w="2002" w:type="dxa"/>
                  <w:vAlign w:val="center"/>
                </w:tcPr>
                <w:p w14:paraId="2E025DB2">
                  <w:pPr>
                    <w:jc w:val="center"/>
                    <w:rPr>
                      <w:rFonts w:hint="default" w:ascii="Times New Roman" w:hAnsi="Times New Roman" w:eastAsia="宋体" w:cs="Times New Roman"/>
                      <w:b/>
                      <w:bCs/>
                      <w:szCs w:val="21"/>
                      <w:lang w:val="en-US" w:eastAsia="zh-CN"/>
                    </w:rPr>
                  </w:pPr>
                  <w:r>
                    <w:rPr>
                      <w:rFonts w:hint="default" w:ascii="Times New Roman" w:hAnsi="Times New Roman" w:cs="Times New Roman"/>
                      <w:b/>
                      <w:bCs/>
                      <w:szCs w:val="21"/>
                      <w:lang w:val="en-US" w:eastAsia="zh-CN"/>
                    </w:rPr>
                    <w:t>规格</w:t>
                  </w:r>
                </w:p>
              </w:tc>
              <w:tc>
                <w:tcPr>
                  <w:tcW w:w="1313" w:type="dxa"/>
                  <w:vAlign w:val="center"/>
                </w:tcPr>
                <w:p w14:paraId="6FC67C81">
                  <w:pPr>
                    <w:jc w:val="center"/>
                    <w:rPr>
                      <w:rFonts w:hint="default" w:ascii="Times New Roman" w:hAnsi="Times New Roman" w:cs="Times New Roman"/>
                      <w:b/>
                      <w:bCs/>
                      <w:szCs w:val="21"/>
                    </w:rPr>
                  </w:pPr>
                  <w:r>
                    <w:rPr>
                      <w:rFonts w:hint="default" w:ascii="Times New Roman" w:hAnsi="Times New Roman" w:cs="Times New Roman"/>
                      <w:b/>
                      <w:bCs/>
                      <w:szCs w:val="21"/>
                    </w:rPr>
                    <w:t>单位</w:t>
                  </w:r>
                </w:p>
              </w:tc>
              <w:tc>
                <w:tcPr>
                  <w:tcW w:w="1213" w:type="dxa"/>
                  <w:vAlign w:val="center"/>
                </w:tcPr>
                <w:p w14:paraId="0C944DE4">
                  <w:pPr>
                    <w:jc w:val="center"/>
                    <w:rPr>
                      <w:rFonts w:hint="default" w:ascii="Times New Roman" w:hAnsi="Times New Roman" w:cs="Times New Roman"/>
                      <w:b/>
                      <w:bCs/>
                      <w:szCs w:val="21"/>
                    </w:rPr>
                  </w:pPr>
                  <w:r>
                    <w:rPr>
                      <w:rFonts w:hint="default" w:ascii="Times New Roman" w:hAnsi="Times New Roman" w:cs="Times New Roman"/>
                      <w:b/>
                      <w:bCs/>
                      <w:szCs w:val="21"/>
                    </w:rPr>
                    <w:t>数量</w:t>
                  </w:r>
                </w:p>
              </w:tc>
            </w:tr>
            <w:tr w14:paraId="76A2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358" w:type="dxa"/>
                  <w:gridSpan w:val="5"/>
                  <w:vAlign w:val="center"/>
                </w:tcPr>
                <w:p w14:paraId="1B958439">
                  <w:pPr>
                    <w:jc w:val="both"/>
                    <w:rPr>
                      <w:rFonts w:hint="default" w:ascii="Times New Roman" w:hAnsi="Times New Roman" w:eastAsia="宋体" w:cs="Times New Roman"/>
                      <w:b/>
                      <w:bCs/>
                      <w:szCs w:val="21"/>
                      <w:lang w:val="en-US" w:eastAsia="zh-CN"/>
                    </w:rPr>
                  </w:pPr>
                  <w:r>
                    <w:rPr>
                      <w:rFonts w:hint="default" w:ascii="Times New Roman" w:hAnsi="Times New Roman" w:cs="Times New Roman"/>
                      <w:b/>
                      <w:bCs/>
                      <w:szCs w:val="21"/>
                      <w:lang w:val="en-US" w:eastAsia="zh-CN"/>
                    </w:rPr>
                    <w:t>预处理设备</w:t>
                  </w:r>
                </w:p>
              </w:tc>
            </w:tr>
            <w:tr w14:paraId="7FF6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245ABE19">
                  <w:pPr>
                    <w:jc w:val="center"/>
                    <w:rPr>
                      <w:rFonts w:hint="default" w:ascii="Times New Roman" w:hAnsi="Times New Roman" w:cs="Times New Roman"/>
                      <w:szCs w:val="21"/>
                    </w:rPr>
                  </w:pPr>
                  <w:r>
                    <w:rPr>
                      <w:rFonts w:hint="default" w:ascii="Times New Roman" w:hAnsi="Times New Roman" w:cs="Times New Roman"/>
                      <w:szCs w:val="21"/>
                    </w:rPr>
                    <w:t>1</w:t>
                  </w:r>
                </w:p>
              </w:tc>
              <w:tc>
                <w:tcPr>
                  <w:tcW w:w="2900" w:type="dxa"/>
                  <w:vAlign w:val="center"/>
                </w:tcPr>
                <w:p w14:paraId="45813779">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default" w:ascii="Times New Roman" w:hAnsi="Times New Roman" w:cs="Times New Roman"/>
                      <w:i w:val="0"/>
                      <w:iCs w:val="0"/>
                      <w:color w:val="000000"/>
                      <w:kern w:val="0"/>
                      <w:sz w:val="21"/>
                      <w:szCs w:val="21"/>
                      <w:u w:val="none"/>
                      <w:lang w:val="en-US" w:eastAsia="zh-CN" w:bidi="ar"/>
                    </w:rPr>
                    <w:t>小车集成式油液抽排系统</w:t>
                  </w:r>
                </w:p>
              </w:tc>
              <w:tc>
                <w:tcPr>
                  <w:tcW w:w="2002" w:type="dxa"/>
                  <w:vAlign w:val="center"/>
                </w:tcPr>
                <w:p w14:paraId="3CF47E4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CCY-X-05</w:t>
                  </w:r>
                </w:p>
              </w:tc>
              <w:tc>
                <w:tcPr>
                  <w:tcW w:w="1313" w:type="dxa"/>
                  <w:vAlign w:val="center"/>
                </w:tcPr>
                <w:p w14:paraId="4810638F">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1213" w:type="dxa"/>
                  <w:vAlign w:val="center"/>
                </w:tcPr>
                <w:p w14:paraId="4777C82F">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1</w:t>
                  </w:r>
                </w:p>
              </w:tc>
            </w:tr>
            <w:tr w14:paraId="786A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0BEA67AA">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w:t>
                  </w:r>
                </w:p>
              </w:tc>
              <w:tc>
                <w:tcPr>
                  <w:tcW w:w="2900" w:type="dxa"/>
                  <w:vAlign w:val="center"/>
                </w:tcPr>
                <w:p w14:paraId="4536161E">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大</w:t>
                  </w:r>
                  <w:r>
                    <w:rPr>
                      <w:rFonts w:hint="default" w:ascii="Times New Roman" w:hAnsi="Times New Roman" w:cs="Times New Roman"/>
                      <w:sz w:val="21"/>
                      <w:szCs w:val="21"/>
                      <w:lang w:val="en-US" w:eastAsia="zh-CN"/>
                    </w:rPr>
                    <w:t>车油液集中处理机</w:t>
                  </w:r>
                </w:p>
              </w:tc>
              <w:tc>
                <w:tcPr>
                  <w:tcW w:w="2002" w:type="dxa"/>
                  <w:vAlign w:val="center"/>
                </w:tcPr>
                <w:p w14:paraId="34DACAB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CCY-D-05</w:t>
                  </w:r>
                </w:p>
              </w:tc>
              <w:tc>
                <w:tcPr>
                  <w:tcW w:w="1313" w:type="dxa"/>
                  <w:vAlign w:val="center"/>
                </w:tcPr>
                <w:p w14:paraId="500DBADB">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1213" w:type="dxa"/>
                  <w:vAlign w:val="center"/>
                </w:tcPr>
                <w:p w14:paraId="3BA2EC55">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4565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6A5BB96A">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3</w:t>
                  </w:r>
                </w:p>
              </w:tc>
              <w:tc>
                <w:tcPr>
                  <w:tcW w:w="2900" w:type="dxa"/>
                  <w:vAlign w:val="center"/>
                </w:tcPr>
                <w:p w14:paraId="321E44C3">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预处理工作台</w:t>
                  </w:r>
                </w:p>
              </w:tc>
              <w:tc>
                <w:tcPr>
                  <w:tcW w:w="2002" w:type="dxa"/>
                  <w:vAlign w:val="center"/>
                </w:tcPr>
                <w:p w14:paraId="328245C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CYT-D-25</w:t>
                  </w:r>
                </w:p>
              </w:tc>
              <w:tc>
                <w:tcPr>
                  <w:tcW w:w="1313" w:type="dxa"/>
                  <w:vAlign w:val="center"/>
                </w:tcPr>
                <w:p w14:paraId="3D6858D8">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cs="Times New Roman"/>
                      <w:i w:val="0"/>
                      <w:iCs w:val="0"/>
                      <w:color w:val="000000"/>
                      <w:kern w:val="0"/>
                      <w:sz w:val="21"/>
                      <w:szCs w:val="21"/>
                      <w:u w:val="none"/>
                      <w:lang w:val="en-US" w:eastAsia="zh-CN" w:bidi="ar"/>
                    </w:rPr>
                    <w:t>台</w:t>
                  </w:r>
                </w:p>
              </w:tc>
              <w:tc>
                <w:tcPr>
                  <w:tcW w:w="1213" w:type="dxa"/>
                  <w:vAlign w:val="center"/>
                </w:tcPr>
                <w:p w14:paraId="185A3793">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3F36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0F202939">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4</w:t>
                  </w:r>
                </w:p>
              </w:tc>
              <w:tc>
                <w:tcPr>
                  <w:tcW w:w="2900" w:type="dxa"/>
                  <w:vAlign w:val="center"/>
                </w:tcPr>
                <w:p w14:paraId="36D71B3B">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冷媒回收机</w:t>
                  </w:r>
                </w:p>
              </w:tc>
              <w:tc>
                <w:tcPr>
                  <w:tcW w:w="2002" w:type="dxa"/>
                  <w:vAlign w:val="center"/>
                </w:tcPr>
                <w:p w14:paraId="2D31565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CM0605</w:t>
                  </w:r>
                </w:p>
              </w:tc>
              <w:tc>
                <w:tcPr>
                  <w:tcW w:w="1313" w:type="dxa"/>
                  <w:vAlign w:val="center"/>
                </w:tcPr>
                <w:p w14:paraId="14388178">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cs="Times New Roman"/>
                      <w:i w:val="0"/>
                      <w:iCs w:val="0"/>
                      <w:color w:val="000000"/>
                      <w:kern w:val="0"/>
                      <w:sz w:val="21"/>
                      <w:szCs w:val="21"/>
                      <w:u w:val="none"/>
                      <w:lang w:val="en-US" w:eastAsia="zh-CN" w:bidi="ar"/>
                    </w:rPr>
                    <w:t>台</w:t>
                  </w:r>
                </w:p>
              </w:tc>
              <w:tc>
                <w:tcPr>
                  <w:tcW w:w="1213" w:type="dxa"/>
                  <w:vAlign w:val="center"/>
                </w:tcPr>
                <w:p w14:paraId="2817DD4D">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5B38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16F68574">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5</w:t>
                  </w:r>
                </w:p>
              </w:tc>
              <w:tc>
                <w:tcPr>
                  <w:tcW w:w="2900" w:type="dxa"/>
                  <w:vAlign w:val="center"/>
                </w:tcPr>
                <w:p w14:paraId="497BCACC">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移动式四柱举升机</w:t>
                  </w:r>
                </w:p>
              </w:tc>
              <w:tc>
                <w:tcPr>
                  <w:tcW w:w="2002" w:type="dxa"/>
                  <w:vAlign w:val="center"/>
                </w:tcPr>
                <w:p w14:paraId="60DDA3A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UBK30-4HJ</w:t>
                  </w:r>
                </w:p>
              </w:tc>
              <w:tc>
                <w:tcPr>
                  <w:tcW w:w="1313" w:type="dxa"/>
                  <w:vAlign w:val="center"/>
                </w:tcPr>
                <w:p w14:paraId="2E1C4551">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套</w:t>
                  </w:r>
                </w:p>
              </w:tc>
              <w:tc>
                <w:tcPr>
                  <w:tcW w:w="1213" w:type="dxa"/>
                  <w:vAlign w:val="center"/>
                </w:tcPr>
                <w:p w14:paraId="4B7221FE">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35D5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358" w:type="dxa"/>
                  <w:gridSpan w:val="5"/>
                  <w:vAlign w:val="center"/>
                </w:tcPr>
                <w:p w14:paraId="1E49E077">
                  <w:pPr>
                    <w:jc w:val="both"/>
                    <w:rPr>
                      <w:rFonts w:hint="default" w:ascii="Times New Roman" w:hAnsi="Times New Roman" w:cs="Times New Roman"/>
                      <w:szCs w:val="21"/>
                      <w:lang w:val="en-US" w:eastAsia="zh-CN"/>
                    </w:rPr>
                  </w:pPr>
                  <w:r>
                    <w:rPr>
                      <w:rFonts w:hint="default" w:ascii="Times New Roman" w:hAnsi="Times New Roman" w:cs="Times New Roman"/>
                      <w:b/>
                      <w:bCs/>
                      <w:szCs w:val="21"/>
                      <w:lang w:val="en-US" w:eastAsia="zh-CN"/>
                    </w:rPr>
                    <w:t>拆解设备</w:t>
                  </w:r>
                </w:p>
              </w:tc>
            </w:tr>
            <w:tr w14:paraId="79DA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0" w:type="dxa"/>
                  <w:vAlign w:val="center"/>
                </w:tcPr>
                <w:p w14:paraId="2BF23C93">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6</w:t>
                  </w:r>
                </w:p>
              </w:tc>
              <w:tc>
                <w:tcPr>
                  <w:tcW w:w="2900" w:type="dxa"/>
                  <w:vAlign w:val="center"/>
                </w:tcPr>
                <w:p w14:paraId="64A234E4">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default" w:ascii="Times New Roman" w:hAnsi="Times New Roman" w:cs="Times New Roman"/>
                      <w:i w:val="0"/>
                      <w:iCs w:val="0"/>
                      <w:color w:val="000000"/>
                      <w:kern w:val="0"/>
                      <w:sz w:val="21"/>
                      <w:szCs w:val="21"/>
                      <w:u w:val="none"/>
                      <w:lang w:val="en-US" w:eastAsia="zh-CN" w:bidi="ar"/>
                    </w:rPr>
                    <w:t>地轨输送线及无动力轨道小车</w:t>
                  </w:r>
                </w:p>
              </w:tc>
              <w:tc>
                <w:tcPr>
                  <w:tcW w:w="2002" w:type="dxa"/>
                  <w:vAlign w:val="center"/>
                </w:tcPr>
                <w:p w14:paraId="2F32BE1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地轨式，6工位36米、小车6辆</w:t>
                  </w:r>
                </w:p>
              </w:tc>
              <w:tc>
                <w:tcPr>
                  <w:tcW w:w="1313" w:type="dxa"/>
                  <w:vAlign w:val="center"/>
                </w:tcPr>
                <w:p w14:paraId="6106684E">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cs="Times New Roman"/>
                      <w:i w:val="0"/>
                      <w:iCs w:val="0"/>
                      <w:color w:val="000000"/>
                      <w:kern w:val="0"/>
                      <w:sz w:val="21"/>
                      <w:szCs w:val="21"/>
                      <w:u w:val="none"/>
                      <w:lang w:val="en-US" w:eastAsia="zh-CN" w:bidi="ar"/>
                    </w:rPr>
                    <w:t>套</w:t>
                  </w:r>
                </w:p>
              </w:tc>
              <w:tc>
                <w:tcPr>
                  <w:tcW w:w="1213" w:type="dxa"/>
                  <w:vAlign w:val="center"/>
                </w:tcPr>
                <w:p w14:paraId="77EB4668">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016E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2324A1E5">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7</w:t>
                  </w:r>
                </w:p>
              </w:tc>
              <w:tc>
                <w:tcPr>
                  <w:tcW w:w="2900" w:type="dxa"/>
                  <w:vAlign w:val="center"/>
                </w:tcPr>
                <w:p w14:paraId="0D2F980A">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eastAsia" w:ascii="Times New Roman" w:hAnsi="Times New Roman" w:cs="Times New Roman"/>
                      <w:i w:val="0"/>
                      <w:iCs w:val="0"/>
                      <w:color w:val="000000"/>
                      <w:kern w:val="0"/>
                      <w:sz w:val="21"/>
                      <w:szCs w:val="21"/>
                      <w:u w:val="none"/>
                      <w:lang w:val="en-US" w:eastAsia="zh-CN" w:bidi="ar"/>
                    </w:rPr>
                    <w:t>固定式多功能拆解机械手</w:t>
                  </w:r>
                </w:p>
              </w:tc>
              <w:tc>
                <w:tcPr>
                  <w:tcW w:w="2002" w:type="dxa"/>
                  <w:vAlign w:val="center"/>
                </w:tcPr>
                <w:p w14:paraId="2207124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CJB-DG-25</w:t>
                  </w:r>
                </w:p>
              </w:tc>
              <w:tc>
                <w:tcPr>
                  <w:tcW w:w="1313" w:type="dxa"/>
                  <w:vAlign w:val="center"/>
                </w:tcPr>
                <w:p w14:paraId="126C1590">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1213" w:type="dxa"/>
                  <w:vAlign w:val="center"/>
                </w:tcPr>
                <w:p w14:paraId="5848C27C">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1B20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6450483D">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8</w:t>
                  </w:r>
                </w:p>
              </w:tc>
              <w:tc>
                <w:tcPr>
                  <w:tcW w:w="2900" w:type="dxa"/>
                  <w:vAlign w:val="center"/>
                </w:tcPr>
                <w:p w14:paraId="46467D19">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钢构及工具挂架</w:t>
                  </w:r>
                </w:p>
              </w:tc>
              <w:tc>
                <w:tcPr>
                  <w:tcW w:w="2002" w:type="dxa"/>
                  <w:vAlign w:val="center"/>
                </w:tcPr>
                <w:p w14:paraId="01EC4D1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1313" w:type="dxa"/>
                  <w:vAlign w:val="center"/>
                </w:tcPr>
                <w:p w14:paraId="75694CAC">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台</w:t>
                  </w:r>
                </w:p>
              </w:tc>
              <w:tc>
                <w:tcPr>
                  <w:tcW w:w="1213" w:type="dxa"/>
                  <w:vAlign w:val="center"/>
                </w:tcPr>
                <w:p w14:paraId="1E08D6E4">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62FC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5973A759">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9</w:t>
                  </w:r>
                </w:p>
              </w:tc>
              <w:tc>
                <w:tcPr>
                  <w:tcW w:w="2900" w:type="dxa"/>
                  <w:vAlign w:val="center"/>
                </w:tcPr>
                <w:p w14:paraId="4A10F683">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汽车举升翻转机</w:t>
                  </w:r>
                </w:p>
              </w:tc>
              <w:tc>
                <w:tcPr>
                  <w:tcW w:w="2002" w:type="dxa"/>
                  <w:vAlign w:val="center"/>
                </w:tcPr>
                <w:p w14:paraId="7A20889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CJF-25</w:t>
                  </w:r>
                </w:p>
              </w:tc>
              <w:tc>
                <w:tcPr>
                  <w:tcW w:w="1313" w:type="dxa"/>
                  <w:vAlign w:val="center"/>
                </w:tcPr>
                <w:p w14:paraId="0E543302">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eastAsia" w:ascii="Times New Roman" w:hAnsi="Times New Roman" w:cs="Times New Roman"/>
                      <w:i w:val="0"/>
                      <w:iCs w:val="0"/>
                      <w:color w:val="000000"/>
                      <w:kern w:val="0"/>
                      <w:sz w:val="21"/>
                      <w:szCs w:val="21"/>
                      <w:u w:val="none"/>
                      <w:lang w:val="en-US" w:eastAsia="zh-CN" w:bidi="ar"/>
                    </w:rPr>
                    <w:t>台</w:t>
                  </w:r>
                </w:p>
              </w:tc>
              <w:tc>
                <w:tcPr>
                  <w:tcW w:w="1213" w:type="dxa"/>
                  <w:vAlign w:val="center"/>
                </w:tcPr>
                <w:p w14:paraId="6AF4EA48">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7153B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74AF3CF5">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10</w:t>
                  </w:r>
                </w:p>
              </w:tc>
              <w:tc>
                <w:tcPr>
                  <w:tcW w:w="2900" w:type="dxa"/>
                  <w:vAlign w:val="center"/>
                </w:tcPr>
                <w:p w14:paraId="05CFE586">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定柱式悬臂起重机</w:t>
                  </w:r>
                </w:p>
              </w:tc>
              <w:tc>
                <w:tcPr>
                  <w:tcW w:w="2002" w:type="dxa"/>
                  <w:vAlign w:val="center"/>
                </w:tcPr>
                <w:p w14:paraId="5BA9220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0.5t</w:t>
                  </w:r>
                </w:p>
              </w:tc>
              <w:tc>
                <w:tcPr>
                  <w:tcW w:w="1313" w:type="dxa"/>
                  <w:vAlign w:val="center"/>
                </w:tcPr>
                <w:p w14:paraId="79A6CB7D">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1213" w:type="dxa"/>
                  <w:vAlign w:val="center"/>
                </w:tcPr>
                <w:p w14:paraId="3B89E59D">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35BE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789D7E33">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11</w:t>
                  </w:r>
                </w:p>
              </w:tc>
              <w:tc>
                <w:tcPr>
                  <w:tcW w:w="2900" w:type="dxa"/>
                  <w:vAlign w:val="center"/>
                </w:tcPr>
                <w:p w14:paraId="160BD0FA">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液压剪</w:t>
                  </w:r>
                </w:p>
              </w:tc>
              <w:tc>
                <w:tcPr>
                  <w:tcW w:w="2002" w:type="dxa"/>
                  <w:vAlign w:val="center"/>
                </w:tcPr>
                <w:p w14:paraId="64AE285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CYJQ28/200</w:t>
                  </w:r>
                </w:p>
              </w:tc>
              <w:tc>
                <w:tcPr>
                  <w:tcW w:w="1313" w:type="dxa"/>
                  <w:vAlign w:val="center"/>
                </w:tcPr>
                <w:p w14:paraId="3A68EC70">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1213" w:type="dxa"/>
                  <w:vAlign w:val="center"/>
                </w:tcPr>
                <w:p w14:paraId="74BD2DFB">
                  <w:pPr>
                    <w:jc w:val="center"/>
                    <w:rPr>
                      <w:rFonts w:hint="default" w:ascii="Times New Roman" w:hAnsi="Times New Roman" w:cs="Times New Roman"/>
                      <w:szCs w:val="21"/>
                    </w:rPr>
                  </w:pPr>
                  <w:r>
                    <w:rPr>
                      <w:rFonts w:hint="eastAsia" w:ascii="Times New Roman" w:hAnsi="Times New Roman" w:cs="Times New Roman"/>
                      <w:szCs w:val="21"/>
                      <w:lang w:val="en-US" w:eastAsia="zh-CN"/>
                    </w:rPr>
                    <w:t>1</w:t>
                  </w:r>
                </w:p>
              </w:tc>
            </w:tr>
            <w:tr w14:paraId="1CC5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0012B888">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12</w:t>
                  </w:r>
                </w:p>
              </w:tc>
              <w:tc>
                <w:tcPr>
                  <w:tcW w:w="2900" w:type="dxa"/>
                  <w:vAlign w:val="center"/>
                </w:tcPr>
                <w:p w14:paraId="126E1CC1">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升降小车</w:t>
                  </w:r>
                </w:p>
              </w:tc>
              <w:tc>
                <w:tcPr>
                  <w:tcW w:w="2002" w:type="dxa"/>
                  <w:vAlign w:val="center"/>
                </w:tcPr>
                <w:p w14:paraId="4579A88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SPN1516</w:t>
                  </w:r>
                </w:p>
              </w:tc>
              <w:tc>
                <w:tcPr>
                  <w:tcW w:w="1313" w:type="dxa"/>
                  <w:vAlign w:val="center"/>
                </w:tcPr>
                <w:p w14:paraId="5C603803">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eastAsia" w:ascii="Times New Roman" w:hAnsi="Times New Roman" w:cs="Times New Roman"/>
                      <w:i w:val="0"/>
                      <w:iCs w:val="0"/>
                      <w:color w:val="000000"/>
                      <w:kern w:val="0"/>
                      <w:sz w:val="21"/>
                      <w:szCs w:val="21"/>
                      <w:u w:val="none"/>
                      <w:lang w:val="en-US" w:eastAsia="zh-CN" w:bidi="ar"/>
                    </w:rPr>
                    <w:t>台</w:t>
                  </w:r>
                </w:p>
              </w:tc>
              <w:tc>
                <w:tcPr>
                  <w:tcW w:w="1213" w:type="dxa"/>
                  <w:vAlign w:val="center"/>
                </w:tcPr>
                <w:p w14:paraId="4C75311C">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09DF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0DE33E71">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13</w:t>
                  </w:r>
                </w:p>
              </w:tc>
              <w:tc>
                <w:tcPr>
                  <w:tcW w:w="2900" w:type="dxa"/>
                  <w:vAlign w:val="center"/>
                </w:tcPr>
                <w:p w14:paraId="241E1F29">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等离子切割机</w:t>
                  </w:r>
                </w:p>
              </w:tc>
              <w:tc>
                <w:tcPr>
                  <w:tcW w:w="2002" w:type="dxa"/>
                  <w:vAlign w:val="center"/>
                </w:tcPr>
                <w:p w14:paraId="31A84D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LGK-120</w:t>
                  </w:r>
                </w:p>
              </w:tc>
              <w:tc>
                <w:tcPr>
                  <w:tcW w:w="1313" w:type="dxa"/>
                  <w:vAlign w:val="center"/>
                </w:tcPr>
                <w:p w14:paraId="48C58E4A">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eastAsia" w:ascii="Times New Roman" w:hAnsi="Times New Roman" w:cs="Times New Roman"/>
                      <w:i w:val="0"/>
                      <w:iCs w:val="0"/>
                      <w:color w:val="000000"/>
                      <w:kern w:val="0"/>
                      <w:sz w:val="21"/>
                      <w:szCs w:val="21"/>
                      <w:u w:val="none"/>
                      <w:lang w:val="en-US" w:eastAsia="zh-CN" w:bidi="ar"/>
                    </w:rPr>
                    <w:t>台</w:t>
                  </w:r>
                </w:p>
              </w:tc>
              <w:tc>
                <w:tcPr>
                  <w:tcW w:w="1213" w:type="dxa"/>
                  <w:vAlign w:val="center"/>
                </w:tcPr>
                <w:p w14:paraId="0B78339D">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7CB5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2BF0D6D4">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14</w:t>
                  </w:r>
                </w:p>
              </w:tc>
              <w:tc>
                <w:tcPr>
                  <w:tcW w:w="2900" w:type="dxa"/>
                  <w:vAlign w:val="center"/>
                </w:tcPr>
                <w:p w14:paraId="488A9796">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eastAsia" w:ascii="Times New Roman" w:hAnsi="Times New Roman" w:cs="Times New Roman"/>
                      <w:i w:val="0"/>
                      <w:iCs w:val="0"/>
                      <w:color w:val="000000"/>
                      <w:kern w:val="0"/>
                      <w:sz w:val="21"/>
                      <w:szCs w:val="21"/>
                      <w:u w:val="none"/>
                      <w:lang w:val="en-US" w:eastAsia="zh-CN" w:bidi="ar"/>
                    </w:rPr>
                    <w:t>风炮</w:t>
                  </w:r>
                </w:p>
              </w:tc>
              <w:tc>
                <w:tcPr>
                  <w:tcW w:w="2002" w:type="dxa"/>
                  <w:vAlign w:val="center"/>
                </w:tcPr>
                <w:p w14:paraId="76F5AAF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w:t>
                  </w:r>
                  <w:r>
                    <w:rPr>
                      <w:rFonts w:hint="default" w:ascii="Times New Roman" w:hAnsi="Times New Roman" w:cs="Times New Roman"/>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强力型</w:t>
                  </w:r>
                </w:p>
              </w:tc>
              <w:tc>
                <w:tcPr>
                  <w:tcW w:w="1313" w:type="dxa"/>
                  <w:vAlign w:val="center"/>
                </w:tcPr>
                <w:p w14:paraId="405EBDFD">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1213" w:type="dxa"/>
                  <w:vAlign w:val="center"/>
                </w:tcPr>
                <w:p w14:paraId="6804AF05">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7504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358" w:type="dxa"/>
                  <w:gridSpan w:val="5"/>
                  <w:vAlign w:val="center"/>
                </w:tcPr>
                <w:p w14:paraId="1EFB925A">
                  <w:pPr>
                    <w:jc w:val="both"/>
                    <w:rPr>
                      <w:rFonts w:hint="default" w:ascii="Times New Roman" w:hAnsi="Times New Roman" w:cs="Times New Roman"/>
                      <w:b/>
                      <w:bCs/>
                      <w:szCs w:val="21"/>
                      <w:lang w:val="en-US" w:eastAsia="zh-CN"/>
                    </w:rPr>
                  </w:pPr>
                  <w:r>
                    <w:rPr>
                      <w:rFonts w:hint="eastAsia" w:ascii="Times New Roman" w:hAnsi="Times New Roman" w:cs="Times New Roman"/>
                      <w:b/>
                      <w:bCs/>
                      <w:szCs w:val="21"/>
                      <w:lang w:val="en-US" w:eastAsia="zh-CN"/>
                    </w:rPr>
                    <w:t>回用件处理设备</w:t>
                  </w:r>
                </w:p>
              </w:tc>
            </w:tr>
            <w:tr w14:paraId="755D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5B8E178F">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15</w:t>
                  </w:r>
                </w:p>
              </w:tc>
              <w:tc>
                <w:tcPr>
                  <w:tcW w:w="2900" w:type="dxa"/>
                  <w:vAlign w:val="center"/>
                </w:tcPr>
                <w:p w14:paraId="624741E0">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发动机拆解平台</w:t>
                  </w:r>
                </w:p>
              </w:tc>
              <w:tc>
                <w:tcPr>
                  <w:tcW w:w="2002" w:type="dxa"/>
                  <w:vAlign w:val="center"/>
                </w:tcPr>
                <w:p w14:paraId="1369E28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CFT-15</w:t>
                  </w:r>
                </w:p>
              </w:tc>
              <w:tc>
                <w:tcPr>
                  <w:tcW w:w="1313" w:type="dxa"/>
                  <w:vAlign w:val="center"/>
                </w:tcPr>
                <w:p w14:paraId="4D7EE266">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1213" w:type="dxa"/>
                  <w:vAlign w:val="center"/>
                </w:tcPr>
                <w:p w14:paraId="34141ED4">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44C89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4E2E3A48">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16</w:t>
                  </w:r>
                </w:p>
              </w:tc>
              <w:tc>
                <w:tcPr>
                  <w:tcW w:w="2900" w:type="dxa"/>
                  <w:vAlign w:val="center"/>
                </w:tcPr>
                <w:p w14:paraId="38229F77">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eastAsia" w:cs="Times New Roman"/>
                      <w:i w:val="0"/>
                      <w:iCs w:val="0"/>
                      <w:color w:val="000000"/>
                      <w:kern w:val="0"/>
                      <w:sz w:val="21"/>
                      <w:szCs w:val="21"/>
                      <w:u w:val="none"/>
                      <w:lang w:val="en-US" w:eastAsia="zh-CN" w:bidi="ar"/>
                    </w:rPr>
                    <w:t>大</w:t>
                  </w:r>
                  <w:r>
                    <w:rPr>
                      <w:rFonts w:hint="eastAsia" w:ascii="Times New Roman" w:hAnsi="Times New Roman" w:cs="Times New Roman"/>
                      <w:i w:val="0"/>
                      <w:iCs w:val="0"/>
                      <w:color w:val="000000"/>
                      <w:kern w:val="0"/>
                      <w:sz w:val="21"/>
                      <w:szCs w:val="21"/>
                      <w:u w:val="none"/>
                      <w:lang w:val="en-US" w:eastAsia="zh-CN" w:bidi="ar"/>
                    </w:rPr>
                    <w:t>车后桥拆解支架</w:t>
                  </w:r>
                </w:p>
              </w:tc>
              <w:tc>
                <w:tcPr>
                  <w:tcW w:w="2002" w:type="dxa"/>
                  <w:vAlign w:val="center"/>
                </w:tcPr>
                <w:p w14:paraId="7F94B65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CHJ-45</w:t>
                  </w:r>
                </w:p>
              </w:tc>
              <w:tc>
                <w:tcPr>
                  <w:tcW w:w="1313" w:type="dxa"/>
                  <w:vAlign w:val="center"/>
                </w:tcPr>
                <w:p w14:paraId="034E84AF">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eastAsia" w:ascii="Times New Roman" w:hAnsi="Times New Roman" w:cs="Times New Roman"/>
                      <w:i w:val="0"/>
                      <w:iCs w:val="0"/>
                      <w:color w:val="000000"/>
                      <w:kern w:val="0"/>
                      <w:sz w:val="21"/>
                      <w:szCs w:val="21"/>
                      <w:u w:val="none"/>
                      <w:lang w:val="en-US" w:eastAsia="zh-CN" w:bidi="ar"/>
                    </w:rPr>
                    <w:t>台</w:t>
                  </w:r>
                </w:p>
              </w:tc>
              <w:tc>
                <w:tcPr>
                  <w:tcW w:w="1213" w:type="dxa"/>
                  <w:vAlign w:val="center"/>
                </w:tcPr>
                <w:p w14:paraId="4C8D9E3F">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5D3F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440E6709">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17</w:t>
                  </w:r>
                </w:p>
              </w:tc>
              <w:tc>
                <w:tcPr>
                  <w:tcW w:w="2900" w:type="dxa"/>
                  <w:vAlign w:val="center"/>
                </w:tcPr>
                <w:p w14:paraId="2255E826">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车门专用物料箱</w:t>
                  </w:r>
                </w:p>
              </w:tc>
              <w:tc>
                <w:tcPr>
                  <w:tcW w:w="2002" w:type="dxa"/>
                  <w:vAlign w:val="center"/>
                </w:tcPr>
                <w:p w14:paraId="6F29490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CMX</w:t>
                  </w:r>
                </w:p>
              </w:tc>
              <w:tc>
                <w:tcPr>
                  <w:tcW w:w="1313" w:type="dxa"/>
                  <w:vAlign w:val="center"/>
                </w:tcPr>
                <w:p w14:paraId="269E41D2">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个</w:t>
                  </w:r>
                </w:p>
              </w:tc>
              <w:tc>
                <w:tcPr>
                  <w:tcW w:w="1213" w:type="dxa"/>
                  <w:vAlign w:val="center"/>
                </w:tcPr>
                <w:p w14:paraId="0FD3A41C">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r>
            <w:tr w14:paraId="2E25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1C7929EE">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18</w:t>
                  </w:r>
                </w:p>
              </w:tc>
              <w:tc>
                <w:tcPr>
                  <w:tcW w:w="2900" w:type="dxa"/>
                  <w:vAlign w:val="center"/>
                </w:tcPr>
                <w:p w14:paraId="7395D792">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发动机转运托盘</w:t>
                  </w:r>
                </w:p>
              </w:tc>
              <w:tc>
                <w:tcPr>
                  <w:tcW w:w="2002" w:type="dxa"/>
                  <w:vAlign w:val="center"/>
                </w:tcPr>
                <w:p w14:paraId="2C791AA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CFP</w:t>
                  </w:r>
                </w:p>
              </w:tc>
              <w:tc>
                <w:tcPr>
                  <w:tcW w:w="1313" w:type="dxa"/>
                  <w:vAlign w:val="center"/>
                </w:tcPr>
                <w:p w14:paraId="77A6EABB">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套</w:t>
                  </w:r>
                </w:p>
              </w:tc>
              <w:tc>
                <w:tcPr>
                  <w:tcW w:w="1213" w:type="dxa"/>
                  <w:vAlign w:val="center"/>
                </w:tcPr>
                <w:p w14:paraId="08F2F486">
                  <w:pPr>
                    <w:jc w:val="center"/>
                    <w:rPr>
                      <w:rFonts w:hint="default" w:ascii="Times New Roman" w:hAnsi="Times New Roman" w:cs="Times New Roman"/>
                      <w:szCs w:val="21"/>
                    </w:rPr>
                  </w:pPr>
                  <w:r>
                    <w:rPr>
                      <w:rFonts w:hint="eastAsia" w:ascii="Times New Roman" w:hAnsi="Times New Roman" w:cs="Times New Roman"/>
                      <w:szCs w:val="21"/>
                      <w:lang w:val="en-US" w:eastAsia="zh-CN"/>
                    </w:rPr>
                    <w:t>2</w:t>
                  </w:r>
                </w:p>
              </w:tc>
            </w:tr>
            <w:tr w14:paraId="2C38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79DE9591">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19</w:t>
                  </w:r>
                </w:p>
              </w:tc>
              <w:tc>
                <w:tcPr>
                  <w:tcW w:w="2900" w:type="dxa"/>
                  <w:vAlign w:val="center"/>
                </w:tcPr>
                <w:p w14:paraId="1990A65E">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电瓶存放箱</w:t>
                  </w:r>
                </w:p>
              </w:tc>
              <w:tc>
                <w:tcPr>
                  <w:tcW w:w="2002" w:type="dxa"/>
                  <w:vAlign w:val="center"/>
                </w:tcPr>
                <w:p w14:paraId="5B46117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CWX</w:t>
                  </w:r>
                </w:p>
              </w:tc>
              <w:tc>
                <w:tcPr>
                  <w:tcW w:w="1313" w:type="dxa"/>
                  <w:vAlign w:val="center"/>
                </w:tcPr>
                <w:p w14:paraId="7AD69823">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个</w:t>
                  </w:r>
                </w:p>
              </w:tc>
              <w:tc>
                <w:tcPr>
                  <w:tcW w:w="1213" w:type="dxa"/>
                  <w:vAlign w:val="center"/>
                </w:tcPr>
                <w:p w14:paraId="447FA72F">
                  <w:pPr>
                    <w:jc w:val="center"/>
                    <w:rPr>
                      <w:rFonts w:hint="default" w:ascii="Times New Roman" w:hAnsi="Times New Roman" w:cs="Times New Roman"/>
                      <w:szCs w:val="21"/>
                      <w:lang w:val="en-US"/>
                    </w:rPr>
                  </w:pPr>
                  <w:r>
                    <w:rPr>
                      <w:rFonts w:hint="eastAsia" w:ascii="Times New Roman" w:hAnsi="Times New Roman" w:cs="Times New Roman"/>
                      <w:szCs w:val="21"/>
                      <w:lang w:val="en-US" w:eastAsia="zh-CN"/>
                    </w:rPr>
                    <w:t>16</w:t>
                  </w:r>
                </w:p>
              </w:tc>
            </w:tr>
            <w:tr w14:paraId="6F1E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358" w:type="dxa"/>
                  <w:gridSpan w:val="5"/>
                  <w:vAlign w:val="center"/>
                </w:tcPr>
                <w:p w14:paraId="39A8E8BF">
                  <w:pPr>
                    <w:jc w:val="both"/>
                    <w:rPr>
                      <w:rFonts w:hint="default" w:ascii="Times New Roman" w:hAnsi="Times New Roman" w:cs="Times New Roman"/>
                      <w:b/>
                      <w:bCs/>
                      <w:szCs w:val="21"/>
                      <w:lang w:val="en-US" w:eastAsia="zh-CN"/>
                    </w:rPr>
                  </w:pPr>
                  <w:r>
                    <w:rPr>
                      <w:rFonts w:hint="eastAsia" w:ascii="Times New Roman" w:hAnsi="Times New Roman" w:cs="Times New Roman"/>
                      <w:b/>
                      <w:bCs/>
                      <w:szCs w:val="21"/>
                      <w:lang w:val="en-US" w:eastAsia="zh-CN"/>
                    </w:rPr>
                    <w:t>新能源汽车处理设备</w:t>
                  </w:r>
                </w:p>
              </w:tc>
            </w:tr>
            <w:tr w14:paraId="7A33E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080D6A81">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20</w:t>
                  </w:r>
                </w:p>
              </w:tc>
              <w:tc>
                <w:tcPr>
                  <w:tcW w:w="2900" w:type="dxa"/>
                  <w:vAlign w:val="center"/>
                </w:tcPr>
                <w:p w14:paraId="246CDBE2">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绝缘检测设备</w:t>
                  </w:r>
                </w:p>
              </w:tc>
              <w:tc>
                <w:tcPr>
                  <w:tcW w:w="2002" w:type="dxa"/>
                  <w:vAlign w:val="center"/>
                </w:tcPr>
                <w:p w14:paraId="66F6855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1313" w:type="dxa"/>
                  <w:vAlign w:val="center"/>
                </w:tcPr>
                <w:p w14:paraId="68306028">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台</w:t>
                  </w:r>
                </w:p>
              </w:tc>
              <w:tc>
                <w:tcPr>
                  <w:tcW w:w="1213" w:type="dxa"/>
                  <w:vAlign w:val="center"/>
                </w:tcPr>
                <w:p w14:paraId="45ABD9AA">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3146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6226D755">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21</w:t>
                  </w:r>
                </w:p>
              </w:tc>
              <w:tc>
                <w:tcPr>
                  <w:tcW w:w="2900" w:type="dxa"/>
                  <w:vAlign w:val="center"/>
                </w:tcPr>
                <w:p w14:paraId="67FD45EC">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动力蓄电池断电设备</w:t>
                  </w:r>
                </w:p>
              </w:tc>
              <w:tc>
                <w:tcPr>
                  <w:tcW w:w="2002" w:type="dxa"/>
                  <w:vAlign w:val="center"/>
                </w:tcPr>
                <w:p w14:paraId="25F8F25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1313" w:type="dxa"/>
                  <w:vAlign w:val="center"/>
                </w:tcPr>
                <w:p w14:paraId="6EEC03E3">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1213" w:type="dxa"/>
                  <w:vAlign w:val="center"/>
                </w:tcPr>
                <w:p w14:paraId="288A9654">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6BF0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2EDBDEAA">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22</w:t>
                  </w:r>
                </w:p>
              </w:tc>
              <w:tc>
                <w:tcPr>
                  <w:tcW w:w="2900" w:type="dxa"/>
                  <w:vAlign w:val="center"/>
                </w:tcPr>
                <w:p w14:paraId="5AF3D2B3">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吊具、夹臂、机械手</w:t>
                  </w:r>
                </w:p>
              </w:tc>
              <w:tc>
                <w:tcPr>
                  <w:tcW w:w="2002" w:type="dxa"/>
                  <w:vAlign w:val="center"/>
                </w:tcPr>
                <w:p w14:paraId="68DC7B9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1313" w:type="dxa"/>
                  <w:vAlign w:val="center"/>
                </w:tcPr>
                <w:p w14:paraId="0F201400">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1213" w:type="dxa"/>
                  <w:vAlign w:val="center"/>
                </w:tcPr>
                <w:p w14:paraId="770D793B">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6829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0" w:type="dxa"/>
                  <w:vAlign w:val="center"/>
                </w:tcPr>
                <w:p w14:paraId="04ECFFCC">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23</w:t>
                  </w:r>
                </w:p>
              </w:tc>
              <w:tc>
                <w:tcPr>
                  <w:tcW w:w="2900" w:type="dxa"/>
                  <w:vAlign w:val="center"/>
                </w:tcPr>
                <w:p w14:paraId="4F361152">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防静电废液、空调制冷剂抽排设备</w:t>
                  </w:r>
                </w:p>
              </w:tc>
              <w:tc>
                <w:tcPr>
                  <w:tcW w:w="2002" w:type="dxa"/>
                  <w:vAlign w:val="center"/>
                </w:tcPr>
                <w:p w14:paraId="3FCC194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1313" w:type="dxa"/>
                  <w:vAlign w:val="center"/>
                </w:tcPr>
                <w:p w14:paraId="6493C540">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1213" w:type="dxa"/>
                  <w:vAlign w:val="center"/>
                </w:tcPr>
                <w:p w14:paraId="001A6F35">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185EA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791D4C4C">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24</w:t>
                  </w:r>
                </w:p>
              </w:tc>
              <w:tc>
                <w:tcPr>
                  <w:tcW w:w="2900" w:type="dxa"/>
                  <w:vAlign w:val="center"/>
                </w:tcPr>
                <w:p w14:paraId="07A34B3D">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绝缘气动工具</w:t>
                  </w:r>
                </w:p>
              </w:tc>
              <w:tc>
                <w:tcPr>
                  <w:tcW w:w="2002" w:type="dxa"/>
                  <w:vAlign w:val="center"/>
                </w:tcPr>
                <w:p w14:paraId="45928FB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1313" w:type="dxa"/>
                  <w:vAlign w:val="center"/>
                </w:tcPr>
                <w:p w14:paraId="5D502F2E">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1213" w:type="dxa"/>
                  <w:vAlign w:val="center"/>
                </w:tcPr>
                <w:p w14:paraId="74D0B929">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5813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0B53FF53">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25</w:t>
                  </w:r>
                </w:p>
              </w:tc>
              <w:tc>
                <w:tcPr>
                  <w:tcW w:w="2900" w:type="dxa"/>
                  <w:vAlign w:val="center"/>
                </w:tcPr>
                <w:p w14:paraId="17C984F8">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绝缘辅助工具</w:t>
                  </w:r>
                </w:p>
              </w:tc>
              <w:tc>
                <w:tcPr>
                  <w:tcW w:w="2002" w:type="dxa"/>
                  <w:vAlign w:val="center"/>
                </w:tcPr>
                <w:p w14:paraId="3ACF835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1313" w:type="dxa"/>
                  <w:vAlign w:val="center"/>
                </w:tcPr>
                <w:p w14:paraId="5706784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eastAsia" w:ascii="Times New Roman" w:hAnsi="Times New Roman" w:cs="Times New Roman"/>
                      <w:i w:val="0"/>
                      <w:iCs w:val="0"/>
                      <w:color w:val="000000"/>
                      <w:kern w:val="0"/>
                      <w:sz w:val="21"/>
                      <w:szCs w:val="21"/>
                      <w:u w:val="none"/>
                      <w:lang w:val="en-US" w:eastAsia="zh-CN" w:bidi="ar"/>
                    </w:rPr>
                    <w:t>台</w:t>
                  </w:r>
                </w:p>
              </w:tc>
              <w:tc>
                <w:tcPr>
                  <w:tcW w:w="1213" w:type="dxa"/>
                  <w:vAlign w:val="center"/>
                </w:tcPr>
                <w:p w14:paraId="01117CBC">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7C568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0979494F">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26</w:t>
                  </w:r>
                </w:p>
              </w:tc>
              <w:tc>
                <w:tcPr>
                  <w:tcW w:w="2900" w:type="dxa"/>
                  <w:vAlign w:val="center"/>
                </w:tcPr>
                <w:p w14:paraId="4F027967">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安全防护及救援设备</w:t>
                  </w:r>
                </w:p>
              </w:tc>
              <w:tc>
                <w:tcPr>
                  <w:tcW w:w="2002" w:type="dxa"/>
                  <w:vAlign w:val="center"/>
                </w:tcPr>
                <w:p w14:paraId="2B9A6A3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1313" w:type="dxa"/>
                  <w:vAlign w:val="center"/>
                </w:tcPr>
                <w:p w14:paraId="2FACA9D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eastAsia" w:ascii="Times New Roman" w:hAnsi="Times New Roman" w:cs="Times New Roman"/>
                      <w:i w:val="0"/>
                      <w:iCs w:val="0"/>
                      <w:color w:val="000000"/>
                      <w:kern w:val="0"/>
                      <w:sz w:val="21"/>
                      <w:szCs w:val="21"/>
                      <w:u w:val="none"/>
                      <w:lang w:val="en-US" w:eastAsia="zh-CN" w:bidi="ar"/>
                    </w:rPr>
                    <w:t>台</w:t>
                  </w:r>
                </w:p>
              </w:tc>
              <w:tc>
                <w:tcPr>
                  <w:tcW w:w="1213" w:type="dxa"/>
                  <w:vAlign w:val="center"/>
                </w:tcPr>
                <w:p w14:paraId="0E8CBE3D">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4EA0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6E12C8C7">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27</w:t>
                  </w:r>
                </w:p>
              </w:tc>
              <w:tc>
                <w:tcPr>
                  <w:tcW w:w="2900" w:type="dxa"/>
                  <w:vAlign w:val="center"/>
                </w:tcPr>
                <w:p w14:paraId="426A337D">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动力蓄电池绝缘处理设备</w:t>
                  </w:r>
                </w:p>
              </w:tc>
              <w:tc>
                <w:tcPr>
                  <w:tcW w:w="2002" w:type="dxa"/>
                  <w:vAlign w:val="center"/>
                </w:tcPr>
                <w:p w14:paraId="563F079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1313" w:type="dxa"/>
                  <w:vAlign w:val="center"/>
                </w:tcPr>
                <w:p w14:paraId="4083E5F3">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套</w:t>
                  </w:r>
                </w:p>
              </w:tc>
              <w:tc>
                <w:tcPr>
                  <w:tcW w:w="1213" w:type="dxa"/>
                  <w:vAlign w:val="center"/>
                </w:tcPr>
                <w:p w14:paraId="2BD8C2F5">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0FE4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189648B4">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28</w:t>
                  </w:r>
                </w:p>
              </w:tc>
              <w:tc>
                <w:tcPr>
                  <w:tcW w:w="2900" w:type="dxa"/>
                  <w:vAlign w:val="center"/>
                </w:tcPr>
                <w:p w14:paraId="77F19AB3">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放电设施设备</w:t>
                  </w:r>
                </w:p>
              </w:tc>
              <w:tc>
                <w:tcPr>
                  <w:tcW w:w="2002" w:type="dxa"/>
                  <w:vAlign w:val="center"/>
                </w:tcPr>
                <w:p w14:paraId="05EAC2E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1313" w:type="dxa"/>
                  <w:vAlign w:val="center"/>
                </w:tcPr>
                <w:p w14:paraId="1B80E36A">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1213" w:type="dxa"/>
                  <w:vAlign w:val="center"/>
                </w:tcPr>
                <w:p w14:paraId="47CCD4A8">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596C4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358" w:type="dxa"/>
                  <w:gridSpan w:val="5"/>
                  <w:vAlign w:val="center"/>
                </w:tcPr>
                <w:p w14:paraId="179646A1">
                  <w:pPr>
                    <w:jc w:val="both"/>
                    <w:rPr>
                      <w:rFonts w:hint="default" w:ascii="Times New Roman" w:hAnsi="Times New Roman" w:cs="Times New Roman"/>
                      <w:b/>
                      <w:bCs/>
                      <w:szCs w:val="21"/>
                      <w:lang w:val="en-US" w:eastAsia="zh-CN"/>
                    </w:rPr>
                  </w:pPr>
                  <w:r>
                    <w:rPr>
                      <w:rFonts w:hint="eastAsia" w:ascii="Times New Roman" w:hAnsi="Times New Roman" w:cs="Times New Roman"/>
                      <w:b/>
                      <w:bCs/>
                      <w:szCs w:val="21"/>
                      <w:lang w:val="en-US" w:eastAsia="zh-CN"/>
                    </w:rPr>
                    <w:t>后处理设备</w:t>
                  </w:r>
                </w:p>
              </w:tc>
            </w:tr>
            <w:tr w14:paraId="46898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7C7C3070">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29</w:t>
                  </w:r>
                </w:p>
              </w:tc>
              <w:tc>
                <w:tcPr>
                  <w:tcW w:w="2900" w:type="dxa"/>
                  <w:vAlign w:val="center"/>
                </w:tcPr>
                <w:p w14:paraId="3D209547">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eastAsia" w:ascii="Times New Roman" w:hAnsi="Times New Roman" w:cs="Times New Roman"/>
                      <w:i w:val="0"/>
                      <w:iCs w:val="0"/>
                      <w:color w:val="000000"/>
                      <w:kern w:val="0"/>
                      <w:sz w:val="21"/>
                      <w:szCs w:val="21"/>
                      <w:u w:val="none"/>
                      <w:lang w:val="en-US" w:eastAsia="zh-CN" w:bidi="ar"/>
                    </w:rPr>
                    <w:t>液压金属打包机</w:t>
                  </w:r>
                </w:p>
              </w:tc>
              <w:tc>
                <w:tcPr>
                  <w:tcW w:w="2002" w:type="dxa"/>
                  <w:vAlign w:val="center"/>
                </w:tcPr>
                <w:p w14:paraId="4111798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Y81/F-250</w:t>
                  </w:r>
                </w:p>
              </w:tc>
              <w:tc>
                <w:tcPr>
                  <w:tcW w:w="1313" w:type="dxa"/>
                  <w:vAlign w:val="center"/>
                </w:tcPr>
                <w:p w14:paraId="17F5FE3E">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eastAsia" w:ascii="Times New Roman" w:hAnsi="Times New Roman" w:cs="Times New Roman"/>
                      <w:i w:val="0"/>
                      <w:iCs w:val="0"/>
                      <w:color w:val="000000"/>
                      <w:kern w:val="0"/>
                      <w:sz w:val="21"/>
                      <w:szCs w:val="21"/>
                      <w:u w:val="none"/>
                      <w:lang w:val="en-US" w:eastAsia="zh-CN" w:bidi="ar"/>
                    </w:rPr>
                    <w:t>台</w:t>
                  </w:r>
                </w:p>
              </w:tc>
              <w:tc>
                <w:tcPr>
                  <w:tcW w:w="1213" w:type="dxa"/>
                  <w:vAlign w:val="center"/>
                </w:tcPr>
                <w:p w14:paraId="41ABE577">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529C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5505239C">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30</w:t>
                  </w:r>
                </w:p>
              </w:tc>
              <w:tc>
                <w:tcPr>
                  <w:tcW w:w="2900" w:type="dxa"/>
                  <w:vAlign w:val="center"/>
                </w:tcPr>
                <w:p w14:paraId="2B85786F">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鳄鱼式剪断机</w:t>
                  </w:r>
                </w:p>
              </w:tc>
              <w:tc>
                <w:tcPr>
                  <w:tcW w:w="2002" w:type="dxa"/>
                  <w:vAlign w:val="center"/>
                </w:tcPr>
                <w:p w14:paraId="47CFD73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Q43-3150</w:t>
                  </w:r>
                </w:p>
              </w:tc>
              <w:tc>
                <w:tcPr>
                  <w:tcW w:w="1313" w:type="dxa"/>
                  <w:vAlign w:val="center"/>
                </w:tcPr>
                <w:p w14:paraId="7DC2BF91">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eastAsia" w:ascii="Times New Roman" w:hAnsi="Times New Roman" w:cs="Times New Roman"/>
                      <w:i w:val="0"/>
                      <w:iCs w:val="0"/>
                      <w:color w:val="000000"/>
                      <w:kern w:val="0"/>
                      <w:sz w:val="21"/>
                      <w:szCs w:val="21"/>
                      <w:u w:val="none"/>
                      <w:lang w:val="en-US" w:eastAsia="zh-CN" w:bidi="ar"/>
                    </w:rPr>
                    <w:t>台</w:t>
                  </w:r>
                </w:p>
              </w:tc>
              <w:tc>
                <w:tcPr>
                  <w:tcW w:w="1213" w:type="dxa"/>
                  <w:vAlign w:val="center"/>
                </w:tcPr>
                <w:p w14:paraId="5167EA20">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400D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358" w:type="dxa"/>
                  <w:gridSpan w:val="5"/>
                  <w:vAlign w:val="center"/>
                </w:tcPr>
                <w:p w14:paraId="015F0671">
                  <w:pPr>
                    <w:jc w:val="both"/>
                    <w:rPr>
                      <w:rFonts w:hint="default" w:ascii="Times New Roman" w:hAnsi="Times New Roman" w:cs="Times New Roman"/>
                      <w:b/>
                      <w:bCs/>
                      <w:szCs w:val="21"/>
                      <w:lang w:val="en-US" w:eastAsia="zh-CN"/>
                    </w:rPr>
                  </w:pPr>
                  <w:r>
                    <w:rPr>
                      <w:rFonts w:hint="eastAsia" w:ascii="Times New Roman" w:hAnsi="Times New Roman" w:cs="Times New Roman"/>
                      <w:b/>
                      <w:bCs/>
                      <w:szCs w:val="21"/>
                      <w:lang w:val="en-US" w:eastAsia="zh-CN"/>
                    </w:rPr>
                    <w:t>安全环保设备</w:t>
                  </w:r>
                </w:p>
              </w:tc>
            </w:tr>
            <w:tr w14:paraId="4954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2D1DAD64">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31</w:t>
                  </w:r>
                </w:p>
              </w:tc>
              <w:tc>
                <w:tcPr>
                  <w:tcW w:w="2900" w:type="dxa"/>
                  <w:vAlign w:val="center"/>
                </w:tcPr>
                <w:p w14:paraId="08DBC0CF">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eastAsia" w:ascii="Times New Roman" w:hAnsi="Times New Roman" w:cs="Times New Roman"/>
                      <w:i w:val="0"/>
                      <w:iCs w:val="0"/>
                      <w:color w:val="000000"/>
                      <w:kern w:val="0"/>
                      <w:sz w:val="21"/>
                      <w:szCs w:val="21"/>
                      <w:u w:val="none"/>
                      <w:lang w:val="en-US" w:eastAsia="zh-CN" w:bidi="ar"/>
                    </w:rPr>
                    <w:t>安全气囊引爆装置</w:t>
                  </w:r>
                </w:p>
              </w:tc>
              <w:tc>
                <w:tcPr>
                  <w:tcW w:w="2002" w:type="dxa"/>
                  <w:vAlign w:val="center"/>
                </w:tcPr>
                <w:p w14:paraId="2D36D59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CYZ-X</w:t>
                  </w:r>
                </w:p>
              </w:tc>
              <w:tc>
                <w:tcPr>
                  <w:tcW w:w="1313" w:type="dxa"/>
                  <w:vAlign w:val="center"/>
                </w:tcPr>
                <w:p w14:paraId="51DBA6C9">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1213" w:type="dxa"/>
                  <w:vAlign w:val="center"/>
                </w:tcPr>
                <w:p w14:paraId="41AF5F85">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7CAEE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212373D7">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32</w:t>
                  </w:r>
                </w:p>
              </w:tc>
              <w:tc>
                <w:tcPr>
                  <w:tcW w:w="2900" w:type="dxa"/>
                  <w:vAlign w:val="center"/>
                </w:tcPr>
                <w:p w14:paraId="511826C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污水处理站</w:t>
                  </w:r>
                </w:p>
              </w:tc>
              <w:tc>
                <w:tcPr>
                  <w:tcW w:w="2002" w:type="dxa"/>
                  <w:vAlign w:val="center"/>
                </w:tcPr>
                <w:p w14:paraId="6ED6BA4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r>
                    <w:rPr>
                      <w:rFonts w:hint="eastAsia" w:ascii="Times New Roman" w:hAnsi="Times New Roman" w:cs="Times New Roman"/>
                      <w:i w:val="0"/>
                      <w:iCs w:val="0"/>
                      <w:color w:val="000000"/>
                      <w:kern w:val="0"/>
                      <w:sz w:val="21"/>
                      <w:szCs w:val="21"/>
                      <w:u w:val="none"/>
                      <w:lang w:val="en-US" w:eastAsia="zh-CN" w:bidi="ar"/>
                    </w:rPr>
                    <w:t>0m</w:t>
                  </w:r>
                  <w:r>
                    <w:rPr>
                      <w:rFonts w:hint="eastAsia" w:ascii="Times New Roman" w:hAnsi="Times New Roman" w:cs="Times New Roman"/>
                      <w:i w:val="0"/>
                      <w:iCs w:val="0"/>
                      <w:color w:val="000000"/>
                      <w:kern w:val="0"/>
                      <w:sz w:val="21"/>
                      <w:szCs w:val="21"/>
                      <w:u w:val="none"/>
                      <w:vertAlign w:val="superscript"/>
                      <w:lang w:val="en-US" w:eastAsia="zh-CN" w:bidi="ar"/>
                    </w:rPr>
                    <w:t>3</w:t>
                  </w:r>
                  <w:r>
                    <w:rPr>
                      <w:rFonts w:hint="eastAsia" w:ascii="Times New Roman" w:hAnsi="Times New Roman" w:cs="Times New Roman"/>
                      <w:i w:val="0"/>
                      <w:iCs w:val="0"/>
                      <w:color w:val="000000"/>
                      <w:kern w:val="0"/>
                      <w:sz w:val="21"/>
                      <w:szCs w:val="21"/>
                      <w:u w:val="none"/>
                      <w:lang w:val="en-US" w:eastAsia="zh-CN" w:bidi="ar"/>
                    </w:rPr>
                    <w:t>/d</w:t>
                  </w:r>
                </w:p>
              </w:tc>
              <w:tc>
                <w:tcPr>
                  <w:tcW w:w="1313" w:type="dxa"/>
                  <w:vAlign w:val="center"/>
                </w:tcPr>
                <w:p w14:paraId="1B1274F0">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座</w:t>
                  </w:r>
                </w:p>
              </w:tc>
              <w:tc>
                <w:tcPr>
                  <w:tcW w:w="1213" w:type="dxa"/>
                  <w:vAlign w:val="center"/>
                </w:tcPr>
                <w:p w14:paraId="1933AA26">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7F77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vAlign w:val="center"/>
                </w:tcPr>
                <w:p w14:paraId="71C9E3A1">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3</w:t>
                  </w:r>
                  <w:r>
                    <w:rPr>
                      <w:rFonts w:hint="eastAsia" w:ascii="Times New Roman" w:hAnsi="Times New Roman" w:cs="Times New Roman"/>
                      <w:szCs w:val="21"/>
                      <w:lang w:val="en-US" w:eastAsia="zh-CN"/>
                    </w:rPr>
                    <w:t>3</w:t>
                  </w:r>
                </w:p>
              </w:tc>
              <w:tc>
                <w:tcPr>
                  <w:tcW w:w="2900" w:type="dxa"/>
                  <w:vAlign w:val="center"/>
                </w:tcPr>
                <w:p w14:paraId="40EE95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布袋除尘器</w:t>
                  </w:r>
                </w:p>
              </w:tc>
              <w:tc>
                <w:tcPr>
                  <w:tcW w:w="2002" w:type="dxa"/>
                  <w:vAlign w:val="center"/>
                </w:tcPr>
                <w:p w14:paraId="41167EC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1313" w:type="dxa"/>
                  <w:vAlign w:val="center"/>
                </w:tcPr>
                <w:p w14:paraId="496B07E8">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1213" w:type="dxa"/>
                  <w:vAlign w:val="center"/>
                </w:tcPr>
                <w:p w14:paraId="769B25B0">
                  <w:pPr>
                    <w:jc w:val="center"/>
                    <w:rPr>
                      <w:rFonts w:hint="default" w:ascii="Times New Roman" w:hAnsi="Times New Roman" w:cs="Times New Roman"/>
                      <w:szCs w:val="21"/>
                    </w:rPr>
                  </w:pPr>
                  <w:r>
                    <w:rPr>
                      <w:rFonts w:hint="default" w:ascii="Times New Roman" w:hAnsi="Times New Roman" w:cs="Times New Roman"/>
                      <w:szCs w:val="21"/>
                      <w:lang w:val="en-US" w:eastAsia="zh-CN"/>
                    </w:rPr>
                    <w:t>1</w:t>
                  </w:r>
                </w:p>
              </w:tc>
            </w:tr>
            <w:tr w14:paraId="43C7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930" w:type="dxa"/>
                  <w:vAlign w:val="center"/>
                </w:tcPr>
                <w:p w14:paraId="2D4F131B">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3</w:t>
                  </w:r>
                  <w:r>
                    <w:rPr>
                      <w:rFonts w:hint="eastAsia" w:ascii="Times New Roman" w:hAnsi="Times New Roman" w:cs="Times New Roman"/>
                      <w:szCs w:val="21"/>
                      <w:lang w:val="en-US" w:eastAsia="zh-CN"/>
                    </w:rPr>
                    <w:t>4</w:t>
                  </w:r>
                </w:p>
              </w:tc>
              <w:tc>
                <w:tcPr>
                  <w:tcW w:w="2900" w:type="dxa"/>
                  <w:vAlign w:val="center"/>
                </w:tcPr>
                <w:p w14:paraId="75314C5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活性炭吸附装置</w:t>
                  </w:r>
                </w:p>
              </w:tc>
              <w:tc>
                <w:tcPr>
                  <w:tcW w:w="2002" w:type="dxa"/>
                  <w:vAlign w:val="center"/>
                </w:tcPr>
                <w:p w14:paraId="310F1C2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1313" w:type="dxa"/>
                  <w:vAlign w:val="center"/>
                </w:tcPr>
                <w:p w14:paraId="4265A82A">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1213" w:type="dxa"/>
                  <w:vAlign w:val="center"/>
                </w:tcPr>
                <w:p w14:paraId="7E0E03B2">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w:t>
                  </w:r>
                </w:p>
              </w:tc>
            </w:tr>
          </w:tbl>
          <w:p w14:paraId="57415826">
            <w:pPr>
              <w:spacing w:before="120" w:beforeLines="50" w:line="360" w:lineRule="auto"/>
              <w:rPr>
                <w:rFonts w:hint="eastAsia"/>
                <w:b/>
                <w:bCs/>
                <w:sz w:val="2"/>
                <w:szCs w:val="2"/>
                <w:lang w:val="en-US" w:eastAsia="zh-CN"/>
              </w:rPr>
            </w:pPr>
            <w:r>
              <w:rPr>
                <w:rFonts w:hint="eastAsia"/>
                <w:b/>
                <w:bCs/>
                <w:sz w:val="2"/>
                <w:szCs w:val="2"/>
                <w:lang w:val="en-US" w:eastAsia="zh-CN"/>
              </w:rPr>
              <w:t>1</w:t>
            </w:r>
          </w:p>
          <w:p w14:paraId="4369C0B5">
            <w:pPr>
              <w:spacing w:before="120" w:beforeLines="50" w:line="360" w:lineRule="auto"/>
              <w:rPr>
                <w:b/>
                <w:bCs/>
                <w:sz w:val="24"/>
                <w:szCs w:val="32"/>
              </w:rPr>
            </w:pPr>
            <w:r>
              <w:rPr>
                <w:b/>
                <w:bCs/>
                <w:sz w:val="24"/>
                <w:szCs w:val="32"/>
              </w:rPr>
              <w:t>2.</w:t>
            </w:r>
            <w:r>
              <w:rPr>
                <w:rFonts w:hint="eastAsia"/>
                <w:b/>
                <w:bCs/>
                <w:sz w:val="24"/>
                <w:szCs w:val="32"/>
                <w:lang w:val="en-US" w:eastAsia="zh-CN"/>
              </w:rPr>
              <w:t>6</w:t>
            </w:r>
            <w:r>
              <w:rPr>
                <w:b/>
                <w:bCs/>
                <w:sz w:val="24"/>
                <w:szCs w:val="32"/>
              </w:rPr>
              <w:t>水平衡分析</w:t>
            </w:r>
          </w:p>
          <w:p w14:paraId="098E8A77">
            <w:pPr>
              <w:pStyle w:val="2"/>
              <w:spacing w:before="0" w:after="0" w:line="360" w:lineRule="auto"/>
              <w:ind w:right="0" w:firstLine="480" w:firstLineChars="200"/>
              <w:rPr>
                <w:sz w:val="24"/>
                <w:szCs w:val="28"/>
              </w:rPr>
            </w:pPr>
            <w:r>
              <w:rPr>
                <w:sz w:val="24"/>
                <w:szCs w:val="28"/>
              </w:rPr>
              <w:t>项目</w:t>
            </w:r>
            <w:r>
              <w:rPr>
                <w:rFonts w:hint="eastAsia"/>
                <w:sz w:val="24"/>
                <w:szCs w:val="28"/>
              </w:rPr>
              <w:t>营运期用水</w:t>
            </w:r>
            <w:r>
              <w:rPr>
                <w:rFonts w:hint="eastAsia"/>
                <w:sz w:val="24"/>
                <w:szCs w:val="28"/>
                <w:lang w:val="en-US" w:eastAsia="zh-CN"/>
              </w:rPr>
              <w:t>主要为车间地坪保洁用水</w:t>
            </w:r>
            <w:r>
              <w:rPr>
                <w:rFonts w:hint="eastAsia"/>
                <w:sz w:val="24"/>
                <w:szCs w:val="28"/>
              </w:rPr>
              <w:t>以及职工生活用水，产生的废水主要为</w:t>
            </w:r>
            <w:r>
              <w:rPr>
                <w:rFonts w:hint="eastAsia"/>
                <w:sz w:val="24"/>
                <w:szCs w:val="28"/>
                <w:lang w:val="en-US" w:eastAsia="zh-CN"/>
              </w:rPr>
              <w:t>车间保洁</w:t>
            </w:r>
            <w:r>
              <w:rPr>
                <w:rFonts w:hint="eastAsia"/>
                <w:sz w:val="24"/>
                <w:szCs w:val="28"/>
              </w:rPr>
              <w:t>废水、</w:t>
            </w:r>
            <w:r>
              <w:rPr>
                <w:rFonts w:hint="eastAsia"/>
                <w:sz w:val="24"/>
                <w:szCs w:val="28"/>
                <w:lang w:val="en-US" w:eastAsia="zh-CN"/>
              </w:rPr>
              <w:t>初期雨水、</w:t>
            </w:r>
            <w:r>
              <w:rPr>
                <w:rFonts w:hint="eastAsia"/>
                <w:sz w:val="24"/>
                <w:szCs w:val="28"/>
              </w:rPr>
              <w:t>以及生活污水</w:t>
            </w:r>
            <w:r>
              <w:rPr>
                <w:sz w:val="24"/>
                <w:szCs w:val="28"/>
              </w:rPr>
              <w:t>。</w:t>
            </w:r>
          </w:p>
          <w:p w14:paraId="103271C9">
            <w:pPr>
              <w:pStyle w:val="2"/>
              <w:spacing w:before="0" w:after="0" w:line="360" w:lineRule="auto"/>
              <w:ind w:firstLine="480" w:firstLineChars="200"/>
              <w:rPr>
                <w:rFonts w:hint="default"/>
                <w:sz w:val="24"/>
                <w:szCs w:val="28"/>
                <w:lang w:val="en-US" w:eastAsia="zh-CN"/>
              </w:rPr>
            </w:pPr>
            <w:r>
              <w:rPr>
                <w:rFonts w:hint="eastAsia"/>
                <w:sz w:val="24"/>
                <w:szCs w:val="28"/>
                <w:lang w:val="en-US" w:eastAsia="zh-CN"/>
              </w:rPr>
              <w:t>（1）地坪保洁废水</w:t>
            </w:r>
          </w:p>
          <w:p w14:paraId="3612DAEA">
            <w:pPr>
              <w:pStyle w:val="2"/>
              <w:spacing w:before="0" w:after="0" w:line="360" w:lineRule="auto"/>
              <w:ind w:right="0" w:firstLine="480" w:firstLineChars="200"/>
              <w:rPr>
                <w:rFonts w:hint="eastAsia" w:ascii="Times New Roman" w:hAnsi="Times New Roman" w:eastAsia="宋体" w:cs="Times New Roman"/>
                <w:sz w:val="24"/>
                <w:szCs w:val="28"/>
                <w:lang w:val="en-US" w:eastAsia="zh-CN"/>
              </w:rPr>
            </w:pPr>
            <w:r>
              <w:rPr>
                <w:rFonts w:hint="default" w:ascii="Times New Roman" w:hAnsi="Times New Roman" w:cs="Times New Roman"/>
                <w:sz w:val="24"/>
                <w:szCs w:val="32"/>
              </w:rPr>
              <w:t>项目拆解过程中会有少量废液（包括汽油、柴油、机油、润滑剂、液压油、制动液、防冻剂等）发生滴漏，车间地面需定期进行拖洗。本项目拆解车间总建筑面积</w:t>
            </w:r>
            <w:r>
              <w:rPr>
                <w:rFonts w:hint="eastAsia" w:cs="Times New Roman"/>
                <w:sz w:val="24"/>
                <w:szCs w:val="32"/>
                <w:lang w:val="en-US" w:eastAsia="zh-CN"/>
              </w:rPr>
              <w:t>2600</w:t>
            </w:r>
            <w:r>
              <w:rPr>
                <w:rFonts w:hint="default" w:ascii="Times New Roman" w:hAnsi="Times New Roman" w:cs="Times New Roman"/>
                <w:sz w:val="24"/>
                <w:szCs w:val="32"/>
              </w:rPr>
              <w:t>m</w:t>
            </w:r>
            <w:r>
              <w:rPr>
                <w:rFonts w:hint="default" w:ascii="Times New Roman" w:hAnsi="Times New Roman" w:cs="Times New Roman"/>
                <w:sz w:val="24"/>
                <w:szCs w:val="32"/>
                <w:vertAlign w:val="superscript"/>
              </w:rPr>
              <w:t>2</w:t>
            </w:r>
            <w:r>
              <w:rPr>
                <w:rFonts w:hint="default" w:ascii="Times New Roman" w:hAnsi="Times New Roman" w:cs="Times New Roman"/>
                <w:sz w:val="24"/>
                <w:szCs w:val="32"/>
              </w:rPr>
              <w:t>，保洁用水按2L/次·m</w:t>
            </w:r>
            <w:r>
              <w:rPr>
                <w:rFonts w:hint="default" w:ascii="Times New Roman" w:hAnsi="Times New Roman" w:cs="Times New Roman"/>
                <w:sz w:val="24"/>
                <w:szCs w:val="32"/>
                <w:vertAlign w:val="superscript"/>
              </w:rPr>
              <w:t>2</w:t>
            </w:r>
            <w:r>
              <w:rPr>
                <w:rFonts w:hint="default" w:ascii="Times New Roman" w:hAnsi="Times New Roman" w:cs="Times New Roman"/>
                <w:sz w:val="24"/>
                <w:szCs w:val="32"/>
              </w:rPr>
              <w:t>计，地坪保洁周期</w:t>
            </w:r>
            <w:r>
              <w:rPr>
                <w:rFonts w:hint="eastAsia" w:cs="Times New Roman"/>
                <w:sz w:val="24"/>
                <w:szCs w:val="32"/>
                <w:lang w:val="en-US" w:eastAsia="zh-CN"/>
              </w:rPr>
              <w:t>按</w:t>
            </w:r>
            <w:r>
              <w:rPr>
                <w:rFonts w:hint="default" w:ascii="Times New Roman" w:hAnsi="Times New Roman" w:cs="Times New Roman"/>
                <w:sz w:val="24"/>
                <w:szCs w:val="32"/>
              </w:rPr>
              <w:t>每</w:t>
            </w:r>
            <w:r>
              <w:rPr>
                <w:rFonts w:hint="eastAsia" w:cs="Times New Roman"/>
                <w:sz w:val="24"/>
                <w:szCs w:val="32"/>
                <w:lang w:val="en-US" w:eastAsia="zh-CN"/>
              </w:rPr>
              <w:t>5天冲洗</w:t>
            </w:r>
            <w:r>
              <w:rPr>
                <w:rFonts w:hint="default" w:ascii="Times New Roman" w:hAnsi="Times New Roman" w:cs="Times New Roman"/>
                <w:sz w:val="24"/>
                <w:szCs w:val="32"/>
              </w:rPr>
              <w:t>1次</w:t>
            </w:r>
            <w:r>
              <w:rPr>
                <w:rFonts w:hint="eastAsia" w:cs="Times New Roman"/>
                <w:sz w:val="24"/>
                <w:szCs w:val="32"/>
                <w:lang w:val="en-US" w:eastAsia="zh-CN"/>
              </w:rPr>
              <w:t>计</w:t>
            </w:r>
            <w:r>
              <w:rPr>
                <w:rFonts w:hint="default" w:ascii="Times New Roman" w:hAnsi="Times New Roman" w:cs="Times New Roman"/>
                <w:sz w:val="24"/>
                <w:szCs w:val="32"/>
              </w:rPr>
              <w:t>，则地坪保洁用水量</w:t>
            </w:r>
            <w:r>
              <w:rPr>
                <w:rFonts w:hint="eastAsia" w:cs="Times New Roman"/>
                <w:sz w:val="24"/>
                <w:szCs w:val="32"/>
                <w:lang w:val="en-US" w:eastAsia="zh-CN"/>
              </w:rPr>
              <w:t>约</w:t>
            </w:r>
            <w:r>
              <w:rPr>
                <w:rFonts w:hint="default" w:ascii="Times New Roman" w:hAnsi="Times New Roman" w:cs="Times New Roman"/>
                <w:sz w:val="24"/>
                <w:szCs w:val="32"/>
              </w:rPr>
              <w:t>为</w:t>
            </w:r>
            <w:r>
              <w:rPr>
                <w:rFonts w:hint="eastAsia" w:cs="Times New Roman"/>
                <w:sz w:val="24"/>
                <w:szCs w:val="32"/>
                <w:lang w:val="en-US" w:eastAsia="zh-CN"/>
              </w:rPr>
              <w:t>312</w:t>
            </w:r>
            <w:r>
              <w:rPr>
                <w:rFonts w:hint="default" w:ascii="Times New Roman" w:hAnsi="Times New Roman" w:cs="Times New Roman"/>
                <w:sz w:val="24"/>
                <w:szCs w:val="32"/>
              </w:rPr>
              <w:t>m</w:t>
            </w:r>
            <w:r>
              <w:rPr>
                <w:rFonts w:hint="default" w:ascii="Times New Roman" w:hAnsi="Times New Roman" w:cs="Times New Roman"/>
                <w:sz w:val="24"/>
                <w:szCs w:val="32"/>
                <w:vertAlign w:val="superscript"/>
              </w:rPr>
              <w:t>3</w:t>
            </w:r>
            <w:r>
              <w:rPr>
                <w:rFonts w:hint="default" w:ascii="Times New Roman" w:hAnsi="Times New Roman" w:cs="Times New Roman"/>
                <w:sz w:val="24"/>
                <w:szCs w:val="32"/>
              </w:rPr>
              <w:t>/a，约</w:t>
            </w:r>
            <w:r>
              <w:rPr>
                <w:rFonts w:hint="eastAsia" w:cs="Times New Roman"/>
                <w:sz w:val="24"/>
                <w:szCs w:val="32"/>
                <w:lang w:val="en-US" w:eastAsia="zh-CN"/>
              </w:rPr>
              <w:t>1.04</w:t>
            </w:r>
            <w:r>
              <w:rPr>
                <w:rFonts w:hint="default" w:ascii="Times New Roman" w:hAnsi="Times New Roman" w:cs="Times New Roman"/>
                <w:sz w:val="24"/>
                <w:szCs w:val="32"/>
              </w:rPr>
              <w:t>m</w:t>
            </w:r>
            <w:r>
              <w:rPr>
                <w:rFonts w:hint="default" w:ascii="Times New Roman" w:hAnsi="Times New Roman" w:cs="Times New Roman"/>
                <w:sz w:val="24"/>
                <w:szCs w:val="32"/>
                <w:vertAlign w:val="superscript"/>
              </w:rPr>
              <w:t>3</w:t>
            </w:r>
            <w:r>
              <w:rPr>
                <w:rFonts w:hint="default" w:ascii="Times New Roman" w:hAnsi="Times New Roman" w:cs="Times New Roman"/>
                <w:sz w:val="24"/>
                <w:szCs w:val="32"/>
              </w:rPr>
              <w:t>/d</w:t>
            </w:r>
            <w:r>
              <w:rPr>
                <w:rFonts w:hint="eastAsia" w:cs="Times New Roman"/>
                <w:sz w:val="24"/>
                <w:szCs w:val="32"/>
                <w:lang w:eastAsia="zh-CN"/>
              </w:rPr>
              <w:t>，</w:t>
            </w:r>
            <w:r>
              <w:rPr>
                <w:rFonts w:hint="eastAsia" w:cs="Times New Roman"/>
                <w:sz w:val="24"/>
                <w:szCs w:val="32"/>
                <w:lang w:val="en-US" w:eastAsia="zh-CN"/>
              </w:rPr>
              <w:t>地坪保洁用水均采用污水处理站中水回用水</w:t>
            </w:r>
            <w:r>
              <w:rPr>
                <w:rFonts w:hint="default" w:ascii="Times New Roman" w:hAnsi="Times New Roman" w:cs="Times New Roman"/>
                <w:sz w:val="24"/>
                <w:szCs w:val="32"/>
              </w:rPr>
              <w:t>。</w:t>
            </w:r>
            <w:r>
              <w:rPr>
                <w:rFonts w:hint="eastAsia" w:ascii="Times New Roman" w:hAnsi="Times New Roman" w:eastAsia="宋体" w:cs="Times New Roman"/>
                <w:sz w:val="24"/>
                <w:szCs w:val="28"/>
                <w:lang w:val="en-US" w:eastAsia="zh-CN"/>
              </w:rPr>
              <w:t>蒸发损耗量按10%计，则地坪保洁废水产生量为</w:t>
            </w:r>
            <w:r>
              <w:rPr>
                <w:rFonts w:hint="eastAsia" w:cs="Times New Roman"/>
                <w:sz w:val="24"/>
                <w:szCs w:val="28"/>
                <w:lang w:val="en-US" w:eastAsia="zh-CN"/>
              </w:rPr>
              <w:t>0.936m</w:t>
            </w:r>
            <w:r>
              <w:rPr>
                <w:rFonts w:hint="eastAsia" w:cs="Times New Roman"/>
                <w:sz w:val="24"/>
                <w:szCs w:val="28"/>
                <w:vertAlign w:val="superscript"/>
                <w:lang w:val="en-US" w:eastAsia="zh-CN"/>
              </w:rPr>
              <w:t>3</w:t>
            </w:r>
            <w:r>
              <w:rPr>
                <w:rFonts w:hint="eastAsia" w:ascii="Times New Roman" w:hAnsi="Times New Roman" w:eastAsia="宋体" w:cs="Times New Roman"/>
                <w:sz w:val="24"/>
                <w:szCs w:val="28"/>
                <w:lang w:val="en-US" w:eastAsia="zh-CN"/>
              </w:rPr>
              <w:t>/d，</w:t>
            </w:r>
            <w:r>
              <w:rPr>
                <w:rFonts w:hint="eastAsia" w:cs="Times New Roman"/>
                <w:sz w:val="24"/>
                <w:szCs w:val="28"/>
                <w:lang w:val="en-US" w:eastAsia="zh-CN"/>
              </w:rPr>
              <w:t>280.8m</w:t>
            </w:r>
            <w:r>
              <w:rPr>
                <w:rFonts w:hint="eastAsia" w:cs="Times New Roman"/>
                <w:sz w:val="24"/>
                <w:szCs w:val="28"/>
                <w:vertAlign w:val="superscript"/>
                <w:lang w:val="en-US" w:eastAsia="zh-CN"/>
              </w:rPr>
              <w:t>3</w:t>
            </w:r>
            <w:r>
              <w:rPr>
                <w:rFonts w:hint="eastAsia" w:ascii="Times New Roman" w:hAnsi="Times New Roman" w:eastAsia="宋体" w:cs="Times New Roman"/>
                <w:sz w:val="24"/>
                <w:szCs w:val="28"/>
                <w:lang w:val="en-US" w:eastAsia="zh-CN"/>
              </w:rPr>
              <w:t>/a。地坪保洁废水经自建污水处理站预处理达标后，</w:t>
            </w:r>
            <w:r>
              <w:rPr>
                <w:rFonts w:hint="eastAsia" w:cs="Times New Roman"/>
                <w:sz w:val="24"/>
                <w:szCs w:val="28"/>
                <w:lang w:val="en-US" w:eastAsia="zh-CN"/>
              </w:rPr>
              <w:t>回用于厂区绿化，不外排</w:t>
            </w:r>
            <w:r>
              <w:rPr>
                <w:rFonts w:hint="eastAsia" w:ascii="Times New Roman" w:hAnsi="Times New Roman" w:eastAsia="宋体" w:cs="Times New Roman"/>
                <w:sz w:val="24"/>
                <w:szCs w:val="28"/>
                <w:lang w:val="en-US" w:eastAsia="zh-CN"/>
              </w:rPr>
              <w:t>。</w:t>
            </w:r>
          </w:p>
          <w:p w14:paraId="1FEF605F">
            <w:pPr>
              <w:pStyle w:val="2"/>
              <w:numPr>
                <w:ilvl w:val="0"/>
                <w:numId w:val="3"/>
              </w:numPr>
              <w:spacing w:before="0" w:after="0" w:line="360" w:lineRule="auto"/>
              <w:ind w:right="0" w:firstLine="480" w:firstLineChars="200"/>
              <w:rPr>
                <w:rFonts w:hint="eastAsia"/>
                <w:sz w:val="24"/>
                <w:szCs w:val="28"/>
                <w:lang w:val="en-US" w:eastAsia="zh-CN"/>
              </w:rPr>
            </w:pPr>
            <w:r>
              <w:rPr>
                <w:rFonts w:hint="eastAsia"/>
                <w:sz w:val="24"/>
                <w:szCs w:val="28"/>
                <w:lang w:val="en-US" w:eastAsia="zh-CN"/>
              </w:rPr>
              <w:t>初期雨水</w:t>
            </w:r>
          </w:p>
          <w:p w14:paraId="1F303924">
            <w:pPr>
              <w:spacing w:line="360" w:lineRule="auto"/>
              <w:ind w:firstLine="480" w:firstLineChars="200"/>
              <w:rPr>
                <w:rFonts w:hint="default" w:ascii="Times New Roman" w:hAnsi="Times New Roman" w:cs="Times New Roman"/>
                <w:sz w:val="24"/>
                <w:szCs w:val="32"/>
              </w:rPr>
            </w:pPr>
            <w:r>
              <w:rPr>
                <w:rFonts w:hint="default" w:ascii="Times New Roman" w:hAnsi="Times New Roman" w:cs="Times New Roman"/>
                <w:sz w:val="24"/>
                <w:szCs w:val="32"/>
              </w:rPr>
              <w:t>本次环评初期雨水计算采用以下</w:t>
            </w:r>
            <w:r>
              <w:rPr>
                <w:rFonts w:hint="eastAsia" w:ascii="Times New Roman" w:hAnsi="Times New Roman" w:cs="Times New Roman"/>
                <w:sz w:val="24"/>
                <w:szCs w:val="32"/>
                <w:lang w:val="en-US" w:eastAsia="zh-CN"/>
              </w:rPr>
              <w:t>公式</w:t>
            </w:r>
            <w:r>
              <w:rPr>
                <w:rFonts w:hint="default" w:ascii="Times New Roman" w:hAnsi="Times New Roman" w:cs="Times New Roman"/>
                <w:sz w:val="24"/>
                <w:szCs w:val="32"/>
              </w:rPr>
              <w:t>：</w:t>
            </w:r>
          </w:p>
          <w:p w14:paraId="6A2A9C16">
            <w:pPr>
              <w:spacing w:line="360" w:lineRule="auto"/>
              <w:ind w:firstLine="480" w:firstLineChars="200"/>
              <w:jc w:val="center"/>
              <w:rPr>
                <w:rFonts w:hint="default" w:ascii="Times New Roman" w:hAnsi="Times New Roman" w:cs="Times New Roman"/>
                <w:sz w:val="24"/>
                <w:szCs w:val="32"/>
              </w:rPr>
            </w:pPr>
            <w:r>
              <w:rPr>
                <w:rFonts w:hint="default" w:ascii="Times New Roman" w:hAnsi="Times New Roman" w:cs="Times New Roman"/>
                <w:position w:val="-10"/>
                <w:sz w:val="24"/>
                <w:szCs w:val="32"/>
              </w:rPr>
              <w:object>
                <v:shape id="_x0000_i1025" o:spt="75" type="#_x0000_t75" style="height:15.8pt;width:82.75pt;" o:ole="t" filled="f" o:preferrelative="t" stroked="f" coordsize="21600,21600">
                  <v:path/>
                  <v:fill on="f" focussize="0,0"/>
                  <v:stroke on="f" joinstyle="miter"/>
                  <v:imagedata r:id="rId15" o:title=""/>
                  <o:lock v:ext="edit" aspectratio="t"/>
                  <w10:wrap type="none"/>
                  <w10:anchorlock/>
                </v:shape>
                <o:OLEObject Type="Embed" ProgID="Equation.KSEE3" ShapeID="_x0000_i1025" DrawAspect="Content" ObjectID="_1468075725" r:id="rId14">
                  <o:LockedField>false</o:LockedField>
                </o:OLEObject>
              </w:object>
            </w:r>
          </w:p>
          <w:p w14:paraId="719BE42D">
            <w:pPr>
              <w:spacing w:line="360" w:lineRule="auto"/>
              <w:ind w:firstLine="480" w:firstLineChars="200"/>
              <w:rPr>
                <w:rFonts w:hint="default" w:ascii="Times New Roman" w:hAnsi="Times New Roman" w:cs="Times New Roman"/>
                <w:sz w:val="24"/>
                <w:szCs w:val="32"/>
              </w:rPr>
            </w:pPr>
            <w:r>
              <w:rPr>
                <w:rFonts w:hint="default" w:ascii="Times New Roman" w:hAnsi="Times New Roman" w:cs="Times New Roman"/>
                <w:sz w:val="24"/>
                <w:szCs w:val="32"/>
              </w:rPr>
              <w:t>其中：Q为初期雨水量（L）；</w:t>
            </w:r>
          </w:p>
          <w:p w14:paraId="7E198EBA">
            <w:pPr>
              <w:spacing w:line="360" w:lineRule="auto"/>
              <w:ind w:firstLine="480" w:firstLineChars="200"/>
              <w:rPr>
                <w:rFonts w:hint="default" w:ascii="Times New Roman" w:hAnsi="Times New Roman" w:cs="Times New Roman"/>
                <w:sz w:val="24"/>
                <w:szCs w:val="32"/>
              </w:rPr>
            </w:pPr>
            <w:r>
              <w:rPr>
                <w:rFonts w:hint="default" w:ascii="Times New Roman" w:hAnsi="Times New Roman" w:cs="Times New Roman"/>
                <w:sz w:val="24"/>
                <w:szCs w:val="32"/>
              </w:rPr>
              <w:t xml:space="preserve">      q为暴雨轻度（L/S</w:t>
            </w:r>
            <w:r>
              <w:rPr>
                <w:rFonts w:hint="default" w:ascii="Times New Roman" w:hAnsi="Times New Roman" w:cs="Times New Roman"/>
                <w:sz w:val="24"/>
                <w:szCs w:val="32"/>
                <w:lang w:val="en-US" w:eastAsia="zh-CN"/>
              </w:rPr>
              <w:t>·</w:t>
            </w:r>
            <w:r>
              <w:rPr>
                <w:rFonts w:hint="default" w:ascii="Times New Roman" w:hAnsi="Times New Roman" w:cs="Times New Roman"/>
                <w:sz w:val="24"/>
                <w:szCs w:val="32"/>
              </w:rPr>
              <w:t>ha）；</w:t>
            </w:r>
          </w:p>
          <w:p w14:paraId="32056FF6">
            <w:pPr>
              <w:spacing w:line="360" w:lineRule="auto"/>
              <w:ind w:firstLine="1200" w:firstLineChars="500"/>
              <w:rPr>
                <w:rFonts w:hint="default" w:ascii="Times New Roman" w:hAnsi="Times New Roman" w:cs="Times New Roman"/>
                <w:sz w:val="24"/>
                <w:szCs w:val="32"/>
              </w:rPr>
            </w:pPr>
            <w:r>
              <w:rPr>
                <w:rFonts w:hint="default" w:ascii="Times New Roman" w:hAnsi="Times New Roman" w:cs="Times New Roman"/>
                <w:position w:val="-10"/>
                <w:sz w:val="24"/>
                <w:szCs w:val="32"/>
              </w:rPr>
              <w:object>
                <v:shape id="_x0000_i1026" o:spt="75" type="#_x0000_t75" style="height:13.25pt;width:10.75pt;" o:ole="t" filled="f" o:preferrelative="t" stroked="f" coordsize="21600,21600">
                  <v:path/>
                  <v:fill on="f" focussize="0,0"/>
                  <v:stroke on="f" joinstyle="miter"/>
                  <v:imagedata r:id="rId17" o:title=""/>
                  <o:lock v:ext="edit" aspectratio="t"/>
                  <w10:wrap type="none"/>
                  <w10:anchorlock/>
                </v:shape>
                <o:OLEObject Type="Embed" ProgID="Equation.KSEE3" ShapeID="_x0000_i1026" DrawAspect="Content" ObjectID="_1468075726" r:id="rId16">
                  <o:LockedField>false</o:LockedField>
                </o:OLEObject>
              </w:object>
            </w:r>
            <w:r>
              <w:rPr>
                <w:rFonts w:hint="default" w:ascii="Times New Roman" w:hAnsi="Times New Roman" w:cs="Times New Roman"/>
                <w:sz w:val="24"/>
                <w:szCs w:val="32"/>
              </w:rPr>
              <w:t>为径流系数（0.4-0.9，本次取0.8）；</w:t>
            </w:r>
          </w:p>
          <w:p w14:paraId="6AF9FD5B">
            <w:pPr>
              <w:spacing w:line="360" w:lineRule="auto"/>
              <w:ind w:firstLine="1200" w:firstLineChars="500"/>
              <w:rPr>
                <w:rFonts w:hint="default" w:ascii="Times New Roman" w:hAnsi="Times New Roman" w:cs="Times New Roman"/>
                <w:sz w:val="24"/>
                <w:szCs w:val="32"/>
              </w:rPr>
            </w:pPr>
            <w:r>
              <w:rPr>
                <w:rFonts w:hint="default" w:ascii="Times New Roman" w:hAnsi="Times New Roman" w:cs="Times New Roman"/>
                <w:sz w:val="24"/>
                <w:szCs w:val="32"/>
              </w:rPr>
              <w:t>F为汇水面积（ha），本次取值为</w:t>
            </w:r>
            <w:r>
              <w:rPr>
                <w:rFonts w:hint="eastAsia" w:cs="Times New Roman"/>
                <w:sz w:val="24"/>
                <w:szCs w:val="32"/>
                <w:lang w:val="en-US" w:eastAsia="zh-CN"/>
              </w:rPr>
              <w:t>0.76</w:t>
            </w:r>
            <w:r>
              <w:rPr>
                <w:rFonts w:hint="default" w:ascii="Times New Roman" w:hAnsi="Times New Roman" w:cs="Times New Roman"/>
                <w:sz w:val="24"/>
                <w:szCs w:val="32"/>
              </w:rPr>
              <w:t>ha（</w:t>
            </w:r>
            <w:r>
              <w:rPr>
                <w:rFonts w:hint="eastAsia" w:cs="Times New Roman"/>
                <w:sz w:val="24"/>
                <w:szCs w:val="32"/>
                <w:lang w:val="en-US" w:eastAsia="zh-CN"/>
              </w:rPr>
              <w:t>按废机动车储存区占地</w:t>
            </w:r>
            <w:r>
              <w:rPr>
                <w:rFonts w:hint="default" w:ascii="Times New Roman" w:hAnsi="Times New Roman" w:cs="Times New Roman"/>
                <w:sz w:val="24"/>
                <w:szCs w:val="32"/>
              </w:rPr>
              <w:t>面积</w:t>
            </w:r>
            <w:r>
              <w:rPr>
                <w:rFonts w:hint="eastAsia" w:cs="Times New Roman"/>
                <w:sz w:val="24"/>
                <w:szCs w:val="32"/>
                <w:lang w:val="en-US" w:eastAsia="zh-CN"/>
              </w:rPr>
              <w:t>计</w:t>
            </w:r>
            <w:r>
              <w:rPr>
                <w:rFonts w:hint="default" w:ascii="Times New Roman" w:hAnsi="Times New Roman" w:cs="Times New Roman"/>
                <w:sz w:val="24"/>
                <w:szCs w:val="32"/>
              </w:rPr>
              <w:t>）；</w:t>
            </w:r>
          </w:p>
          <w:p w14:paraId="144B7453">
            <w:pPr>
              <w:spacing w:line="360" w:lineRule="auto"/>
              <w:ind w:firstLine="1200" w:firstLineChars="500"/>
              <w:rPr>
                <w:rFonts w:hint="default" w:ascii="Times New Roman" w:hAnsi="Times New Roman" w:cs="Times New Roman"/>
                <w:color w:val="auto"/>
                <w:sz w:val="24"/>
                <w:szCs w:val="32"/>
              </w:rPr>
            </w:pPr>
            <w:r>
              <w:rPr>
                <w:rFonts w:hint="default" w:ascii="Times New Roman" w:hAnsi="Times New Roman" w:cs="Times New Roman"/>
                <w:sz w:val="24"/>
                <w:szCs w:val="32"/>
              </w:rPr>
              <w:t>T为收水时间</w:t>
            </w:r>
            <w:r>
              <w:rPr>
                <w:rFonts w:hint="default" w:ascii="Times New Roman" w:hAnsi="Times New Roman" w:cs="Times New Roman"/>
                <w:color w:val="auto"/>
                <w:sz w:val="24"/>
                <w:szCs w:val="32"/>
              </w:rPr>
              <w:t>，本次取</w:t>
            </w:r>
            <w:r>
              <w:rPr>
                <w:rFonts w:hint="eastAsia" w:cs="Times New Roman"/>
                <w:color w:val="auto"/>
                <w:sz w:val="24"/>
                <w:szCs w:val="32"/>
                <w:lang w:val="en-US" w:eastAsia="zh-CN"/>
              </w:rPr>
              <w:t>15</w:t>
            </w:r>
            <w:r>
              <w:rPr>
                <w:rFonts w:hint="default" w:ascii="Times New Roman" w:hAnsi="Times New Roman" w:cs="Times New Roman"/>
                <w:color w:val="auto"/>
                <w:sz w:val="24"/>
                <w:szCs w:val="32"/>
              </w:rPr>
              <w:t>min。</w:t>
            </w:r>
          </w:p>
          <w:p w14:paraId="1F9A3F80">
            <w:pPr>
              <w:spacing w:line="360" w:lineRule="auto"/>
              <w:ind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szCs w:val="32"/>
              </w:rPr>
              <w:t>对q本次环评引用</w:t>
            </w:r>
            <w:r>
              <w:rPr>
                <w:rFonts w:hint="eastAsia" w:cs="Times New Roman"/>
                <w:color w:val="auto"/>
                <w:sz w:val="24"/>
                <w:szCs w:val="32"/>
                <w:lang w:val="en-US" w:eastAsia="zh-CN"/>
              </w:rPr>
              <w:t>宿州市</w:t>
            </w:r>
            <w:r>
              <w:rPr>
                <w:rFonts w:hint="default" w:ascii="Times New Roman" w:hAnsi="Times New Roman" w:cs="Times New Roman"/>
                <w:color w:val="auto"/>
                <w:sz w:val="24"/>
                <w:szCs w:val="32"/>
              </w:rPr>
              <w:t>公布的暴雨强度计算</w:t>
            </w:r>
            <w:r>
              <w:rPr>
                <w:rFonts w:hint="eastAsia" w:cs="Times New Roman"/>
                <w:color w:val="auto"/>
                <w:sz w:val="24"/>
                <w:szCs w:val="32"/>
                <w:lang w:val="en-US" w:eastAsia="zh-CN"/>
              </w:rPr>
              <w:t>公式</w:t>
            </w:r>
            <w:r>
              <w:rPr>
                <w:rFonts w:hint="default" w:ascii="Times New Roman" w:hAnsi="Times New Roman" w:cs="Times New Roman"/>
                <w:color w:val="auto"/>
                <w:sz w:val="24"/>
                <w:szCs w:val="32"/>
              </w:rPr>
              <w:t>：</w:t>
            </w:r>
          </w:p>
          <w:p w14:paraId="152EDE9C">
            <w:pPr>
              <w:spacing w:line="360" w:lineRule="auto"/>
              <w:ind w:firstLine="420" w:firstLineChars="200"/>
              <w:jc w:val="center"/>
              <w:rPr>
                <w:rFonts w:hint="default" w:ascii="Times New Roman" w:hAnsi="Times New Roman" w:cs="Times New Roman"/>
                <w:color w:val="auto"/>
              </w:rPr>
            </w:pPr>
            <w:r>
              <w:rPr>
                <w:rFonts w:hint="default" w:ascii="Times New Roman" w:hAnsi="Times New Roman" w:cs="Times New Roman"/>
                <w:color w:val="auto"/>
                <w:position w:val="-28"/>
              </w:rPr>
              <w:object>
                <v:shape id="_x0000_i1027" o:spt="75" type="#_x0000_t75" style="height:34.15pt;width:139.45pt;" o:ole="t" filled="f" o:preferrelative="t" stroked="f" coordsize="21600,21600">
                  <v:path/>
                  <v:fill on="f" focussize="0,0"/>
                  <v:stroke on="f"/>
                  <v:imagedata r:id="rId19" o:title=""/>
                  <o:lock v:ext="edit" aspectratio="t"/>
                  <w10:wrap type="none"/>
                  <w10:anchorlock/>
                </v:shape>
                <o:OLEObject Type="Embed" ProgID="Equation.KSEE3" ShapeID="_x0000_i1027" DrawAspect="Content" ObjectID="_1468075727" r:id="rId18">
                  <o:LockedField>false</o:LockedField>
                </o:OLEObject>
              </w:object>
            </w:r>
          </w:p>
          <w:p w14:paraId="06EDD0E1">
            <w:pPr>
              <w:spacing w:line="360" w:lineRule="auto"/>
              <w:ind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szCs w:val="32"/>
              </w:rPr>
              <w:t>其中：P为重现期，取1；</w:t>
            </w:r>
          </w:p>
          <w:p w14:paraId="0D3E0A1B">
            <w:pPr>
              <w:spacing w:line="360" w:lineRule="auto"/>
              <w:ind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szCs w:val="32"/>
              </w:rPr>
              <w:t xml:space="preserve">      t为地面集水时间，取</w:t>
            </w:r>
            <w:r>
              <w:rPr>
                <w:rFonts w:hint="eastAsia" w:cs="Times New Roman"/>
                <w:color w:val="auto"/>
                <w:sz w:val="24"/>
                <w:szCs w:val="32"/>
                <w:lang w:val="en-US" w:eastAsia="zh-CN"/>
              </w:rPr>
              <w:t>15</w:t>
            </w:r>
            <w:r>
              <w:rPr>
                <w:rFonts w:hint="default" w:ascii="Times New Roman" w:hAnsi="Times New Roman" w:cs="Times New Roman"/>
                <w:color w:val="auto"/>
                <w:sz w:val="24"/>
                <w:szCs w:val="32"/>
              </w:rPr>
              <w:t>min。</w:t>
            </w:r>
          </w:p>
          <w:p w14:paraId="4357BAC1">
            <w:pPr>
              <w:pStyle w:val="2"/>
              <w:spacing w:before="0" w:after="0" w:line="360" w:lineRule="auto"/>
              <w:ind w:right="0" w:firstLine="480" w:firstLineChars="200"/>
              <w:rPr>
                <w:rFonts w:hint="default" w:ascii="Times New Roman" w:hAnsi="Times New Roman" w:eastAsia="宋体" w:cs="Times New Roman"/>
                <w:sz w:val="24"/>
                <w:szCs w:val="28"/>
                <w:lang w:val="en-US" w:eastAsia="zh-CN"/>
              </w:rPr>
            </w:pPr>
            <w:r>
              <w:rPr>
                <w:rFonts w:hint="eastAsia" w:ascii="Times New Roman" w:hAnsi="Times New Roman" w:cs="Times New Roman"/>
                <w:sz w:val="24"/>
                <w:szCs w:val="32"/>
                <w:lang w:val="en-US" w:eastAsia="zh-CN"/>
              </w:rPr>
              <w:t>经</w:t>
            </w:r>
            <w:r>
              <w:rPr>
                <w:rFonts w:hint="default" w:ascii="Times New Roman" w:hAnsi="Times New Roman" w:cs="Times New Roman"/>
                <w:sz w:val="24"/>
                <w:szCs w:val="32"/>
              </w:rPr>
              <w:t>计算，</w:t>
            </w:r>
            <w:r>
              <w:rPr>
                <w:rFonts w:hint="eastAsia" w:cs="Times New Roman"/>
                <w:sz w:val="24"/>
                <w:szCs w:val="32"/>
                <w:lang w:val="en-US" w:eastAsia="zh-CN"/>
              </w:rPr>
              <w:t>宿州市暴雨强度q=211.69L/s</w:t>
            </w:r>
            <w:r>
              <w:rPr>
                <w:rFonts w:hint="default" w:ascii="Times New Roman" w:hAnsi="Times New Roman" w:cs="Times New Roman"/>
                <w:sz w:val="24"/>
                <w:szCs w:val="32"/>
                <w:lang w:val="en-US" w:eastAsia="zh-CN"/>
              </w:rPr>
              <w:t>·</w:t>
            </w:r>
            <w:r>
              <w:rPr>
                <w:rFonts w:hint="eastAsia" w:cs="Times New Roman"/>
                <w:sz w:val="24"/>
                <w:szCs w:val="32"/>
                <w:lang w:val="en-US" w:eastAsia="zh-CN"/>
              </w:rPr>
              <w:t>hm</w:t>
            </w:r>
            <w:r>
              <w:rPr>
                <w:rFonts w:hint="eastAsia" w:cs="Times New Roman"/>
                <w:sz w:val="24"/>
                <w:szCs w:val="32"/>
                <w:vertAlign w:val="superscript"/>
                <w:lang w:val="en-US" w:eastAsia="zh-CN"/>
              </w:rPr>
              <w:t>2</w:t>
            </w:r>
            <w:r>
              <w:rPr>
                <w:rFonts w:hint="eastAsia" w:cs="Times New Roman"/>
                <w:sz w:val="24"/>
                <w:szCs w:val="32"/>
                <w:vertAlign w:val="baseline"/>
                <w:lang w:val="en-US" w:eastAsia="zh-CN"/>
              </w:rPr>
              <w:t>。因此厂区15min内的初期雨水量为</w:t>
            </w:r>
            <w:r>
              <w:rPr>
                <w:rFonts w:hint="eastAsia" w:cs="Times New Roman"/>
                <w:sz w:val="24"/>
                <w:szCs w:val="32"/>
                <w:lang w:val="en-US" w:eastAsia="zh-CN"/>
              </w:rPr>
              <w:t>115.84</w:t>
            </w:r>
            <w:r>
              <w:rPr>
                <w:rFonts w:hint="default" w:ascii="Times New Roman" w:hAnsi="Times New Roman" w:cs="Times New Roman"/>
                <w:sz w:val="24"/>
                <w:szCs w:val="32"/>
              </w:rPr>
              <w:t>t/次，一年按15次大雨情况计，则项目初期雨水产生量为</w:t>
            </w:r>
            <w:r>
              <w:rPr>
                <w:rFonts w:hint="eastAsia" w:cs="Times New Roman"/>
                <w:sz w:val="24"/>
                <w:szCs w:val="32"/>
                <w:lang w:val="en-US" w:eastAsia="zh-CN"/>
              </w:rPr>
              <w:t>1737.6</w:t>
            </w:r>
            <w:r>
              <w:rPr>
                <w:rFonts w:hint="default" w:ascii="Times New Roman" w:hAnsi="Times New Roman" w:cs="Times New Roman"/>
                <w:sz w:val="24"/>
                <w:szCs w:val="32"/>
              </w:rPr>
              <w:t>m</w:t>
            </w:r>
            <w:r>
              <w:rPr>
                <w:rFonts w:hint="default" w:ascii="Times New Roman" w:hAnsi="Times New Roman" w:cs="Times New Roman"/>
                <w:sz w:val="24"/>
                <w:szCs w:val="32"/>
                <w:vertAlign w:val="superscript"/>
              </w:rPr>
              <w:t>3</w:t>
            </w:r>
            <w:r>
              <w:rPr>
                <w:rFonts w:hint="default" w:ascii="Times New Roman" w:hAnsi="Times New Roman" w:cs="Times New Roman"/>
                <w:sz w:val="24"/>
                <w:szCs w:val="32"/>
              </w:rPr>
              <w:t>/a</w:t>
            </w:r>
            <w:r>
              <w:rPr>
                <w:rFonts w:hint="eastAsia" w:ascii="Times New Roman" w:hAnsi="Times New Roman" w:cs="Times New Roman"/>
                <w:sz w:val="24"/>
                <w:szCs w:val="32"/>
                <w:lang w:eastAsia="zh-CN"/>
              </w:rPr>
              <w:t>。</w:t>
            </w:r>
            <w:r>
              <w:rPr>
                <w:rFonts w:hint="eastAsia" w:cs="Times New Roman"/>
                <w:sz w:val="24"/>
                <w:szCs w:val="32"/>
                <w:lang w:val="en-US" w:eastAsia="zh-CN"/>
              </w:rPr>
              <w:t>评价要求建设单位在厂区雨水排放口前建设1座容积150m</w:t>
            </w:r>
            <w:r>
              <w:rPr>
                <w:rFonts w:hint="eastAsia" w:cs="Times New Roman"/>
                <w:sz w:val="24"/>
                <w:szCs w:val="32"/>
                <w:vertAlign w:val="superscript"/>
                <w:lang w:val="en-US" w:eastAsia="zh-CN"/>
              </w:rPr>
              <w:t>3</w:t>
            </w:r>
            <w:r>
              <w:rPr>
                <w:rFonts w:hint="eastAsia" w:cs="Times New Roman"/>
                <w:sz w:val="24"/>
                <w:szCs w:val="32"/>
                <w:lang w:val="en-US" w:eastAsia="zh-CN"/>
              </w:rPr>
              <w:t>初期雨水收集池，</w:t>
            </w:r>
            <w:r>
              <w:rPr>
                <w:rFonts w:hint="eastAsia" w:ascii="Times New Roman" w:hAnsi="Times New Roman" w:cs="Times New Roman"/>
                <w:sz w:val="24"/>
                <w:szCs w:val="32"/>
                <w:lang w:val="en-US" w:eastAsia="zh-CN"/>
              </w:rPr>
              <w:t>初期雨水经</w:t>
            </w:r>
            <w:r>
              <w:rPr>
                <w:rFonts w:hint="eastAsia" w:cs="Times New Roman"/>
                <w:sz w:val="24"/>
                <w:szCs w:val="32"/>
                <w:lang w:val="en-US" w:eastAsia="zh-CN"/>
              </w:rPr>
              <w:t>收集后，分批次泵至厂区</w:t>
            </w:r>
            <w:r>
              <w:rPr>
                <w:rFonts w:hint="eastAsia" w:ascii="Times New Roman" w:hAnsi="Times New Roman" w:eastAsia="宋体" w:cs="Times New Roman"/>
                <w:sz w:val="24"/>
                <w:szCs w:val="28"/>
                <w:lang w:val="en-US" w:eastAsia="zh-CN"/>
              </w:rPr>
              <w:t>污水处理站预处理达标后，</w:t>
            </w:r>
            <w:r>
              <w:rPr>
                <w:rFonts w:hint="eastAsia" w:cs="Times New Roman"/>
                <w:sz w:val="24"/>
                <w:szCs w:val="28"/>
                <w:lang w:val="en-US" w:eastAsia="zh-CN"/>
              </w:rPr>
              <w:t>部分回用于车间保洁，其余用于厂区绿化，不外排</w:t>
            </w:r>
            <w:r>
              <w:rPr>
                <w:rFonts w:hint="eastAsia" w:ascii="Times New Roman" w:hAnsi="Times New Roman" w:eastAsia="宋体" w:cs="Times New Roman"/>
                <w:sz w:val="24"/>
                <w:szCs w:val="28"/>
                <w:lang w:val="en-US" w:eastAsia="zh-CN"/>
              </w:rPr>
              <w:t>。</w:t>
            </w:r>
          </w:p>
          <w:p w14:paraId="48192303">
            <w:pPr>
              <w:pStyle w:val="2"/>
              <w:numPr>
                <w:ilvl w:val="0"/>
                <w:numId w:val="3"/>
              </w:numPr>
              <w:spacing w:before="0" w:after="0" w:line="360" w:lineRule="auto"/>
              <w:ind w:right="0" w:firstLine="480" w:firstLineChars="200"/>
              <w:rPr>
                <w:rFonts w:hint="default"/>
                <w:sz w:val="24"/>
                <w:szCs w:val="28"/>
                <w:lang w:val="en-US"/>
              </w:rPr>
            </w:pPr>
            <w:r>
              <w:rPr>
                <w:rFonts w:hint="eastAsia"/>
                <w:sz w:val="24"/>
                <w:szCs w:val="28"/>
                <w:lang w:val="en-US" w:eastAsia="zh-CN"/>
              </w:rPr>
              <w:t>生活污水</w:t>
            </w:r>
          </w:p>
          <w:p w14:paraId="4E334D23">
            <w:pPr>
              <w:spacing w:line="360" w:lineRule="auto"/>
              <w:ind w:firstLine="480" w:firstLineChars="200"/>
              <w:rPr>
                <w:sz w:val="24"/>
                <w:szCs w:val="32"/>
              </w:rPr>
            </w:pPr>
            <w:r>
              <w:rPr>
                <w:sz w:val="24"/>
                <w:szCs w:val="32"/>
              </w:rPr>
              <w:t>项目劳动定员</w:t>
            </w:r>
            <w:r>
              <w:rPr>
                <w:rFonts w:hint="eastAsia"/>
                <w:sz w:val="24"/>
                <w:szCs w:val="32"/>
                <w:lang w:val="en-US" w:eastAsia="zh-CN"/>
              </w:rPr>
              <w:t>2</w:t>
            </w:r>
            <w:r>
              <w:rPr>
                <w:rFonts w:hint="eastAsia"/>
                <w:sz w:val="24"/>
                <w:szCs w:val="32"/>
              </w:rPr>
              <w:t>0</w:t>
            </w:r>
            <w:r>
              <w:rPr>
                <w:sz w:val="24"/>
                <w:szCs w:val="32"/>
              </w:rPr>
              <w:t>人</w:t>
            </w:r>
            <w:r>
              <w:rPr>
                <w:rFonts w:hint="eastAsia"/>
                <w:sz w:val="24"/>
                <w:szCs w:val="32"/>
                <w:lang w:eastAsia="zh-CN"/>
              </w:rPr>
              <w:t>，</w:t>
            </w:r>
            <w:r>
              <w:rPr>
                <w:sz w:val="24"/>
                <w:szCs w:val="32"/>
              </w:rPr>
              <w:t>员工生活用水量按</w:t>
            </w:r>
            <w:r>
              <w:rPr>
                <w:rFonts w:hint="eastAsia"/>
                <w:sz w:val="24"/>
                <w:szCs w:val="32"/>
              </w:rPr>
              <w:t>12</w:t>
            </w:r>
            <w:r>
              <w:rPr>
                <w:sz w:val="24"/>
                <w:szCs w:val="32"/>
              </w:rPr>
              <w:t>0L/p·d计，则项目生活用水量为</w:t>
            </w:r>
            <w:r>
              <w:rPr>
                <w:rFonts w:hint="eastAsia"/>
                <w:sz w:val="24"/>
                <w:szCs w:val="32"/>
                <w:lang w:val="en-US" w:eastAsia="zh-CN"/>
              </w:rPr>
              <w:t>2.4t</w:t>
            </w:r>
            <w:r>
              <w:rPr>
                <w:sz w:val="24"/>
                <w:szCs w:val="32"/>
              </w:rPr>
              <w:t>/d（</w:t>
            </w:r>
            <w:r>
              <w:rPr>
                <w:rFonts w:hint="eastAsia"/>
                <w:sz w:val="24"/>
                <w:szCs w:val="32"/>
                <w:lang w:val="en-US" w:eastAsia="zh-CN"/>
              </w:rPr>
              <w:t>72</w:t>
            </w:r>
            <w:r>
              <w:rPr>
                <w:sz w:val="24"/>
                <w:szCs w:val="32"/>
              </w:rPr>
              <w:t>0</w:t>
            </w:r>
            <w:r>
              <w:rPr>
                <w:rFonts w:hint="eastAsia"/>
                <w:sz w:val="24"/>
                <w:szCs w:val="32"/>
                <w:lang w:val="en-US" w:eastAsia="zh-CN"/>
              </w:rPr>
              <w:t>t/</w:t>
            </w:r>
            <w:r>
              <w:rPr>
                <w:sz w:val="24"/>
                <w:szCs w:val="32"/>
              </w:rPr>
              <w:t>a）。</w:t>
            </w:r>
            <w:r>
              <w:rPr>
                <w:color w:val="000000"/>
                <w:kern w:val="0"/>
                <w:sz w:val="24"/>
              </w:rPr>
              <w:t>生活污水</w:t>
            </w:r>
            <w:r>
              <w:rPr>
                <w:rFonts w:hint="eastAsia"/>
                <w:color w:val="000000"/>
                <w:kern w:val="0"/>
                <w:sz w:val="24"/>
              </w:rPr>
              <w:t>排放量</w:t>
            </w:r>
            <w:r>
              <w:rPr>
                <w:color w:val="000000"/>
                <w:kern w:val="0"/>
                <w:sz w:val="24"/>
              </w:rPr>
              <w:t>按80%计，</w:t>
            </w:r>
            <w:r>
              <w:rPr>
                <w:sz w:val="24"/>
                <w:szCs w:val="32"/>
              </w:rPr>
              <w:t>则生活污水</w:t>
            </w:r>
            <w:r>
              <w:rPr>
                <w:rFonts w:hint="eastAsia"/>
                <w:color w:val="000000"/>
                <w:kern w:val="0"/>
                <w:sz w:val="24"/>
              </w:rPr>
              <w:t>排放量</w:t>
            </w:r>
            <w:r>
              <w:rPr>
                <w:sz w:val="24"/>
                <w:szCs w:val="32"/>
              </w:rPr>
              <w:t>为</w:t>
            </w:r>
            <w:r>
              <w:rPr>
                <w:rFonts w:hint="eastAsia"/>
                <w:sz w:val="24"/>
                <w:szCs w:val="32"/>
                <w:lang w:val="en-US" w:eastAsia="zh-CN"/>
              </w:rPr>
              <w:t>1.92t</w:t>
            </w:r>
            <w:r>
              <w:rPr>
                <w:sz w:val="24"/>
                <w:szCs w:val="32"/>
              </w:rPr>
              <w:t>/d，</w:t>
            </w:r>
            <w:r>
              <w:rPr>
                <w:rFonts w:hint="eastAsia"/>
                <w:sz w:val="24"/>
                <w:szCs w:val="32"/>
                <w:lang w:val="en-US" w:eastAsia="zh-CN"/>
              </w:rPr>
              <w:t>576t</w:t>
            </w:r>
            <w:r>
              <w:rPr>
                <w:sz w:val="24"/>
                <w:szCs w:val="32"/>
              </w:rPr>
              <w:t>/a。</w:t>
            </w:r>
            <w:r>
              <w:rPr>
                <w:color w:val="000000"/>
                <w:kern w:val="0"/>
                <w:sz w:val="24"/>
              </w:rPr>
              <w:t>生活污水</w:t>
            </w:r>
            <w:r>
              <w:rPr>
                <w:sz w:val="24"/>
                <w:szCs w:val="32"/>
              </w:rPr>
              <w:t>经化粪池预处理后，</w:t>
            </w:r>
            <w:r>
              <w:rPr>
                <w:rFonts w:hint="eastAsia"/>
                <w:sz w:val="24"/>
                <w:szCs w:val="32"/>
                <w:lang w:val="en-US" w:eastAsia="zh-CN"/>
              </w:rPr>
              <w:t>定期清掏用于周边农田施肥，不外排</w:t>
            </w:r>
            <w:r>
              <w:rPr>
                <w:rFonts w:hint="eastAsia" w:ascii="Times New Roman" w:hAnsi="Times New Roman" w:eastAsia="宋体" w:cs="Times New Roman"/>
                <w:sz w:val="24"/>
                <w:szCs w:val="28"/>
                <w:lang w:val="en-US" w:eastAsia="zh-CN"/>
              </w:rPr>
              <w:t>。</w:t>
            </w:r>
          </w:p>
          <w:p w14:paraId="01C0828F">
            <w:pPr>
              <w:pStyle w:val="2"/>
              <w:spacing w:before="0" w:after="0" w:line="360" w:lineRule="auto"/>
              <w:ind w:firstLine="480" w:firstLineChars="200"/>
              <w:rPr>
                <w:sz w:val="24"/>
                <w:szCs w:val="28"/>
              </w:rPr>
            </w:pPr>
            <w:r>
              <w:rPr>
                <w:sz w:val="24"/>
                <w:szCs w:val="28"/>
              </w:rPr>
              <w:t>本项目水平衡图见图</w:t>
            </w:r>
            <w:r>
              <w:rPr>
                <w:rFonts w:hint="eastAsia"/>
                <w:sz w:val="24"/>
                <w:szCs w:val="28"/>
                <w:lang w:val="en-US" w:eastAsia="zh-CN"/>
              </w:rPr>
              <w:t>2-1</w:t>
            </w:r>
            <w:r>
              <w:rPr>
                <w:sz w:val="24"/>
                <w:szCs w:val="28"/>
              </w:rPr>
              <w:t>。</w:t>
            </w:r>
          </w:p>
          <w:p w14:paraId="704F6CBC">
            <w:pPr>
              <w:pStyle w:val="2"/>
              <w:spacing w:before="0" w:after="0" w:line="360" w:lineRule="auto"/>
              <w:jc w:val="center"/>
              <w:rPr>
                <w:rFonts w:hint="eastAsia" w:eastAsia="宋体"/>
                <w:sz w:val="24"/>
                <w:szCs w:val="28"/>
                <w:lang w:eastAsia="zh-CN"/>
              </w:rPr>
            </w:pPr>
            <w:r>
              <w:rPr>
                <w:rFonts w:hint="eastAsia" w:eastAsia="宋体"/>
                <w:sz w:val="24"/>
                <w:szCs w:val="28"/>
                <w:lang w:eastAsia="zh-CN"/>
              </w:rPr>
              <w:drawing>
                <wp:inline distT="0" distB="0" distL="114300" distR="114300">
                  <wp:extent cx="5335270" cy="3006725"/>
                  <wp:effectExtent l="9525" t="9525" r="19685" b="16510"/>
                  <wp:docPr id="6" name="图片 6" descr="文字文稿1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文字文稿1_01(8)"/>
                          <pic:cNvPicPr>
                            <a:picLocks noChangeAspect="1"/>
                          </pic:cNvPicPr>
                        </pic:nvPicPr>
                        <pic:blipFill>
                          <a:blip r:embed="rId20"/>
                          <a:srcRect l="9998" t="11105" r="9855" b="56964"/>
                          <a:stretch>
                            <a:fillRect/>
                          </a:stretch>
                        </pic:blipFill>
                        <pic:spPr>
                          <a:xfrm>
                            <a:off x="0" y="0"/>
                            <a:ext cx="5335270" cy="3006725"/>
                          </a:xfrm>
                          <a:prstGeom prst="rect">
                            <a:avLst/>
                          </a:prstGeom>
                          <a:ln>
                            <a:solidFill>
                              <a:schemeClr val="tx1"/>
                            </a:solidFill>
                          </a:ln>
                        </pic:spPr>
                      </pic:pic>
                    </a:graphicData>
                  </a:graphic>
                </wp:inline>
              </w:drawing>
            </w:r>
          </w:p>
          <w:p w14:paraId="36D173BE">
            <w:pPr>
              <w:pStyle w:val="2"/>
              <w:spacing w:before="0" w:after="0" w:line="360" w:lineRule="auto"/>
              <w:ind w:firstLine="482" w:firstLineChars="200"/>
              <w:jc w:val="center"/>
              <w:rPr>
                <w:rFonts w:hint="default" w:eastAsia="宋体"/>
                <w:b/>
                <w:bCs/>
                <w:sz w:val="24"/>
                <w:szCs w:val="28"/>
                <w:lang w:val="en-US" w:eastAsia="zh-CN"/>
              </w:rPr>
            </w:pPr>
            <w:r>
              <w:rPr>
                <w:b/>
                <w:bCs/>
                <w:sz w:val="24"/>
                <w:szCs w:val="28"/>
              </w:rPr>
              <w:t xml:space="preserve">图2-1  建设项目水平衡图   </w:t>
            </w:r>
            <w:r>
              <w:rPr>
                <w:rFonts w:hint="eastAsia"/>
                <w:b/>
                <w:bCs/>
                <w:sz w:val="24"/>
                <w:szCs w:val="28"/>
                <w:lang w:val="en-US" w:eastAsia="zh-CN"/>
              </w:rPr>
              <w:t>m</w:t>
            </w:r>
            <w:r>
              <w:rPr>
                <w:rFonts w:hint="eastAsia"/>
                <w:b/>
                <w:bCs/>
                <w:sz w:val="24"/>
                <w:szCs w:val="28"/>
                <w:vertAlign w:val="superscript"/>
                <w:lang w:val="en-US" w:eastAsia="zh-CN"/>
              </w:rPr>
              <w:t>3</w:t>
            </w:r>
            <w:r>
              <w:rPr>
                <w:rFonts w:hint="eastAsia"/>
                <w:b/>
                <w:bCs/>
                <w:sz w:val="24"/>
                <w:szCs w:val="28"/>
                <w:lang w:val="en-US" w:eastAsia="zh-CN"/>
              </w:rPr>
              <w:t>/d</w:t>
            </w:r>
          </w:p>
          <w:p w14:paraId="0A65EC20">
            <w:pPr>
              <w:pStyle w:val="2"/>
              <w:spacing w:before="0" w:after="0" w:line="360" w:lineRule="auto"/>
              <w:rPr>
                <w:b/>
                <w:bCs/>
                <w:kern w:val="2"/>
                <w:sz w:val="24"/>
                <w:szCs w:val="32"/>
              </w:rPr>
            </w:pPr>
            <w:r>
              <w:rPr>
                <w:b/>
                <w:bCs/>
                <w:kern w:val="2"/>
                <w:sz w:val="24"/>
                <w:szCs w:val="32"/>
              </w:rPr>
              <w:t>2.</w:t>
            </w:r>
            <w:r>
              <w:rPr>
                <w:rFonts w:hint="eastAsia"/>
                <w:b/>
                <w:bCs/>
                <w:kern w:val="2"/>
                <w:sz w:val="24"/>
                <w:szCs w:val="32"/>
                <w:lang w:val="en-US" w:eastAsia="zh-CN"/>
              </w:rPr>
              <w:t>7</w:t>
            </w:r>
            <w:r>
              <w:rPr>
                <w:b/>
                <w:bCs/>
                <w:kern w:val="2"/>
                <w:sz w:val="24"/>
                <w:szCs w:val="32"/>
              </w:rPr>
              <w:t>劳动定员及工作制度</w:t>
            </w:r>
          </w:p>
          <w:p w14:paraId="6D7CF0A7">
            <w:pPr>
              <w:spacing w:line="360" w:lineRule="auto"/>
              <w:ind w:firstLine="480" w:firstLineChars="200"/>
              <w:rPr>
                <w:sz w:val="24"/>
                <w:szCs w:val="18"/>
              </w:rPr>
            </w:pPr>
            <w:r>
              <w:rPr>
                <w:rFonts w:hint="eastAsia"/>
                <w:sz w:val="24"/>
                <w:szCs w:val="18"/>
              </w:rPr>
              <w:t>劳动定员：项目劳动定员</w:t>
            </w:r>
            <w:r>
              <w:rPr>
                <w:rFonts w:hint="eastAsia"/>
                <w:sz w:val="24"/>
                <w:szCs w:val="18"/>
                <w:lang w:val="en-US" w:eastAsia="zh-CN"/>
              </w:rPr>
              <w:t>20</w:t>
            </w:r>
            <w:r>
              <w:rPr>
                <w:rFonts w:hint="eastAsia"/>
                <w:sz w:val="24"/>
                <w:szCs w:val="18"/>
              </w:rPr>
              <w:t>人，均</w:t>
            </w:r>
            <w:r>
              <w:rPr>
                <w:rFonts w:hint="eastAsia"/>
                <w:sz w:val="24"/>
                <w:szCs w:val="18"/>
                <w:lang w:val="en-US" w:eastAsia="zh-CN"/>
              </w:rPr>
              <w:t>不在厂区食宿</w:t>
            </w:r>
            <w:r>
              <w:rPr>
                <w:rFonts w:hint="eastAsia"/>
                <w:sz w:val="24"/>
                <w:szCs w:val="18"/>
              </w:rPr>
              <w:t>。</w:t>
            </w:r>
          </w:p>
          <w:p w14:paraId="4E452585">
            <w:pPr>
              <w:spacing w:line="360" w:lineRule="auto"/>
              <w:ind w:firstLine="480" w:firstLineChars="200"/>
              <w:rPr>
                <w:sz w:val="24"/>
                <w:szCs w:val="18"/>
              </w:rPr>
            </w:pPr>
            <w:r>
              <w:rPr>
                <w:rFonts w:hint="eastAsia"/>
                <w:sz w:val="24"/>
                <w:szCs w:val="18"/>
              </w:rPr>
              <w:t>工作制度：年工作300天，实行单班制工作制度，每班工作</w:t>
            </w:r>
            <w:r>
              <w:rPr>
                <w:rFonts w:hint="eastAsia"/>
                <w:sz w:val="24"/>
                <w:szCs w:val="18"/>
                <w:lang w:val="en-US" w:eastAsia="zh-CN"/>
              </w:rPr>
              <w:t>8</w:t>
            </w:r>
            <w:r>
              <w:rPr>
                <w:rFonts w:hint="eastAsia"/>
                <w:sz w:val="24"/>
                <w:szCs w:val="18"/>
              </w:rPr>
              <w:t>小时。</w:t>
            </w:r>
          </w:p>
          <w:p w14:paraId="3CFA5FFC">
            <w:pPr>
              <w:pStyle w:val="2"/>
              <w:spacing w:before="0" w:after="0" w:line="360" w:lineRule="auto"/>
              <w:ind w:right="0"/>
              <w:rPr>
                <w:b/>
                <w:bCs/>
                <w:sz w:val="24"/>
                <w:szCs w:val="28"/>
              </w:rPr>
            </w:pPr>
            <w:r>
              <w:rPr>
                <w:b/>
                <w:bCs/>
                <w:sz w:val="24"/>
                <w:szCs w:val="28"/>
              </w:rPr>
              <w:t>2.</w:t>
            </w:r>
            <w:r>
              <w:rPr>
                <w:rFonts w:hint="eastAsia"/>
                <w:b/>
                <w:bCs/>
                <w:sz w:val="24"/>
                <w:szCs w:val="28"/>
                <w:lang w:val="en-US" w:eastAsia="zh-CN"/>
              </w:rPr>
              <w:t>8</w:t>
            </w:r>
            <w:r>
              <w:rPr>
                <w:b/>
                <w:bCs/>
                <w:sz w:val="24"/>
                <w:szCs w:val="28"/>
              </w:rPr>
              <w:t>总平面布置</w:t>
            </w:r>
          </w:p>
          <w:p w14:paraId="5988AE04">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snapToGrid w:val="0"/>
                <w:sz w:val="24"/>
                <w:szCs w:val="24"/>
                <w:vertAlign w:val="baseline"/>
                <w:lang w:val="en-US" w:eastAsia="zh-CN"/>
              </w:rPr>
            </w:pPr>
            <w:r>
              <w:rPr>
                <w:rFonts w:hint="eastAsia" w:ascii="Times New Roman" w:hAnsi="Times New Roman" w:eastAsia="宋体" w:cs="Times New Roman"/>
                <w:kern w:val="2"/>
                <w:sz w:val="24"/>
                <w:szCs w:val="18"/>
                <w:lang w:val="en-US" w:eastAsia="zh-CN" w:bidi="ar-SA"/>
              </w:rPr>
              <w:t>项目总体呈矩形，主入口位于厂区</w:t>
            </w:r>
            <w:r>
              <w:rPr>
                <w:rFonts w:hint="eastAsia" w:ascii="Times New Roman" w:hAnsi="Times New Roman" w:cs="Times New Roman"/>
                <w:kern w:val="2"/>
                <w:sz w:val="24"/>
                <w:szCs w:val="18"/>
                <w:lang w:val="en-US" w:eastAsia="zh-CN" w:bidi="ar-SA"/>
              </w:rPr>
              <w:t>东</w:t>
            </w:r>
            <w:r>
              <w:rPr>
                <w:rFonts w:hint="eastAsia" w:ascii="Times New Roman" w:hAnsi="Times New Roman" w:eastAsia="宋体" w:cs="Times New Roman"/>
                <w:kern w:val="2"/>
                <w:sz w:val="24"/>
                <w:szCs w:val="18"/>
                <w:lang w:val="en-US" w:eastAsia="zh-CN" w:bidi="ar-SA"/>
              </w:rPr>
              <w:t>侧，紧邻</w:t>
            </w:r>
            <w:r>
              <w:rPr>
                <w:rFonts w:hint="eastAsia" w:ascii="Times New Roman" w:hAnsi="Times New Roman" w:cs="Times New Roman"/>
                <w:kern w:val="2"/>
                <w:sz w:val="24"/>
                <w:szCs w:val="18"/>
                <w:lang w:val="en-US" w:eastAsia="zh-CN" w:bidi="ar-SA"/>
              </w:rPr>
              <w:t>东三环</w:t>
            </w:r>
            <w:r>
              <w:rPr>
                <w:rFonts w:hint="eastAsia" w:ascii="Times New Roman" w:hAnsi="Times New Roman" w:eastAsia="宋体" w:cs="Times New Roman"/>
                <w:kern w:val="2"/>
                <w:sz w:val="24"/>
                <w:szCs w:val="18"/>
                <w:lang w:val="en-US" w:eastAsia="zh-CN" w:bidi="ar-SA"/>
              </w:rPr>
              <w:t>路。厂区内分为拆解区、</w:t>
            </w:r>
            <w:r>
              <w:rPr>
                <w:rFonts w:hint="eastAsia" w:ascii="Times New Roman" w:hAnsi="Times New Roman" w:cs="Times New Roman"/>
                <w:kern w:val="2"/>
                <w:sz w:val="24"/>
                <w:szCs w:val="18"/>
                <w:lang w:val="en-US" w:eastAsia="zh-CN" w:bidi="ar-SA"/>
              </w:rPr>
              <w:t>办公区、</w:t>
            </w:r>
            <w:r>
              <w:rPr>
                <w:rFonts w:hint="eastAsia" w:ascii="Times New Roman" w:hAnsi="Times New Roman" w:eastAsia="宋体" w:cs="Times New Roman"/>
                <w:kern w:val="2"/>
                <w:sz w:val="24"/>
                <w:szCs w:val="18"/>
                <w:lang w:val="en-US" w:eastAsia="zh-CN" w:bidi="ar-SA"/>
              </w:rPr>
              <w:t>固废暂存区</w:t>
            </w:r>
            <w:r>
              <w:rPr>
                <w:rFonts w:hint="eastAsia" w:ascii="Times New Roman" w:hAnsi="Times New Roman" w:cs="Times New Roman"/>
                <w:kern w:val="2"/>
                <w:sz w:val="24"/>
                <w:szCs w:val="18"/>
                <w:lang w:val="en-US" w:eastAsia="zh-CN" w:bidi="ar-SA"/>
              </w:rPr>
              <w:t>以及</w:t>
            </w:r>
            <w:r>
              <w:rPr>
                <w:rFonts w:hint="eastAsia" w:ascii="Times New Roman" w:hAnsi="Times New Roman" w:eastAsia="宋体" w:cs="Times New Roman"/>
                <w:kern w:val="2"/>
                <w:sz w:val="24"/>
                <w:szCs w:val="18"/>
                <w:lang w:val="en-US" w:eastAsia="zh-CN" w:bidi="ar-SA"/>
              </w:rPr>
              <w:t>废旧机动车暂存区。</w:t>
            </w:r>
            <w:r>
              <w:rPr>
                <w:rFonts w:hint="eastAsia" w:ascii="Times New Roman" w:hAnsi="Times New Roman" w:cs="Times New Roman"/>
                <w:kern w:val="2"/>
                <w:sz w:val="24"/>
                <w:szCs w:val="18"/>
                <w:lang w:val="en-US" w:eastAsia="zh-CN" w:bidi="ar-SA"/>
              </w:rPr>
              <w:t>拆解区位于厂区东部，主要建设1栋拆解车间，自南向北布设1条报废机动车回收拆解生产线，办公区</w:t>
            </w:r>
            <w:r>
              <w:rPr>
                <w:rFonts w:hint="eastAsia" w:ascii="Times New Roman" w:hAnsi="Times New Roman" w:eastAsia="宋体" w:cs="Times New Roman"/>
                <w:kern w:val="2"/>
                <w:sz w:val="24"/>
                <w:szCs w:val="18"/>
                <w:lang w:val="en-US" w:eastAsia="zh-CN" w:bidi="ar-SA"/>
              </w:rPr>
              <w:t>位于</w:t>
            </w:r>
            <w:r>
              <w:rPr>
                <w:rFonts w:hint="eastAsia" w:ascii="Times New Roman" w:hAnsi="Times New Roman" w:cs="Times New Roman"/>
                <w:kern w:val="2"/>
                <w:sz w:val="24"/>
                <w:szCs w:val="18"/>
                <w:lang w:val="en-US" w:eastAsia="zh-CN" w:bidi="ar-SA"/>
              </w:rPr>
              <w:t>拆解车间南侧</w:t>
            </w:r>
            <w:r>
              <w:rPr>
                <w:rFonts w:hint="eastAsia" w:ascii="Times New Roman" w:hAnsi="Times New Roman" w:eastAsia="宋体" w:cs="Times New Roman"/>
                <w:kern w:val="2"/>
                <w:sz w:val="24"/>
                <w:szCs w:val="18"/>
                <w:lang w:val="en-US" w:eastAsia="zh-CN" w:bidi="ar-SA"/>
              </w:rPr>
              <w:t>，用于日常行政办公</w:t>
            </w:r>
            <w:r>
              <w:rPr>
                <w:rFonts w:hint="eastAsia" w:ascii="Times New Roman" w:hAnsi="Times New Roman" w:cs="Times New Roman"/>
                <w:kern w:val="2"/>
                <w:sz w:val="24"/>
                <w:szCs w:val="18"/>
                <w:lang w:val="en-US" w:eastAsia="zh-CN" w:bidi="ar-SA"/>
              </w:rPr>
              <w:t>，固废暂存区位于拆解车间北侧，用于拆解过程产生的固废暂存</w:t>
            </w:r>
            <w:r>
              <w:rPr>
                <w:rFonts w:hint="eastAsia" w:ascii="Times New Roman" w:hAnsi="Times New Roman" w:eastAsia="宋体" w:cs="Times New Roman"/>
                <w:kern w:val="2"/>
                <w:sz w:val="24"/>
                <w:szCs w:val="18"/>
                <w:lang w:val="en-US" w:eastAsia="zh-CN" w:bidi="ar-SA"/>
              </w:rPr>
              <w:t>。废机动车暂存区位于</w:t>
            </w:r>
            <w:r>
              <w:rPr>
                <w:rFonts w:hint="eastAsia" w:ascii="Times New Roman" w:hAnsi="Times New Roman" w:cs="Times New Roman"/>
                <w:kern w:val="2"/>
                <w:sz w:val="24"/>
                <w:szCs w:val="18"/>
                <w:lang w:val="en-US" w:eastAsia="zh-CN" w:bidi="ar-SA"/>
              </w:rPr>
              <w:t>厂区西部，自北向南依次为报废摩托车、报废大型燃油车、报废小型燃油车以及报废新能源汽车暂存区</w:t>
            </w:r>
            <w:r>
              <w:rPr>
                <w:rFonts w:hint="eastAsia" w:ascii="Times New Roman" w:hAnsi="Times New Roman" w:eastAsia="宋体" w:cs="Times New Roman"/>
                <w:kern w:val="2"/>
                <w:sz w:val="24"/>
                <w:szCs w:val="18"/>
                <w:lang w:val="en-US" w:eastAsia="zh-CN" w:bidi="ar-SA"/>
              </w:rPr>
              <w:t>。厂区</w:t>
            </w:r>
            <w:r>
              <w:rPr>
                <w:rFonts w:hint="eastAsia" w:ascii="Times New Roman" w:hAnsi="Times New Roman" w:cs="Times New Roman"/>
                <w:kern w:val="2"/>
                <w:sz w:val="24"/>
                <w:szCs w:val="18"/>
                <w:lang w:val="en-US" w:eastAsia="zh-CN" w:bidi="ar-SA"/>
              </w:rPr>
              <w:t>西北角</w:t>
            </w:r>
            <w:r>
              <w:rPr>
                <w:rFonts w:hint="eastAsia" w:ascii="Times New Roman" w:hAnsi="Times New Roman" w:eastAsia="宋体" w:cs="Times New Roman"/>
                <w:kern w:val="2"/>
                <w:sz w:val="24"/>
                <w:szCs w:val="18"/>
                <w:lang w:val="en-US" w:eastAsia="zh-CN" w:bidi="ar-SA"/>
              </w:rPr>
              <w:t>配套建设污水处理站</w:t>
            </w:r>
            <w:r>
              <w:rPr>
                <w:rFonts w:hint="eastAsia" w:ascii="Times New Roman" w:hAnsi="Times New Roman" w:cs="Times New Roman"/>
                <w:kern w:val="2"/>
                <w:sz w:val="24"/>
                <w:szCs w:val="18"/>
                <w:lang w:val="en-US" w:eastAsia="zh-CN" w:bidi="ar-SA"/>
              </w:rPr>
              <w:t>及</w:t>
            </w:r>
            <w:r>
              <w:rPr>
                <w:rFonts w:hint="eastAsia" w:ascii="Times New Roman" w:hAnsi="Times New Roman" w:eastAsia="宋体" w:cs="Times New Roman"/>
                <w:kern w:val="2"/>
                <w:sz w:val="24"/>
                <w:szCs w:val="18"/>
                <w:lang w:val="en-US" w:eastAsia="zh-CN" w:bidi="ar-SA"/>
              </w:rPr>
              <w:t>应急事故池。（建设项目总平面布置图见附图三）</w:t>
            </w:r>
          </w:p>
        </w:tc>
      </w:tr>
      <w:tr w14:paraId="5A04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3" w:hRule="atLeast"/>
        </w:trPr>
        <w:tc>
          <w:tcPr>
            <w:tcW w:w="961" w:type="dxa"/>
            <w:vAlign w:val="center"/>
          </w:tcPr>
          <w:p w14:paraId="6C95DAA8">
            <w:pPr>
              <w:pStyle w:val="20"/>
              <w:adjustRightInd w:val="0"/>
              <w:snapToGrid w:val="0"/>
              <w:spacing w:before="0" w:beforeAutospacing="0" w:after="0" w:afterAutospacing="0"/>
              <w:jc w:val="center"/>
              <w:rPr>
                <w:rFonts w:hint="default" w:ascii="Times New Roman" w:hAnsi="Times New Roman" w:eastAsia="宋体"/>
                <w:snapToGrid w:val="0"/>
                <w:sz w:val="24"/>
                <w:szCs w:val="24"/>
                <w:vertAlign w:val="baseline"/>
                <w:lang w:val="en-US" w:eastAsia="zh-CN"/>
              </w:rPr>
            </w:pPr>
            <w:r>
              <w:rPr>
                <w:rFonts w:ascii="Times New Roman" w:hAnsi="Times New Roman"/>
                <w:sz w:val="21"/>
                <w:szCs w:val="21"/>
              </w:rPr>
              <w:t>工艺流程和产排污环节</w:t>
            </w:r>
          </w:p>
        </w:tc>
        <w:tc>
          <w:tcPr>
            <w:tcW w:w="8099" w:type="dxa"/>
            <w:vAlign w:val="top"/>
          </w:tcPr>
          <w:p w14:paraId="040B6357">
            <w:pPr>
              <w:spacing w:line="360" w:lineRule="auto"/>
              <w:rPr>
                <w:b/>
                <w:sz w:val="24"/>
              </w:rPr>
            </w:pPr>
            <w:r>
              <w:rPr>
                <w:b/>
                <w:sz w:val="24"/>
              </w:rPr>
              <w:t>2.</w:t>
            </w:r>
            <w:r>
              <w:rPr>
                <w:rFonts w:hint="eastAsia"/>
                <w:b/>
                <w:sz w:val="24"/>
                <w:lang w:val="en-US" w:eastAsia="zh-CN"/>
              </w:rPr>
              <w:t>9</w:t>
            </w:r>
            <w:r>
              <w:rPr>
                <w:b/>
                <w:sz w:val="24"/>
              </w:rPr>
              <w:t>施工期工艺流程分析</w:t>
            </w:r>
          </w:p>
          <w:p w14:paraId="72781D5D">
            <w:pPr>
              <w:adjustRightInd w:val="0"/>
              <w:snapToGrid w:val="0"/>
              <w:spacing w:line="360" w:lineRule="auto"/>
              <w:ind w:firstLine="480" w:firstLineChars="200"/>
              <w:rPr>
                <w:rFonts w:hint="eastAsia"/>
                <w:sz w:val="24"/>
                <w:szCs w:val="32"/>
              </w:rPr>
            </w:pPr>
            <w:r>
              <w:rPr>
                <w:rFonts w:hint="eastAsia"/>
                <w:sz w:val="24"/>
                <w:szCs w:val="32"/>
              </w:rPr>
              <w:t>本项目施工期主要进行设备安装及调试，工期较短，因此本次评价不对施工期工艺流程进行分析。</w:t>
            </w:r>
          </w:p>
          <w:p w14:paraId="482DA73F">
            <w:pPr>
              <w:adjustRightInd w:val="0"/>
              <w:snapToGrid w:val="0"/>
              <w:spacing w:line="360" w:lineRule="auto"/>
              <w:rPr>
                <w:b/>
                <w:sz w:val="24"/>
              </w:rPr>
            </w:pPr>
            <w:r>
              <w:rPr>
                <w:b/>
                <w:sz w:val="24"/>
              </w:rPr>
              <w:t>2.</w:t>
            </w:r>
            <w:r>
              <w:rPr>
                <w:rFonts w:hint="eastAsia"/>
                <w:b/>
                <w:sz w:val="24"/>
                <w:lang w:val="en-US" w:eastAsia="zh-CN"/>
              </w:rPr>
              <w:t>10</w:t>
            </w:r>
            <w:r>
              <w:rPr>
                <w:b/>
                <w:sz w:val="24"/>
              </w:rPr>
              <w:t>营运期工艺流程分析</w:t>
            </w:r>
          </w:p>
          <w:p w14:paraId="6E57EC2F">
            <w:pPr>
              <w:adjustRightInd w:val="0"/>
              <w:snapToGrid w:val="0"/>
              <w:spacing w:line="360" w:lineRule="auto"/>
              <w:rPr>
                <w:rFonts w:hint="eastAsia"/>
                <w:b/>
                <w:sz w:val="24"/>
              </w:rPr>
            </w:pPr>
            <w:r>
              <w:rPr>
                <w:rFonts w:hint="eastAsia"/>
                <w:b/>
                <w:sz w:val="24"/>
              </w:rPr>
              <w:t>2.</w:t>
            </w:r>
            <w:r>
              <w:rPr>
                <w:rFonts w:hint="eastAsia"/>
                <w:b/>
                <w:sz w:val="24"/>
                <w:lang w:val="en-US" w:eastAsia="zh-CN"/>
              </w:rPr>
              <w:t>10</w:t>
            </w:r>
            <w:r>
              <w:rPr>
                <w:rFonts w:hint="eastAsia"/>
                <w:b/>
                <w:sz w:val="24"/>
              </w:rPr>
              <w:t>.1</w:t>
            </w:r>
            <w:r>
              <w:rPr>
                <w:rFonts w:hint="eastAsia"/>
                <w:b/>
                <w:sz w:val="24"/>
                <w:lang w:val="en-US" w:eastAsia="zh-CN"/>
              </w:rPr>
              <w:t>报废机动车拆解生产</w:t>
            </w:r>
            <w:r>
              <w:rPr>
                <w:rFonts w:hint="eastAsia"/>
                <w:b/>
                <w:sz w:val="24"/>
              </w:rPr>
              <w:t>工艺流程分析</w:t>
            </w:r>
          </w:p>
          <w:p w14:paraId="10E83068">
            <w:pPr>
              <w:spacing w:line="360" w:lineRule="auto"/>
              <w:ind w:firstLine="480"/>
              <w:rPr>
                <w:rFonts w:hint="eastAsia" w:ascii="Times New Roman" w:hAnsi="Times New Roman" w:eastAsia="宋体" w:cs="Times New Roman"/>
                <w:bCs/>
                <w:sz w:val="24"/>
                <w:lang w:val="en-US" w:eastAsia="zh-CN"/>
              </w:rPr>
            </w:pPr>
            <w:r>
              <w:rPr>
                <w:rFonts w:hint="eastAsia" w:cs="Times New Roman"/>
                <w:bCs/>
                <w:sz w:val="24"/>
                <w:lang w:val="en-US" w:eastAsia="zh-CN"/>
              </w:rPr>
              <w:t>燃油机动车拆解</w:t>
            </w:r>
            <w:r>
              <w:rPr>
                <w:rFonts w:hint="eastAsia" w:ascii="Times New Roman" w:hAnsi="Times New Roman" w:eastAsia="宋体" w:cs="Times New Roman"/>
                <w:bCs/>
                <w:sz w:val="24"/>
                <w:lang w:val="en-US" w:eastAsia="zh-CN"/>
              </w:rPr>
              <w:t>生产</w:t>
            </w:r>
            <w:r>
              <w:rPr>
                <w:rFonts w:ascii="Times New Roman" w:hAnsi="Times New Roman" w:eastAsia="宋体" w:cs="Times New Roman"/>
                <w:bCs/>
                <w:sz w:val="24"/>
              </w:rPr>
              <w:t>工艺流程</w:t>
            </w:r>
            <w:r>
              <w:rPr>
                <w:rFonts w:hint="eastAsia" w:eastAsia="宋体" w:cs="Times New Roman"/>
                <w:bCs/>
                <w:sz w:val="24"/>
                <w:lang w:val="en-US" w:eastAsia="zh-CN"/>
              </w:rPr>
              <w:t>及</w:t>
            </w:r>
            <w:r>
              <w:rPr>
                <w:rFonts w:ascii="Times New Roman" w:hAnsi="Times New Roman" w:eastAsia="宋体" w:cs="Times New Roman"/>
                <w:bCs/>
                <w:sz w:val="24"/>
              </w:rPr>
              <w:t>产污</w:t>
            </w:r>
            <w:r>
              <w:rPr>
                <w:rFonts w:hint="eastAsia" w:ascii="Times New Roman" w:hAnsi="Times New Roman" w:eastAsia="宋体" w:cs="Times New Roman"/>
                <w:bCs/>
                <w:sz w:val="24"/>
                <w:lang w:val="en-US" w:eastAsia="zh-CN"/>
              </w:rPr>
              <w:t>环节</w:t>
            </w:r>
            <w:r>
              <w:rPr>
                <w:rFonts w:ascii="Times New Roman" w:hAnsi="Times New Roman" w:eastAsia="宋体" w:cs="Times New Roman"/>
                <w:bCs/>
                <w:sz w:val="24"/>
              </w:rPr>
              <w:t>见图2-</w:t>
            </w:r>
            <w:r>
              <w:rPr>
                <w:rFonts w:hint="eastAsia" w:cs="Times New Roman"/>
                <w:bCs/>
                <w:sz w:val="24"/>
                <w:lang w:val="en-US" w:eastAsia="zh-CN"/>
              </w:rPr>
              <w:t>2</w:t>
            </w:r>
            <w:r>
              <w:rPr>
                <w:rFonts w:hint="eastAsia" w:eastAsia="宋体" w:cs="Times New Roman"/>
                <w:bCs/>
                <w:sz w:val="24"/>
                <w:lang w:val="en-US" w:eastAsia="zh-CN"/>
              </w:rPr>
              <w:t>，新能源汽车拆解生产工艺流程及产污环节见图2-</w:t>
            </w:r>
            <w:r>
              <w:rPr>
                <w:rFonts w:hint="eastAsia" w:cs="Times New Roman"/>
                <w:bCs/>
                <w:sz w:val="24"/>
                <w:lang w:val="en-US" w:eastAsia="zh-CN"/>
              </w:rPr>
              <w:t>3</w:t>
            </w:r>
            <w:r>
              <w:rPr>
                <w:rFonts w:hint="eastAsia" w:ascii="Times New Roman" w:hAnsi="Times New Roman" w:eastAsia="宋体" w:cs="Times New Roman"/>
                <w:bCs/>
                <w:sz w:val="24"/>
                <w:lang w:val="en-US" w:eastAsia="zh-CN"/>
              </w:rPr>
              <w:t>。</w:t>
            </w:r>
          </w:p>
          <w:p w14:paraId="6EDFD0B5">
            <w:pPr>
              <w:spacing w:line="360" w:lineRule="auto"/>
              <w:rPr>
                <w:rFonts w:hint="eastAsia" w:ascii="Times New Roman" w:hAnsi="Times New Roman" w:eastAsia="宋体" w:cs="Times New Roman"/>
                <w:bCs/>
                <w:sz w:val="24"/>
                <w:lang w:val="en-US" w:eastAsia="zh-CN"/>
              </w:rPr>
            </w:pPr>
            <w:r>
              <w:drawing>
                <wp:inline distT="0" distB="0" distL="114300" distR="114300">
                  <wp:extent cx="5363210" cy="3157220"/>
                  <wp:effectExtent l="9525" t="9525" r="12065" b="20955"/>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21"/>
                          <a:stretch>
                            <a:fillRect/>
                          </a:stretch>
                        </pic:blipFill>
                        <pic:spPr>
                          <a:xfrm>
                            <a:off x="0" y="0"/>
                            <a:ext cx="5363210" cy="3157220"/>
                          </a:xfrm>
                          <a:prstGeom prst="rect">
                            <a:avLst/>
                          </a:prstGeom>
                          <a:noFill/>
                          <a:ln>
                            <a:solidFill>
                              <a:schemeClr val="tx1"/>
                            </a:solidFill>
                          </a:ln>
                        </pic:spPr>
                      </pic:pic>
                    </a:graphicData>
                  </a:graphic>
                </wp:inline>
              </w:drawing>
            </w:r>
          </w:p>
          <w:p w14:paraId="431F6E55">
            <w:pPr>
              <w:adjustRightInd w:val="0"/>
              <w:snapToGrid w:val="0"/>
              <w:spacing w:line="360" w:lineRule="auto"/>
              <w:jc w:val="center"/>
              <w:rPr>
                <w:rFonts w:hint="eastAsia"/>
                <w:b/>
                <w:sz w:val="24"/>
              </w:rPr>
            </w:pPr>
            <w:r>
              <w:rPr>
                <w:rFonts w:hint="eastAsia"/>
                <w:b/>
                <w:sz w:val="24"/>
              </w:rPr>
              <w:t>图2-</w:t>
            </w:r>
            <w:r>
              <w:rPr>
                <w:rFonts w:hint="eastAsia"/>
                <w:b/>
                <w:sz w:val="24"/>
                <w:lang w:val="en-US" w:eastAsia="zh-CN"/>
              </w:rPr>
              <w:t>2</w:t>
            </w:r>
            <w:r>
              <w:rPr>
                <w:rFonts w:hint="eastAsia"/>
                <w:b/>
                <w:sz w:val="24"/>
              </w:rPr>
              <w:t xml:space="preserve"> </w:t>
            </w:r>
            <w:r>
              <w:rPr>
                <w:rFonts w:hint="eastAsia"/>
                <w:b/>
                <w:color w:val="FF0000"/>
                <w:sz w:val="24"/>
              </w:rPr>
              <w:t xml:space="preserve"> </w:t>
            </w:r>
            <w:r>
              <w:rPr>
                <w:rFonts w:hint="eastAsia"/>
                <w:b/>
                <w:color w:val="auto"/>
                <w:sz w:val="24"/>
                <w:lang w:val="en-US" w:eastAsia="zh-CN"/>
              </w:rPr>
              <w:t>报废燃油机动车拆解生产</w:t>
            </w:r>
            <w:r>
              <w:rPr>
                <w:rFonts w:hint="eastAsia"/>
                <w:b/>
                <w:color w:val="auto"/>
                <w:sz w:val="24"/>
              </w:rPr>
              <w:t>工艺流程及产污节点图</w:t>
            </w:r>
          </w:p>
          <w:p w14:paraId="017EA09C">
            <w:pPr>
              <w:adjustRightInd w:val="0"/>
              <w:snapToGrid w:val="0"/>
              <w:spacing w:before="120" w:beforeLines="50" w:line="360" w:lineRule="auto"/>
              <w:ind w:firstLine="482" w:firstLineChars="200"/>
              <w:rPr>
                <w:rFonts w:hint="eastAsia"/>
                <w:b/>
                <w:sz w:val="24"/>
              </w:rPr>
            </w:pPr>
          </w:p>
          <w:p w14:paraId="4BA2C261">
            <w:pPr>
              <w:adjustRightInd w:val="0"/>
              <w:snapToGrid w:val="0"/>
              <w:spacing w:before="120" w:beforeLines="50" w:line="360" w:lineRule="auto"/>
              <w:rPr>
                <w:rFonts w:hint="eastAsia"/>
                <w:b/>
                <w:sz w:val="24"/>
              </w:rPr>
            </w:pPr>
            <w:r>
              <w:drawing>
                <wp:inline distT="0" distB="0" distL="114300" distR="114300">
                  <wp:extent cx="5316220" cy="3061335"/>
                  <wp:effectExtent l="9525" t="9525" r="20955" b="1524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22"/>
                          <a:srcRect b="5634"/>
                          <a:stretch>
                            <a:fillRect/>
                          </a:stretch>
                        </pic:blipFill>
                        <pic:spPr>
                          <a:xfrm>
                            <a:off x="0" y="0"/>
                            <a:ext cx="5316220" cy="3061335"/>
                          </a:xfrm>
                          <a:prstGeom prst="rect">
                            <a:avLst/>
                          </a:prstGeom>
                          <a:noFill/>
                          <a:ln>
                            <a:solidFill>
                              <a:schemeClr val="tx1"/>
                            </a:solidFill>
                          </a:ln>
                        </pic:spPr>
                      </pic:pic>
                    </a:graphicData>
                  </a:graphic>
                </wp:inline>
              </w:drawing>
            </w:r>
          </w:p>
          <w:p w14:paraId="41773D91">
            <w:pPr>
              <w:adjustRightInd w:val="0"/>
              <w:snapToGrid w:val="0"/>
              <w:spacing w:line="360" w:lineRule="auto"/>
              <w:jc w:val="center"/>
              <w:rPr>
                <w:rFonts w:hint="eastAsia"/>
                <w:b/>
                <w:sz w:val="24"/>
              </w:rPr>
            </w:pPr>
            <w:r>
              <w:rPr>
                <w:rFonts w:hint="eastAsia"/>
                <w:b/>
                <w:sz w:val="24"/>
              </w:rPr>
              <w:t>图2-</w:t>
            </w:r>
            <w:r>
              <w:rPr>
                <w:rFonts w:hint="eastAsia"/>
                <w:b/>
                <w:sz w:val="24"/>
                <w:lang w:val="en-US" w:eastAsia="zh-CN"/>
              </w:rPr>
              <w:t>3</w:t>
            </w:r>
            <w:r>
              <w:rPr>
                <w:rFonts w:hint="eastAsia"/>
                <w:b/>
                <w:sz w:val="24"/>
              </w:rPr>
              <w:t xml:space="preserve"> </w:t>
            </w:r>
            <w:r>
              <w:rPr>
                <w:rFonts w:hint="eastAsia"/>
                <w:b/>
                <w:color w:val="FF0000"/>
                <w:sz w:val="24"/>
              </w:rPr>
              <w:t xml:space="preserve"> </w:t>
            </w:r>
            <w:r>
              <w:rPr>
                <w:rFonts w:hint="eastAsia"/>
                <w:b/>
                <w:color w:val="auto"/>
                <w:sz w:val="24"/>
                <w:lang w:val="en-US" w:eastAsia="zh-CN"/>
              </w:rPr>
              <w:t>报废</w:t>
            </w:r>
            <w:r>
              <w:rPr>
                <w:rFonts w:hint="eastAsia" w:eastAsia="宋体"/>
                <w:b/>
                <w:color w:val="auto"/>
                <w:sz w:val="24"/>
                <w:lang w:val="en-US" w:eastAsia="zh-CN"/>
              </w:rPr>
              <w:t>新能源汽车</w:t>
            </w:r>
            <w:r>
              <w:rPr>
                <w:rFonts w:hint="eastAsia"/>
                <w:b/>
                <w:color w:val="auto"/>
                <w:sz w:val="24"/>
                <w:lang w:val="en-US" w:eastAsia="zh-CN"/>
              </w:rPr>
              <w:t>拆解生产</w:t>
            </w:r>
            <w:r>
              <w:rPr>
                <w:rFonts w:hint="eastAsia"/>
                <w:b/>
                <w:color w:val="auto"/>
                <w:sz w:val="24"/>
              </w:rPr>
              <w:t>工艺流程及产污节点图</w:t>
            </w:r>
          </w:p>
          <w:p w14:paraId="215354C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eastAsia="宋体"/>
                <w:b/>
                <w:sz w:val="24"/>
                <w:lang w:eastAsia="zh-CN"/>
              </w:rPr>
            </w:pPr>
            <w:r>
              <w:rPr>
                <w:rFonts w:hint="eastAsia"/>
                <w:b/>
                <w:sz w:val="24"/>
              </w:rPr>
              <w:t>工艺流程简述</w:t>
            </w:r>
            <w:r>
              <w:rPr>
                <w:rFonts w:hint="eastAsia"/>
                <w:b/>
                <w:sz w:val="24"/>
                <w:lang w:eastAsia="zh-CN"/>
              </w:rPr>
              <w:t>：</w:t>
            </w:r>
          </w:p>
          <w:p w14:paraId="39F741A0">
            <w:pPr>
              <w:spacing w:line="360" w:lineRule="auto"/>
              <w:ind w:firstLine="480"/>
              <w:rPr>
                <w:rFonts w:hint="default" w:ascii="Times New Roman" w:hAnsi="Times New Roman" w:eastAsia="宋体" w:cs="Times New Roman"/>
                <w:bCs/>
                <w:sz w:val="24"/>
                <w:lang w:val="en-US" w:eastAsia="zh-CN"/>
              </w:rPr>
            </w:pPr>
            <w:r>
              <w:rPr>
                <w:rFonts w:hint="eastAsia" w:eastAsia="宋体" w:cs="Times New Roman"/>
                <w:b/>
                <w:bCs w:val="0"/>
                <w:sz w:val="24"/>
                <w:lang w:val="en-US" w:eastAsia="zh-CN"/>
              </w:rPr>
              <w:t>（1）检查和登记</w:t>
            </w:r>
          </w:p>
          <w:p w14:paraId="720106A5">
            <w:pPr>
              <w:spacing w:line="360" w:lineRule="auto"/>
              <w:ind w:firstLine="480"/>
              <w:rPr>
                <w:rFonts w:ascii="Times New Roman" w:hAnsi="Times New Roman" w:eastAsia="宋体" w:cs="Times New Roman"/>
                <w:bCs/>
                <w:sz w:val="24"/>
              </w:rPr>
            </w:pPr>
            <w:r>
              <w:rPr>
                <w:rFonts w:hint="default" w:ascii="Times New Roman" w:hAnsi="Times New Roman" w:eastAsia="宋体" w:cs="Times New Roman"/>
                <w:bCs/>
                <w:sz w:val="24"/>
                <w:lang w:val="en-US" w:eastAsia="zh-CN"/>
              </w:rPr>
              <w:t xml:space="preserve">建设单位应根据《报废机动车回收管理办法实施细则》（商务部令2020年第2号）开展报废机动车检查与登记工作。 </w:t>
            </w:r>
          </w:p>
          <w:p w14:paraId="044A26E6">
            <w:pPr>
              <w:spacing w:line="360" w:lineRule="auto"/>
              <w:ind w:firstLine="480"/>
              <w:rPr>
                <w:rFonts w:ascii="Times New Roman" w:hAnsi="Times New Roman" w:eastAsia="宋体" w:cs="Times New Roman"/>
                <w:bCs/>
                <w:sz w:val="24"/>
              </w:rPr>
            </w:pPr>
            <w:r>
              <w:rPr>
                <w:rFonts w:hint="default" w:ascii="Times New Roman" w:hAnsi="Times New Roman" w:eastAsia="宋体" w:cs="Times New Roman"/>
                <w:bCs/>
                <w:sz w:val="24"/>
                <w:lang w:val="en-US" w:eastAsia="zh-CN"/>
              </w:rPr>
              <w:t xml:space="preserve">①收到报废机动车后，应检查发动机、散热器、变速器、变速器、油箱和燃料罐等总成部件的密封、破损情况。对于出现泄漏的总成部件，应采取适当的方式收集泄漏的液体或封住泄漏处，防止废液渗入地下。 </w:t>
            </w:r>
          </w:p>
          <w:p w14:paraId="28C68898">
            <w:pPr>
              <w:spacing w:line="360" w:lineRule="auto"/>
              <w:ind w:firstLine="480"/>
              <w:rPr>
                <w:rFonts w:ascii="Times New Roman" w:hAnsi="Times New Roman" w:eastAsia="宋体" w:cs="Times New Roman"/>
                <w:bCs/>
                <w:sz w:val="24"/>
              </w:rPr>
            </w:pPr>
            <w:r>
              <w:rPr>
                <w:rFonts w:hint="default" w:ascii="Times New Roman" w:hAnsi="Times New Roman" w:eastAsia="宋体" w:cs="Times New Roman"/>
                <w:bCs/>
                <w:sz w:val="24"/>
                <w:lang w:val="en-US" w:eastAsia="zh-CN"/>
              </w:rPr>
              <w:t xml:space="preserve">②对报废电动汽车，应检查动力蓄电池和驱动电机等部件的密封和破损情况。对于出现动力蓄电池破损、电极头和线束裸露等存在漏电风险的，应采取适当的方式进行绝缘处理。 </w:t>
            </w:r>
          </w:p>
          <w:p w14:paraId="16A9E0D9">
            <w:pPr>
              <w:spacing w:line="360" w:lineRule="auto"/>
              <w:ind w:firstLine="480"/>
              <w:rPr>
                <w:rFonts w:ascii="Times New Roman" w:hAnsi="Times New Roman" w:eastAsia="宋体" w:cs="Times New Roman"/>
                <w:bCs/>
                <w:sz w:val="24"/>
              </w:rPr>
            </w:pPr>
            <w:r>
              <w:rPr>
                <w:rFonts w:hint="default" w:ascii="Times New Roman" w:hAnsi="Times New Roman" w:eastAsia="宋体" w:cs="Times New Roman"/>
                <w:bCs/>
                <w:sz w:val="24"/>
                <w:lang w:val="en-US" w:eastAsia="zh-CN"/>
              </w:rPr>
              <w:t xml:space="preserve">③在回收报废机动车时，应当核验机动车所有人有效身份证件，逐车登记机动车型号、号牌号码、车辆识别代号、发动机号等信息，并收回机动车登记证书原件、机动车行驶证原件、机动车号牌。回收拆解企业应当核对报废机动车的车辆型号、号牌号码、车辆识别代号、发动机号等实车信息是否与机动车登记证书、机动车行驶证记载的信息一致。 </w:t>
            </w:r>
          </w:p>
          <w:p w14:paraId="4238E812">
            <w:pPr>
              <w:spacing w:line="360" w:lineRule="auto"/>
              <w:ind w:firstLine="480"/>
              <w:rPr>
                <w:rFonts w:ascii="Times New Roman" w:hAnsi="Times New Roman" w:eastAsia="宋体" w:cs="Times New Roman"/>
                <w:bCs/>
                <w:sz w:val="24"/>
              </w:rPr>
            </w:pPr>
            <w:r>
              <w:rPr>
                <w:rFonts w:hint="default" w:ascii="Times New Roman" w:hAnsi="Times New Roman" w:eastAsia="宋体" w:cs="Times New Roman"/>
                <w:bCs/>
                <w:sz w:val="24"/>
                <w:lang w:val="en-US" w:eastAsia="zh-CN"/>
              </w:rPr>
              <w:t>④在回收报废机动车后，应当通过</w:t>
            </w:r>
            <w:r>
              <w:rPr>
                <w:rFonts w:hint="eastAsia" w:eastAsia="宋体" w:cs="Times New Roman"/>
                <w:bCs/>
                <w:sz w:val="24"/>
                <w:lang w:val="en-US" w:eastAsia="zh-CN"/>
              </w:rPr>
              <w:t>“</w:t>
            </w:r>
            <w:r>
              <w:rPr>
                <w:rFonts w:hint="default" w:ascii="Times New Roman" w:hAnsi="Times New Roman" w:eastAsia="宋体" w:cs="Times New Roman"/>
                <w:bCs/>
                <w:sz w:val="24"/>
                <w:lang w:val="en-US" w:eastAsia="zh-CN"/>
              </w:rPr>
              <w:t>全国汽车流通信息管理应用服务</w:t>
            </w:r>
            <w:r>
              <w:rPr>
                <w:rFonts w:hint="eastAsia" w:eastAsia="宋体" w:cs="Times New Roman"/>
                <w:bCs/>
                <w:sz w:val="24"/>
                <w:lang w:val="en-US" w:eastAsia="zh-CN"/>
              </w:rPr>
              <w:t>”</w:t>
            </w:r>
            <w:r>
              <w:rPr>
                <w:rFonts w:hint="default" w:ascii="Times New Roman" w:hAnsi="Times New Roman" w:eastAsia="宋体" w:cs="Times New Roman"/>
                <w:bCs/>
                <w:sz w:val="24"/>
                <w:lang w:val="en-US" w:eastAsia="zh-CN"/>
              </w:rPr>
              <w:t xml:space="preserve">系统如实录入机动车信息，打印《报废机动车回收证明》，上传机动车拆解前照片，机动车拆解后，上传拆解后照片。上传的照片应当包括机动车拆解前整体外观、拆解后状况以及车辆识别代号等特征。对按照规定应当在公安机关监督下解体的报废机动车，回收拆解企业应当在机动车拆解后，打印《报废机动车回收证明》。 </w:t>
            </w:r>
          </w:p>
          <w:p w14:paraId="5D2DFC3A">
            <w:pPr>
              <w:spacing w:line="360" w:lineRule="auto"/>
              <w:ind w:firstLine="480"/>
              <w:rPr>
                <w:rFonts w:ascii="Times New Roman" w:hAnsi="Times New Roman" w:eastAsia="宋体" w:cs="Times New Roman"/>
                <w:b/>
                <w:bCs w:val="0"/>
                <w:sz w:val="24"/>
              </w:rPr>
            </w:pPr>
            <w:r>
              <w:rPr>
                <w:rFonts w:hint="default" w:ascii="Times New Roman" w:hAnsi="Times New Roman" w:eastAsia="宋体" w:cs="Times New Roman"/>
                <w:b/>
                <w:bCs w:val="0"/>
                <w:sz w:val="24"/>
                <w:lang w:val="en-US" w:eastAsia="zh-CN"/>
              </w:rPr>
              <w:t xml:space="preserve">（2）拆解预处理 </w:t>
            </w:r>
          </w:p>
          <w:p w14:paraId="121030C3">
            <w:pPr>
              <w:spacing w:line="360" w:lineRule="auto"/>
              <w:ind w:firstLine="480"/>
              <w:rPr>
                <w:rFonts w:ascii="Times New Roman" w:hAnsi="Times New Roman" w:eastAsia="宋体" w:cs="Times New Roman"/>
                <w:bCs/>
                <w:sz w:val="24"/>
              </w:rPr>
            </w:pPr>
            <w:r>
              <w:rPr>
                <w:rFonts w:hint="default" w:ascii="Times New Roman" w:hAnsi="Times New Roman" w:eastAsia="宋体" w:cs="Times New Roman"/>
                <w:b/>
                <w:bCs w:val="0"/>
                <w:sz w:val="24"/>
                <w:lang w:val="en-US" w:eastAsia="zh-CN"/>
              </w:rPr>
              <w:t>传统燃油机动车拆解预处理：</w:t>
            </w:r>
            <w:r>
              <w:rPr>
                <w:rFonts w:hint="default" w:ascii="Times New Roman" w:hAnsi="Times New Roman" w:eastAsia="宋体" w:cs="Times New Roman"/>
                <w:bCs/>
                <w:sz w:val="24"/>
                <w:lang w:val="en-US" w:eastAsia="zh-CN"/>
              </w:rPr>
              <w:t xml:space="preserve"> </w:t>
            </w:r>
          </w:p>
          <w:p w14:paraId="67EB1A87">
            <w:pPr>
              <w:spacing w:line="360" w:lineRule="auto"/>
              <w:ind w:firstLine="480"/>
              <w:rPr>
                <w:rFonts w:ascii="Times New Roman" w:hAnsi="Times New Roman" w:eastAsia="宋体" w:cs="Times New Roman"/>
                <w:bCs/>
                <w:sz w:val="24"/>
              </w:rPr>
            </w:pPr>
            <w:r>
              <w:rPr>
                <w:rFonts w:hint="default" w:ascii="Times New Roman" w:hAnsi="Times New Roman" w:eastAsia="宋体" w:cs="Times New Roman"/>
                <w:bCs/>
                <w:sz w:val="24"/>
                <w:lang w:val="en-US" w:eastAsia="zh-CN"/>
              </w:rPr>
              <w:t xml:space="preserve">根据《报废汽车回收拆解企业技术规范》（GB22128-2019）要求，传统燃油机动车拆解预处理工序如下。 </w:t>
            </w:r>
          </w:p>
          <w:p w14:paraId="26E01BF0">
            <w:pPr>
              <w:spacing w:line="360" w:lineRule="auto"/>
              <w:ind w:firstLine="480"/>
              <w:rPr>
                <w:rFonts w:hint="eastAsia" w:eastAsia="宋体" w:cs="Times New Roman"/>
                <w:bCs/>
                <w:sz w:val="24"/>
                <w:lang w:val="en-US" w:eastAsia="zh-CN"/>
              </w:rPr>
            </w:pPr>
            <w:r>
              <w:rPr>
                <w:rFonts w:hint="default" w:ascii="Times New Roman" w:hAnsi="Times New Roman" w:eastAsia="宋体" w:cs="Times New Roman"/>
                <w:bCs/>
                <w:sz w:val="24"/>
                <w:lang w:val="en-US" w:eastAsia="zh-CN"/>
              </w:rPr>
              <w:t>①在室内的拆解预处理平台使用专用工具排空存留在车内的废液，并使用专用容器分类回收</w:t>
            </w:r>
            <w:r>
              <w:rPr>
                <w:rFonts w:hint="eastAsia" w:eastAsia="宋体" w:cs="Times New Roman"/>
                <w:bCs/>
                <w:sz w:val="24"/>
                <w:lang w:val="en-US" w:eastAsia="zh-CN"/>
              </w:rPr>
              <w:t>。</w:t>
            </w:r>
          </w:p>
          <w:p w14:paraId="53CB55EE">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在室内拆解预处理平台使用专用工具和容器排空和收集车内的废液。车辆型号不同，所含的液体种类和体量也不同。汽车内不同的废液存储在不同位置，本项目采取密封真空抽排工艺抽排汽车中各类液体，抽液吸盘吸住液箱底部，内置防爆钻头开孔，气动真空抽排系统抽排液体；抽排过程中保持设备密闭，抽排完毕后人工用塑料塞塞住开孔。</w:t>
            </w:r>
            <w:r>
              <w:rPr>
                <w:rFonts w:hint="eastAsia" w:eastAsia="宋体" w:cs="Times New Roman"/>
                <w:bCs/>
                <w:sz w:val="24"/>
                <w:lang w:val="en-US" w:eastAsia="zh-CN"/>
              </w:rPr>
              <w:t>汽车拆解各类废旧液体抽取方式见下表。</w:t>
            </w:r>
          </w:p>
          <w:p w14:paraId="751F1A4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s="Times New Roman"/>
                <w:b/>
                <w:bCs w:val="0"/>
                <w:sz w:val="21"/>
                <w:szCs w:val="21"/>
                <w:lang w:val="en-US" w:eastAsia="zh-CN"/>
              </w:rPr>
            </w:pPr>
            <w:r>
              <w:rPr>
                <w:rFonts w:hint="eastAsia" w:cs="Times New Roman"/>
                <w:b/>
                <w:bCs w:val="0"/>
                <w:sz w:val="21"/>
                <w:szCs w:val="21"/>
                <w:lang w:val="en-US" w:eastAsia="zh-CN"/>
              </w:rPr>
              <w:t>表2-12  建设项目废液抽取方式一览表</w:t>
            </w:r>
          </w:p>
          <w:tbl>
            <w:tblPr>
              <w:tblStyle w:val="25"/>
              <w:tblW w:w="8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449"/>
              <w:gridCol w:w="1520"/>
              <w:gridCol w:w="1311"/>
              <w:gridCol w:w="3357"/>
            </w:tblGrid>
            <w:tr w14:paraId="67A2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62" w:type="dxa"/>
                  <w:vAlign w:val="center"/>
                </w:tcPr>
                <w:p w14:paraId="5AB079E7">
                  <w:pPr>
                    <w:spacing w:line="240" w:lineRule="auto"/>
                    <w:jc w:val="center"/>
                    <w:rPr>
                      <w:rFonts w:hint="default" w:cs="Times New Roman"/>
                      <w:b/>
                      <w:bCs w:val="0"/>
                      <w:sz w:val="21"/>
                      <w:szCs w:val="21"/>
                      <w:vertAlign w:val="baseline"/>
                      <w:lang w:val="en-US" w:eastAsia="zh-CN"/>
                    </w:rPr>
                  </w:pPr>
                  <w:r>
                    <w:rPr>
                      <w:rFonts w:hint="eastAsia" w:cs="Times New Roman"/>
                      <w:b/>
                      <w:bCs w:val="0"/>
                      <w:sz w:val="21"/>
                      <w:szCs w:val="21"/>
                      <w:vertAlign w:val="baseline"/>
                      <w:lang w:val="en-US" w:eastAsia="zh-CN"/>
                    </w:rPr>
                    <w:t>序号</w:t>
                  </w:r>
                </w:p>
              </w:tc>
              <w:tc>
                <w:tcPr>
                  <w:tcW w:w="1449" w:type="dxa"/>
                  <w:vAlign w:val="center"/>
                </w:tcPr>
                <w:p w14:paraId="38B3133D">
                  <w:pPr>
                    <w:spacing w:line="240" w:lineRule="auto"/>
                    <w:jc w:val="center"/>
                    <w:rPr>
                      <w:rFonts w:hint="default" w:cs="Times New Roman"/>
                      <w:b/>
                      <w:bCs w:val="0"/>
                      <w:sz w:val="21"/>
                      <w:szCs w:val="21"/>
                      <w:vertAlign w:val="baseline"/>
                      <w:lang w:val="en-US" w:eastAsia="zh-CN"/>
                    </w:rPr>
                  </w:pPr>
                  <w:r>
                    <w:rPr>
                      <w:rFonts w:hint="eastAsia" w:cs="Times New Roman"/>
                      <w:b/>
                      <w:bCs w:val="0"/>
                      <w:sz w:val="21"/>
                      <w:szCs w:val="21"/>
                      <w:vertAlign w:val="baseline"/>
                      <w:lang w:val="en-US" w:eastAsia="zh-CN"/>
                    </w:rPr>
                    <w:t>类别</w:t>
                  </w:r>
                </w:p>
              </w:tc>
              <w:tc>
                <w:tcPr>
                  <w:tcW w:w="1520" w:type="dxa"/>
                  <w:vAlign w:val="center"/>
                </w:tcPr>
                <w:p w14:paraId="16AB2790">
                  <w:pPr>
                    <w:spacing w:line="240" w:lineRule="auto"/>
                    <w:jc w:val="center"/>
                    <w:rPr>
                      <w:rFonts w:hint="default" w:cs="Times New Roman"/>
                      <w:b/>
                      <w:bCs w:val="0"/>
                      <w:sz w:val="21"/>
                      <w:szCs w:val="21"/>
                      <w:vertAlign w:val="baseline"/>
                      <w:lang w:val="en-US" w:eastAsia="zh-CN"/>
                    </w:rPr>
                  </w:pPr>
                  <w:r>
                    <w:rPr>
                      <w:rFonts w:hint="eastAsia" w:cs="Times New Roman"/>
                      <w:b/>
                      <w:bCs w:val="0"/>
                      <w:sz w:val="21"/>
                      <w:szCs w:val="21"/>
                      <w:vertAlign w:val="baseline"/>
                      <w:lang w:val="en-US" w:eastAsia="zh-CN"/>
                    </w:rPr>
                    <w:t>液体名称</w:t>
                  </w:r>
                </w:p>
              </w:tc>
              <w:tc>
                <w:tcPr>
                  <w:tcW w:w="1311" w:type="dxa"/>
                  <w:vAlign w:val="center"/>
                </w:tcPr>
                <w:p w14:paraId="3E2D7556">
                  <w:pPr>
                    <w:spacing w:line="240" w:lineRule="auto"/>
                    <w:jc w:val="center"/>
                    <w:rPr>
                      <w:rFonts w:hint="default" w:cs="Times New Roman"/>
                      <w:b/>
                      <w:bCs w:val="0"/>
                      <w:sz w:val="21"/>
                      <w:szCs w:val="21"/>
                      <w:vertAlign w:val="baseline"/>
                      <w:lang w:val="en-US" w:eastAsia="zh-CN"/>
                    </w:rPr>
                  </w:pPr>
                  <w:r>
                    <w:rPr>
                      <w:rFonts w:hint="eastAsia" w:cs="Times New Roman"/>
                      <w:b/>
                      <w:bCs w:val="0"/>
                      <w:sz w:val="21"/>
                      <w:szCs w:val="21"/>
                      <w:vertAlign w:val="baseline"/>
                      <w:lang w:val="en-US" w:eastAsia="zh-CN"/>
                    </w:rPr>
                    <w:t>收集类别</w:t>
                  </w:r>
                </w:p>
              </w:tc>
              <w:tc>
                <w:tcPr>
                  <w:tcW w:w="3357" w:type="dxa"/>
                  <w:vAlign w:val="center"/>
                </w:tcPr>
                <w:p w14:paraId="6858FD16">
                  <w:pPr>
                    <w:spacing w:line="240" w:lineRule="auto"/>
                    <w:jc w:val="center"/>
                    <w:rPr>
                      <w:rFonts w:hint="default" w:cs="Times New Roman"/>
                      <w:b/>
                      <w:bCs w:val="0"/>
                      <w:sz w:val="21"/>
                      <w:szCs w:val="21"/>
                      <w:vertAlign w:val="baseline"/>
                      <w:lang w:val="en-US" w:eastAsia="zh-CN"/>
                    </w:rPr>
                  </w:pPr>
                  <w:r>
                    <w:rPr>
                      <w:rFonts w:hint="eastAsia" w:cs="Times New Roman"/>
                      <w:b/>
                      <w:bCs w:val="0"/>
                      <w:sz w:val="21"/>
                      <w:szCs w:val="21"/>
                      <w:vertAlign w:val="baseline"/>
                      <w:lang w:val="en-US" w:eastAsia="zh-CN"/>
                    </w:rPr>
                    <w:t>提取方式</w:t>
                  </w:r>
                </w:p>
              </w:tc>
            </w:tr>
            <w:tr w14:paraId="7693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62" w:type="dxa"/>
                  <w:vAlign w:val="center"/>
                </w:tcPr>
                <w:p w14:paraId="5B47F862">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1</w:t>
                  </w:r>
                </w:p>
              </w:tc>
              <w:tc>
                <w:tcPr>
                  <w:tcW w:w="1449" w:type="dxa"/>
                  <w:vAlign w:val="center"/>
                </w:tcPr>
                <w:p w14:paraId="23F2A41B">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废防冻冷却液（S</w:t>
                  </w:r>
                  <w:r>
                    <w:rPr>
                      <w:rFonts w:hint="eastAsia" w:cs="Times New Roman"/>
                      <w:bCs/>
                      <w:sz w:val="21"/>
                      <w:szCs w:val="21"/>
                      <w:vertAlign w:val="subscript"/>
                      <w:lang w:val="en-US" w:eastAsia="zh-CN"/>
                    </w:rPr>
                    <w:t>3</w:t>
                  </w:r>
                  <w:r>
                    <w:rPr>
                      <w:rFonts w:hint="eastAsia" w:cs="Times New Roman"/>
                      <w:bCs/>
                      <w:sz w:val="21"/>
                      <w:szCs w:val="21"/>
                      <w:vertAlign w:val="baseline"/>
                      <w:lang w:val="en-US" w:eastAsia="zh-CN"/>
                    </w:rPr>
                    <w:t>）</w:t>
                  </w:r>
                </w:p>
              </w:tc>
              <w:tc>
                <w:tcPr>
                  <w:tcW w:w="1520" w:type="dxa"/>
                  <w:vAlign w:val="center"/>
                </w:tcPr>
                <w:p w14:paraId="17FC277D">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LLC（防冻冷却液）</w:t>
                  </w:r>
                </w:p>
              </w:tc>
              <w:tc>
                <w:tcPr>
                  <w:tcW w:w="1311" w:type="dxa"/>
                  <w:vMerge w:val="restart"/>
                  <w:vAlign w:val="center"/>
                </w:tcPr>
                <w:p w14:paraId="2DA07683">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废油性液体</w:t>
                  </w:r>
                </w:p>
              </w:tc>
              <w:tc>
                <w:tcPr>
                  <w:tcW w:w="3357" w:type="dxa"/>
                  <w:vAlign w:val="center"/>
                </w:tcPr>
                <w:p w14:paraId="741DD564">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从低软管引出，切断加热软管，从油箱引出</w:t>
                  </w:r>
                </w:p>
              </w:tc>
            </w:tr>
            <w:tr w14:paraId="1C56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62" w:type="dxa"/>
                  <w:vAlign w:val="center"/>
                </w:tcPr>
                <w:p w14:paraId="4258B36C">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2</w:t>
                  </w:r>
                </w:p>
              </w:tc>
              <w:tc>
                <w:tcPr>
                  <w:tcW w:w="1449" w:type="dxa"/>
                  <w:vAlign w:val="center"/>
                </w:tcPr>
                <w:p w14:paraId="5E5A95DB">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废挡风玻璃清洗剂（S</w:t>
                  </w:r>
                  <w:r>
                    <w:rPr>
                      <w:rFonts w:hint="eastAsia" w:cs="Times New Roman"/>
                      <w:bCs/>
                      <w:sz w:val="21"/>
                      <w:szCs w:val="21"/>
                      <w:vertAlign w:val="subscript"/>
                      <w:lang w:val="en-US" w:eastAsia="zh-CN"/>
                    </w:rPr>
                    <w:t>4</w:t>
                  </w:r>
                  <w:r>
                    <w:rPr>
                      <w:rFonts w:hint="eastAsia" w:cs="Times New Roman"/>
                      <w:bCs/>
                      <w:sz w:val="21"/>
                      <w:szCs w:val="21"/>
                      <w:vertAlign w:val="baseline"/>
                      <w:lang w:val="en-US" w:eastAsia="zh-CN"/>
                    </w:rPr>
                    <w:t>）</w:t>
                  </w:r>
                </w:p>
              </w:tc>
              <w:tc>
                <w:tcPr>
                  <w:tcW w:w="1520" w:type="dxa"/>
                  <w:vAlign w:val="center"/>
                </w:tcPr>
                <w:p w14:paraId="505A322D">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挡风玻璃清洗剂</w:t>
                  </w:r>
                </w:p>
              </w:tc>
              <w:tc>
                <w:tcPr>
                  <w:tcW w:w="1311" w:type="dxa"/>
                  <w:vMerge w:val="continue"/>
                  <w:vAlign w:val="center"/>
                </w:tcPr>
                <w:p w14:paraId="0CA793EC">
                  <w:pPr>
                    <w:spacing w:line="240" w:lineRule="auto"/>
                    <w:jc w:val="center"/>
                    <w:rPr>
                      <w:rFonts w:hint="default" w:cs="Times New Roman"/>
                      <w:bCs/>
                      <w:sz w:val="21"/>
                      <w:szCs w:val="21"/>
                      <w:vertAlign w:val="baseline"/>
                      <w:lang w:val="en-US" w:eastAsia="zh-CN"/>
                    </w:rPr>
                  </w:pPr>
                </w:p>
              </w:tc>
              <w:tc>
                <w:tcPr>
                  <w:tcW w:w="3357" w:type="dxa"/>
                  <w:vAlign w:val="center"/>
                </w:tcPr>
                <w:p w14:paraId="7A48A90D">
                  <w:pPr>
                    <w:spacing w:line="240" w:lineRule="auto"/>
                    <w:jc w:val="center"/>
                    <w:rPr>
                      <w:rFonts w:hint="eastAsia" w:cs="Times New Roman"/>
                      <w:bCs/>
                      <w:sz w:val="21"/>
                      <w:szCs w:val="21"/>
                      <w:vertAlign w:val="baseline"/>
                      <w:lang w:val="en-US" w:eastAsia="zh-CN"/>
                    </w:rPr>
                  </w:pPr>
                  <w:r>
                    <w:rPr>
                      <w:rFonts w:hint="eastAsia" w:cs="Times New Roman"/>
                      <w:bCs/>
                      <w:sz w:val="21"/>
                      <w:szCs w:val="21"/>
                      <w:vertAlign w:val="baseline"/>
                      <w:lang w:val="en-US" w:eastAsia="zh-CN"/>
                    </w:rPr>
                    <w:t>从低软管引出，切断加热软管，从油箱引出</w:t>
                  </w:r>
                </w:p>
              </w:tc>
            </w:tr>
            <w:tr w14:paraId="3BFB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62" w:type="dxa"/>
                  <w:vAlign w:val="center"/>
                </w:tcPr>
                <w:p w14:paraId="3AA82729">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3</w:t>
                  </w:r>
                </w:p>
              </w:tc>
              <w:tc>
                <w:tcPr>
                  <w:tcW w:w="1449" w:type="dxa"/>
                  <w:vMerge w:val="restart"/>
                  <w:vAlign w:val="center"/>
                </w:tcPr>
                <w:p w14:paraId="0A02ACBA">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废油液（S</w:t>
                  </w:r>
                  <w:r>
                    <w:rPr>
                      <w:rFonts w:hint="eastAsia" w:cs="Times New Roman"/>
                      <w:bCs/>
                      <w:sz w:val="21"/>
                      <w:szCs w:val="21"/>
                      <w:vertAlign w:val="subscript"/>
                      <w:lang w:val="en-US" w:eastAsia="zh-CN"/>
                    </w:rPr>
                    <w:t>2</w:t>
                  </w:r>
                  <w:r>
                    <w:rPr>
                      <w:rFonts w:hint="eastAsia" w:cs="Times New Roman"/>
                      <w:bCs/>
                      <w:sz w:val="21"/>
                      <w:szCs w:val="21"/>
                      <w:vertAlign w:val="baseline"/>
                      <w:lang w:val="en-US" w:eastAsia="zh-CN"/>
                    </w:rPr>
                    <w:t>）</w:t>
                  </w:r>
                </w:p>
              </w:tc>
              <w:tc>
                <w:tcPr>
                  <w:tcW w:w="1520" w:type="dxa"/>
                  <w:vAlign w:val="center"/>
                </w:tcPr>
                <w:p w14:paraId="7C11F467">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制动液</w:t>
                  </w:r>
                </w:p>
              </w:tc>
              <w:tc>
                <w:tcPr>
                  <w:tcW w:w="1311" w:type="dxa"/>
                  <w:vMerge w:val="continue"/>
                  <w:vAlign w:val="center"/>
                </w:tcPr>
                <w:p w14:paraId="7BAC1B81">
                  <w:pPr>
                    <w:spacing w:line="240" w:lineRule="auto"/>
                    <w:jc w:val="center"/>
                    <w:rPr>
                      <w:rFonts w:hint="eastAsia" w:cs="Times New Roman"/>
                      <w:bCs/>
                      <w:sz w:val="21"/>
                      <w:szCs w:val="21"/>
                      <w:vertAlign w:val="baseline"/>
                      <w:lang w:val="en-US" w:eastAsia="zh-CN"/>
                    </w:rPr>
                  </w:pPr>
                </w:p>
              </w:tc>
              <w:tc>
                <w:tcPr>
                  <w:tcW w:w="3357" w:type="dxa"/>
                  <w:vAlign w:val="center"/>
                </w:tcPr>
                <w:p w14:paraId="76D274D7">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从制动系统油箱引出，切断挠性管或拧松排气栓</w:t>
                  </w:r>
                </w:p>
              </w:tc>
            </w:tr>
            <w:tr w14:paraId="37F1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62" w:type="dxa"/>
                  <w:vAlign w:val="center"/>
                </w:tcPr>
                <w:p w14:paraId="64DB3E4B">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4</w:t>
                  </w:r>
                </w:p>
              </w:tc>
              <w:tc>
                <w:tcPr>
                  <w:tcW w:w="1449" w:type="dxa"/>
                  <w:vMerge w:val="continue"/>
                  <w:vAlign w:val="center"/>
                </w:tcPr>
                <w:p w14:paraId="69BAD429">
                  <w:pPr>
                    <w:spacing w:line="240" w:lineRule="auto"/>
                    <w:jc w:val="center"/>
                    <w:rPr>
                      <w:rFonts w:hint="eastAsia" w:cs="Times New Roman"/>
                      <w:bCs/>
                      <w:sz w:val="21"/>
                      <w:szCs w:val="21"/>
                      <w:vertAlign w:val="baseline"/>
                      <w:lang w:val="en-US" w:eastAsia="zh-CN"/>
                    </w:rPr>
                  </w:pPr>
                </w:p>
              </w:tc>
              <w:tc>
                <w:tcPr>
                  <w:tcW w:w="1520" w:type="dxa"/>
                  <w:vAlign w:val="center"/>
                </w:tcPr>
                <w:p w14:paraId="5C4F96AF">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离合器液</w:t>
                  </w:r>
                </w:p>
              </w:tc>
              <w:tc>
                <w:tcPr>
                  <w:tcW w:w="1311" w:type="dxa"/>
                  <w:vMerge w:val="continue"/>
                  <w:vAlign w:val="center"/>
                </w:tcPr>
                <w:p w14:paraId="28B2A937">
                  <w:pPr>
                    <w:spacing w:line="240" w:lineRule="auto"/>
                    <w:jc w:val="center"/>
                    <w:rPr>
                      <w:rFonts w:hint="eastAsia" w:cs="Times New Roman"/>
                      <w:bCs/>
                      <w:sz w:val="21"/>
                      <w:szCs w:val="21"/>
                      <w:vertAlign w:val="baseline"/>
                      <w:lang w:val="en-US" w:eastAsia="zh-CN"/>
                    </w:rPr>
                  </w:pPr>
                </w:p>
              </w:tc>
              <w:tc>
                <w:tcPr>
                  <w:tcW w:w="3357" w:type="dxa"/>
                  <w:vAlign w:val="center"/>
                </w:tcPr>
                <w:p w14:paraId="4CC82AAD">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从离合器油箱引出，拧松排气栓</w:t>
                  </w:r>
                </w:p>
              </w:tc>
            </w:tr>
            <w:tr w14:paraId="6283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62" w:type="dxa"/>
                  <w:vAlign w:val="center"/>
                </w:tcPr>
                <w:p w14:paraId="5016E28E">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5</w:t>
                  </w:r>
                </w:p>
              </w:tc>
              <w:tc>
                <w:tcPr>
                  <w:tcW w:w="1449" w:type="dxa"/>
                  <w:vMerge w:val="continue"/>
                  <w:vAlign w:val="center"/>
                </w:tcPr>
                <w:p w14:paraId="12B4388B">
                  <w:pPr>
                    <w:spacing w:line="240" w:lineRule="auto"/>
                    <w:jc w:val="center"/>
                    <w:rPr>
                      <w:rFonts w:hint="eastAsia" w:cs="Times New Roman"/>
                      <w:bCs/>
                      <w:sz w:val="21"/>
                      <w:szCs w:val="21"/>
                      <w:vertAlign w:val="baseline"/>
                      <w:lang w:val="en-US" w:eastAsia="zh-CN"/>
                    </w:rPr>
                  </w:pPr>
                </w:p>
              </w:tc>
              <w:tc>
                <w:tcPr>
                  <w:tcW w:w="1520" w:type="dxa"/>
                  <w:vAlign w:val="center"/>
                </w:tcPr>
                <w:p w14:paraId="4F160BA9">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转向机助动液</w:t>
                  </w:r>
                </w:p>
              </w:tc>
              <w:tc>
                <w:tcPr>
                  <w:tcW w:w="1311" w:type="dxa"/>
                  <w:vMerge w:val="continue"/>
                  <w:vAlign w:val="center"/>
                </w:tcPr>
                <w:p w14:paraId="69E74A87">
                  <w:pPr>
                    <w:spacing w:line="240" w:lineRule="auto"/>
                    <w:jc w:val="center"/>
                    <w:rPr>
                      <w:rFonts w:hint="eastAsia" w:cs="Times New Roman"/>
                      <w:bCs/>
                      <w:sz w:val="21"/>
                      <w:szCs w:val="21"/>
                      <w:vertAlign w:val="baseline"/>
                      <w:lang w:val="en-US" w:eastAsia="zh-CN"/>
                    </w:rPr>
                  </w:pPr>
                </w:p>
              </w:tc>
              <w:tc>
                <w:tcPr>
                  <w:tcW w:w="3357" w:type="dxa"/>
                  <w:vAlign w:val="center"/>
                </w:tcPr>
                <w:p w14:paraId="33427C00">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从油箱引出，拧松排气栓，转动方向2~3次</w:t>
                  </w:r>
                </w:p>
              </w:tc>
            </w:tr>
            <w:tr w14:paraId="6FE0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62" w:type="dxa"/>
                  <w:vAlign w:val="center"/>
                </w:tcPr>
                <w:p w14:paraId="547F4F43">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6</w:t>
                  </w:r>
                </w:p>
              </w:tc>
              <w:tc>
                <w:tcPr>
                  <w:tcW w:w="1449" w:type="dxa"/>
                  <w:vMerge w:val="continue"/>
                  <w:vAlign w:val="center"/>
                </w:tcPr>
                <w:p w14:paraId="36CCD771">
                  <w:pPr>
                    <w:spacing w:line="240" w:lineRule="auto"/>
                    <w:jc w:val="center"/>
                    <w:rPr>
                      <w:rFonts w:hint="eastAsia" w:cs="Times New Roman"/>
                      <w:bCs/>
                      <w:sz w:val="21"/>
                      <w:szCs w:val="21"/>
                      <w:vertAlign w:val="baseline"/>
                      <w:lang w:val="en-US" w:eastAsia="zh-CN"/>
                    </w:rPr>
                  </w:pPr>
                </w:p>
              </w:tc>
              <w:tc>
                <w:tcPr>
                  <w:tcW w:w="1520" w:type="dxa"/>
                  <w:vAlign w:val="center"/>
                </w:tcPr>
                <w:p w14:paraId="432C3928">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发动机机油</w:t>
                  </w:r>
                </w:p>
              </w:tc>
              <w:tc>
                <w:tcPr>
                  <w:tcW w:w="1311" w:type="dxa"/>
                  <w:vMerge w:val="continue"/>
                  <w:vAlign w:val="center"/>
                </w:tcPr>
                <w:p w14:paraId="559A6A91">
                  <w:pPr>
                    <w:spacing w:line="240" w:lineRule="auto"/>
                    <w:jc w:val="center"/>
                    <w:rPr>
                      <w:rFonts w:hint="eastAsia" w:cs="Times New Roman"/>
                      <w:bCs/>
                      <w:sz w:val="21"/>
                      <w:szCs w:val="21"/>
                      <w:vertAlign w:val="baseline"/>
                      <w:lang w:val="en-US" w:eastAsia="zh-CN"/>
                    </w:rPr>
                  </w:pPr>
                </w:p>
              </w:tc>
              <w:tc>
                <w:tcPr>
                  <w:tcW w:w="3357" w:type="dxa"/>
                  <w:vAlign w:val="center"/>
                </w:tcPr>
                <w:p w14:paraId="543FA6B4">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从油底壳排出，通过液位计导管加压</w:t>
                  </w:r>
                </w:p>
              </w:tc>
            </w:tr>
            <w:tr w14:paraId="656A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62" w:type="dxa"/>
                  <w:vAlign w:val="center"/>
                </w:tcPr>
                <w:p w14:paraId="6DDCB375">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7</w:t>
                  </w:r>
                </w:p>
              </w:tc>
              <w:tc>
                <w:tcPr>
                  <w:tcW w:w="1449" w:type="dxa"/>
                  <w:vMerge w:val="continue"/>
                  <w:vAlign w:val="center"/>
                </w:tcPr>
                <w:p w14:paraId="32C7F760">
                  <w:pPr>
                    <w:spacing w:line="240" w:lineRule="auto"/>
                    <w:jc w:val="center"/>
                    <w:rPr>
                      <w:rFonts w:hint="eastAsia" w:cs="Times New Roman"/>
                      <w:bCs/>
                      <w:sz w:val="21"/>
                      <w:szCs w:val="21"/>
                      <w:vertAlign w:val="baseline"/>
                      <w:lang w:val="en-US" w:eastAsia="zh-CN"/>
                    </w:rPr>
                  </w:pPr>
                </w:p>
              </w:tc>
              <w:tc>
                <w:tcPr>
                  <w:tcW w:w="1520" w:type="dxa"/>
                  <w:vAlign w:val="center"/>
                </w:tcPr>
                <w:p w14:paraId="0D886F7A">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变速器液</w:t>
                  </w:r>
                </w:p>
              </w:tc>
              <w:tc>
                <w:tcPr>
                  <w:tcW w:w="1311" w:type="dxa"/>
                  <w:vMerge w:val="continue"/>
                  <w:vAlign w:val="center"/>
                </w:tcPr>
                <w:p w14:paraId="353C10E8">
                  <w:pPr>
                    <w:spacing w:line="240" w:lineRule="auto"/>
                    <w:jc w:val="center"/>
                    <w:rPr>
                      <w:rFonts w:hint="eastAsia" w:cs="Times New Roman"/>
                      <w:bCs/>
                      <w:sz w:val="21"/>
                      <w:szCs w:val="21"/>
                      <w:vertAlign w:val="baseline"/>
                      <w:lang w:val="en-US" w:eastAsia="zh-CN"/>
                    </w:rPr>
                  </w:pPr>
                </w:p>
              </w:tc>
              <w:tc>
                <w:tcPr>
                  <w:tcW w:w="3357" w:type="dxa"/>
                  <w:vAlign w:val="center"/>
                </w:tcPr>
                <w:p w14:paraId="548A277E">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从变矩器底壳排出</w:t>
                  </w:r>
                </w:p>
              </w:tc>
            </w:tr>
            <w:tr w14:paraId="45C6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62" w:type="dxa"/>
                  <w:vAlign w:val="center"/>
                </w:tcPr>
                <w:p w14:paraId="7520945A">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8</w:t>
                  </w:r>
                </w:p>
              </w:tc>
              <w:tc>
                <w:tcPr>
                  <w:tcW w:w="1449" w:type="dxa"/>
                  <w:vMerge w:val="continue"/>
                  <w:vAlign w:val="center"/>
                </w:tcPr>
                <w:p w14:paraId="79519AE5">
                  <w:pPr>
                    <w:spacing w:line="240" w:lineRule="auto"/>
                    <w:jc w:val="center"/>
                    <w:rPr>
                      <w:rFonts w:hint="eastAsia" w:cs="Times New Roman"/>
                      <w:bCs/>
                      <w:sz w:val="21"/>
                      <w:szCs w:val="21"/>
                      <w:vertAlign w:val="baseline"/>
                      <w:lang w:val="en-US" w:eastAsia="zh-CN"/>
                    </w:rPr>
                  </w:pPr>
                </w:p>
              </w:tc>
              <w:tc>
                <w:tcPr>
                  <w:tcW w:w="1520" w:type="dxa"/>
                  <w:vAlign w:val="center"/>
                </w:tcPr>
                <w:p w14:paraId="636F0B64">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传动液</w:t>
                  </w:r>
                </w:p>
              </w:tc>
              <w:tc>
                <w:tcPr>
                  <w:tcW w:w="1311" w:type="dxa"/>
                  <w:vMerge w:val="continue"/>
                  <w:vAlign w:val="center"/>
                </w:tcPr>
                <w:p w14:paraId="2EF27DDA">
                  <w:pPr>
                    <w:spacing w:line="240" w:lineRule="auto"/>
                    <w:jc w:val="center"/>
                    <w:rPr>
                      <w:rFonts w:hint="eastAsia" w:cs="Times New Roman"/>
                      <w:bCs/>
                      <w:sz w:val="21"/>
                      <w:szCs w:val="21"/>
                      <w:vertAlign w:val="baseline"/>
                      <w:lang w:val="en-US" w:eastAsia="zh-CN"/>
                    </w:rPr>
                  </w:pPr>
                </w:p>
              </w:tc>
              <w:tc>
                <w:tcPr>
                  <w:tcW w:w="3357" w:type="dxa"/>
                  <w:vAlign w:val="center"/>
                </w:tcPr>
                <w:p w14:paraId="041E969D">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从变速箱底壳排出</w:t>
                  </w:r>
                </w:p>
              </w:tc>
            </w:tr>
            <w:tr w14:paraId="4A48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62" w:type="dxa"/>
                  <w:vAlign w:val="center"/>
                </w:tcPr>
                <w:p w14:paraId="17FEB3E2">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9</w:t>
                  </w:r>
                </w:p>
              </w:tc>
              <w:tc>
                <w:tcPr>
                  <w:tcW w:w="1449" w:type="dxa"/>
                  <w:vMerge w:val="continue"/>
                  <w:vAlign w:val="center"/>
                </w:tcPr>
                <w:p w14:paraId="257893A8">
                  <w:pPr>
                    <w:spacing w:line="240" w:lineRule="auto"/>
                    <w:jc w:val="center"/>
                    <w:rPr>
                      <w:rFonts w:hint="eastAsia" w:cs="Times New Roman"/>
                      <w:bCs/>
                      <w:sz w:val="21"/>
                      <w:szCs w:val="21"/>
                      <w:vertAlign w:val="baseline"/>
                      <w:lang w:val="en-US" w:eastAsia="zh-CN"/>
                    </w:rPr>
                  </w:pPr>
                </w:p>
              </w:tc>
              <w:tc>
                <w:tcPr>
                  <w:tcW w:w="1520" w:type="dxa"/>
                  <w:vAlign w:val="center"/>
                </w:tcPr>
                <w:p w14:paraId="7E78D21F">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差速器油</w:t>
                  </w:r>
                </w:p>
              </w:tc>
              <w:tc>
                <w:tcPr>
                  <w:tcW w:w="1311" w:type="dxa"/>
                  <w:vMerge w:val="continue"/>
                  <w:vAlign w:val="center"/>
                </w:tcPr>
                <w:p w14:paraId="206D8566">
                  <w:pPr>
                    <w:spacing w:line="240" w:lineRule="auto"/>
                    <w:jc w:val="center"/>
                    <w:rPr>
                      <w:rFonts w:hint="eastAsia" w:cs="Times New Roman"/>
                      <w:bCs/>
                      <w:sz w:val="21"/>
                      <w:szCs w:val="21"/>
                      <w:vertAlign w:val="baseline"/>
                      <w:lang w:val="en-US" w:eastAsia="zh-CN"/>
                    </w:rPr>
                  </w:pPr>
                </w:p>
              </w:tc>
              <w:tc>
                <w:tcPr>
                  <w:tcW w:w="3357" w:type="dxa"/>
                  <w:vAlign w:val="center"/>
                </w:tcPr>
                <w:p w14:paraId="4154A954">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从后桥差速器壳体排出</w:t>
                  </w:r>
                </w:p>
              </w:tc>
            </w:tr>
            <w:tr w14:paraId="7D91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62" w:type="dxa"/>
                  <w:vAlign w:val="center"/>
                </w:tcPr>
                <w:p w14:paraId="05E25074">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10</w:t>
                  </w:r>
                </w:p>
              </w:tc>
              <w:tc>
                <w:tcPr>
                  <w:tcW w:w="1449" w:type="dxa"/>
                  <w:vAlign w:val="center"/>
                </w:tcPr>
                <w:p w14:paraId="4A34B98A">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废燃料油（S</w:t>
                  </w:r>
                  <w:r>
                    <w:rPr>
                      <w:rFonts w:hint="eastAsia" w:cs="Times New Roman"/>
                      <w:bCs/>
                      <w:sz w:val="21"/>
                      <w:szCs w:val="21"/>
                      <w:vertAlign w:val="subscript"/>
                      <w:lang w:val="en-US" w:eastAsia="zh-CN"/>
                    </w:rPr>
                    <w:t>1</w:t>
                  </w:r>
                  <w:r>
                    <w:rPr>
                      <w:rFonts w:hint="eastAsia" w:cs="Times New Roman"/>
                      <w:bCs/>
                      <w:sz w:val="21"/>
                      <w:szCs w:val="21"/>
                      <w:vertAlign w:val="baseline"/>
                      <w:lang w:val="en-US" w:eastAsia="zh-CN"/>
                    </w:rPr>
                    <w:t>）</w:t>
                  </w:r>
                </w:p>
              </w:tc>
              <w:tc>
                <w:tcPr>
                  <w:tcW w:w="1520" w:type="dxa"/>
                  <w:vAlign w:val="center"/>
                </w:tcPr>
                <w:p w14:paraId="6A13896F">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汽油、柴油</w:t>
                  </w:r>
                </w:p>
              </w:tc>
              <w:tc>
                <w:tcPr>
                  <w:tcW w:w="1311" w:type="dxa"/>
                  <w:vMerge w:val="continue"/>
                  <w:vAlign w:val="center"/>
                </w:tcPr>
                <w:p w14:paraId="777A7137">
                  <w:pPr>
                    <w:spacing w:line="240" w:lineRule="auto"/>
                    <w:jc w:val="center"/>
                    <w:rPr>
                      <w:rFonts w:hint="eastAsia" w:cs="Times New Roman"/>
                      <w:bCs/>
                      <w:sz w:val="21"/>
                      <w:szCs w:val="21"/>
                      <w:vertAlign w:val="baseline"/>
                      <w:lang w:val="en-US" w:eastAsia="zh-CN"/>
                    </w:rPr>
                  </w:pPr>
                </w:p>
              </w:tc>
              <w:tc>
                <w:tcPr>
                  <w:tcW w:w="3357" w:type="dxa"/>
                  <w:vAlign w:val="center"/>
                </w:tcPr>
                <w:p w14:paraId="53D7B27D">
                  <w:pPr>
                    <w:spacing w:line="240" w:lineRule="auto"/>
                    <w:jc w:val="center"/>
                    <w:rPr>
                      <w:rFonts w:hint="default" w:cs="Times New Roman"/>
                      <w:bCs/>
                      <w:sz w:val="21"/>
                      <w:szCs w:val="21"/>
                      <w:vertAlign w:val="baseline"/>
                      <w:lang w:val="en-US" w:eastAsia="zh-CN"/>
                    </w:rPr>
                  </w:pPr>
                  <w:r>
                    <w:rPr>
                      <w:rFonts w:hint="eastAsia" w:cs="Times New Roman"/>
                      <w:bCs/>
                      <w:sz w:val="21"/>
                      <w:szCs w:val="21"/>
                      <w:vertAlign w:val="baseline"/>
                      <w:lang w:val="en-US" w:eastAsia="zh-CN"/>
                    </w:rPr>
                    <w:t>将抽油机连接发动机油管抽取</w:t>
                  </w:r>
                </w:p>
              </w:tc>
            </w:tr>
          </w:tbl>
          <w:p w14:paraId="690900ED">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产排污环节分析：项目报废机动车的各种废液经专门的收集工具分类提取和收集后，将分类存放于各种废液的专用密闭容器中，并贴上标签注明。各种废油液的排空率应大于90%，废燃料抽排过程，将挥发少量抽取废气（G</w:t>
            </w:r>
            <w:r>
              <w:rPr>
                <w:rFonts w:hint="default" w:ascii="Times New Roman" w:hAnsi="Times New Roman" w:eastAsia="宋体" w:cs="Times New Roman"/>
                <w:bCs/>
                <w:sz w:val="24"/>
                <w:vertAlign w:val="subscript"/>
                <w:lang w:val="en-US" w:eastAsia="zh-CN"/>
              </w:rPr>
              <w:t>1</w:t>
            </w:r>
            <w:r>
              <w:rPr>
                <w:rFonts w:hint="default" w:ascii="Times New Roman" w:hAnsi="Times New Roman" w:eastAsia="宋体" w:cs="Times New Roman"/>
                <w:bCs/>
                <w:sz w:val="24"/>
                <w:lang w:val="en-US" w:eastAsia="zh-CN"/>
              </w:rPr>
              <w:t>），主要成分为VOCs。抽取出的废燃料油（S</w:t>
            </w:r>
            <w:r>
              <w:rPr>
                <w:rFonts w:hint="default" w:ascii="Times New Roman" w:hAnsi="Times New Roman" w:eastAsia="宋体" w:cs="Times New Roman"/>
                <w:bCs/>
                <w:sz w:val="24"/>
                <w:vertAlign w:val="subscript"/>
                <w:lang w:val="en-US" w:eastAsia="zh-CN"/>
              </w:rPr>
              <w:t>1</w:t>
            </w:r>
            <w:r>
              <w:rPr>
                <w:rFonts w:hint="default" w:ascii="Times New Roman" w:hAnsi="Times New Roman" w:eastAsia="宋体" w:cs="Times New Roman"/>
                <w:bCs/>
                <w:sz w:val="24"/>
                <w:lang w:val="en-US" w:eastAsia="zh-CN"/>
              </w:rPr>
              <w:t>），废油液（S</w:t>
            </w:r>
            <w:r>
              <w:rPr>
                <w:rFonts w:hint="default" w:ascii="Times New Roman" w:hAnsi="Times New Roman" w:eastAsia="宋体" w:cs="Times New Roman"/>
                <w:bCs/>
                <w:sz w:val="24"/>
                <w:vertAlign w:val="subscript"/>
                <w:lang w:val="en-US" w:eastAsia="zh-CN"/>
              </w:rPr>
              <w:t>2</w:t>
            </w:r>
            <w:r>
              <w:rPr>
                <w:rFonts w:hint="default" w:ascii="Times New Roman" w:hAnsi="Times New Roman" w:eastAsia="宋体" w:cs="Times New Roman"/>
                <w:bCs/>
                <w:sz w:val="24"/>
                <w:lang w:val="en-US" w:eastAsia="zh-CN"/>
              </w:rPr>
              <w:t>），废防冻冷却液（S</w:t>
            </w:r>
            <w:r>
              <w:rPr>
                <w:rFonts w:hint="default" w:ascii="Times New Roman" w:hAnsi="Times New Roman" w:eastAsia="宋体" w:cs="Times New Roman"/>
                <w:bCs/>
                <w:sz w:val="24"/>
                <w:vertAlign w:val="subscript"/>
                <w:lang w:val="en-US" w:eastAsia="zh-CN"/>
              </w:rPr>
              <w:t>3</w:t>
            </w:r>
            <w:r>
              <w:rPr>
                <w:rFonts w:hint="default" w:ascii="Times New Roman" w:hAnsi="Times New Roman" w:eastAsia="宋体" w:cs="Times New Roman"/>
                <w:bCs/>
                <w:sz w:val="24"/>
                <w:lang w:val="en-US" w:eastAsia="zh-CN"/>
              </w:rPr>
              <w:t>）、废挡风玻璃清洗剂（S</w:t>
            </w:r>
            <w:r>
              <w:rPr>
                <w:rFonts w:hint="default" w:ascii="Times New Roman" w:hAnsi="Times New Roman" w:eastAsia="宋体" w:cs="Times New Roman"/>
                <w:bCs/>
                <w:sz w:val="24"/>
                <w:vertAlign w:val="subscript"/>
                <w:lang w:val="en-US" w:eastAsia="zh-CN"/>
              </w:rPr>
              <w:t>4</w:t>
            </w:r>
            <w:r>
              <w:rPr>
                <w:rFonts w:hint="default" w:ascii="Times New Roman" w:hAnsi="Times New Roman" w:eastAsia="宋体" w:cs="Times New Roman"/>
                <w:bCs/>
                <w:sz w:val="24"/>
                <w:lang w:val="en-US" w:eastAsia="zh-CN"/>
              </w:rPr>
              <w:t>）分类收集后</w:t>
            </w:r>
            <w:r>
              <w:rPr>
                <w:rFonts w:hint="eastAsia" w:eastAsia="宋体" w:cs="Times New Roman"/>
                <w:bCs/>
                <w:sz w:val="24"/>
                <w:lang w:val="en-US" w:eastAsia="zh-CN"/>
              </w:rPr>
              <w:t>，暂存厂区危废暂存库，定期委托</w:t>
            </w:r>
            <w:r>
              <w:rPr>
                <w:rFonts w:hint="default" w:ascii="Times New Roman" w:hAnsi="Times New Roman" w:eastAsia="宋体" w:cs="Times New Roman"/>
                <w:bCs/>
                <w:sz w:val="24"/>
                <w:lang w:val="en-US" w:eastAsia="zh-CN"/>
              </w:rPr>
              <w:t xml:space="preserve">有资质单位处置。 </w:t>
            </w:r>
          </w:p>
          <w:p w14:paraId="7518D7EC">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②拆除铅酸蓄电池 </w:t>
            </w:r>
          </w:p>
          <w:p w14:paraId="64109024">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人工用螺丝刀等辅助工具将铅酸蓄电池整体从汽车上拆除，拆除后的废铅酸蓄电池不再进行进一步拆解。拆除蓄电池时应先拆卸蓄电池正、负极接线，拆下蓄电池固定卡、取下蓄电池。搬动蓄电池时，要轻拿轻放，不可歪斜，以免电解液泼溅到衣服或者皮肤上，引起腐烂烧伤。</w:t>
            </w:r>
          </w:p>
          <w:p w14:paraId="737A6A6B">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产排污环节分析：此工序会产生废铅酸蓄电池（S</w:t>
            </w:r>
            <w:r>
              <w:rPr>
                <w:rFonts w:hint="default" w:ascii="Times New Roman" w:hAnsi="Times New Roman" w:eastAsia="宋体" w:cs="Times New Roman"/>
                <w:bCs/>
                <w:sz w:val="24"/>
                <w:vertAlign w:val="subscript"/>
                <w:lang w:val="en-US" w:eastAsia="zh-CN"/>
              </w:rPr>
              <w:t>5</w:t>
            </w:r>
            <w:r>
              <w:rPr>
                <w:rFonts w:hint="default" w:ascii="Times New Roman" w:hAnsi="Times New Roman" w:eastAsia="宋体" w:cs="Times New Roman"/>
                <w:bCs/>
                <w:sz w:val="24"/>
                <w:lang w:val="en-US" w:eastAsia="zh-CN"/>
              </w:rPr>
              <w:t>），属于危险废物，收集后送至厂区</w:t>
            </w:r>
            <w:r>
              <w:rPr>
                <w:rFonts w:hint="eastAsia" w:eastAsia="宋体" w:cs="Times New Roman"/>
                <w:bCs/>
                <w:sz w:val="24"/>
                <w:lang w:val="en-US" w:eastAsia="zh-CN"/>
              </w:rPr>
              <w:t>危废暂存库</w:t>
            </w:r>
            <w:r>
              <w:rPr>
                <w:rFonts w:hint="default" w:ascii="Times New Roman" w:hAnsi="Times New Roman" w:eastAsia="宋体" w:cs="Times New Roman"/>
                <w:bCs/>
                <w:sz w:val="24"/>
                <w:lang w:val="en-US" w:eastAsia="zh-CN"/>
              </w:rPr>
              <w:t>暂存，定期</w:t>
            </w:r>
            <w:r>
              <w:rPr>
                <w:rFonts w:hint="eastAsia" w:eastAsia="宋体" w:cs="Times New Roman"/>
                <w:bCs/>
                <w:sz w:val="24"/>
                <w:lang w:val="en-US" w:eastAsia="zh-CN"/>
              </w:rPr>
              <w:t>委托</w:t>
            </w:r>
            <w:r>
              <w:rPr>
                <w:rFonts w:hint="default" w:ascii="Times New Roman" w:hAnsi="Times New Roman" w:eastAsia="宋体" w:cs="Times New Roman"/>
                <w:bCs/>
                <w:sz w:val="24"/>
                <w:lang w:val="en-US" w:eastAsia="zh-CN"/>
              </w:rPr>
              <w:t xml:space="preserve">有资质单位处置。 </w:t>
            </w:r>
          </w:p>
          <w:p w14:paraId="0473404D">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③回收汽车空调制冷剂 </w:t>
            </w:r>
          </w:p>
          <w:p w14:paraId="6C9BF93D">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项目采用制冷剂抽取机真空抽取车用空调压缩机中制冷剂。通过制冷剂回收机专用连接管道与报废车辆空调系统的表管进行连接，设备另一连接管与制冷剂回收罐连接。管路连接好后，先打开排气阀，再启动回收机，最后打开进气阀。回收过程电子计量、精确控制，回收完毕自动停机。抽取的制冷剂储存于专用的密闭钢瓶中。 </w:t>
            </w:r>
          </w:p>
          <w:p w14:paraId="509B50E7">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产排污环节分析：此工序会产生废制冷剂（S</w:t>
            </w:r>
            <w:r>
              <w:rPr>
                <w:rFonts w:hint="default" w:ascii="Times New Roman" w:hAnsi="Times New Roman" w:eastAsia="宋体" w:cs="Times New Roman"/>
                <w:bCs/>
                <w:sz w:val="24"/>
                <w:vertAlign w:val="subscript"/>
                <w:lang w:val="en-US" w:eastAsia="zh-CN"/>
              </w:rPr>
              <w:t>6</w:t>
            </w:r>
            <w:r>
              <w:rPr>
                <w:rFonts w:hint="default" w:ascii="Times New Roman" w:hAnsi="Times New Roman" w:eastAsia="宋体" w:cs="Times New Roman"/>
                <w:bCs/>
                <w:sz w:val="24"/>
                <w:lang w:val="en-US" w:eastAsia="zh-CN"/>
              </w:rPr>
              <w:t>），属于危险废物，收集后送至厂区</w:t>
            </w:r>
            <w:r>
              <w:rPr>
                <w:rFonts w:hint="eastAsia" w:eastAsia="宋体" w:cs="Times New Roman"/>
                <w:bCs/>
                <w:sz w:val="24"/>
                <w:lang w:val="en-US" w:eastAsia="zh-CN"/>
              </w:rPr>
              <w:t>危废暂存库</w:t>
            </w:r>
            <w:r>
              <w:rPr>
                <w:rFonts w:hint="default" w:ascii="Times New Roman" w:hAnsi="Times New Roman" w:eastAsia="宋体" w:cs="Times New Roman"/>
                <w:bCs/>
                <w:sz w:val="24"/>
                <w:lang w:val="en-US" w:eastAsia="zh-CN"/>
              </w:rPr>
              <w:t>暂存，定期交由有资质单位处置。制冷剂抽取过程中会产生少量制冷剂抽取废气（G</w:t>
            </w:r>
            <w:r>
              <w:rPr>
                <w:rFonts w:hint="default" w:ascii="Times New Roman" w:hAnsi="Times New Roman" w:eastAsia="宋体" w:cs="Times New Roman"/>
                <w:bCs/>
                <w:sz w:val="24"/>
                <w:vertAlign w:val="subscript"/>
                <w:lang w:val="en-US" w:eastAsia="zh-CN"/>
              </w:rPr>
              <w:t>2</w:t>
            </w:r>
            <w:r>
              <w:rPr>
                <w:rFonts w:hint="default" w:ascii="Times New Roman" w:hAnsi="Times New Roman" w:eastAsia="宋体" w:cs="Times New Roman"/>
                <w:bCs/>
                <w:sz w:val="24"/>
                <w:lang w:val="en-US" w:eastAsia="zh-CN"/>
              </w:rPr>
              <w:t xml:space="preserve">），在车间内无组织排放。 </w:t>
            </w:r>
          </w:p>
          <w:p w14:paraId="2A11EF97">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④拆除油箱、液化气罐 </w:t>
            </w:r>
          </w:p>
          <w:p w14:paraId="46E2AE5A">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工人用螺丝刀等辅助工具将油箱、液化气罐整个拆除，油箱、液化气罐拆除后不进行拆解。 </w:t>
            </w:r>
          </w:p>
          <w:p w14:paraId="7530E13E">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产排污环节分析：此工序会产生废油箱（S</w:t>
            </w:r>
            <w:r>
              <w:rPr>
                <w:rFonts w:hint="default" w:ascii="Times New Roman" w:hAnsi="Times New Roman" w:eastAsia="宋体" w:cs="Times New Roman"/>
                <w:bCs/>
                <w:sz w:val="24"/>
                <w:vertAlign w:val="subscript"/>
                <w:lang w:val="en-US" w:eastAsia="zh-CN"/>
              </w:rPr>
              <w:t>7</w:t>
            </w:r>
            <w:r>
              <w:rPr>
                <w:rFonts w:hint="default" w:ascii="Times New Roman" w:hAnsi="Times New Roman" w:eastAsia="宋体" w:cs="Times New Roman"/>
                <w:bCs/>
                <w:sz w:val="24"/>
                <w:lang w:val="en-US" w:eastAsia="zh-CN"/>
              </w:rPr>
              <w:t>）、废液化气罐（S</w:t>
            </w:r>
            <w:r>
              <w:rPr>
                <w:rFonts w:hint="default" w:ascii="Times New Roman" w:hAnsi="Times New Roman" w:eastAsia="宋体" w:cs="Times New Roman"/>
                <w:bCs/>
                <w:sz w:val="24"/>
                <w:vertAlign w:val="subscript"/>
                <w:lang w:val="en-US" w:eastAsia="zh-CN"/>
              </w:rPr>
              <w:t>8</w:t>
            </w:r>
            <w:r>
              <w:rPr>
                <w:rFonts w:hint="default" w:ascii="Times New Roman" w:hAnsi="Times New Roman" w:eastAsia="宋体" w:cs="Times New Roman"/>
                <w:bCs/>
                <w:sz w:val="24"/>
                <w:lang w:val="en-US" w:eastAsia="zh-CN"/>
              </w:rPr>
              <w:t>），属于危险废物，收集后送至厂区危险</w:t>
            </w:r>
            <w:r>
              <w:rPr>
                <w:rFonts w:hint="eastAsia" w:eastAsia="宋体" w:cs="Times New Roman"/>
                <w:bCs/>
                <w:sz w:val="24"/>
                <w:lang w:val="en-US" w:eastAsia="zh-CN"/>
              </w:rPr>
              <w:t>暂存库</w:t>
            </w:r>
            <w:r>
              <w:rPr>
                <w:rFonts w:hint="default" w:ascii="Times New Roman" w:hAnsi="Times New Roman" w:eastAsia="宋体" w:cs="Times New Roman"/>
                <w:bCs/>
                <w:sz w:val="24"/>
                <w:lang w:val="en-US" w:eastAsia="zh-CN"/>
              </w:rPr>
              <w:t xml:space="preserve">暂存，定期交由有资质单位处置。 </w:t>
            </w:r>
          </w:p>
          <w:p w14:paraId="509D21F0">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⑤拆除机油、燃油滤清器 </w:t>
            </w:r>
          </w:p>
          <w:p w14:paraId="28C85A68">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汽车发动机有机油、燃油滤清器，分别担负润滑系统</w:t>
            </w:r>
            <w:r>
              <w:rPr>
                <w:rFonts w:hint="eastAsia" w:cs="Times New Roman"/>
                <w:bCs/>
                <w:sz w:val="24"/>
                <w:lang w:val="en-US" w:eastAsia="zh-CN"/>
              </w:rPr>
              <w:t>、</w:t>
            </w:r>
            <w:r>
              <w:rPr>
                <w:rFonts w:hint="default" w:ascii="Times New Roman" w:hAnsi="Times New Roman" w:eastAsia="宋体" w:cs="Times New Roman"/>
                <w:bCs/>
                <w:sz w:val="24"/>
                <w:lang w:val="en-US" w:eastAsia="zh-CN"/>
              </w:rPr>
              <w:t xml:space="preserve">燃烧系统的过滤。人工通过简易工具将机油、燃油滤清器整个拆除，不进行进一步拆解。 </w:t>
            </w:r>
          </w:p>
          <w:p w14:paraId="7773076E">
            <w:pPr>
              <w:spacing w:line="360" w:lineRule="auto"/>
              <w:ind w:firstLine="480"/>
            </w:pPr>
            <w:r>
              <w:rPr>
                <w:rFonts w:hint="default" w:ascii="Times New Roman" w:hAnsi="Times New Roman" w:eastAsia="宋体" w:cs="Times New Roman"/>
                <w:bCs/>
                <w:sz w:val="24"/>
                <w:lang w:val="en-US" w:eastAsia="zh-CN"/>
              </w:rPr>
              <w:t>产排污环节分析：机油滤清器和燃油滤清器含有废油，</w:t>
            </w:r>
            <w:r>
              <w:rPr>
                <w:rFonts w:hint="eastAsia" w:eastAsia="宋体" w:cs="Times New Roman"/>
                <w:bCs/>
                <w:sz w:val="24"/>
                <w:lang w:val="en-US" w:eastAsia="zh-CN"/>
              </w:rPr>
              <w:t>属于危险废物。</w:t>
            </w:r>
            <w:r>
              <w:rPr>
                <w:rFonts w:hint="default" w:ascii="Times New Roman" w:hAnsi="Times New Roman" w:eastAsia="宋体" w:cs="Times New Roman"/>
                <w:bCs/>
                <w:sz w:val="24"/>
                <w:lang w:val="en-US" w:eastAsia="zh-CN"/>
              </w:rPr>
              <w:t>因此拆除的废机油、燃油滤清器（S</w:t>
            </w:r>
            <w:r>
              <w:rPr>
                <w:rFonts w:hint="default" w:ascii="Times New Roman" w:hAnsi="Times New Roman" w:eastAsia="宋体" w:cs="Times New Roman"/>
                <w:bCs/>
                <w:sz w:val="24"/>
                <w:vertAlign w:val="subscript"/>
                <w:lang w:val="en-US" w:eastAsia="zh-CN"/>
              </w:rPr>
              <w:t>9</w:t>
            </w:r>
            <w:r>
              <w:rPr>
                <w:rFonts w:hint="default" w:ascii="Times New Roman" w:hAnsi="Times New Roman" w:eastAsia="宋体" w:cs="Times New Roman"/>
                <w:bCs/>
                <w:sz w:val="24"/>
                <w:lang w:val="en-US" w:eastAsia="zh-CN"/>
              </w:rPr>
              <w:t>）作为危险废物暂存</w:t>
            </w:r>
            <w:r>
              <w:rPr>
                <w:rFonts w:hint="eastAsia" w:eastAsia="宋体" w:cs="Times New Roman"/>
                <w:bCs/>
                <w:sz w:val="24"/>
                <w:lang w:val="en-US" w:eastAsia="zh-CN"/>
              </w:rPr>
              <w:t>厂区危废暂存库，</w:t>
            </w:r>
            <w:r>
              <w:rPr>
                <w:rFonts w:hint="default" w:ascii="Times New Roman" w:hAnsi="Times New Roman" w:eastAsia="宋体" w:cs="Times New Roman"/>
                <w:bCs/>
                <w:sz w:val="24"/>
                <w:lang w:val="en-US" w:eastAsia="zh-CN"/>
              </w:rPr>
              <w:t>定期交由有资</w:t>
            </w:r>
            <w:r>
              <w:rPr>
                <w:rFonts w:hint="default" w:ascii="CIDFont" w:hAnsi="CIDFont" w:eastAsia="CIDFont" w:cs="CIDFont"/>
                <w:color w:val="000000"/>
                <w:kern w:val="0"/>
                <w:sz w:val="24"/>
                <w:szCs w:val="24"/>
                <w:lang w:val="en-US" w:eastAsia="zh-CN" w:bidi="ar"/>
              </w:rPr>
              <w:t>质单位处置。</w:t>
            </w:r>
          </w:p>
          <w:p w14:paraId="2E9472D8">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⑥拆除安全气囊后引爆 </w:t>
            </w:r>
          </w:p>
          <w:p w14:paraId="7DCF5499">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专业人员将安全气囊组件拆除后，送至安全气囊引爆装置内引爆，项目安全气囊引爆装置安放在拆解车间内安全气囊爆破车间，该装置主要由专用蓄电池、电控系统、遥控装置、箱体结构、电磁门锁、警报器等部件组成。安全气囊引爆箱底部尺寸1×0.8×0.8m，采用干电瓶为电源，引爆箱的钢板厚度为4mm，安全可靠。将安全气囊的两个引爆线与引爆箱的鳄鱼夹</w:t>
            </w:r>
            <w:r>
              <w:rPr>
                <w:rFonts w:hint="eastAsia" w:eastAsia="宋体" w:cs="Times New Roman"/>
                <w:bCs/>
                <w:sz w:val="24"/>
                <w:lang w:val="en-US" w:eastAsia="zh-CN"/>
              </w:rPr>
              <w:t>进行</w:t>
            </w:r>
            <w:r>
              <w:rPr>
                <w:rFonts w:hint="default" w:ascii="Times New Roman" w:hAnsi="Times New Roman" w:eastAsia="宋体" w:cs="Times New Roman"/>
                <w:bCs/>
                <w:sz w:val="24"/>
                <w:lang w:val="en-US" w:eastAsia="zh-CN"/>
              </w:rPr>
              <w:t>链接，安全气囊放入引爆箱内，气囊的垫面朝下，锁好引爆箱门；将引爆开关装置和引爆箱电源链接，距离引爆箱6m处按下引爆开关装置的引爆按钮，完成引爆，引爆过程位于密闭的引爆箱内，装置内已考虑隔声降噪，该工序噪声较小。装置组成如下图所示。</w:t>
            </w:r>
          </w:p>
          <w:p w14:paraId="5E0E25A3">
            <w:pPr>
              <w:spacing w:line="360" w:lineRule="auto"/>
              <w:jc w:val="center"/>
              <w:rPr>
                <w:rFonts w:hint="default" w:ascii="Times New Roman" w:hAnsi="Times New Roman" w:eastAsia="宋体" w:cs="Times New Roman"/>
                <w:bCs/>
                <w:sz w:val="24"/>
                <w:lang w:val="en-US" w:eastAsia="zh-CN"/>
              </w:rPr>
            </w:pPr>
            <w:r>
              <w:drawing>
                <wp:inline distT="0" distB="0" distL="114300" distR="114300">
                  <wp:extent cx="5168900" cy="2404110"/>
                  <wp:effectExtent l="9525" t="9525" r="15875" b="1206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23"/>
                          <a:stretch>
                            <a:fillRect/>
                          </a:stretch>
                        </pic:blipFill>
                        <pic:spPr>
                          <a:xfrm>
                            <a:off x="0" y="0"/>
                            <a:ext cx="5168900" cy="2404110"/>
                          </a:xfrm>
                          <a:prstGeom prst="rect">
                            <a:avLst/>
                          </a:prstGeom>
                          <a:noFill/>
                          <a:ln>
                            <a:solidFill>
                              <a:schemeClr val="tx1"/>
                            </a:solidFill>
                          </a:ln>
                        </pic:spPr>
                      </pic:pic>
                    </a:graphicData>
                  </a:graphic>
                </wp:inline>
              </w:drawing>
            </w:r>
          </w:p>
          <w:p w14:paraId="5CC7F56F">
            <w:pPr>
              <w:spacing w:line="360" w:lineRule="auto"/>
              <w:ind w:firstLine="480"/>
              <w:jc w:val="center"/>
              <w:rPr>
                <w:rFonts w:hint="default" w:ascii="Times New Roman" w:hAnsi="Times New Roman" w:eastAsia="宋体" w:cs="Times New Roman"/>
                <w:b/>
                <w:bCs w:val="0"/>
                <w:sz w:val="24"/>
                <w:lang w:val="en-US" w:eastAsia="zh-CN"/>
              </w:rPr>
            </w:pPr>
            <w:r>
              <w:rPr>
                <w:rFonts w:hint="eastAsia" w:eastAsia="宋体" w:cs="Times New Roman"/>
                <w:b/>
                <w:bCs w:val="0"/>
                <w:sz w:val="24"/>
                <w:lang w:val="en-US" w:eastAsia="zh-CN"/>
              </w:rPr>
              <w:t>图2-</w:t>
            </w:r>
            <w:r>
              <w:rPr>
                <w:rFonts w:hint="eastAsia" w:cs="Times New Roman"/>
                <w:b/>
                <w:bCs w:val="0"/>
                <w:sz w:val="24"/>
                <w:lang w:val="en-US" w:eastAsia="zh-CN"/>
              </w:rPr>
              <w:t>4</w:t>
            </w:r>
            <w:r>
              <w:rPr>
                <w:rFonts w:hint="eastAsia" w:eastAsia="宋体" w:cs="Times New Roman"/>
                <w:b/>
                <w:bCs w:val="0"/>
                <w:sz w:val="24"/>
                <w:lang w:val="en-US" w:eastAsia="zh-CN"/>
              </w:rPr>
              <w:t xml:space="preserve">   安全气囊爆破装置示意图</w:t>
            </w:r>
          </w:p>
          <w:p w14:paraId="1F47A07C">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产排污环节分析：引爆后的安全气囊（S</w:t>
            </w:r>
            <w:r>
              <w:rPr>
                <w:rFonts w:hint="default" w:ascii="Times New Roman" w:hAnsi="Times New Roman" w:eastAsia="宋体" w:cs="Times New Roman"/>
                <w:bCs/>
                <w:sz w:val="24"/>
                <w:vertAlign w:val="subscript"/>
                <w:lang w:val="en-US" w:eastAsia="zh-CN"/>
              </w:rPr>
              <w:t>10</w:t>
            </w:r>
            <w:r>
              <w:rPr>
                <w:rFonts w:hint="default" w:ascii="Times New Roman" w:hAnsi="Times New Roman" w:eastAsia="宋体" w:cs="Times New Roman"/>
                <w:bCs/>
                <w:sz w:val="24"/>
                <w:lang w:val="en-US" w:eastAsia="zh-CN"/>
              </w:rPr>
              <w:t xml:space="preserve">）不再具有环境风险，主要成分为金属、织物和塑料，外售给物资回收单位。 </w:t>
            </w:r>
          </w:p>
          <w:p w14:paraId="6DB79B34">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⑦拆除废电容器和尾气催化系统</w:t>
            </w:r>
          </w:p>
          <w:p w14:paraId="06EEF678">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利用拆解工具将电容器和尾气催化系统整个拆除，不进行进一步拆解。 </w:t>
            </w:r>
          </w:p>
          <w:p w14:paraId="7714DBA2">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产排污环节分析：拆卸后的废电容器（S</w:t>
            </w:r>
            <w:r>
              <w:rPr>
                <w:rFonts w:hint="default" w:ascii="Times New Roman" w:hAnsi="Times New Roman" w:eastAsia="宋体" w:cs="Times New Roman"/>
                <w:bCs/>
                <w:sz w:val="24"/>
                <w:vertAlign w:val="subscript"/>
                <w:lang w:val="en-US" w:eastAsia="zh-CN"/>
              </w:rPr>
              <w:t>11</w:t>
            </w:r>
            <w:r>
              <w:rPr>
                <w:rFonts w:hint="default" w:ascii="Times New Roman" w:hAnsi="Times New Roman" w:eastAsia="宋体" w:cs="Times New Roman"/>
                <w:bCs/>
                <w:sz w:val="24"/>
                <w:lang w:val="en-US" w:eastAsia="zh-CN"/>
              </w:rPr>
              <w:t>）、尾气净化器（含尾气净化催化剂）（S</w:t>
            </w:r>
            <w:r>
              <w:rPr>
                <w:rFonts w:hint="default" w:ascii="Times New Roman" w:hAnsi="Times New Roman" w:eastAsia="宋体" w:cs="Times New Roman"/>
                <w:bCs/>
                <w:sz w:val="24"/>
                <w:vertAlign w:val="subscript"/>
                <w:lang w:val="en-US" w:eastAsia="zh-CN"/>
              </w:rPr>
              <w:t>12</w:t>
            </w:r>
            <w:r>
              <w:rPr>
                <w:rFonts w:hint="default" w:ascii="Times New Roman" w:hAnsi="Times New Roman" w:eastAsia="宋体" w:cs="Times New Roman"/>
                <w:bCs/>
                <w:sz w:val="24"/>
                <w:lang w:val="en-US" w:eastAsia="zh-CN"/>
              </w:rPr>
              <w:t>）属于危险废物，收集后送至厂区</w:t>
            </w:r>
            <w:r>
              <w:rPr>
                <w:rFonts w:hint="eastAsia" w:ascii="Times New Roman" w:hAnsi="Times New Roman" w:eastAsia="宋体" w:cs="Times New Roman"/>
                <w:bCs/>
                <w:sz w:val="24"/>
                <w:lang w:val="en-US" w:eastAsia="zh-CN"/>
              </w:rPr>
              <w:t>危废暂存库</w:t>
            </w:r>
            <w:r>
              <w:rPr>
                <w:rFonts w:hint="default" w:ascii="Times New Roman" w:hAnsi="Times New Roman" w:eastAsia="宋体" w:cs="Times New Roman"/>
                <w:bCs/>
                <w:sz w:val="24"/>
                <w:lang w:val="en-US" w:eastAsia="zh-CN"/>
              </w:rPr>
              <w:t>暂存，定期交有资质单位处置。</w:t>
            </w:r>
          </w:p>
          <w:p w14:paraId="15CE677A">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
                <w:bCs w:val="0"/>
                <w:sz w:val="24"/>
                <w:lang w:val="en-US" w:eastAsia="zh-CN"/>
              </w:rPr>
              <w:t>新能源汽车动力蓄电池拆卸预处理：</w:t>
            </w:r>
            <w:r>
              <w:rPr>
                <w:rFonts w:hint="default" w:ascii="Times New Roman" w:hAnsi="Times New Roman" w:eastAsia="宋体" w:cs="Times New Roman"/>
                <w:bCs/>
                <w:sz w:val="24"/>
                <w:lang w:val="en-US" w:eastAsia="zh-CN"/>
              </w:rPr>
              <w:t xml:space="preserve"> </w:t>
            </w:r>
          </w:p>
          <w:p w14:paraId="295A410E">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新能源汽车相比传统燃料汽车主要增加了动力蓄电池预处理及拆卸工序。动力蓄电池的预处理及拆卸在拆解车间的新能源拆解区内进行，新能源拆解区为单独隔间，实行单独管理。区域内需设置高压警示、隔离及危险识别标识，并具有防腐防渗的收集池及专用容器，同时新能源拆解区地面应做绝缘处理。动力蓄电池拆卸预处理： </w:t>
            </w:r>
          </w:p>
          <w:p w14:paraId="1966C1C4">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①检查车身有无漏液、有无带电；检查后进行放电处理，地面做好绝缘处理；②检查动力蓄电池的布局和安装位置，确认诊断接口是否完好；③对动力蓄电池电压、温度等参数进行检测，评估其安全状态；④断开动力蓄电池高压回路；⑤在室内拆解预处理平台上使用防静电的工具排空存留在车内的废液，并使用专用容器分类回收； </w:t>
            </w:r>
          </w:p>
          <w:p w14:paraId="1276B202">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产排污环节分析：各油液抽取过程和燃油机动车一致，废燃料油抽排过程，将挥发少量抽取废气（G</w:t>
            </w:r>
            <w:r>
              <w:rPr>
                <w:rFonts w:hint="default" w:ascii="Times New Roman" w:hAnsi="Times New Roman" w:eastAsia="宋体" w:cs="Times New Roman"/>
                <w:bCs/>
                <w:sz w:val="24"/>
                <w:vertAlign w:val="subscript"/>
                <w:lang w:val="en-US" w:eastAsia="zh-CN"/>
              </w:rPr>
              <w:t>1</w:t>
            </w:r>
            <w:r>
              <w:rPr>
                <w:rFonts w:hint="default" w:ascii="Times New Roman" w:hAnsi="Times New Roman" w:eastAsia="宋体" w:cs="Times New Roman"/>
                <w:bCs/>
                <w:sz w:val="24"/>
                <w:lang w:val="en-US" w:eastAsia="zh-CN"/>
              </w:rPr>
              <w:t>），主要成分为VOCs。抽取出的废燃料油（S</w:t>
            </w:r>
            <w:r>
              <w:rPr>
                <w:rFonts w:hint="default" w:ascii="Times New Roman" w:hAnsi="Times New Roman" w:eastAsia="宋体" w:cs="Times New Roman"/>
                <w:bCs/>
                <w:sz w:val="24"/>
                <w:vertAlign w:val="subscript"/>
                <w:lang w:val="en-US" w:eastAsia="zh-CN"/>
              </w:rPr>
              <w:t>1</w:t>
            </w:r>
            <w:r>
              <w:rPr>
                <w:rFonts w:hint="default" w:ascii="Times New Roman" w:hAnsi="Times New Roman" w:eastAsia="宋体" w:cs="Times New Roman"/>
                <w:bCs/>
                <w:sz w:val="24"/>
                <w:lang w:val="en-US" w:eastAsia="zh-CN"/>
              </w:rPr>
              <w:t>）、 废油液（S</w:t>
            </w:r>
            <w:r>
              <w:rPr>
                <w:rFonts w:hint="default" w:ascii="Times New Roman" w:hAnsi="Times New Roman" w:eastAsia="宋体" w:cs="Times New Roman"/>
                <w:bCs/>
                <w:sz w:val="24"/>
                <w:vertAlign w:val="subscript"/>
                <w:lang w:val="en-US" w:eastAsia="zh-CN"/>
              </w:rPr>
              <w:t>2</w:t>
            </w:r>
            <w:r>
              <w:rPr>
                <w:rFonts w:hint="default" w:ascii="Times New Roman" w:hAnsi="Times New Roman" w:eastAsia="宋体" w:cs="Times New Roman"/>
                <w:bCs/>
                <w:sz w:val="24"/>
                <w:lang w:val="en-US" w:eastAsia="zh-CN"/>
              </w:rPr>
              <w:t>）、废挡风玻璃清洗剂（S</w:t>
            </w:r>
            <w:r>
              <w:rPr>
                <w:rFonts w:hint="default" w:ascii="Times New Roman" w:hAnsi="Times New Roman" w:eastAsia="宋体" w:cs="Times New Roman"/>
                <w:bCs/>
                <w:sz w:val="24"/>
                <w:vertAlign w:val="subscript"/>
                <w:lang w:val="en-US" w:eastAsia="zh-CN"/>
              </w:rPr>
              <w:t>4</w:t>
            </w:r>
            <w:r>
              <w:rPr>
                <w:rFonts w:hint="default" w:ascii="Times New Roman" w:hAnsi="Times New Roman" w:eastAsia="宋体" w:cs="Times New Roman"/>
                <w:bCs/>
                <w:sz w:val="24"/>
                <w:lang w:val="en-US" w:eastAsia="zh-CN"/>
              </w:rPr>
              <w:t xml:space="preserve">）分类收集后在厂区危险废物暂存间暂存，定期委托有资质单位处置。 </w:t>
            </w:r>
          </w:p>
          <w:p w14:paraId="31610661">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⑥使用防静电设备回收电动汽车空调制冷剂。 </w:t>
            </w:r>
          </w:p>
          <w:p w14:paraId="3B912B27">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电动汽车空调制冷机回收过程和燃料汽车制冷机回收过程一致。 </w:t>
            </w:r>
          </w:p>
          <w:p w14:paraId="00A2506C">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产排污环节分析：此工序抽取的废制冷剂（S</w:t>
            </w:r>
            <w:r>
              <w:rPr>
                <w:rFonts w:hint="default" w:ascii="Times New Roman" w:hAnsi="Times New Roman" w:eastAsia="宋体" w:cs="Times New Roman"/>
                <w:bCs/>
                <w:sz w:val="24"/>
                <w:vertAlign w:val="subscript"/>
                <w:lang w:val="en-US" w:eastAsia="zh-CN"/>
              </w:rPr>
              <w:t>6</w:t>
            </w:r>
            <w:r>
              <w:rPr>
                <w:rFonts w:hint="default" w:ascii="Times New Roman" w:hAnsi="Times New Roman" w:eastAsia="宋体" w:cs="Times New Roman"/>
                <w:bCs/>
                <w:sz w:val="24"/>
                <w:lang w:val="en-US" w:eastAsia="zh-CN"/>
              </w:rPr>
              <w:t>）</w:t>
            </w:r>
            <w:r>
              <w:rPr>
                <w:rFonts w:hint="eastAsia" w:eastAsia="宋体" w:cs="Times New Roman"/>
                <w:bCs/>
                <w:sz w:val="24"/>
                <w:lang w:val="en-US" w:eastAsia="zh-CN"/>
              </w:rPr>
              <w:t>采用</w:t>
            </w:r>
            <w:r>
              <w:rPr>
                <w:rFonts w:hint="default" w:ascii="Times New Roman" w:hAnsi="Times New Roman" w:eastAsia="宋体" w:cs="Times New Roman"/>
                <w:bCs/>
                <w:sz w:val="24"/>
                <w:lang w:val="en-US" w:eastAsia="zh-CN"/>
              </w:rPr>
              <w:t>密闭钢瓶收集后送至厂区</w:t>
            </w:r>
            <w:r>
              <w:rPr>
                <w:rFonts w:hint="eastAsia" w:eastAsia="宋体" w:cs="Times New Roman"/>
                <w:bCs/>
                <w:sz w:val="24"/>
                <w:lang w:val="en-US" w:eastAsia="zh-CN"/>
              </w:rPr>
              <w:t>危废暂存库暂存</w:t>
            </w:r>
            <w:r>
              <w:rPr>
                <w:rFonts w:hint="default" w:ascii="Times New Roman" w:hAnsi="Times New Roman" w:eastAsia="宋体" w:cs="Times New Roman"/>
                <w:bCs/>
                <w:sz w:val="24"/>
                <w:lang w:val="en-US" w:eastAsia="zh-CN"/>
              </w:rPr>
              <w:t>，定期交由有资质单位处置。制冷剂抽取过程中会产生少量制冷剂抽取废气（G</w:t>
            </w:r>
            <w:r>
              <w:rPr>
                <w:rFonts w:hint="default" w:ascii="Times New Roman" w:hAnsi="Times New Roman" w:eastAsia="宋体" w:cs="Times New Roman"/>
                <w:bCs/>
                <w:sz w:val="24"/>
                <w:vertAlign w:val="subscript"/>
                <w:lang w:val="en-US" w:eastAsia="zh-CN"/>
              </w:rPr>
              <w:t>2</w:t>
            </w:r>
            <w:r>
              <w:rPr>
                <w:rFonts w:hint="default" w:ascii="Times New Roman" w:hAnsi="Times New Roman" w:eastAsia="宋体" w:cs="Times New Roman"/>
                <w:bCs/>
                <w:sz w:val="24"/>
                <w:lang w:val="en-US" w:eastAsia="zh-CN"/>
              </w:rPr>
              <w:t>），在车间内无组织排放。</w:t>
            </w:r>
          </w:p>
          <w:p w14:paraId="7D43E1D3">
            <w:pPr>
              <w:spacing w:line="360" w:lineRule="auto"/>
              <w:ind w:firstLine="480"/>
              <w:rPr>
                <w:rFonts w:hint="default" w:ascii="Times New Roman" w:hAnsi="Times New Roman" w:eastAsia="宋体" w:cs="Times New Roman"/>
                <w:b/>
                <w:bCs w:val="0"/>
                <w:sz w:val="24"/>
                <w:lang w:val="en-US" w:eastAsia="zh-CN"/>
              </w:rPr>
            </w:pPr>
            <w:r>
              <w:rPr>
                <w:rFonts w:hint="default" w:ascii="Times New Roman" w:hAnsi="Times New Roman" w:eastAsia="宋体" w:cs="Times New Roman"/>
                <w:b/>
                <w:bCs w:val="0"/>
                <w:sz w:val="24"/>
                <w:lang w:val="en-US" w:eastAsia="zh-CN"/>
              </w:rPr>
              <w:t xml:space="preserve">动力蓄电池拆卸： </w:t>
            </w:r>
          </w:p>
          <w:p w14:paraId="51D2544B">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①动力蓄电池的正式拆卸时，需拆卸动力蓄电池阻挡部件，如引擎盖、行李箱、车门等。 </w:t>
            </w:r>
          </w:p>
          <w:p w14:paraId="0A012490">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产排污环节分析：拆卸引擎盖、行李箱、车门过程中会产生废钢铁（S</w:t>
            </w:r>
            <w:r>
              <w:rPr>
                <w:rFonts w:hint="default" w:ascii="Times New Roman" w:hAnsi="Times New Roman" w:eastAsia="宋体" w:cs="Times New Roman"/>
                <w:bCs/>
                <w:sz w:val="24"/>
                <w:vertAlign w:val="subscript"/>
                <w:lang w:val="en-US" w:eastAsia="zh-CN"/>
              </w:rPr>
              <w:t>17</w:t>
            </w:r>
            <w:r>
              <w:rPr>
                <w:rFonts w:hint="default" w:ascii="Times New Roman" w:hAnsi="Times New Roman" w:eastAsia="宋体" w:cs="Times New Roman"/>
                <w:bCs/>
                <w:sz w:val="24"/>
                <w:lang w:val="en-US" w:eastAsia="zh-CN"/>
              </w:rPr>
              <w:t xml:space="preserve">）、 </w:t>
            </w:r>
          </w:p>
          <w:p w14:paraId="6C2996C8">
            <w:pPr>
              <w:spacing w:line="360" w:lineRule="auto"/>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废有色金属（S</w:t>
            </w:r>
            <w:r>
              <w:rPr>
                <w:rFonts w:hint="default" w:ascii="Times New Roman" w:hAnsi="Times New Roman" w:eastAsia="宋体" w:cs="Times New Roman"/>
                <w:bCs/>
                <w:sz w:val="24"/>
                <w:vertAlign w:val="subscript"/>
                <w:lang w:val="en-US" w:eastAsia="zh-CN"/>
              </w:rPr>
              <w:t>14</w:t>
            </w:r>
            <w:r>
              <w:rPr>
                <w:rFonts w:hint="default" w:ascii="Times New Roman" w:hAnsi="Times New Roman" w:eastAsia="宋体" w:cs="Times New Roman"/>
                <w:bCs/>
                <w:sz w:val="24"/>
                <w:lang w:val="en-US" w:eastAsia="zh-CN"/>
              </w:rPr>
              <w:t>）、废塑料（S</w:t>
            </w:r>
            <w:r>
              <w:rPr>
                <w:rFonts w:hint="default" w:ascii="Times New Roman" w:hAnsi="Times New Roman" w:eastAsia="宋体" w:cs="Times New Roman"/>
                <w:bCs/>
                <w:sz w:val="24"/>
                <w:vertAlign w:val="subscript"/>
                <w:lang w:val="en-US" w:eastAsia="zh-CN"/>
              </w:rPr>
              <w:t>18</w:t>
            </w:r>
            <w:r>
              <w:rPr>
                <w:rFonts w:hint="default" w:ascii="Times New Roman" w:hAnsi="Times New Roman" w:eastAsia="宋体" w:cs="Times New Roman"/>
                <w:bCs/>
                <w:sz w:val="24"/>
                <w:lang w:val="en-US" w:eastAsia="zh-CN"/>
              </w:rPr>
              <w:t xml:space="preserve">）。作为产品分别外售给相关单位。 </w:t>
            </w:r>
          </w:p>
          <w:p w14:paraId="40E00179">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②断开电压线束（电缆），拆卸不同安装位置的动力蓄电池。</w:t>
            </w:r>
          </w:p>
          <w:p w14:paraId="4BAF6764">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产排污环节分析：此工序拆卸下来的废电线电缆属于废有色金属（S</w:t>
            </w:r>
            <w:r>
              <w:rPr>
                <w:rFonts w:hint="default" w:ascii="Times New Roman" w:hAnsi="Times New Roman" w:eastAsia="宋体" w:cs="Times New Roman"/>
                <w:bCs/>
                <w:sz w:val="24"/>
                <w:vertAlign w:val="subscript"/>
                <w:lang w:val="en-US" w:eastAsia="zh-CN"/>
              </w:rPr>
              <w:t>14</w:t>
            </w:r>
            <w:r>
              <w:rPr>
                <w:rFonts w:hint="default" w:ascii="Times New Roman" w:hAnsi="Times New Roman" w:eastAsia="宋体" w:cs="Times New Roman"/>
                <w:bCs/>
                <w:sz w:val="24"/>
                <w:lang w:val="en-US" w:eastAsia="zh-CN"/>
              </w:rPr>
              <w:t xml:space="preserve">）， </w:t>
            </w:r>
          </w:p>
          <w:p w14:paraId="000CC108">
            <w:pPr>
              <w:spacing w:line="360" w:lineRule="auto"/>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外售给废有色金属回收单位。拆卸下来的废动力蓄电池（S</w:t>
            </w:r>
            <w:r>
              <w:rPr>
                <w:rFonts w:hint="default" w:ascii="Times New Roman" w:hAnsi="Times New Roman" w:eastAsia="宋体" w:cs="Times New Roman"/>
                <w:bCs/>
                <w:sz w:val="24"/>
                <w:vertAlign w:val="subscript"/>
                <w:lang w:val="en-US" w:eastAsia="zh-CN"/>
              </w:rPr>
              <w:t>21</w:t>
            </w:r>
            <w:r>
              <w:rPr>
                <w:rFonts w:hint="default" w:ascii="Times New Roman" w:hAnsi="Times New Roman" w:eastAsia="宋体" w:cs="Times New Roman"/>
                <w:bCs/>
                <w:sz w:val="24"/>
                <w:lang w:val="en-US" w:eastAsia="zh-CN"/>
              </w:rPr>
              <w:t>）作为一般工业固体废物，外售给有专业资质的单位</w:t>
            </w:r>
            <w:r>
              <w:rPr>
                <w:rFonts w:hint="eastAsia" w:cs="Times New Roman"/>
                <w:bCs/>
                <w:sz w:val="24"/>
                <w:lang w:val="en-US" w:eastAsia="zh-CN"/>
              </w:rPr>
              <w:t>回收处理</w:t>
            </w:r>
            <w:r>
              <w:rPr>
                <w:rFonts w:hint="default" w:ascii="Times New Roman" w:hAnsi="Times New Roman" w:eastAsia="宋体" w:cs="Times New Roman"/>
                <w:bCs/>
                <w:sz w:val="24"/>
                <w:lang w:val="en-US" w:eastAsia="zh-CN"/>
              </w:rPr>
              <w:t xml:space="preserve">。 </w:t>
            </w:r>
          </w:p>
          <w:p w14:paraId="5E08A355">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③收集采用液冷结构方式散热的动力蓄电池包（组）内的冷却液。 </w:t>
            </w:r>
          </w:p>
          <w:p w14:paraId="5A9CD5AD">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产排污环节分析：此工序会产生废防冻冷却液（S</w:t>
            </w:r>
            <w:r>
              <w:rPr>
                <w:rFonts w:hint="default" w:ascii="Times New Roman" w:hAnsi="Times New Roman" w:eastAsia="宋体" w:cs="Times New Roman"/>
                <w:bCs/>
                <w:sz w:val="24"/>
                <w:vertAlign w:val="subscript"/>
                <w:lang w:val="en-US" w:eastAsia="zh-CN"/>
              </w:rPr>
              <w:t>3</w:t>
            </w:r>
            <w:r>
              <w:rPr>
                <w:rFonts w:hint="default" w:ascii="Times New Roman" w:hAnsi="Times New Roman" w:eastAsia="宋体" w:cs="Times New Roman"/>
                <w:bCs/>
                <w:sz w:val="24"/>
                <w:lang w:val="en-US" w:eastAsia="zh-CN"/>
              </w:rPr>
              <w:t>），属于危险</w:t>
            </w:r>
            <w:r>
              <w:rPr>
                <w:rFonts w:hint="eastAsia" w:eastAsia="宋体" w:cs="Times New Roman"/>
                <w:bCs/>
                <w:sz w:val="24"/>
                <w:lang w:val="en-US" w:eastAsia="zh-CN"/>
              </w:rPr>
              <w:t>废物</w:t>
            </w:r>
            <w:r>
              <w:rPr>
                <w:rFonts w:hint="default" w:ascii="Times New Roman" w:hAnsi="Times New Roman" w:eastAsia="宋体" w:cs="Times New Roman"/>
                <w:bCs/>
                <w:sz w:val="24"/>
                <w:lang w:val="en-US" w:eastAsia="zh-CN"/>
              </w:rPr>
              <w:t>，收集后</w:t>
            </w:r>
            <w:r>
              <w:rPr>
                <w:rFonts w:hint="eastAsia" w:eastAsia="宋体" w:cs="Times New Roman"/>
                <w:bCs/>
                <w:sz w:val="24"/>
                <w:lang w:val="en-US" w:eastAsia="zh-CN"/>
              </w:rPr>
              <w:t>暂存</w:t>
            </w:r>
            <w:r>
              <w:rPr>
                <w:rFonts w:hint="default" w:ascii="Times New Roman" w:hAnsi="Times New Roman" w:eastAsia="宋体" w:cs="Times New Roman"/>
                <w:bCs/>
                <w:sz w:val="24"/>
                <w:lang w:val="en-US" w:eastAsia="zh-CN"/>
              </w:rPr>
              <w:t>危废暂存</w:t>
            </w:r>
            <w:r>
              <w:rPr>
                <w:rFonts w:hint="eastAsia" w:eastAsia="宋体" w:cs="Times New Roman"/>
                <w:bCs/>
                <w:sz w:val="24"/>
                <w:lang w:val="en-US" w:eastAsia="zh-CN"/>
              </w:rPr>
              <w:t>库</w:t>
            </w:r>
            <w:r>
              <w:rPr>
                <w:rFonts w:hint="default" w:ascii="Times New Roman" w:hAnsi="Times New Roman" w:eastAsia="宋体" w:cs="Times New Roman"/>
                <w:bCs/>
                <w:sz w:val="24"/>
                <w:lang w:val="en-US" w:eastAsia="zh-CN"/>
              </w:rPr>
              <w:t xml:space="preserve">内，定期交由有资质的单位处置。 </w:t>
            </w:r>
          </w:p>
          <w:p w14:paraId="436A2770">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④对拆卸下的动力蓄电池线束接头、正负极片等外露线束和金属物进行绝缘处理，并在其明显位置处贴上标签，表明绝缘状况。 </w:t>
            </w:r>
          </w:p>
          <w:p w14:paraId="36ACA1A0">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⑤收集驱动电机总成内残余冷却液后，拆除驱动电机。 </w:t>
            </w:r>
          </w:p>
          <w:p w14:paraId="4846AB2E">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产排污环节分析：此工序会产生废防冻冷却液（S</w:t>
            </w:r>
            <w:r>
              <w:rPr>
                <w:rFonts w:hint="default" w:ascii="Times New Roman" w:hAnsi="Times New Roman" w:eastAsia="宋体" w:cs="Times New Roman"/>
                <w:bCs/>
                <w:sz w:val="24"/>
                <w:vertAlign w:val="subscript"/>
                <w:lang w:val="en-US" w:eastAsia="zh-CN"/>
              </w:rPr>
              <w:t>3</w:t>
            </w:r>
            <w:r>
              <w:rPr>
                <w:rFonts w:hint="default" w:ascii="Times New Roman" w:hAnsi="Times New Roman" w:eastAsia="宋体" w:cs="Times New Roman"/>
                <w:bCs/>
                <w:sz w:val="24"/>
                <w:lang w:val="en-US" w:eastAsia="zh-CN"/>
              </w:rPr>
              <w:t>）和废钢铁（S</w:t>
            </w:r>
            <w:r>
              <w:rPr>
                <w:rFonts w:hint="default" w:ascii="Times New Roman" w:hAnsi="Times New Roman" w:eastAsia="宋体" w:cs="Times New Roman"/>
                <w:bCs/>
                <w:sz w:val="24"/>
                <w:vertAlign w:val="subscript"/>
                <w:lang w:val="en-US" w:eastAsia="zh-CN"/>
              </w:rPr>
              <w:t>17</w:t>
            </w:r>
            <w:r>
              <w:rPr>
                <w:rFonts w:hint="default" w:ascii="Times New Roman" w:hAnsi="Times New Roman" w:eastAsia="宋体" w:cs="Times New Roman"/>
                <w:bCs/>
                <w:sz w:val="24"/>
                <w:lang w:val="en-US" w:eastAsia="zh-CN"/>
              </w:rPr>
              <w:t>），废防冻冷却液（S</w:t>
            </w:r>
            <w:r>
              <w:rPr>
                <w:rFonts w:hint="default" w:ascii="Times New Roman" w:hAnsi="Times New Roman" w:eastAsia="宋体" w:cs="Times New Roman"/>
                <w:bCs/>
                <w:sz w:val="24"/>
                <w:vertAlign w:val="subscript"/>
                <w:lang w:val="en-US" w:eastAsia="zh-CN"/>
              </w:rPr>
              <w:t>3</w:t>
            </w:r>
            <w:r>
              <w:rPr>
                <w:rFonts w:hint="default" w:ascii="Times New Roman" w:hAnsi="Times New Roman" w:eastAsia="宋体" w:cs="Times New Roman"/>
                <w:bCs/>
                <w:sz w:val="24"/>
                <w:lang w:val="en-US" w:eastAsia="zh-CN"/>
              </w:rPr>
              <w:t>）属于危险废</w:t>
            </w:r>
            <w:r>
              <w:rPr>
                <w:rFonts w:hint="eastAsia" w:cs="Times New Roman"/>
                <w:bCs/>
                <w:sz w:val="24"/>
                <w:lang w:val="en-US" w:eastAsia="zh-CN"/>
              </w:rPr>
              <w:t>物</w:t>
            </w:r>
            <w:r>
              <w:rPr>
                <w:rFonts w:hint="default" w:ascii="Times New Roman" w:hAnsi="Times New Roman" w:eastAsia="宋体" w:cs="Times New Roman"/>
                <w:bCs/>
                <w:sz w:val="24"/>
                <w:lang w:val="en-US" w:eastAsia="zh-CN"/>
              </w:rPr>
              <w:t>，收集后</w:t>
            </w:r>
            <w:r>
              <w:rPr>
                <w:rFonts w:hint="eastAsia" w:eastAsia="宋体" w:cs="Times New Roman"/>
                <w:bCs/>
                <w:sz w:val="24"/>
                <w:lang w:val="en-US" w:eastAsia="zh-CN"/>
              </w:rPr>
              <w:t>暂存厂区</w:t>
            </w:r>
            <w:r>
              <w:rPr>
                <w:rFonts w:hint="default" w:ascii="Times New Roman" w:hAnsi="Times New Roman" w:eastAsia="宋体" w:cs="Times New Roman"/>
                <w:bCs/>
                <w:sz w:val="24"/>
                <w:lang w:val="en-US" w:eastAsia="zh-CN"/>
              </w:rPr>
              <w:t>危废暂存</w:t>
            </w:r>
            <w:r>
              <w:rPr>
                <w:rFonts w:hint="eastAsia" w:eastAsia="宋体" w:cs="Times New Roman"/>
                <w:bCs/>
                <w:sz w:val="24"/>
                <w:lang w:val="en-US" w:eastAsia="zh-CN"/>
              </w:rPr>
              <w:t>库</w:t>
            </w:r>
            <w:r>
              <w:rPr>
                <w:rFonts w:hint="default" w:ascii="Times New Roman" w:hAnsi="Times New Roman" w:eastAsia="宋体" w:cs="Times New Roman"/>
                <w:bCs/>
                <w:sz w:val="24"/>
                <w:lang w:val="en-US" w:eastAsia="zh-CN"/>
              </w:rPr>
              <w:t>内，定期交由有资质的单位处置。废钢铁（S</w:t>
            </w:r>
            <w:r>
              <w:rPr>
                <w:rFonts w:hint="default" w:ascii="Times New Roman" w:hAnsi="Times New Roman" w:eastAsia="宋体" w:cs="Times New Roman"/>
                <w:bCs/>
                <w:sz w:val="24"/>
                <w:vertAlign w:val="subscript"/>
                <w:lang w:val="en-US" w:eastAsia="zh-CN"/>
              </w:rPr>
              <w:t>17</w:t>
            </w:r>
            <w:r>
              <w:rPr>
                <w:rFonts w:hint="default" w:ascii="Times New Roman" w:hAnsi="Times New Roman" w:eastAsia="宋体" w:cs="Times New Roman"/>
                <w:bCs/>
                <w:sz w:val="24"/>
                <w:lang w:val="en-US" w:eastAsia="zh-CN"/>
              </w:rPr>
              <w:t xml:space="preserve">）作为产品分别外售给相关单位。 </w:t>
            </w:r>
          </w:p>
          <w:p w14:paraId="069E8462">
            <w:pPr>
              <w:spacing w:line="360" w:lineRule="auto"/>
              <w:ind w:firstLine="482" w:firstLineChars="200"/>
              <w:rPr>
                <w:rFonts w:hint="default" w:ascii="Times New Roman" w:hAnsi="Times New Roman" w:eastAsia="宋体" w:cs="Times New Roman"/>
                <w:b/>
                <w:bCs w:val="0"/>
                <w:sz w:val="24"/>
                <w:lang w:val="en-US" w:eastAsia="zh-CN"/>
              </w:rPr>
            </w:pPr>
            <w:r>
              <w:rPr>
                <w:rFonts w:hint="eastAsia" w:eastAsia="宋体" w:cs="Times New Roman"/>
                <w:b/>
                <w:bCs w:val="0"/>
                <w:sz w:val="24"/>
                <w:lang w:val="en-US" w:eastAsia="zh-CN"/>
              </w:rPr>
              <w:t>（3）</w:t>
            </w:r>
            <w:r>
              <w:rPr>
                <w:rFonts w:hint="default" w:ascii="Times New Roman" w:hAnsi="Times New Roman" w:eastAsia="宋体" w:cs="Times New Roman"/>
                <w:b/>
                <w:bCs w:val="0"/>
                <w:sz w:val="24"/>
                <w:lang w:val="en-US" w:eastAsia="zh-CN"/>
              </w:rPr>
              <w:t xml:space="preserve">拆解 </w:t>
            </w:r>
          </w:p>
          <w:p w14:paraId="39A1A900">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①拆除玻璃</w:t>
            </w:r>
          </w:p>
          <w:p w14:paraId="46B385ED">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利用简易拆解工具拆除玻璃，没有破损的玻璃应整体拆除。 </w:t>
            </w:r>
          </w:p>
          <w:p w14:paraId="693105F2">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产排污环节分析：此工序会产生废玻璃（S</w:t>
            </w:r>
            <w:r>
              <w:rPr>
                <w:rFonts w:hint="default" w:ascii="Times New Roman" w:hAnsi="Times New Roman" w:eastAsia="宋体" w:cs="Times New Roman"/>
                <w:bCs/>
                <w:sz w:val="24"/>
                <w:vertAlign w:val="subscript"/>
                <w:lang w:val="en-US" w:eastAsia="zh-CN"/>
              </w:rPr>
              <w:t>13</w:t>
            </w:r>
            <w:r>
              <w:rPr>
                <w:rFonts w:hint="default" w:ascii="Times New Roman" w:hAnsi="Times New Roman" w:eastAsia="宋体" w:cs="Times New Roman"/>
                <w:bCs/>
                <w:sz w:val="24"/>
                <w:lang w:val="en-US" w:eastAsia="zh-CN"/>
              </w:rPr>
              <w:t xml:space="preserve">），收集后作为产品外售给废玻璃回收单位处理。 </w:t>
            </w:r>
          </w:p>
          <w:p w14:paraId="085C2D69">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②拆除消声器、转向锁总成、停车装置、倒车雷达及电子控制模块</w:t>
            </w:r>
          </w:p>
          <w:p w14:paraId="059467A0">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利用工具拆除机动车消声器、转向锁总成、停车装置、倒车雷达及电子开关等，分类收集后置于专用容器内，拆除的零部件均不进行进一步拆解。 </w:t>
            </w:r>
          </w:p>
          <w:p w14:paraId="20B9369E">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产排污环节分析：此工序会产生废有色金属（S</w:t>
            </w:r>
            <w:r>
              <w:rPr>
                <w:rFonts w:hint="default" w:ascii="Times New Roman" w:hAnsi="Times New Roman" w:eastAsia="宋体" w:cs="Times New Roman"/>
                <w:bCs/>
                <w:sz w:val="24"/>
                <w:vertAlign w:val="subscript"/>
                <w:lang w:val="en-US" w:eastAsia="zh-CN"/>
              </w:rPr>
              <w:t>14</w:t>
            </w:r>
            <w:r>
              <w:rPr>
                <w:rFonts w:hint="default" w:ascii="Times New Roman" w:hAnsi="Times New Roman" w:eastAsia="宋体" w:cs="Times New Roman"/>
                <w:bCs/>
                <w:sz w:val="24"/>
                <w:lang w:val="en-US" w:eastAsia="zh-CN"/>
              </w:rPr>
              <w:t>），作为产品外售给废有色金属回收单位；废电路板及电子元器件（S</w:t>
            </w:r>
            <w:r>
              <w:rPr>
                <w:rFonts w:hint="default" w:ascii="Times New Roman" w:hAnsi="Times New Roman" w:eastAsia="宋体" w:cs="Times New Roman"/>
                <w:bCs/>
                <w:sz w:val="24"/>
                <w:vertAlign w:val="subscript"/>
                <w:lang w:val="en-US" w:eastAsia="zh-CN"/>
              </w:rPr>
              <w:t>15</w:t>
            </w:r>
            <w:r>
              <w:rPr>
                <w:rFonts w:hint="default" w:ascii="Times New Roman" w:hAnsi="Times New Roman" w:eastAsia="宋体" w:cs="Times New Roman"/>
                <w:bCs/>
                <w:sz w:val="24"/>
                <w:lang w:val="en-US" w:eastAsia="zh-CN"/>
              </w:rPr>
              <w:t>）属于危险废物，收集后</w:t>
            </w:r>
            <w:r>
              <w:rPr>
                <w:rFonts w:hint="eastAsia" w:eastAsia="宋体" w:cs="Times New Roman"/>
                <w:bCs/>
                <w:sz w:val="24"/>
                <w:lang w:val="en-US" w:eastAsia="zh-CN"/>
              </w:rPr>
              <w:t>暂存</w:t>
            </w:r>
            <w:r>
              <w:rPr>
                <w:rFonts w:hint="default" w:ascii="Times New Roman" w:hAnsi="Times New Roman" w:eastAsia="宋体" w:cs="Times New Roman"/>
                <w:bCs/>
                <w:sz w:val="24"/>
                <w:lang w:val="en-US" w:eastAsia="zh-CN"/>
              </w:rPr>
              <w:t>厂区危险废物暂存</w:t>
            </w:r>
            <w:r>
              <w:rPr>
                <w:rFonts w:hint="eastAsia" w:eastAsia="宋体" w:cs="Times New Roman"/>
                <w:bCs/>
                <w:sz w:val="24"/>
                <w:lang w:val="en-US" w:eastAsia="zh-CN"/>
              </w:rPr>
              <w:t>库</w:t>
            </w:r>
            <w:r>
              <w:rPr>
                <w:rFonts w:hint="default" w:ascii="Times New Roman" w:hAnsi="Times New Roman" w:eastAsia="宋体" w:cs="Times New Roman"/>
                <w:bCs/>
                <w:sz w:val="24"/>
                <w:lang w:val="en-US" w:eastAsia="zh-CN"/>
              </w:rPr>
              <w:t xml:space="preserve">，定期交由有资质单位处置。 </w:t>
            </w:r>
          </w:p>
          <w:p w14:paraId="646A6016">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③拆除车轮并卸下轮胎</w:t>
            </w:r>
          </w:p>
          <w:p w14:paraId="304B20F1">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采用简易拆解工具在拆解工位将车轮从报废机动车上拆卸下来，没有破损的轮胎应整体拆卸。 </w:t>
            </w:r>
          </w:p>
          <w:p w14:paraId="6FF770DF">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产排污环节分析：此工序产生的废轮胎属于废橡胶（S</w:t>
            </w:r>
            <w:r>
              <w:rPr>
                <w:rFonts w:hint="default" w:ascii="Times New Roman" w:hAnsi="Times New Roman" w:eastAsia="宋体" w:cs="Times New Roman"/>
                <w:bCs/>
                <w:sz w:val="24"/>
                <w:vertAlign w:val="subscript"/>
                <w:lang w:val="en-US" w:eastAsia="zh-CN"/>
              </w:rPr>
              <w:t>16</w:t>
            </w:r>
            <w:r>
              <w:rPr>
                <w:rFonts w:hint="default" w:ascii="Times New Roman" w:hAnsi="Times New Roman" w:eastAsia="宋体" w:cs="Times New Roman"/>
                <w:bCs/>
                <w:sz w:val="24"/>
                <w:lang w:val="en-US" w:eastAsia="zh-CN"/>
              </w:rPr>
              <w:t>），作为产品外售给废橡胶回收单位</w:t>
            </w:r>
            <w:r>
              <w:rPr>
                <w:rFonts w:hint="eastAsia" w:cs="Times New Roman"/>
                <w:bCs/>
                <w:sz w:val="24"/>
                <w:lang w:val="en-US" w:eastAsia="zh-CN"/>
              </w:rPr>
              <w:t>回收利用</w:t>
            </w:r>
            <w:r>
              <w:rPr>
                <w:rFonts w:hint="default" w:ascii="Times New Roman" w:hAnsi="Times New Roman" w:eastAsia="宋体" w:cs="Times New Roman"/>
                <w:bCs/>
                <w:sz w:val="24"/>
                <w:lang w:val="en-US" w:eastAsia="zh-CN"/>
              </w:rPr>
              <w:t>。车轮的轮毂、轮辐等属于废钢铁（S</w:t>
            </w:r>
            <w:r>
              <w:rPr>
                <w:rFonts w:hint="default" w:ascii="Times New Roman" w:hAnsi="Times New Roman" w:eastAsia="宋体" w:cs="Times New Roman"/>
                <w:bCs/>
                <w:sz w:val="24"/>
                <w:vertAlign w:val="subscript"/>
                <w:lang w:val="en-US" w:eastAsia="zh-CN"/>
              </w:rPr>
              <w:t>17</w:t>
            </w:r>
            <w:r>
              <w:rPr>
                <w:rFonts w:hint="default" w:ascii="Times New Roman" w:hAnsi="Times New Roman" w:eastAsia="宋体" w:cs="Times New Roman"/>
                <w:bCs/>
                <w:sz w:val="24"/>
                <w:lang w:val="en-US" w:eastAsia="zh-CN"/>
              </w:rPr>
              <w:t>），收集后</w:t>
            </w:r>
            <w:r>
              <w:rPr>
                <w:rFonts w:hint="eastAsia" w:cs="Times New Roman"/>
                <w:bCs/>
                <w:sz w:val="24"/>
                <w:lang w:val="en-US" w:eastAsia="zh-CN"/>
              </w:rPr>
              <w:t>外售废钢铁回收单位回收利用</w:t>
            </w:r>
            <w:r>
              <w:rPr>
                <w:rFonts w:hint="default" w:ascii="Times New Roman" w:hAnsi="Times New Roman" w:eastAsia="宋体" w:cs="Times New Roman"/>
                <w:bCs/>
                <w:sz w:val="24"/>
                <w:lang w:val="en-US" w:eastAsia="zh-CN"/>
              </w:rPr>
              <w:t xml:space="preserve">。 </w:t>
            </w:r>
          </w:p>
          <w:p w14:paraId="22548054">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④拆除能有效回收含铜、铝、镁的金属部件</w:t>
            </w:r>
          </w:p>
          <w:p w14:paraId="5ED8D8CD">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利用简易工具拆除报废机动车上能有效回收含铜、铝、镁的金属部件。 </w:t>
            </w:r>
          </w:p>
          <w:p w14:paraId="40F5A1D0">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产排污环节分析：此工序会产生废有色金属（S</w:t>
            </w:r>
            <w:r>
              <w:rPr>
                <w:rFonts w:hint="default" w:ascii="Times New Roman" w:hAnsi="Times New Roman" w:eastAsia="宋体" w:cs="Times New Roman"/>
                <w:bCs/>
                <w:sz w:val="24"/>
                <w:vertAlign w:val="subscript"/>
                <w:lang w:val="en-US" w:eastAsia="zh-CN"/>
              </w:rPr>
              <w:t>14</w:t>
            </w:r>
            <w:r>
              <w:rPr>
                <w:rFonts w:hint="default" w:ascii="Times New Roman" w:hAnsi="Times New Roman" w:eastAsia="宋体" w:cs="Times New Roman"/>
                <w:bCs/>
                <w:sz w:val="24"/>
                <w:lang w:val="en-US" w:eastAsia="zh-CN"/>
              </w:rPr>
              <w:t>），作为产品外售给废有色金属回收单位</w:t>
            </w:r>
            <w:r>
              <w:rPr>
                <w:rFonts w:hint="eastAsia" w:cs="Times New Roman"/>
                <w:bCs/>
                <w:sz w:val="24"/>
                <w:lang w:val="en-US" w:eastAsia="zh-CN"/>
              </w:rPr>
              <w:t>回收利用</w:t>
            </w:r>
            <w:r>
              <w:rPr>
                <w:rFonts w:hint="default" w:ascii="Times New Roman" w:hAnsi="Times New Roman" w:eastAsia="宋体" w:cs="Times New Roman"/>
                <w:bCs/>
                <w:sz w:val="24"/>
                <w:lang w:val="en-US" w:eastAsia="zh-CN"/>
              </w:rPr>
              <w:t xml:space="preserve">。 </w:t>
            </w:r>
          </w:p>
          <w:p w14:paraId="3171877A">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⑤拆除能有效回收的大型塑料件 </w:t>
            </w:r>
          </w:p>
          <w:p w14:paraId="0936AE5D">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采用简易拆卸工具在拆解工位上将能有效回收的大型塑料件，如车盖、装饰盖、导流板等从机动车上拆除，分类储存。 </w:t>
            </w:r>
          </w:p>
          <w:p w14:paraId="62653577">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产排污环节分析：此工序拆除的大型塑料件属于废塑料（S</w:t>
            </w:r>
            <w:r>
              <w:rPr>
                <w:rFonts w:hint="default" w:ascii="Times New Roman" w:hAnsi="Times New Roman" w:eastAsia="宋体" w:cs="Times New Roman"/>
                <w:bCs/>
                <w:sz w:val="24"/>
                <w:vertAlign w:val="subscript"/>
                <w:lang w:val="en-US" w:eastAsia="zh-CN"/>
              </w:rPr>
              <w:t>18</w:t>
            </w:r>
            <w:r>
              <w:rPr>
                <w:rFonts w:hint="default" w:ascii="Times New Roman" w:hAnsi="Times New Roman" w:eastAsia="宋体" w:cs="Times New Roman"/>
                <w:bCs/>
                <w:sz w:val="24"/>
                <w:lang w:val="en-US" w:eastAsia="zh-CN"/>
              </w:rPr>
              <w:t>），作为产品外售给废塑料回收单位</w:t>
            </w:r>
            <w:r>
              <w:rPr>
                <w:rFonts w:hint="eastAsia" w:cs="Times New Roman"/>
                <w:bCs/>
                <w:sz w:val="24"/>
                <w:lang w:val="en-US" w:eastAsia="zh-CN"/>
              </w:rPr>
              <w:t>回收利用</w:t>
            </w:r>
            <w:r>
              <w:rPr>
                <w:rFonts w:hint="default" w:ascii="Times New Roman" w:hAnsi="Times New Roman" w:eastAsia="宋体" w:cs="Times New Roman"/>
                <w:bCs/>
                <w:sz w:val="24"/>
                <w:lang w:val="en-US" w:eastAsia="zh-CN"/>
              </w:rPr>
              <w:t xml:space="preserve">。 </w:t>
            </w:r>
          </w:p>
          <w:p w14:paraId="52EAB16C">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⑥拆除车门、内饰、座椅等装备 </w:t>
            </w:r>
          </w:p>
          <w:p w14:paraId="1D06126C">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利用简易拆解工具在拆解工位将车门、安全带及内饰件、座椅等装备从报废机动车上拆除。 </w:t>
            </w:r>
          </w:p>
          <w:p w14:paraId="172BE724">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产排污环节分析：拆除的车门、安全带、车内座椅及内饰等，分别拆解成废钢铁（S</w:t>
            </w:r>
            <w:r>
              <w:rPr>
                <w:rFonts w:hint="default" w:ascii="Times New Roman" w:hAnsi="Times New Roman" w:eastAsia="宋体" w:cs="Times New Roman"/>
                <w:bCs/>
                <w:sz w:val="24"/>
                <w:vertAlign w:val="subscript"/>
                <w:lang w:val="en-US" w:eastAsia="zh-CN"/>
              </w:rPr>
              <w:t>17</w:t>
            </w:r>
            <w:r>
              <w:rPr>
                <w:rFonts w:hint="default" w:ascii="Times New Roman" w:hAnsi="Times New Roman" w:eastAsia="宋体" w:cs="Times New Roman"/>
                <w:bCs/>
                <w:sz w:val="24"/>
                <w:lang w:val="en-US" w:eastAsia="zh-CN"/>
              </w:rPr>
              <w:t>）和不可回收废物（S</w:t>
            </w:r>
            <w:r>
              <w:rPr>
                <w:rFonts w:hint="default" w:ascii="Times New Roman" w:hAnsi="Times New Roman" w:eastAsia="宋体" w:cs="Times New Roman"/>
                <w:bCs/>
                <w:sz w:val="24"/>
                <w:vertAlign w:val="subscript"/>
                <w:lang w:val="en-US" w:eastAsia="zh-CN"/>
              </w:rPr>
              <w:t>19</w:t>
            </w:r>
            <w:r>
              <w:rPr>
                <w:rFonts w:hint="default" w:ascii="Times New Roman" w:hAnsi="Times New Roman" w:eastAsia="宋体" w:cs="Times New Roman"/>
                <w:bCs/>
                <w:sz w:val="24"/>
                <w:lang w:val="en-US" w:eastAsia="zh-CN"/>
              </w:rPr>
              <w:t>）。废钢铁（S</w:t>
            </w:r>
            <w:r>
              <w:rPr>
                <w:rFonts w:hint="default" w:ascii="Times New Roman" w:hAnsi="Times New Roman" w:eastAsia="宋体" w:cs="Times New Roman"/>
                <w:bCs/>
                <w:sz w:val="24"/>
                <w:vertAlign w:val="subscript"/>
                <w:lang w:val="en-US" w:eastAsia="zh-CN"/>
              </w:rPr>
              <w:t>17</w:t>
            </w:r>
            <w:r>
              <w:rPr>
                <w:rFonts w:hint="default" w:ascii="Times New Roman" w:hAnsi="Times New Roman" w:eastAsia="宋体" w:cs="Times New Roman"/>
                <w:bCs/>
                <w:sz w:val="24"/>
                <w:lang w:val="en-US" w:eastAsia="zh-CN"/>
              </w:rPr>
              <w:t>）作为产品外售给废钢铁回收单位。不可回收废物（S</w:t>
            </w:r>
            <w:r>
              <w:rPr>
                <w:rFonts w:hint="default" w:ascii="Times New Roman" w:hAnsi="Times New Roman" w:eastAsia="宋体" w:cs="Times New Roman"/>
                <w:bCs/>
                <w:sz w:val="24"/>
                <w:vertAlign w:val="subscript"/>
                <w:lang w:val="en-US" w:eastAsia="zh-CN"/>
              </w:rPr>
              <w:t>19</w:t>
            </w:r>
            <w:r>
              <w:rPr>
                <w:rFonts w:hint="default" w:ascii="Times New Roman" w:hAnsi="Times New Roman" w:eastAsia="宋体" w:cs="Times New Roman"/>
                <w:bCs/>
                <w:sz w:val="24"/>
                <w:lang w:val="en-US" w:eastAsia="zh-CN"/>
              </w:rPr>
              <w:t>）</w:t>
            </w:r>
            <w:r>
              <w:rPr>
                <w:rFonts w:hint="eastAsia" w:cs="Times New Roman"/>
                <w:bCs/>
                <w:sz w:val="24"/>
                <w:lang w:val="en-US" w:eastAsia="zh-CN"/>
              </w:rPr>
              <w:t>作为一般固废外售物资回收公司回收利用</w:t>
            </w:r>
            <w:r>
              <w:rPr>
                <w:rFonts w:hint="default" w:ascii="Times New Roman" w:hAnsi="Times New Roman" w:eastAsia="宋体" w:cs="Times New Roman"/>
                <w:bCs/>
                <w:sz w:val="24"/>
                <w:lang w:val="en-US" w:eastAsia="zh-CN"/>
              </w:rPr>
              <w:t xml:space="preserve">。 </w:t>
            </w:r>
          </w:p>
          <w:p w14:paraId="6E201DA1">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⑦拆除橡胶制品部件 </w:t>
            </w:r>
          </w:p>
          <w:p w14:paraId="1F2FFE0A">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人工拆除管道、减震件、防尘罩上的橡胶部件。 </w:t>
            </w:r>
          </w:p>
          <w:p w14:paraId="0569FE0C">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产排污环节分析：此工序拆除的橡胶部件属于废橡胶（S</w:t>
            </w:r>
            <w:r>
              <w:rPr>
                <w:rFonts w:hint="default" w:ascii="Times New Roman" w:hAnsi="Times New Roman" w:eastAsia="宋体" w:cs="Times New Roman"/>
                <w:bCs/>
                <w:sz w:val="24"/>
                <w:vertAlign w:val="subscript"/>
                <w:lang w:val="en-US" w:eastAsia="zh-CN"/>
              </w:rPr>
              <w:t>16</w:t>
            </w:r>
            <w:r>
              <w:rPr>
                <w:rFonts w:hint="default" w:ascii="Times New Roman" w:hAnsi="Times New Roman" w:eastAsia="宋体" w:cs="Times New Roman"/>
                <w:bCs/>
                <w:sz w:val="24"/>
                <w:lang w:val="en-US" w:eastAsia="zh-CN"/>
              </w:rPr>
              <w:t>），作为产品外售给废橡胶回收单位</w:t>
            </w:r>
            <w:r>
              <w:rPr>
                <w:rFonts w:hint="eastAsia" w:cs="Times New Roman"/>
                <w:bCs/>
                <w:sz w:val="24"/>
                <w:lang w:val="en-US" w:eastAsia="zh-CN"/>
              </w:rPr>
              <w:t>回收利用</w:t>
            </w:r>
            <w:r>
              <w:rPr>
                <w:rFonts w:hint="default" w:ascii="Times New Roman" w:hAnsi="Times New Roman" w:eastAsia="宋体" w:cs="Times New Roman"/>
                <w:bCs/>
                <w:sz w:val="24"/>
                <w:lang w:val="en-US" w:eastAsia="zh-CN"/>
              </w:rPr>
              <w:t xml:space="preserve">。 </w:t>
            </w:r>
          </w:p>
          <w:p w14:paraId="3CEB7472">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⑧拆除有关总成，并符合相关法规要求 </w:t>
            </w:r>
          </w:p>
          <w:p w14:paraId="7E37BF5D">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利用简易拆解工具、大力剪等将发动机、前后桥、变速箱等总成从报废机动车上拆卸下来。 </w:t>
            </w:r>
          </w:p>
          <w:p w14:paraId="6D47992F">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产排污环节分析：此工序会产生五大总成（S</w:t>
            </w:r>
            <w:r>
              <w:rPr>
                <w:rFonts w:hint="default" w:ascii="Times New Roman" w:hAnsi="Times New Roman" w:eastAsia="宋体" w:cs="Times New Roman"/>
                <w:bCs/>
                <w:sz w:val="24"/>
                <w:vertAlign w:val="subscript"/>
                <w:lang w:val="en-US" w:eastAsia="zh-CN"/>
              </w:rPr>
              <w:t>20</w:t>
            </w:r>
            <w:r>
              <w:rPr>
                <w:rFonts w:hint="default" w:ascii="Times New Roman" w:hAnsi="Times New Roman" w:eastAsia="宋体" w:cs="Times New Roman"/>
                <w:bCs/>
                <w:sz w:val="24"/>
                <w:lang w:val="en-US" w:eastAsia="zh-CN"/>
              </w:rPr>
              <w:t>），根据《报废机动车回收管理办法》（国务院令第715号）拆解的报废机动车</w:t>
            </w:r>
            <w:r>
              <w:rPr>
                <w:rFonts w:hint="eastAsia" w:eastAsia="宋体" w:cs="Times New Roman"/>
                <w:bCs/>
                <w:sz w:val="24"/>
                <w:lang w:val="en-US" w:eastAsia="zh-CN"/>
              </w:rPr>
              <w:t>“</w:t>
            </w:r>
            <w:r>
              <w:rPr>
                <w:rFonts w:hint="default" w:ascii="Times New Roman" w:hAnsi="Times New Roman" w:eastAsia="宋体" w:cs="Times New Roman"/>
                <w:bCs/>
                <w:sz w:val="24"/>
                <w:lang w:val="en-US" w:eastAsia="zh-CN"/>
              </w:rPr>
              <w:t>五大总成</w:t>
            </w:r>
            <w:r>
              <w:rPr>
                <w:rFonts w:hint="eastAsia" w:eastAsia="宋体" w:cs="Times New Roman"/>
                <w:bCs/>
                <w:sz w:val="24"/>
                <w:lang w:val="en-US" w:eastAsia="zh-CN"/>
              </w:rPr>
              <w:t>”</w:t>
            </w:r>
            <w:r>
              <w:rPr>
                <w:rFonts w:hint="default" w:ascii="Times New Roman" w:hAnsi="Times New Roman" w:eastAsia="宋体" w:cs="Times New Roman"/>
                <w:bCs/>
                <w:sz w:val="24"/>
                <w:lang w:val="en-US" w:eastAsia="zh-CN"/>
              </w:rPr>
              <w:t>具备再制造条件的。可以按照国家有关规定出售给具有再制造能力的企业经过再制造予以循环利用；不具备再制造条件的，应当作为废金属。本项目产生五大总成具备再制造条件五大总成的出售给具有再制造能力的企业，不具备再制造条件的，</w:t>
            </w:r>
            <w:r>
              <w:rPr>
                <w:rFonts w:hint="eastAsia" w:eastAsia="宋体" w:cs="Times New Roman"/>
                <w:bCs/>
                <w:sz w:val="24"/>
                <w:lang w:val="en-US" w:eastAsia="zh-CN"/>
              </w:rPr>
              <w:t>外售物资回收公司回收利用</w:t>
            </w:r>
            <w:r>
              <w:rPr>
                <w:rFonts w:hint="default" w:ascii="Times New Roman" w:hAnsi="Times New Roman" w:eastAsia="宋体" w:cs="Times New Roman"/>
                <w:bCs/>
                <w:sz w:val="24"/>
                <w:lang w:val="en-US" w:eastAsia="zh-CN"/>
              </w:rPr>
              <w:t xml:space="preserve">。 </w:t>
            </w:r>
          </w:p>
          <w:p w14:paraId="6E16DEBA">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 </w:t>
            </w:r>
          </w:p>
          <w:p w14:paraId="31170C48">
            <w:pPr>
              <w:spacing w:line="360" w:lineRule="auto"/>
              <w:ind w:firstLine="480" w:firstLineChars="200"/>
              <w:rPr>
                <w:rFonts w:hint="default" w:ascii="Times New Roman" w:hAnsi="Times New Roman" w:eastAsia="宋体" w:cs="Times New Roman"/>
                <w:b/>
                <w:bCs/>
                <w:sz w:val="24"/>
                <w:lang w:val="en-US" w:eastAsia="zh-CN"/>
              </w:rPr>
            </w:pPr>
            <w:r>
              <w:rPr>
                <w:rFonts w:ascii="CIDFont" w:hAnsi="CIDFont" w:eastAsia="CIDFont" w:cs="CIDFont"/>
                <w:b/>
                <w:bCs/>
                <w:color w:val="000000"/>
                <w:kern w:val="0"/>
                <w:sz w:val="24"/>
                <w:szCs w:val="24"/>
                <w:lang w:val="en-US" w:eastAsia="zh-CN" w:bidi="ar"/>
              </w:rPr>
              <w:t>（</w:t>
            </w:r>
            <w:r>
              <w:rPr>
                <w:rFonts w:hint="eastAsia" w:eastAsia="宋体" w:cs="Times New Roman"/>
                <w:b/>
                <w:bCs/>
                <w:sz w:val="24"/>
                <w:lang w:val="en-US" w:eastAsia="zh-CN"/>
              </w:rPr>
              <w:t>4</w:t>
            </w:r>
            <w:r>
              <w:rPr>
                <w:rFonts w:hint="default" w:ascii="Times New Roman" w:hAnsi="Times New Roman" w:eastAsia="宋体" w:cs="Times New Roman"/>
                <w:b/>
                <w:bCs/>
                <w:sz w:val="24"/>
                <w:lang w:val="en-US" w:eastAsia="zh-CN"/>
              </w:rPr>
              <w:t xml:space="preserve">）贮存和管理 </w:t>
            </w:r>
          </w:p>
          <w:p w14:paraId="00525DAF">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本项目报废机动车拆解所得的拆解物：废钢铁、有色金属、塑料、玻璃、橡胶、可利用零部件、五大总成，以及含有毒有害物质、废尾气净化催化剂、废电容器、废铅蓄电池和动力蓄电池、废油液、制冷剂、其他不可利用废物等。进行分类收集，分区存放在厂区相应库房内，可利用物在车间内分隔的分区暂存，属于危险废物的拆解物在危险废物暂存库暂存，不可利用物在车间内对应分区暂存。存储过程应按照以下相关要求进行管理： </w:t>
            </w:r>
          </w:p>
          <w:p w14:paraId="521DC2CA">
            <w:pPr>
              <w:spacing w:line="360" w:lineRule="auto"/>
              <w:ind w:firstLine="480" w:firstLineChars="200"/>
              <w:rPr>
                <w:rFonts w:hint="default" w:ascii="Times New Roman" w:hAnsi="Times New Roman" w:eastAsia="宋体" w:cs="Times New Roman"/>
                <w:bCs/>
                <w:sz w:val="24"/>
                <w:lang w:val="en-US" w:eastAsia="zh-CN"/>
              </w:rPr>
            </w:pPr>
            <w:r>
              <w:rPr>
                <w:rFonts w:hint="eastAsia" w:eastAsia="宋体" w:cs="Times New Roman"/>
                <w:bCs/>
                <w:sz w:val="24"/>
                <w:lang w:val="en-US" w:eastAsia="zh-CN"/>
              </w:rPr>
              <w:t>①</w:t>
            </w:r>
            <w:r>
              <w:rPr>
                <w:rFonts w:hint="default" w:ascii="Times New Roman" w:hAnsi="Times New Roman" w:eastAsia="宋体" w:cs="Times New Roman"/>
                <w:bCs/>
                <w:sz w:val="24"/>
                <w:lang w:val="en-US" w:eastAsia="zh-CN"/>
              </w:rPr>
              <w:t xml:space="preserve">固体废物贮存 </w:t>
            </w:r>
          </w:p>
          <w:p w14:paraId="2BA6175A">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项目报废机动车拆解的固体废物拆解和贮存方法及注意事项见下表</w:t>
            </w:r>
            <w:r>
              <w:rPr>
                <w:rFonts w:hint="eastAsia" w:eastAsia="宋体" w:cs="Times New Roman"/>
                <w:bCs/>
                <w:sz w:val="24"/>
                <w:lang w:val="en-US" w:eastAsia="zh-CN"/>
              </w:rPr>
              <w:t>。</w:t>
            </w:r>
          </w:p>
          <w:p w14:paraId="618DA7AC">
            <w:pPr>
              <w:keepNext w:val="0"/>
              <w:keepLines w:val="0"/>
              <w:pageBreakBefore w:val="0"/>
              <w:widowControl w:val="0"/>
              <w:kinsoku/>
              <w:wordWrap/>
              <w:overflowPunct/>
              <w:topLinePunct w:val="0"/>
              <w:autoSpaceDE/>
              <w:autoSpaceDN/>
              <w:bidi w:val="0"/>
              <w:adjustRightInd/>
              <w:snapToGrid/>
              <w:spacing w:line="240" w:lineRule="atLeast"/>
              <w:ind w:firstLine="422" w:firstLineChars="200"/>
              <w:jc w:val="center"/>
              <w:textAlignment w:val="auto"/>
              <w:rPr>
                <w:rFonts w:hint="eastAsia"/>
                <w:b/>
                <w:bCs/>
                <w:lang w:val="en-US" w:eastAsia="zh-CN"/>
              </w:rPr>
            </w:pPr>
            <w:r>
              <w:rPr>
                <w:rFonts w:hint="eastAsia"/>
                <w:b/>
                <w:bCs/>
                <w:lang w:val="en-US" w:eastAsia="zh-CN"/>
              </w:rPr>
              <w:t>表2-13  报废机动车主要固体废物拆解和贮存方法及注意事项</w:t>
            </w:r>
          </w:p>
          <w:tbl>
            <w:tblPr>
              <w:tblStyle w:val="25"/>
              <w:tblW w:w="8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6660"/>
            </w:tblGrid>
            <w:tr w14:paraId="7CBA5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759" w:type="dxa"/>
                  <w:vAlign w:val="center"/>
                </w:tcPr>
                <w:p w14:paraId="08D7F729">
                  <w:pPr>
                    <w:spacing w:line="240" w:lineRule="auto"/>
                    <w:jc w:val="center"/>
                    <w:rPr>
                      <w:rFonts w:hint="default" w:eastAsia="宋体"/>
                      <w:b/>
                      <w:bCs/>
                      <w:vertAlign w:val="baseline"/>
                      <w:lang w:val="en-US" w:eastAsia="zh-CN"/>
                    </w:rPr>
                  </w:pPr>
                  <w:r>
                    <w:rPr>
                      <w:rFonts w:hint="eastAsia"/>
                      <w:b/>
                      <w:bCs/>
                      <w:vertAlign w:val="baseline"/>
                      <w:lang w:val="en-US" w:eastAsia="zh-CN"/>
                    </w:rPr>
                    <w:t>固体废物</w:t>
                  </w:r>
                </w:p>
              </w:tc>
              <w:tc>
                <w:tcPr>
                  <w:tcW w:w="6660" w:type="dxa"/>
                  <w:vAlign w:val="center"/>
                </w:tcPr>
                <w:p w14:paraId="5A3053C1">
                  <w:pPr>
                    <w:spacing w:line="240" w:lineRule="auto"/>
                    <w:jc w:val="center"/>
                    <w:rPr>
                      <w:rFonts w:hint="default" w:eastAsia="宋体"/>
                      <w:b/>
                      <w:bCs/>
                      <w:vertAlign w:val="baseline"/>
                      <w:lang w:val="en-US" w:eastAsia="zh-CN"/>
                    </w:rPr>
                  </w:pPr>
                  <w:r>
                    <w:rPr>
                      <w:rFonts w:hint="eastAsia"/>
                      <w:b/>
                      <w:bCs/>
                      <w:vertAlign w:val="baseline"/>
                      <w:lang w:val="en-US" w:eastAsia="zh-CN"/>
                    </w:rPr>
                    <w:t>拆解和贮存方法及注意事项</w:t>
                  </w:r>
                </w:p>
              </w:tc>
            </w:tr>
            <w:tr w14:paraId="558F3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759" w:type="dxa"/>
                  <w:vAlign w:val="center"/>
                </w:tcPr>
                <w:p w14:paraId="6C982750">
                  <w:pPr>
                    <w:spacing w:line="240" w:lineRule="auto"/>
                    <w:jc w:val="center"/>
                    <w:rPr>
                      <w:rFonts w:hint="default" w:eastAsia="宋体"/>
                      <w:vertAlign w:val="baseline"/>
                      <w:lang w:val="en-US" w:eastAsia="zh-CN"/>
                    </w:rPr>
                  </w:pPr>
                  <w:r>
                    <w:rPr>
                      <w:rFonts w:hint="eastAsia"/>
                      <w:vertAlign w:val="baseline"/>
                      <w:lang w:val="en-US" w:eastAsia="zh-CN"/>
                    </w:rPr>
                    <w:t>安全气囊</w:t>
                  </w:r>
                </w:p>
              </w:tc>
              <w:tc>
                <w:tcPr>
                  <w:tcW w:w="6660" w:type="dxa"/>
                  <w:vAlign w:val="center"/>
                </w:tcPr>
                <w:p w14:paraId="65CE75DB">
                  <w:pPr>
                    <w:numPr>
                      <w:ilvl w:val="0"/>
                      <w:numId w:val="4"/>
                    </w:numPr>
                    <w:spacing w:line="240" w:lineRule="auto"/>
                    <w:jc w:val="left"/>
                    <w:rPr>
                      <w:rFonts w:hint="eastAsia"/>
                      <w:vertAlign w:val="baseline"/>
                      <w:lang w:val="en-US" w:eastAsia="zh-CN"/>
                    </w:rPr>
                  </w:pPr>
                  <w:r>
                    <w:rPr>
                      <w:rFonts w:hint="eastAsia"/>
                      <w:vertAlign w:val="baseline"/>
                      <w:lang w:val="en-US" w:eastAsia="zh-CN"/>
                    </w:rPr>
                    <w:t>未引爆的安全气囊应尽快拆除或者引爆，拆除和引爆的方法应参考机动车生产企业推荐方法；</w:t>
                  </w:r>
                </w:p>
                <w:p w14:paraId="6C2F4395">
                  <w:pPr>
                    <w:numPr>
                      <w:ilvl w:val="0"/>
                      <w:numId w:val="4"/>
                    </w:numPr>
                    <w:spacing w:line="240" w:lineRule="auto"/>
                    <w:jc w:val="left"/>
                    <w:rPr>
                      <w:rFonts w:hint="default" w:eastAsia="宋体"/>
                      <w:vertAlign w:val="baseline"/>
                      <w:lang w:val="en-US" w:eastAsia="zh-CN"/>
                    </w:rPr>
                  </w:pPr>
                  <w:r>
                    <w:rPr>
                      <w:rFonts w:hint="eastAsia"/>
                      <w:vertAlign w:val="baseline"/>
                      <w:lang w:val="en-US" w:eastAsia="zh-CN"/>
                    </w:rPr>
                    <w:t>已经引爆的安全气囊可让其留在车内；</w:t>
                  </w:r>
                </w:p>
                <w:p w14:paraId="107B4F91">
                  <w:pPr>
                    <w:numPr>
                      <w:ilvl w:val="0"/>
                      <w:numId w:val="4"/>
                    </w:numPr>
                    <w:spacing w:line="240" w:lineRule="auto"/>
                    <w:jc w:val="left"/>
                    <w:rPr>
                      <w:rFonts w:hint="default" w:eastAsia="宋体"/>
                      <w:vertAlign w:val="baseline"/>
                      <w:lang w:val="en-US" w:eastAsia="zh-CN"/>
                    </w:rPr>
                  </w:pPr>
                  <w:r>
                    <w:rPr>
                      <w:rFonts w:hint="eastAsia"/>
                      <w:vertAlign w:val="baseline"/>
                      <w:lang w:val="en-US" w:eastAsia="zh-CN"/>
                    </w:rPr>
                    <w:t>拆解下来的未引爆的安全气囊应放置于专用的防爆贮存装置中，于室内保存，避免露天存放。</w:t>
                  </w:r>
                </w:p>
              </w:tc>
            </w:tr>
            <w:tr w14:paraId="2AF1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1759" w:type="dxa"/>
                  <w:vAlign w:val="center"/>
                </w:tcPr>
                <w:p w14:paraId="45B7C1B6">
                  <w:pPr>
                    <w:spacing w:line="240" w:lineRule="auto"/>
                    <w:jc w:val="center"/>
                    <w:rPr>
                      <w:rFonts w:hint="default" w:eastAsia="宋体"/>
                      <w:vertAlign w:val="baseline"/>
                      <w:lang w:val="en-US" w:eastAsia="zh-CN"/>
                    </w:rPr>
                  </w:pPr>
                  <w:r>
                    <w:rPr>
                      <w:rFonts w:hint="eastAsia"/>
                      <w:vertAlign w:val="baseline"/>
                      <w:lang w:val="en-US" w:eastAsia="zh-CN"/>
                    </w:rPr>
                    <w:t>燃料罐</w:t>
                  </w:r>
                </w:p>
              </w:tc>
              <w:tc>
                <w:tcPr>
                  <w:tcW w:w="6660" w:type="dxa"/>
                  <w:vAlign w:val="center"/>
                </w:tcPr>
                <w:p w14:paraId="437199A0">
                  <w:pPr>
                    <w:numPr>
                      <w:ilvl w:val="0"/>
                      <w:numId w:val="5"/>
                    </w:numPr>
                    <w:spacing w:line="240" w:lineRule="auto"/>
                    <w:jc w:val="left"/>
                    <w:rPr>
                      <w:rFonts w:hint="eastAsia"/>
                      <w:vertAlign w:val="baseline"/>
                      <w:lang w:val="en-US" w:eastAsia="zh-CN"/>
                    </w:rPr>
                  </w:pPr>
                  <w:r>
                    <w:rPr>
                      <w:rFonts w:hint="eastAsia"/>
                      <w:vertAlign w:val="baseline"/>
                      <w:lang w:val="en-US" w:eastAsia="zh-CN"/>
                    </w:rPr>
                    <w:t>接收或收购报废机动车后尽快拆下燃料罐并充分排空内部燃油和气体；</w:t>
                  </w:r>
                </w:p>
                <w:p w14:paraId="6FC1E34F">
                  <w:pPr>
                    <w:numPr>
                      <w:ilvl w:val="0"/>
                      <w:numId w:val="5"/>
                    </w:numPr>
                    <w:spacing w:line="240" w:lineRule="auto"/>
                    <w:jc w:val="left"/>
                    <w:rPr>
                      <w:rFonts w:hint="default" w:eastAsia="宋体"/>
                      <w:vertAlign w:val="baseline"/>
                      <w:lang w:val="en-US" w:eastAsia="zh-CN"/>
                    </w:rPr>
                  </w:pPr>
                  <w:r>
                    <w:rPr>
                      <w:rFonts w:hint="eastAsia"/>
                      <w:vertAlign w:val="baseline"/>
                      <w:lang w:val="en-US" w:eastAsia="zh-CN"/>
                    </w:rPr>
                    <w:t>区分燃油和气体是否可再利用，并分别存放于密闭容器。</w:t>
                  </w:r>
                </w:p>
              </w:tc>
            </w:tr>
            <w:tr w14:paraId="027C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759" w:type="dxa"/>
                  <w:vAlign w:val="center"/>
                </w:tcPr>
                <w:p w14:paraId="7A89F5D5">
                  <w:pPr>
                    <w:spacing w:line="240" w:lineRule="auto"/>
                    <w:jc w:val="center"/>
                    <w:rPr>
                      <w:rFonts w:hint="default"/>
                      <w:vertAlign w:val="baseline"/>
                      <w:lang w:val="en-US" w:eastAsia="zh-CN"/>
                    </w:rPr>
                  </w:pPr>
                  <w:r>
                    <w:rPr>
                      <w:rFonts w:hint="eastAsia"/>
                      <w:vertAlign w:val="baseline"/>
                      <w:lang w:val="en-US" w:eastAsia="zh-CN"/>
                    </w:rPr>
                    <w:t>废油类</w:t>
                  </w:r>
                </w:p>
              </w:tc>
              <w:tc>
                <w:tcPr>
                  <w:tcW w:w="6660" w:type="dxa"/>
                  <w:vAlign w:val="center"/>
                </w:tcPr>
                <w:p w14:paraId="3939846B">
                  <w:pPr>
                    <w:numPr>
                      <w:ilvl w:val="0"/>
                      <w:numId w:val="6"/>
                    </w:numPr>
                    <w:spacing w:line="240" w:lineRule="auto"/>
                    <w:jc w:val="left"/>
                    <w:rPr>
                      <w:rFonts w:hint="eastAsia"/>
                      <w:vertAlign w:val="baseline"/>
                      <w:lang w:val="en-US" w:eastAsia="zh-CN"/>
                    </w:rPr>
                  </w:pPr>
                  <w:r>
                    <w:rPr>
                      <w:rFonts w:hint="eastAsia"/>
                      <w:vertAlign w:val="baseline"/>
                      <w:lang w:val="en-US" w:eastAsia="zh-CN"/>
                    </w:rPr>
                    <w:t>将废油收集与密封容器贮存，并置于远离水源的混凝土地面；</w:t>
                  </w:r>
                </w:p>
                <w:p w14:paraId="6B88662C">
                  <w:pPr>
                    <w:numPr>
                      <w:ilvl w:val="0"/>
                      <w:numId w:val="6"/>
                    </w:numPr>
                    <w:spacing w:line="240" w:lineRule="auto"/>
                    <w:jc w:val="left"/>
                    <w:rPr>
                      <w:rFonts w:hint="default"/>
                      <w:vertAlign w:val="baseline"/>
                      <w:lang w:val="en-US" w:eastAsia="zh-CN"/>
                    </w:rPr>
                  </w:pPr>
                  <w:r>
                    <w:rPr>
                      <w:rFonts w:hint="eastAsia"/>
                      <w:vertAlign w:val="baseline"/>
                      <w:lang w:val="en-US" w:eastAsia="zh-CN"/>
                    </w:rPr>
                    <w:t>各种废油可以混合一起贮存于同一容器；</w:t>
                  </w:r>
                </w:p>
                <w:p w14:paraId="30BAE7B3">
                  <w:pPr>
                    <w:numPr>
                      <w:ilvl w:val="0"/>
                      <w:numId w:val="6"/>
                    </w:numPr>
                    <w:spacing w:line="240" w:lineRule="auto"/>
                    <w:jc w:val="left"/>
                    <w:rPr>
                      <w:rFonts w:hint="default"/>
                      <w:vertAlign w:val="baseline"/>
                      <w:lang w:val="en-US" w:eastAsia="zh-CN"/>
                    </w:rPr>
                  </w:pPr>
                  <w:r>
                    <w:rPr>
                      <w:rFonts w:hint="eastAsia"/>
                      <w:vertAlign w:val="baseline"/>
                      <w:lang w:val="en-US" w:eastAsia="zh-CN"/>
                    </w:rPr>
                    <w:t>不能将废油与冷却液、溶剂、汽油、去污剂、油漆或者其他物质混合；</w:t>
                  </w:r>
                </w:p>
                <w:p w14:paraId="4D31A3EA">
                  <w:pPr>
                    <w:numPr>
                      <w:ilvl w:val="0"/>
                      <w:numId w:val="6"/>
                    </w:numPr>
                    <w:spacing w:line="240" w:lineRule="auto"/>
                    <w:jc w:val="left"/>
                    <w:rPr>
                      <w:rFonts w:hint="default"/>
                      <w:vertAlign w:val="baseline"/>
                      <w:lang w:val="en-US" w:eastAsia="zh-CN"/>
                    </w:rPr>
                  </w:pPr>
                  <w:r>
                    <w:rPr>
                      <w:rFonts w:hint="eastAsia"/>
                      <w:vertAlign w:val="baseline"/>
                      <w:lang w:val="en-US" w:eastAsia="zh-CN"/>
                    </w:rPr>
                    <w:t>不能使用氯化溶剂清洁装废油的容器。</w:t>
                  </w:r>
                </w:p>
              </w:tc>
            </w:tr>
            <w:tr w14:paraId="6B3C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59" w:type="dxa"/>
                  <w:vAlign w:val="center"/>
                </w:tcPr>
                <w:p w14:paraId="35280C22">
                  <w:pPr>
                    <w:spacing w:line="240" w:lineRule="auto"/>
                    <w:jc w:val="center"/>
                    <w:rPr>
                      <w:rFonts w:hint="default"/>
                      <w:vertAlign w:val="baseline"/>
                      <w:lang w:val="en-US" w:eastAsia="zh-CN"/>
                    </w:rPr>
                  </w:pPr>
                  <w:r>
                    <w:rPr>
                      <w:rFonts w:hint="eastAsia"/>
                      <w:vertAlign w:val="baseline"/>
                      <w:lang w:val="en-US" w:eastAsia="zh-CN"/>
                    </w:rPr>
                    <w:t>铅酸蓄电池</w:t>
                  </w:r>
                </w:p>
              </w:tc>
              <w:tc>
                <w:tcPr>
                  <w:tcW w:w="6660" w:type="dxa"/>
                  <w:vAlign w:val="center"/>
                </w:tcPr>
                <w:p w14:paraId="4D229958">
                  <w:pPr>
                    <w:numPr>
                      <w:ilvl w:val="0"/>
                      <w:numId w:val="0"/>
                    </w:numPr>
                    <w:spacing w:line="240" w:lineRule="auto"/>
                    <w:jc w:val="center"/>
                    <w:rPr>
                      <w:rFonts w:hint="default"/>
                      <w:vertAlign w:val="baseline"/>
                      <w:lang w:val="en-US" w:eastAsia="zh-CN"/>
                    </w:rPr>
                  </w:pPr>
                  <w:r>
                    <w:rPr>
                      <w:rFonts w:hint="eastAsia"/>
                      <w:vertAlign w:val="baseline"/>
                      <w:lang w:val="en-US" w:eastAsia="zh-CN"/>
                    </w:rPr>
                    <w:t>企业应按国家相关要求收集、贮存、运输废铅酸蓄电池，并将非铅酸电池交由有资质单位处置</w:t>
                  </w:r>
                </w:p>
              </w:tc>
            </w:tr>
            <w:tr w14:paraId="3A3C7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59" w:type="dxa"/>
                  <w:vAlign w:val="center"/>
                </w:tcPr>
                <w:p w14:paraId="247B2302">
                  <w:pPr>
                    <w:spacing w:line="240" w:lineRule="auto"/>
                    <w:jc w:val="center"/>
                    <w:rPr>
                      <w:rFonts w:hint="default"/>
                      <w:vertAlign w:val="baseline"/>
                      <w:lang w:val="en-US" w:eastAsia="zh-CN"/>
                    </w:rPr>
                  </w:pPr>
                  <w:r>
                    <w:rPr>
                      <w:rFonts w:hint="eastAsia"/>
                      <w:vertAlign w:val="baseline"/>
                      <w:lang w:val="en-US" w:eastAsia="zh-CN"/>
                    </w:rPr>
                    <w:t>制冷剂</w:t>
                  </w:r>
                </w:p>
              </w:tc>
              <w:tc>
                <w:tcPr>
                  <w:tcW w:w="6660" w:type="dxa"/>
                  <w:vAlign w:val="center"/>
                </w:tcPr>
                <w:p w14:paraId="4BEFC3C6">
                  <w:pPr>
                    <w:numPr>
                      <w:ilvl w:val="0"/>
                      <w:numId w:val="0"/>
                    </w:numPr>
                    <w:spacing w:line="240" w:lineRule="auto"/>
                    <w:jc w:val="center"/>
                    <w:rPr>
                      <w:rFonts w:hint="default"/>
                      <w:vertAlign w:val="baseline"/>
                      <w:lang w:val="en-US" w:eastAsia="zh-CN"/>
                    </w:rPr>
                  </w:pPr>
                  <w:r>
                    <w:rPr>
                      <w:rFonts w:hint="eastAsia"/>
                      <w:vertAlign w:val="baseline"/>
                      <w:lang w:val="en-US" w:eastAsia="zh-CN"/>
                    </w:rPr>
                    <w:t>制冷剂需使用符合环保规定的专用容器贮存，并交由有资质单位处置</w:t>
                  </w:r>
                </w:p>
              </w:tc>
            </w:tr>
            <w:tr w14:paraId="50AD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759" w:type="dxa"/>
                  <w:vAlign w:val="center"/>
                </w:tcPr>
                <w:p w14:paraId="1F26BFA8">
                  <w:pPr>
                    <w:spacing w:line="240" w:lineRule="auto"/>
                    <w:jc w:val="center"/>
                    <w:rPr>
                      <w:rFonts w:hint="default"/>
                      <w:vertAlign w:val="baseline"/>
                      <w:lang w:val="en-US" w:eastAsia="zh-CN"/>
                    </w:rPr>
                  </w:pPr>
                  <w:r>
                    <w:rPr>
                      <w:rFonts w:hint="eastAsia"/>
                      <w:vertAlign w:val="baseline"/>
                      <w:lang w:val="en-US" w:eastAsia="zh-CN"/>
                    </w:rPr>
                    <w:t>玻璃</w:t>
                  </w:r>
                </w:p>
              </w:tc>
              <w:tc>
                <w:tcPr>
                  <w:tcW w:w="6660" w:type="dxa"/>
                  <w:vAlign w:val="center"/>
                </w:tcPr>
                <w:p w14:paraId="2DADF085">
                  <w:pPr>
                    <w:numPr>
                      <w:ilvl w:val="0"/>
                      <w:numId w:val="0"/>
                    </w:numPr>
                    <w:spacing w:line="240" w:lineRule="auto"/>
                    <w:jc w:val="center"/>
                    <w:rPr>
                      <w:rFonts w:hint="default"/>
                      <w:vertAlign w:val="baseline"/>
                      <w:lang w:val="en-US" w:eastAsia="zh-CN"/>
                    </w:rPr>
                  </w:pPr>
                  <w:r>
                    <w:rPr>
                      <w:rFonts w:hint="eastAsia"/>
                      <w:vertAlign w:val="baseline"/>
                      <w:lang w:val="en-US" w:eastAsia="zh-CN"/>
                    </w:rPr>
                    <w:t>挡风玻璃如不能分离其中的塑料层，则作为固体废物填埋</w:t>
                  </w:r>
                </w:p>
              </w:tc>
            </w:tr>
            <w:tr w14:paraId="0BA3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59" w:type="dxa"/>
                  <w:vAlign w:val="center"/>
                </w:tcPr>
                <w:p w14:paraId="5B802729">
                  <w:pPr>
                    <w:spacing w:line="240" w:lineRule="auto"/>
                    <w:jc w:val="center"/>
                    <w:rPr>
                      <w:rFonts w:hint="default"/>
                      <w:vertAlign w:val="baseline"/>
                      <w:lang w:val="en-US" w:eastAsia="zh-CN"/>
                    </w:rPr>
                  </w:pPr>
                  <w:r>
                    <w:rPr>
                      <w:rFonts w:hint="eastAsia"/>
                      <w:vertAlign w:val="baseline"/>
                      <w:lang w:val="en-US" w:eastAsia="zh-CN"/>
                    </w:rPr>
                    <w:t>废旧轮胎</w:t>
                  </w:r>
                </w:p>
              </w:tc>
              <w:tc>
                <w:tcPr>
                  <w:tcW w:w="6660" w:type="dxa"/>
                  <w:vAlign w:val="center"/>
                </w:tcPr>
                <w:p w14:paraId="12A3B02C">
                  <w:pPr>
                    <w:numPr>
                      <w:ilvl w:val="0"/>
                      <w:numId w:val="7"/>
                    </w:numPr>
                    <w:spacing w:line="240" w:lineRule="auto"/>
                    <w:jc w:val="left"/>
                    <w:rPr>
                      <w:rFonts w:hint="eastAsia"/>
                      <w:vertAlign w:val="baseline"/>
                      <w:lang w:val="en-US" w:eastAsia="zh-CN"/>
                    </w:rPr>
                  </w:pPr>
                  <w:r>
                    <w:rPr>
                      <w:rFonts w:hint="eastAsia"/>
                      <w:vertAlign w:val="baseline"/>
                      <w:lang w:val="en-US" w:eastAsia="zh-CN"/>
                    </w:rPr>
                    <w:t>废旧轮胎交给符合国家相关规定的废旧轮胎处理单位处理；</w:t>
                  </w:r>
                </w:p>
                <w:p w14:paraId="35F6BAF6">
                  <w:pPr>
                    <w:numPr>
                      <w:ilvl w:val="0"/>
                      <w:numId w:val="7"/>
                    </w:numPr>
                    <w:spacing w:line="240" w:lineRule="auto"/>
                    <w:jc w:val="left"/>
                    <w:rPr>
                      <w:rFonts w:hint="default"/>
                      <w:vertAlign w:val="baseline"/>
                      <w:lang w:val="en-US" w:eastAsia="zh-CN"/>
                    </w:rPr>
                  </w:pPr>
                  <w:r>
                    <w:rPr>
                      <w:rFonts w:hint="eastAsia"/>
                      <w:vertAlign w:val="baseline"/>
                      <w:lang w:val="en-US" w:eastAsia="zh-CN"/>
                    </w:rPr>
                    <w:t>废旧轮胎的存放要符合有关安全和环保法规的要求。</w:t>
                  </w:r>
                </w:p>
              </w:tc>
            </w:tr>
            <w:tr w14:paraId="7907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759" w:type="dxa"/>
                  <w:vAlign w:val="center"/>
                </w:tcPr>
                <w:p w14:paraId="3CF0B487">
                  <w:pPr>
                    <w:spacing w:line="240" w:lineRule="auto"/>
                    <w:jc w:val="center"/>
                    <w:rPr>
                      <w:rFonts w:hint="default"/>
                      <w:vertAlign w:val="baseline"/>
                      <w:lang w:val="en-US" w:eastAsia="zh-CN"/>
                    </w:rPr>
                  </w:pPr>
                  <w:r>
                    <w:rPr>
                      <w:rFonts w:hint="eastAsia"/>
                      <w:vertAlign w:val="baseline"/>
                      <w:lang w:val="en-US" w:eastAsia="zh-CN"/>
                    </w:rPr>
                    <w:t>塑料</w:t>
                  </w:r>
                </w:p>
              </w:tc>
              <w:tc>
                <w:tcPr>
                  <w:tcW w:w="6660" w:type="dxa"/>
                  <w:vAlign w:val="center"/>
                </w:tcPr>
                <w:p w14:paraId="5FFA5C07">
                  <w:pPr>
                    <w:numPr>
                      <w:ilvl w:val="0"/>
                      <w:numId w:val="0"/>
                    </w:numPr>
                    <w:spacing w:line="240" w:lineRule="auto"/>
                    <w:jc w:val="center"/>
                    <w:rPr>
                      <w:rFonts w:hint="default"/>
                      <w:vertAlign w:val="baseline"/>
                      <w:lang w:val="en-US" w:eastAsia="zh-CN"/>
                    </w:rPr>
                  </w:pPr>
                  <w:r>
                    <w:rPr>
                      <w:rFonts w:hint="eastAsia"/>
                      <w:vertAlign w:val="baseline"/>
                      <w:lang w:val="en-US" w:eastAsia="zh-CN"/>
                    </w:rPr>
                    <w:t>由于塑料材料的多样性，应区分各种材料并分别回收处理</w:t>
                  </w:r>
                </w:p>
              </w:tc>
            </w:tr>
            <w:tr w14:paraId="6A0FE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59" w:type="dxa"/>
                  <w:vAlign w:val="center"/>
                </w:tcPr>
                <w:p w14:paraId="0400CF73">
                  <w:pPr>
                    <w:spacing w:line="240" w:lineRule="auto"/>
                    <w:jc w:val="center"/>
                    <w:rPr>
                      <w:rFonts w:hint="default"/>
                      <w:vertAlign w:val="baseline"/>
                      <w:lang w:val="en-US" w:eastAsia="zh-CN"/>
                    </w:rPr>
                  </w:pPr>
                  <w:r>
                    <w:rPr>
                      <w:rFonts w:hint="eastAsia"/>
                      <w:vertAlign w:val="baseline"/>
                      <w:lang w:val="en-US" w:eastAsia="zh-CN"/>
                    </w:rPr>
                    <w:t>其他电子电器产品中的电路板</w:t>
                  </w:r>
                </w:p>
              </w:tc>
              <w:tc>
                <w:tcPr>
                  <w:tcW w:w="6660" w:type="dxa"/>
                  <w:vAlign w:val="center"/>
                </w:tcPr>
                <w:p w14:paraId="0E9D9EF9">
                  <w:pPr>
                    <w:numPr>
                      <w:ilvl w:val="0"/>
                      <w:numId w:val="0"/>
                    </w:numPr>
                    <w:spacing w:line="240" w:lineRule="auto"/>
                    <w:jc w:val="center"/>
                    <w:rPr>
                      <w:rFonts w:hint="default"/>
                      <w:vertAlign w:val="baseline"/>
                      <w:lang w:val="en-US" w:eastAsia="zh-CN"/>
                    </w:rPr>
                  </w:pPr>
                  <w:r>
                    <w:rPr>
                      <w:rFonts w:hint="eastAsia"/>
                      <w:vertAlign w:val="baseline"/>
                      <w:lang w:val="en-US" w:eastAsia="zh-CN"/>
                    </w:rPr>
                    <w:t>拆解的电路板应统一存放，并交由有资质单位处置</w:t>
                  </w:r>
                </w:p>
              </w:tc>
            </w:tr>
            <w:tr w14:paraId="780D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59" w:type="dxa"/>
                  <w:vAlign w:val="center"/>
                </w:tcPr>
                <w:p w14:paraId="354DB806">
                  <w:pPr>
                    <w:spacing w:line="240" w:lineRule="auto"/>
                    <w:jc w:val="center"/>
                    <w:rPr>
                      <w:rFonts w:hint="default"/>
                      <w:vertAlign w:val="baseline"/>
                      <w:lang w:val="en-US" w:eastAsia="zh-CN"/>
                    </w:rPr>
                  </w:pPr>
                  <w:r>
                    <w:rPr>
                      <w:rFonts w:hint="eastAsia"/>
                      <w:vertAlign w:val="baseline"/>
                      <w:lang w:val="en-US" w:eastAsia="zh-CN"/>
                    </w:rPr>
                    <w:t>冷却液</w:t>
                  </w:r>
                </w:p>
              </w:tc>
              <w:tc>
                <w:tcPr>
                  <w:tcW w:w="6660" w:type="dxa"/>
                  <w:vAlign w:val="center"/>
                </w:tcPr>
                <w:p w14:paraId="2F808841">
                  <w:pPr>
                    <w:numPr>
                      <w:ilvl w:val="0"/>
                      <w:numId w:val="0"/>
                    </w:numPr>
                    <w:spacing w:line="240" w:lineRule="auto"/>
                    <w:jc w:val="center"/>
                    <w:rPr>
                      <w:rFonts w:hint="default"/>
                      <w:vertAlign w:val="baseline"/>
                      <w:lang w:val="en-US" w:eastAsia="zh-CN"/>
                    </w:rPr>
                  </w:pPr>
                  <w:r>
                    <w:rPr>
                      <w:rFonts w:hint="eastAsia"/>
                      <w:vertAlign w:val="baseline"/>
                      <w:lang w:val="en-US" w:eastAsia="zh-CN"/>
                    </w:rPr>
                    <w:t>冷却液应用专门容器进行回收，不同类别的冷却液进行分类收集，并交由具有相应资质的单位回收利用</w:t>
                  </w:r>
                </w:p>
              </w:tc>
            </w:tr>
            <w:tr w14:paraId="19099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1759" w:type="dxa"/>
                  <w:vAlign w:val="center"/>
                </w:tcPr>
                <w:p w14:paraId="3C8ADE7A">
                  <w:pPr>
                    <w:spacing w:line="240" w:lineRule="auto"/>
                    <w:jc w:val="center"/>
                    <w:rPr>
                      <w:rFonts w:hint="default"/>
                      <w:vertAlign w:val="baseline"/>
                      <w:lang w:val="en-US" w:eastAsia="zh-CN"/>
                    </w:rPr>
                  </w:pPr>
                  <w:r>
                    <w:rPr>
                      <w:rFonts w:hint="eastAsia"/>
                      <w:vertAlign w:val="baseline"/>
                      <w:lang w:val="en-US" w:eastAsia="zh-CN"/>
                    </w:rPr>
                    <w:t>催化器</w:t>
                  </w:r>
                </w:p>
              </w:tc>
              <w:tc>
                <w:tcPr>
                  <w:tcW w:w="6660" w:type="dxa"/>
                  <w:vAlign w:val="center"/>
                </w:tcPr>
                <w:p w14:paraId="7AD3B978">
                  <w:pPr>
                    <w:numPr>
                      <w:ilvl w:val="0"/>
                      <w:numId w:val="8"/>
                    </w:numPr>
                    <w:spacing w:line="240" w:lineRule="auto"/>
                    <w:jc w:val="left"/>
                    <w:rPr>
                      <w:rFonts w:hint="eastAsia"/>
                      <w:vertAlign w:val="baseline"/>
                      <w:lang w:val="en-US" w:eastAsia="zh-CN"/>
                    </w:rPr>
                  </w:pPr>
                  <w:r>
                    <w:rPr>
                      <w:rFonts w:hint="eastAsia"/>
                      <w:vertAlign w:val="baseline"/>
                      <w:lang w:val="en-US" w:eastAsia="zh-CN"/>
                    </w:rPr>
                    <w:t>催化器拆除钱，应先拆下电线接头；</w:t>
                  </w:r>
                </w:p>
                <w:p w14:paraId="74B9CA42">
                  <w:pPr>
                    <w:numPr>
                      <w:ilvl w:val="0"/>
                      <w:numId w:val="8"/>
                    </w:numPr>
                    <w:spacing w:line="240" w:lineRule="auto"/>
                    <w:jc w:val="left"/>
                    <w:rPr>
                      <w:rFonts w:hint="default"/>
                      <w:vertAlign w:val="baseline"/>
                      <w:lang w:val="en-US" w:eastAsia="zh-CN"/>
                    </w:rPr>
                  </w:pPr>
                  <w:r>
                    <w:rPr>
                      <w:rFonts w:hint="eastAsia"/>
                      <w:vertAlign w:val="baseline"/>
                      <w:lang w:val="en-US" w:eastAsia="zh-CN"/>
                    </w:rPr>
                    <w:t>拆除催化器时应保持催化器的完整性；</w:t>
                  </w:r>
                </w:p>
                <w:p w14:paraId="30617C6B">
                  <w:pPr>
                    <w:numPr>
                      <w:ilvl w:val="0"/>
                      <w:numId w:val="8"/>
                    </w:numPr>
                    <w:spacing w:line="240" w:lineRule="auto"/>
                    <w:jc w:val="left"/>
                    <w:rPr>
                      <w:rFonts w:hint="default"/>
                      <w:lang w:val="en-US" w:eastAsia="zh-CN"/>
                    </w:rPr>
                  </w:pPr>
                  <w:r>
                    <w:rPr>
                      <w:rFonts w:hint="eastAsia"/>
                      <w:vertAlign w:val="baseline"/>
                      <w:lang w:val="en-US" w:eastAsia="zh-CN"/>
                    </w:rPr>
                    <w:t>随后拆下氧传感器；清除催化器表面污垢；分类标识、集中贮存，并交由有资质单位处置；</w:t>
                  </w:r>
                </w:p>
                <w:p w14:paraId="1D9327D8">
                  <w:pPr>
                    <w:numPr>
                      <w:ilvl w:val="0"/>
                      <w:numId w:val="8"/>
                    </w:numPr>
                    <w:spacing w:line="240" w:lineRule="auto"/>
                    <w:jc w:val="left"/>
                    <w:rPr>
                      <w:rFonts w:hint="default"/>
                      <w:lang w:val="en-US" w:eastAsia="zh-CN"/>
                    </w:rPr>
                  </w:pPr>
                  <w:r>
                    <w:rPr>
                      <w:rFonts w:hint="eastAsia"/>
                      <w:lang w:val="en-US" w:eastAsia="zh-CN"/>
                    </w:rPr>
                    <w:t>应对催化器拆解过程进行全流程监管</w:t>
                  </w:r>
                </w:p>
              </w:tc>
            </w:tr>
          </w:tbl>
          <w:p w14:paraId="3AB71FF6">
            <w:pPr>
              <w:spacing w:line="360" w:lineRule="auto"/>
              <w:ind w:firstLine="480" w:firstLineChars="200"/>
              <w:rPr>
                <w:rFonts w:hint="eastAsia" w:eastAsia="宋体" w:cs="Times New Roman"/>
                <w:bCs/>
                <w:sz w:val="24"/>
                <w:lang w:val="en-US" w:eastAsia="zh-CN"/>
              </w:rPr>
            </w:pPr>
          </w:p>
          <w:p w14:paraId="71619827">
            <w:pPr>
              <w:spacing w:line="360" w:lineRule="auto"/>
              <w:ind w:firstLine="480" w:firstLineChars="200"/>
              <w:rPr>
                <w:rFonts w:hint="default" w:ascii="Times New Roman" w:hAnsi="Times New Roman" w:eastAsia="宋体" w:cs="Times New Roman"/>
                <w:bCs/>
                <w:sz w:val="24"/>
                <w:lang w:val="en-US" w:eastAsia="zh-CN"/>
              </w:rPr>
            </w:pPr>
            <w:r>
              <w:rPr>
                <w:rFonts w:hint="eastAsia" w:eastAsia="宋体" w:cs="Times New Roman"/>
                <w:bCs/>
                <w:sz w:val="24"/>
                <w:lang w:val="en-US" w:eastAsia="zh-CN"/>
              </w:rPr>
              <w:t>②</w:t>
            </w:r>
            <w:r>
              <w:rPr>
                <w:rFonts w:hint="default" w:ascii="Times New Roman" w:hAnsi="Times New Roman" w:eastAsia="宋体" w:cs="Times New Roman"/>
                <w:bCs/>
                <w:sz w:val="24"/>
                <w:lang w:val="en-US" w:eastAsia="zh-CN"/>
              </w:rPr>
              <w:t xml:space="preserve">回用件贮存 </w:t>
            </w:r>
          </w:p>
          <w:p w14:paraId="4FF58592">
            <w:pPr>
              <w:spacing w:line="360" w:lineRule="auto"/>
              <w:ind w:firstLine="480" w:firstLineChars="200"/>
              <w:rPr>
                <w:rFonts w:hint="default" w:ascii="Times New Roman" w:hAnsi="Times New Roman" w:eastAsia="宋体" w:cs="Times New Roman"/>
                <w:bCs/>
                <w:sz w:val="24"/>
                <w:lang w:val="en-US" w:eastAsia="zh-CN"/>
              </w:rPr>
            </w:pPr>
            <w:r>
              <w:rPr>
                <w:rFonts w:hint="eastAsia" w:eastAsia="宋体" w:cs="Times New Roman"/>
                <w:bCs/>
                <w:sz w:val="24"/>
                <w:lang w:val="en-US" w:eastAsia="zh-CN"/>
              </w:rPr>
              <w:t>A.</w:t>
            </w:r>
            <w:r>
              <w:rPr>
                <w:rFonts w:hint="default" w:ascii="Times New Roman" w:hAnsi="Times New Roman" w:eastAsia="宋体" w:cs="Times New Roman"/>
                <w:bCs/>
                <w:sz w:val="24"/>
                <w:lang w:val="en-US" w:eastAsia="zh-CN"/>
              </w:rPr>
              <w:t xml:space="preserve">回用件应分类贮存和标识，存放在封闭或半封闭的贮存场地中； </w:t>
            </w:r>
          </w:p>
          <w:p w14:paraId="54AED026">
            <w:pPr>
              <w:spacing w:line="360" w:lineRule="auto"/>
              <w:ind w:firstLine="480" w:firstLineChars="200"/>
              <w:rPr>
                <w:rFonts w:hint="default" w:ascii="Times New Roman" w:hAnsi="Times New Roman" w:eastAsia="宋体" w:cs="Times New Roman"/>
                <w:bCs/>
                <w:sz w:val="24"/>
                <w:lang w:val="en-US" w:eastAsia="zh-CN"/>
              </w:rPr>
            </w:pPr>
            <w:r>
              <w:rPr>
                <w:rFonts w:hint="eastAsia" w:eastAsia="宋体" w:cs="Times New Roman"/>
                <w:bCs/>
                <w:sz w:val="24"/>
                <w:lang w:val="en-US" w:eastAsia="zh-CN"/>
              </w:rPr>
              <w:t>B.</w:t>
            </w:r>
            <w:r>
              <w:rPr>
                <w:rFonts w:hint="default" w:ascii="Times New Roman" w:hAnsi="Times New Roman" w:eastAsia="宋体" w:cs="Times New Roman"/>
                <w:bCs/>
                <w:sz w:val="24"/>
                <w:lang w:val="en-US" w:eastAsia="zh-CN"/>
              </w:rPr>
              <w:t xml:space="preserve">回用件贮存前应对含油部件采用抹布擦拭等简单的清洁处理。 </w:t>
            </w:r>
          </w:p>
          <w:p w14:paraId="7DDA588B">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本项目拆解得到的具备再制造条件的“五大总成”和能够继续使用的其他零部件，登记入库并标明“报废机动车回用件”，出售给具有再制造能力的企业。不具备再制造条件的“五大总成”外售金属冶炼企业进行再利用。 </w:t>
            </w:r>
          </w:p>
          <w:p w14:paraId="6012B5B5">
            <w:pPr>
              <w:spacing w:line="360" w:lineRule="auto"/>
              <w:ind w:firstLine="480" w:firstLineChars="200"/>
              <w:rPr>
                <w:rFonts w:hint="default" w:ascii="Times New Roman" w:hAnsi="Times New Roman" w:eastAsia="宋体" w:cs="Times New Roman"/>
                <w:bCs/>
                <w:sz w:val="24"/>
                <w:lang w:val="en-US" w:eastAsia="zh-CN"/>
              </w:rPr>
            </w:pPr>
            <w:r>
              <w:rPr>
                <w:rFonts w:hint="eastAsia" w:eastAsia="宋体" w:cs="Times New Roman"/>
                <w:bCs/>
                <w:sz w:val="24"/>
                <w:lang w:val="en-US" w:eastAsia="zh-CN"/>
              </w:rPr>
              <w:t>③</w:t>
            </w:r>
            <w:r>
              <w:rPr>
                <w:rFonts w:hint="default" w:ascii="Times New Roman" w:hAnsi="Times New Roman" w:eastAsia="宋体" w:cs="Times New Roman"/>
                <w:bCs/>
                <w:sz w:val="24"/>
                <w:lang w:val="en-US" w:eastAsia="zh-CN"/>
              </w:rPr>
              <w:t xml:space="preserve">动力蓄电池贮存 </w:t>
            </w:r>
          </w:p>
          <w:p w14:paraId="18FC971D">
            <w:pPr>
              <w:spacing w:line="360" w:lineRule="auto"/>
              <w:ind w:firstLine="480" w:firstLineChars="200"/>
              <w:rPr>
                <w:rFonts w:hint="default" w:ascii="Times New Roman" w:hAnsi="Times New Roman" w:eastAsia="宋体" w:cs="Times New Roman"/>
                <w:bCs/>
                <w:sz w:val="24"/>
                <w:lang w:val="en-US" w:eastAsia="zh-CN"/>
              </w:rPr>
            </w:pPr>
            <w:r>
              <w:rPr>
                <w:rFonts w:hint="eastAsia" w:eastAsia="宋体" w:cs="Times New Roman"/>
                <w:bCs/>
                <w:sz w:val="24"/>
                <w:lang w:val="en-US" w:eastAsia="zh-CN"/>
              </w:rPr>
              <w:t>A.</w:t>
            </w:r>
            <w:r>
              <w:rPr>
                <w:rFonts w:hint="default" w:ascii="Times New Roman" w:hAnsi="Times New Roman" w:eastAsia="宋体" w:cs="Times New Roman"/>
                <w:bCs/>
                <w:sz w:val="24"/>
                <w:lang w:val="en-US" w:eastAsia="zh-CN"/>
              </w:rPr>
              <w:t>动力蓄电池的贮存应按照《废蓄电池回收管理规范》</w:t>
            </w:r>
            <w:r>
              <w:rPr>
                <w:rFonts w:hint="eastAsia" w:eastAsia="宋体" w:cs="Times New Roman"/>
                <w:bCs/>
                <w:sz w:val="24"/>
                <w:lang w:val="en-US" w:eastAsia="zh-CN"/>
              </w:rPr>
              <w:t>（</w:t>
            </w:r>
            <w:r>
              <w:rPr>
                <w:rFonts w:hint="default" w:ascii="Times New Roman" w:hAnsi="Times New Roman" w:eastAsia="宋体" w:cs="Times New Roman"/>
                <w:bCs/>
                <w:sz w:val="24"/>
                <w:lang w:val="en-US" w:eastAsia="zh-CN"/>
              </w:rPr>
              <w:t xml:space="preserve">WB-T1061-2016）中的贮存要求执行。 </w:t>
            </w:r>
          </w:p>
          <w:p w14:paraId="7353EB30">
            <w:pPr>
              <w:spacing w:line="360" w:lineRule="auto"/>
              <w:ind w:firstLine="480" w:firstLineChars="200"/>
              <w:rPr>
                <w:rFonts w:hint="default" w:ascii="Times New Roman" w:hAnsi="Times New Roman" w:eastAsia="宋体" w:cs="Times New Roman"/>
                <w:bCs/>
                <w:sz w:val="24"/>
                <w:lang w:val="en-US" w:eastAsia="zh-CN"/>
              </w:rPr>
            </w:pPr>
            <w:r>
              <w:rPr>
                <w:rFonts w:hint="eastAsia" w:eastAsia="宋体" w:cs="Times New Roman"/>
                <w:bCs/>
                <w:sz w:val="24"/>
                <w:lang w:val="en-US" w:eastAsia="zh-CN"/>
              </w:rPr>
              <w:t>B.</w:t>
            </w:r>
            <w:r>
              <w:rPr>
                <w:rFonts w:hint="default" w:ascii="Times New Roman" w:hAnsi="Times New Roman" w:eastAsia="宋体" w:cs="Times New Roman"/>
                <w:bCs/>
                <w:sz w:val="24"/>
                <w:lang w:val="en-US" w:eastAsia="zh-CN"/>
              </w:rPr>
              <w:t xml:space="preserve">动力蓄电池多层贮存应采取框架结构并确保承重安全，且便于存取。 </w:t>
            </w:r>
          </w:p>
          <w:p w14:paraId="2E559F97">
            <w:pPr>
              <w:spacing w:line="360" w:lineRule="auto"/>
              <w:ind w:firstLine="480" w:firstLineChars="200"/>
              <w:rPr>
                <w:rFonts w:hint="default" w:ascii="Times New Roman" w:hAnsi="Times New Roman" w:eastAsia="宋体" w:cs="Times New Roman"/>
                <w:bCs/>
                <w:sz w:val="24"/>
                <w:lang w:val="en-US" w:eastAsia="zh-CN"/>
              </w:rPr>
            </w:pPr>
            <w:r>
              <w:rPr>
                <w:rFonts w:hint="eastAsia" w:eastAsia="宋体" w:cs="Times New Roman"/>
                <w:bCs/>
                <w:sz w:val="24"/>
                <w:lang w:val="en-US" w:eastAsia="zh-CN"/>
              </w:rPr>
              <w:t>C.</w:t>
            </w:r>
            <w:r>
              <w:rPr>
                <w:rFonts w:hint="default" w:ascii="Times New Roman" w:hAnsi="Times New Roman" w:eastAsia="宋体" w:cs="Times New Roman"/>
                <w:bCs/>
                <w:sz w:val="24"/>
                <w:lang w:val="en-US" w:eastAsia="zh-CN"/>
              </w:rPr>
              <w:t xml:space="preserve">存在漏电、漏液、破损等安全隐患的动力蓄电池应采取适当方式处理，并隔离存放。 </w:t>
            </w:r>
          </w:p>
          <w:p w14:paraId="2DEDA7CC">
            <w:pPr>
              <w:spacing w:line="360" w:lineRule="auto"/>
              <w:rPr>
                <w:rFonts w:hint="default" w:ascii="Times New Roman" w:hAnsi="Times New Roman" w:cs="Times New Roman"/>
                <w:b/>
                <w:bCs w:val="0"/>
                <w:sz w:val="24"/>
              </w:rPr>
            </w:pPr>
            <w:r>
              <w:rPr>
                <w:rFonts w:hint="eastAsia" w:ascii="Times New Roman" w:hAnsi="Times New Roman" w:cs="Times New Roman"/>
                <w:b/>
                <w:bCs w:val="0"/>
                <w:sz w:val="24"/>
                <w:lang w:val="en-US" w:eastAsia="zh-CN"/>
              </w:rPr>
              <w:t>2.10.</w:t>
            </w:r>
            <w:r>
              <w:rPr>
                <w:rFonts w:hint="eastAsia" w:cs="Times New Roman"/>
                <w:b/>
                <w:bCs w:val="0"/>
                <w:sz w:val="24"/>
                <w:lang w:val="en-US" w:eastAsia="zh-CN"/>
              </w:rPr>
              <w:t>2</w:t>
            </w:r>
            <w:r>
              <w:rPr>
                <w:rFonts w:hint="eastAsia" w:ascii="Times New Roman" w:hAnsi="Times New Roman" w:cs="Times New Roman"/>
                <w:b/>
                <w:bCs w:val="0"/>
                <w:sz w:val="24"/>
                <w:lang w:val="en-US" w:eastAsia="zh-CN"/>
              </w:rPr>
              <w:t xml:space="preserve"> </w:t>
            </w:r>
            <w:r>
              <w:rPr>
                <w:rFonts w:hint="default" w:ascii="Times New Roman" w:hAnsi="Times New Roman" w:cs="Times New Roman"/>
                <w:b/>
                <w:bCs w:val="0"/>
                <w:sz w:val="24"/>
              </w:rPr>
              <w:t>摩托车拆解工艺流程及产污节点图</w:t>
            </w:r>
          </w:p>
          <w:p w14:paraId="36507DC2">
            <w:pPr>
              <w:pStyle w:val="29"/>
              <w:spacing w:line="360" w:lineRule="auto"/>
              <w:ind w:firstLine="480" w:firstLineChars="200"/>
              <w:rPr>
                <w:rFonts w:hint="eastAsia" w:ascii="Times New Roman" w:hAnsi="Times New Roman" w:eastAsia="宋体" w:cs="Times New Roman"/>
                <w:b w:val="0"/>
                <w:bCs w:val="0"/>
                <w:lang w:eastAsia="zh-CN"/>
              </w:rPr>
            </w:pPr>
            <w:r>
              <w:rPr>
                <w:rFonts w:hint="eastAsia" w:ascii="Times New Roman" w:hAnsi="Times New Roman" w:eastAsia="宋体" w:cs="Times New Roman"/>
                <w:b w:val="0"/>
                <w:bCs w:val="0"/>
                <w:sz w:val="24"/>
                <w:lang w:val="en-US" w:eastAsia="zh-CN"/>
              </w:rPr>
              <w:t>摩托车生产</w:t>
            </w:r>
            <w:r>
              <w:rPr>
                <w:rFonts w:ascii="Times New Roman" w:hAnsi="Times New Roman" w:eastAsia="宋体" w:cs="Times New Roman"/>
                <w:b w:val="0"/>
                <w:bCs w:val="0"/>
                <w:sz w:val="24"/>
              </w:rPr>
              <w:t>工艺流程</w:t>
            </w:r>
            <w:r>
              <w:rPr>
                <w:rFonts w:hint="eastAsia" w:ascii="Times New Roman" w:hAnsi="Times New Roman" w:eastAsia="宋体" w:cs="Times New Roman"/>
                <w:b w:val="0"/>
                <w:bCs w:val="0"/>
                <w:sz w:val="24"/>
                <w:lang w:val="en-US" w:eastAsia="zh-CN"/>
              </w:rPr>
              <w:t>及</w:t>
            </w:r>
            <w:r>
              <w:rPr>
                <w:rFonts w:ascii="Times New Roman" w:hAnsi="Times New Roman" w:eastAsia="宋体" w:cs="Times New Roman"/>
                <w:b w:val="0"/>
                <w:bCs w:val="0"/>
                <w:sz w:val="24"/>
              </w:rPr>
              <w:t>产污</w:t>
            </w:r>
            <w:r>
              <w:rPr>
                <w:rFonts w:hint="eastAsia" w:ascii="Times New Roman" w:hAnsi="Times New Roman" w:eastAsia="宋体" w:cs="Times New Roman"/>
                <w:b w:val="0"/>
                <w:bCs w:val="0"/>
                <w:sz w:val="24"/>
                <w:lang w:val="en-US" w:eastAsia="zh-CN"/>
              </w:rPr>
              <w:t>环节</w:t>
            </w:r>
            <w:r>
              <w:rPr>
                <w:rFonts w:ascii="Times New Roman" w:hAnsi="Times New Roman" w:eastAsia="宋体" w:cs="Times New Roman"/>
                <w:b w:val="0"/>
                <w:bCs w:val="0"/>
                <w:sz w:val="24"/>
              </w:rPr>
              <w:t>见</w:t>
            </w:r>
            <w:r>
              <w:rPr>
                <w:rFonts w:hint="eastAsia" w:ascii="Times New Roman" w:hAnsi="Times New Roman" w:eastAsia="宋体" w:cs="Times New Roman"/>
                <w:b w:val="0"/>
                <w:bCs w:val="0"/>
                <w:sz w:val="24"/>
                <w:lang w:val="en-US" w:eastAsia="zh-CN"/>
              </w:rPr>
              <w:t>下</w:t>
            </w:r>
            <w:r>
              <w:rPr>
                <w:rFonts w:ascii="Times New Roman" w:hAnsi="Times New Roman" w:eastAsia="宋体" w:cs="Times New Roman"/>
                <w:b w:val="0"/>
                <w:bCs w:val="0"/>
                <w:sz w:val="24"/>
              </w:rPr>
              <w:t>图</w:t>
            </w:r>
            <w:r>
              <w:rPr>
                <w:rFonts w:hint="eastAsia" w:ascii="Times New Roman" w:hAnsi="Times New Roman" w:eastAsia="宋体" w:cs="Times New Roman"/>
                <w:b w:val="0"/>
                <w:bCs w:val="0"/>
                <w:sz w:val="24"/>
                <w:lang w:eastAsia="zh-CN"/>
              </w:rPr>
              <w:t>。</w:t>
            </w:r>
          </w:p>
          <w:p w14:paraId="422FC2C2">
            <w:pPr>
              <w:spacing w:line="360" w:lineRule="auto"/>
              <w:jc w:val="center"/>
              <w:rPr>
                <w:rFonts w:hint="default" w:ascii="Times New Roman" w:hAnsi="Times New Roman" w:cs="Times New Roman"/>
                <w:b/>
                <w:bCs/>
                <w:sz w:val="24"/>
              </w:rPr>
            </w:pPr>
            <w:r>
              <w:drawing>
                <wp:inline distT="0" distB="0" distL="114300" distR="114300">
                  <wp:extent cx="5084445" cy="2980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rcRect l="-4990" r="-2414"/>
                          <a:stretch>
                            <a:fillRect/>
                          </a:stretch>
                        </pic:blipFill>
                        <pic:spPr>
                          <a:xfrm>
                            <a:off x="0" y="0"/>
                            <a:ext cx="5084445" cy="2980690"/>
                          </a:xfrm>
                          <a:prstGeom prst="rect">
                            <a:avLst/>
                          </a:prstGeom>
                          <a:noFill/>
                          <a:ln>
                            <a:solidFill>
                              <a:schemeClr val="tx1"/>
                            </a:solidFill>
                          </a:ln>
                        </pic:spPr>
                      </pic:pic>
                    </a:graphicData>
                  </a:graphic>
                </wp:inline>
              </w:drawing>
            </w:r>
          </w:p>
          <w:p w14:paraId="3F4053E7">
            <w:pPr>
              <w:spacing w:line="360" w:lineRule="auto"/>
              <w:ind w:firstLine="482" w:firstLineChars="200"/>
              <w:jc w:val="center"/>
              <w:rPr>
                <w:rFonts w:hint="default" w:ascii="Times New Roman" w:hAnsi="Times New Roman" w:cs="Times New Roman"/>
                <w:b/>
                <w:bCs/>
                <w:sz w:val="24"/>
              </w:rPr>
            </w:pPr>
            <w:r>
              <w:rPr>
                <w:rFonts w:hint="default" w:ascii="Times New Roman" w:hAnsi="Times New Roman" w:cs="Times New Roman"/>
                <w:b/>
                <w:bCs/>
                <w:sz w:val="24"/>
              </w:rPr>
              <w:t>图</w:t>
            </w:r>
            <w:r>
              <w:rPr>
                <w:rFonts w:hint="eastAsia" w:ascii="Times New Roman" w:hAnsi="Times New Roman" w:cs="Times New Roman"/>
                <w:b/>
                <w:bCs/>
                <w:sz w:val="24"/>
                <w:lang w:val="en-US" w:eastAsia="zh-CN"/>
              </w:rPr>
              <w:t>2-5</w:t>
            </w:r>
            <w:r>
              <w:rPr>
                <w:rFonts w:hint="default" w:ascii="Times New Roman" w:hAnsi="Times New Roman" w:cs="Times New Roman"/>
                <w:b/>
                <w:bCs/>
                <w:sz w:val="24"/>
              </w:rPr>
              <w:t xml:space="preserve">  摩托车拆解工艺流程及产污环节图</w:t>
            </w:r>
          </w:p>
          <w:p w14:paraId="05D5634D">
            <w:pPr>
              <w:spacing w:line="360" w:lineRule="auto"/>
              <w:ind w:firstLine="482" w:firstLineChars="200"/>
              <w:rPr>
                <w:rFonts w:hint="eastAsia" w:ascii="Times New Roman" w:hAnsi="Times New Roman" w:eastAsia="宋体" w:cs="Times New Roman"/>
                <w:b/>
                <w:bCs/>
                <w:sz w:val="24"/>
                <w:lang w:eastAsia="zh-CN"/>
              </w:rPr>
            </w:pPr>
            <w:r>
              <w:rPr>
                <w:rFonts w:hint="default" w:ascii="Times New Roman" w:hAnsi="Times New Roman" w:cs="Times New Roman"/>
                <w:b/>
                <w:bCs/>
                <w:sz w:val="24"/>
              </w:rPr>
              <w:t>工艺流程简述</w:t>
            </w:r>
            <w:r>
              <w:rPr>
                <w:rFonts w:hint="eastAsia" w:cs="Times New Roman"/>
                <w:b/>
                <w:bCs/>
                <w:sz w:val="24"/>
                <w:lang w:eastAsia="zh-CN"/>
              </w:rPr>
              <w:t>：</w:t>
            </w:r>
          </w:p>
          <w:p w14:paraId="045821D7">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（1）预处理 </w:t>
            </w:r>
          </w:p>
          <w:p w14:paraId="1261A919">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①拆除蓄电池，将蓄电池送至危废暂存仓库内暂存；②拆除电容器，将电容器采用密闭容器密封后在危废暂存仓库内暂存；③放净废油液。 </w:t>
            </w:r>
          </w:p>
          <w:p w14:paraId="4C551E23">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（2）总体拆解 </w:t>
            </w:r>
          </w:p>
          <w:p w14:paraId="6FF05C46">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①拆除车身的全部电线，拆除仪表、照明系统、信号系统等电器设备；②拆除传动装置及连接件；③拆除变速操作杆件、离合器操作件等及其各种连接；④拆除发动机、变速箱以及与其零部件相连的电路、气路管件、油路管件、进气管、排气管；⑤拆除前后叉、车轮、链条、油箱以及余下的零部件和车架总体。 </w:t>
            </w:r>
          </w:p>
          <w:p w14:paraId="3FB43401">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（3）压实 </w:t>
            </w:r>
          </w:p>
          <w:p w14:paraId="5E2322F4">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经拆解后的摩托车车架总成经压实后外售。 </w:t>
            </w:r>
          </w:p>
          <w:p w14:paraId="4A7A37D3">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（4）分类处置 </w:t>
            </w:r>
          </w:p>
          <w:p w14:paraId="63CEE863">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 xml:space="preserve">从报废摩托车上拆解下来的零件或材料首先考虑再利用。拆解出的制动液、废油等按照规定分类放置。再利用的和废弃的油液箱标明清楚，便于辨别。拆解后分拣出全部可再利用和可再循环使用的零部件及材料，剩余的车身、车架部分，没有再利用价值或不符合再循环利用的零部件，分类暂存后出售给相关企业或交由环卫部门处理。 </w:t>
            </w:r>
          </w:p>
          <w:p w14:paraId="07537764">
            <w:pPr>
              <w:pStyle w:val="6"/>
              <w:rPr>
                <w:color w:val="000000"/>
                <w:szCs w:val="24"/>
              </w:rPr>
            </w:pPr>
            <w:r>
              <w:rPr>
                <w:rFonts w:hint="eastAsia" w:hAnsi="Times New Roman"/>
                <w:bCs/>
              </w:rPr>
              <w:t>2.10.</w:t>
            </w:r>
            <w:r>
              <w:rPr>
                <w:rFonts w:hint="eastAsia" w:hAnsi="Times New Roman"/>
                <w:bCs/>
                <w:lang w:val="en-US" w:eastAsia="zh-CN"/>
              </w:rPr>
              <w:t>3</w:t>
            </w:r>
            <w:r>
              <w:rPr>
                <w:rFonts w:hint="eastAsia"/>
                <w:color w:val="000000"/>
                <w:szCs w:val="24"/>
              </w:rPr>
              <w:t>产污环节分析</w:t>
            </w:r>
          </w:p>
          <w:p w14:paraId="098BA386">
            <w:pPr>
              <w:pStyle w:val="29"/>
              <w:spacing w:line="360" w:lineRule="auto"/>
              <w:ind w:firstLine="480" w:firstLineChars="200"/>
              <w:jc w:val="both"/>
              <w:rPr>
                <w:rFonts w:hint="eastAsia" w:ascii="Times New Roman" w:hAnsi="Times New Roman" w:eastAsia="宋体" w:cs="Times New Roman"/>
                <w:bCs/>
                <w:color w:val="auto"/>
              </w:rPr>
            </w:pPr>
            <w:r>
              <w:rPr>
                <w:rFonts w:hint="eastAsia" w:ascii="Times New Roman" w:hAnsi="Times New Roman" w:eastAsia="宋体" w:cs="Times New Roman"/>
                <w:b w:val="0"/>
                <w:color w:val="auto"/>
              </w:rPr>
              <w:t>根据生产工艺流程分析可知，建设项目营运期主要产污环节见下表。</w:t>
            </w:r>
          </w:p>
          <w:p w14:paraId="68DA1FF3">
            <w:pPr>
              <w:pStyle w:val="29"/>
              <w:keepNext w:val="0"/>
              <w:keepLines w:val="0"/>
              <w:pageBreakBefore w:val="0"/>
              <w:widowControl w:val="0"/>
              <w:kinsoku/>
              <w:wordWrap/>
              <w:overflowPunct/>
              <w:topLinePunct w:val="0"/>
              <w:autoSpaceDE w:val="0"/>
              <w:autoSpaceDN w:val="0"/>
              <w:bidi w:val="0"/>
              <w:adjustRightInd w:val="0"/>
              <w:snapToGrid/>
              <w:spacing w:line="240" w:lineRule="atLeast"/>
              <w:ind w:firstLine="422" w:firstLineChars="200"/>
              <w:jc w:val="center"/>
              <w:textAlignment w:val="auto"/>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表2-</w:t>
            </w:r>
            <w:r>
              <w:rPr>
                <w:rFonts w:hint="eastAsia" w:ascii="Times New Roman" w:hAnsi="Times New Roman" w:eastAsia="宋体" w:cs="Times New Roman"/>
                <w:b/>
                <w:bCs/>
                <w:sz w:val="21"/>
                <w:szCs w:val="21"/>
                <w:lang w:val="en-US" w:eastAsia="zh-CN"/>
              </w:rPr>
              <w:t>14</w:t>
            </w:r>
            <w:r>
              <w:rPr>
                <w:rFonts w:hint="eastAsia" w:ascii="Times New Roman" w:hAnsi="Times New Roman" w:eastAsia="宋体" w:cs="Times New Roman"/>
                <w:b/>
                <w:bCs/>
                <w:sz w:val="21"/>
                <w:szCs w:val="21"/>
              </w:rPr>
              <w:t xml:space="preserve">   建设项目营运期产污节点一览表</w:t>
            </w:r>
          </w:p>
          <w:tbl>
            <w:tblPr>
              <w:tblStyle w:val="24"/>
              <w:tblW w:w="831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47"/>
              <w:gridCol w:w="551"/>
              <w:gridCol w:w="1816"/>
              <w:gridCol w:w="2114"/>
              <w:gridCol w:w="2990"/>
            </w:tblGrid>
            <w:tr w14:paraId="607B1F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509" w:type="pct"/>
                  <w:noWrap w:val="0"/>
                  <w:vAlign w:val="center"/>
                </w:tcPr>
                <w:p w14:paraId="025B5C16">
                  <w:pPr>
                    <w:pStyle w:val="7"/>
                    <w:adjustRightInd w:val="0"/>
                    <w:snapToGrid w:val="0"/>
                    <w:ind w:firstLine="0" w:firstLineChars="0"/>
                    <w:jc w:val="center"/>
                    <w:rPr>
                      <w:b/>
                      <w:sz w:val="21"/>
                      <w:szCs w:val="21"/>
                    </w:rPr>
                  </w:pPr>
                  <w:r>
                    <w:rPr>
                      <w:b/>
                      <w:sz w:val="21"/>
                      <w:szCs w:val="21"/>
                    </w:rPr>
                    <w:t>污染类别</w:t>
                  </w:r>
                </w:p>
              </w:tc>
              <w:tc>
                <w:tcPr>
                  <w:tcW w:w="1422" w:type="pct"/>
                  <w:gridSpan w:val="2"/>
                  <w:noWrap w:val="0"/>
                  <w:vAlign w:val="center"/>
                </w:tcPr>
                <w:p w14:paraId="352EDF5E">
                  <w:pPr>
                    <w:pStyle w:val="7"/>
                    <w:adjustRightInd w:val="0"/>
                    <w:snapToGrid w:val="0"/>
                    <w:ind w:firstLine="0" w:firstLineChars="0"/>
                    <w:jc w:val="center"/>
                    <w:rPr>
                      <w:b/>
                      <w:sz w:val="21"/>
                      <w:szCs w:val="21"/>
                    </w:rPr>
                  </w:pPr>
                  <w:r>
                    <w:rPr>
                      <w:b/>
                      <w:sz w:val="21"/>
                      <w:szCs w:val="21"/>
                    </w:rPr>
                    <w:t>产污环节</w:t>
                  </w:r>
                </w:p>
              </w:tc>
              <w:tc>
                <w:tcPr>
                  <w:tcW w:w="1270" w:type="pct"/>
                  <w:noWrap w:val="0"/>
                  <w:vAlign w:val="center"/>
                </w:tcPr>
                <w:p w14:paraId="076E4D46">
                  <w:pPr>
                    <w:pStyle w:val="7"/>
                    <w:adjustRightInd w:val="0"/>
                    <w:snapToGrid w:val="0"/>
                    <w:ind w:firstLine="0" w:firstLineChars="0"/>
                    <w:jc w:val="center"/>
                    <w:rPr>
                      <w:rFonts w:hint="eastAsia"/>
                      <w:b/>
                      <w:sz w:val="21"/>
                      <w:szCs w:val="21"/>
                    </w:rPr>
                  </w:pPr>
                  <w:r>
                    <w:rPr>
                      <w:rFonts w:hint="eastAsia"/>
                      <w:b/>
                      <w:sz w:val="21"/>
                      <w:szCs w:val="21"/>
                    </w:rPr>
                    <w:t>主要</w:t>
                  </w:r>
                  <w:r>
                    <w:rPr>
                      <w:b/>
                      <w:sz w:val="21"/>
                      <w:szCs w:val="21"/>
                    </w:rPr>
                    <w:t>污染</w:t>
                  </w:r>
                  <w:r>
                    <w:rPr>
                      <w:rFonts w:hint="eastAsia"/>
                      <w:b/>
                      <w:sz w:val="21"/>
                      <w:szCs w:val="21"/>
                    </w:rPr>
                    <w:t>因子</w:t>
                  </w:r>
                </w:p>
              </w:tc>
              <w:tc>
                <w:tcPr>
                  <w:tcW w:w="1796" w:type="pct"/>
                  <w:noWrap w:val="0"/>
                  <w:vAlign w:val="center"/>
                </w:tcPr>
                <w:p w14:paraId="2C292F74">
                  <w:pPr>
                    <w:pStyle w:val="7"/>
                    <w:adjustRightInd w:val="0"/>
                    <w:snapToGrid w:val="0"/>
                    <w:ind w:firstLine="0" w:firstLineChars="0"/>
                    <w:jc w:val="center"/>
                    <w:rPr>
                      <w:rFonts w:hint="default" w:eastAsia="宋体"/>
                      <w:b/>
                      <w:sz w:val="21"/>
                      <w:szCs w:val="21"/>
                      <w:lang w:val="en-US" w:eastAsia="zh-CN"/>
                    </w:rPr>
                  </w:pPr>
                  <w:r>
                    <w:rPr>
                      <w:rFonts w:hint="eastAsia"/>
                      <w:b/>
                      <w:sz w:val="21"/>
                      <w:szCs w:val="21"/>
                      <w:lang w:val="en-US" w:eastAsia="zh-CN"/>
                    </w:rPr>
                    <w:t>收集方式及治理措施</w:t>
                  </w:r>
                </w:p>
              </w:tc>
            </w:tr>
            <w:tr w14:paraId="368549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509" w:type="pct"/>
                  <w:vMerge w:val="restart"/>
                  <w:noWrap w:val="0"/>
                  <w:vAlign w:val="center"/>
                </w:tcPr>
                <w:p w14:paraId="75609347">
                  <w:pPr>
                    <w:pStyle w:val="7"/>
                    <w:adjustRightInd w:val="0"/>
                    <w:snapToGrid w:val="0"/>
                    <w:ind w:firstLine="0" w:firstLineChars="0"/>
                    <w:jc w:val="center"/>
                    <w:rPr>
                      <w:rFonts w:hint="eastAsia" w:eastAsia="宋体"/>
                      <w:bCs/>
                      <w:sz w:val="21"/>
                      <w:szCs w:val="21"/>
                      <w:lang w:val="en-US" w:eastAsia="zh-CN"/>
                    </w:rPr>
                  </w:pPr>
                  <w:r>
                    <w:rPr>
                      <w:rFonts w:hint="eastAsia"/>
                      <w:bCs/>
                      <w:sz w:val="21"/>
                      <w:szCs w:val="21"/>
                      <w:lang w:val="en-US" w:eastAsia="zh-CN"/>
                    </w:rPr>
                    <w:t>废气</w:t>
                  </w:r>
                </w:p>
              </w:tc>
              <w:tc>
                <w:tcPr>
                  <w:tcW w:w="1422" w:type="pct"/>
                  <w:gridSpan w:val="2"/>
                  <w:noWrap w:val="0"/>
                  <w:vAlign w:val="center"/>
                </w:tcPr>
                <w:p w14:paraId="71BB6146">
                  <w:pPr>
                    <w:pStyle w:val="7"/>
                    <w:adjustRightInd w:val="0"/>
                    <w:snapToGrid w:val="0"/>
                    <w:ind w:firstLine="0" w:firstLineChars="0"/>
                    <w:jc w:val="center"/>
                    <w:rPr>
                      <w:rFonts w:hint="eastAsia" w:eastAsia="宋体"/>
                      <w:bCs/>
                      <w:sz w:val="21"/>
                      <w:szCs w:val="21"/>
                      <w:lang w:val="en-US" w:eastAsia="zh-CN"/>
                    </w:rPr>
                  </w:pPr>
                  <w:r>
                    <w:rPr>
                      <w:rFonts w:hint="eastAsia"/>
                      <w:bCs/>
                      <w:sz w:val="21"/>
                      <w:szCs w:val="21"/>
                      <w:lang w:val="en-US" w:eastAsia="zh-CN"/>
                    </w:rPr>
                    <w:t>抽取废气</w:t>
                  </w:r>
                  <w:r>
                    <w:rPr>
                      <w:rFonts w:hint="eastAsia"/>
                      <w:bCs/>
                      <w:sz w:val="21"/>
                      <w:szCs w:val="21"/>
                    </w:rPr>
                    <w:t>G</w:t>
                  </w:r>
                  <w:r>
                    <w:rPr>
                      <w:rFonts w:hint="eastAsia"/>
                      <w:bCs/>
                      <w:sz w:val="21"/>
                      <w:szCs w:val="21"/>
                      <w:vertAlign w:val="subscript"/>
                      <w:lang w:val="en-US" w:eastAsia="zh-CN"/>
                    </w:rPr>
                    <w:t>1</w:t>
                  </w:r>
                </w:p>
              </w:tc>
              <w:tc>
                <w:tcPr>
                  <w:tcW w:w="1270" w:type="pct"/>
                  <w:noWrap w:val="0"/>
                  <w:vAlign w:val="center"/>
                </w:tcPr>
                <w:p w14:paraId="64CD15CA">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非甲烷总烃</w:t>
                  </w:r>
                </w:p>
              </w:tc>
              <w:tc>
                <w:tcPr>
                  <w:tcW w:w="1796" w:type="pct"/>
                  <w:noWrap w:val="0"/>
                  <w:vAlign w:val="center"/>
                </w:tcPr>
                <w:p w14:paraId="4F3098DB">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经集气罩收集后，引至二级活性炭吸附装置净化处理后，通过15m高排气筒排放</w:t>
                  </w:r>
                </w:p>
              </w:tc>
            </w:tr>
            <w:tr w14:paraId="62CBC4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8" w:hRule="atLeast"/>
                <w:jc w:val="center"/>
              </w:trPr>
              <w:tc>
                <w:tcPr>
                  <w:tcW w:w="509" w:type="pct"/>
                  <w:vMerge w:val="continue"/>
                  <w:noWrap w:val="0"/>
                  <w:vAlign w:val="center"/>
                </w:tcPr>
                <w:p w14:paraId="13C8EFBB">
                  <w:pPr>
                    <w:pStyle w:val="7"/>
                    <w:adjustRightInd w:val="0"/>
                    <w:snapToGrid w:val="0"/>
                    <w:ind w:firstLine="0" w:firstLineChars="0"/>
                    <w:jc w:val="center"/>
                    <w:rPr>
                      <w:rFonts w:hint="eastAsia"/>
                      <w:bCs/>
                      <w:sz w:val="21"/>
                      <w:szCs w:val="21"/>
                      <w:lang w:val="en-US" w:eastAsia="zh-CN"/>
                    </w:rPr>
                  </w:pPr>
                </w:p>
              </w:tc>
              <w:tc>
                <w:tcPr>
                  <w:tcW w:w="1422" w:type="pct"/>
                  <w:gridSpan w:val="2"/>
                  <w:noWrap w:val="0"/>
                  <w:vAlign w:val="center"/>
                </w:tcPr>
                <w:p w14:paraId="66D47960">
                  <w:pPr>
                    <w:pStyle w:val="7"/>
                    <w:adjustRightInd w:val="0"/>
                    <w:snapToGrid w:val="0"/>
                    <w:ind w:firstLine="0" w:firstLineChars="0"/>
                    <w:jc w:val="center"/>
                    <w:rPr>
                      <w:rFonts w:hint="default"/>
                      <w:bCs/>
                      <w:sz w:val="21"/>
                      <w:szCs w:val="21"/>
                      <w:lang w:val="en-US" w:eastAsia="zh-CN"/>
                    </w:rPr>
                  </w:pPr>
                  <w:r>
                    <w:rPr>
                      <w:rFonts w:hint="eastAsia"/>
                      <w:bCs/>
                      <w:sz w:val="21"/>
                      <w:szCs w:val="21"/>
                      <w:lang w:val="en-US" w:eastAsia="zh-CN"/>
                    </w:rPr>
                    <w:t>制冷剂抽取废气G</w:t>
                  </w:r>
                  <w:r>
                    <w:rPr>
                      <w:rFonts w:hint="eastAsia"/>
                      <w:bCs/>
                      <w:sz w:val="21"/>
                      <w:szCs w:val="21"/>
                      <w:vertAlign w:val="subscript"/>
                      <w:lang w:val="en-US" w:eastAsia="zh-CN"/>
                    </w:rPr>
                    <w:t>2</w:t>
                  </w:r>
                </w:p>
              </w:tc>
              <w:tc>
                <w:tcPr>
                  <w:tcW w:w="1270" w:type="pct"/>
                  <w:noWrap w:val="0"/>
                  <w:vAlign w:val="center"/>
                </w:tcPr>
                <w:p w14:paraId="6F8B9355">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R134a</w:t>
                  </w:r>
                </w:p>
              </w:tc>
              <w:tc>
                <w:tcPr>
                  <w:tcW w:w="1796" w:type="pct"/>
                  <w:noWrap w:val="0"/>
                  <w:vAlign w:val="center"/>
                </w:tcPr>
                <w:p w14:paraId="1DCD5471">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车间无组织排放</w:t>
                  </w:r>
                </w:p>
              </w:tc>
            </w:tr>
            <w:tr w14:paraId="0C438E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509" w:type="pct"/>
                  <w:vMerge w:val="continue"/>
                  <w:noWrap w:val="0"/>
                  <w:vAlign w:val="center"/>
                </w:tcPr>
                <w:p w14:paraId="47A94926">
                  <w:pPr>
                    <w:pStyle w:val="7"/>
                    <w:adjustRightInd w:val="0"/>
                    <w:snapToGrid w:val="0"/>
                    <w:ind w:firstLine="0" w:firstLineChars="0"/>
                    <w:jc w:val="center"/>
                    <w:rPr>
                      <w:rFonts w:hint="eastAsia"/>
                      <w:bCs/>
                      <w:sz w:val="21"/>
                      <w:szCs w:val="21"/>
                      <w:lang w:val="en-US" w:eastAsia="zh-CN"/>
                    </w:rPr>
                  </w:pPr>
                </w:p>
              </w:tc>
              <w:tc>
                <w:tcPr>
                  <w:tcW w:w="1422" w:type="pct"/>
                  <w:gridSpan w:val="2"/>
                  <w:noWrap w:val="0"/>
                  <w:vAlign w:val="center"/>
                </w:tcPr>
                <w:p w14:paraId="2A40A9E8">
                  <w:pPr>
                    <w:pStyle w:val="7"/>
                    <w:adjustRightInd w:val="0"/>
                    <w:snapToGrid w:val="0"/>
                    <w:ind w:firstLine="0" w:firstLineChars="0"/>
                    <w:jc w:val="center"/>
                    <w:rPr>
                      <w:rFonts w:hint="default"/>
                      <w:bCs/>
                      <w:sz w:val="21"/>
                      <w:szCs w:val="21"/>
                      <w:lang w:val="en-US" w:eastAsia="zh-CN"/>
                    </w:rPr>
                  </w:pPr>
                  <w:r>
                    <w:rPr>
                      <w:rFonts w:hint="eastAsia"/>
                      <w:bCs/>
                      <w:sz w:val="21"/>
                      <w:szCs w:val="21"/>
                      <w:lang w:val="en-US" w:eastAsia="zh-CN"/>
                    </w:rPr>
                    <w:t>拆解废气G</w:t>
                  </w:r>
                  <w:r>
                    <w:rPr>
                      <w:rFonts w:hint="eastAsia"/>
                      <w:bCs/>
                      <w:sz w:val="21"/>
                      <w:szCs w:val="21"/>
                      <w:vertAlign w:val="subscript"/>
                      <w:lang w:val="en-US" w:eastAsia="zh-CN"/>
                    </w:rPr>
                    <w:t>3</w:t>
                  </w:r>
                </w:p>
              </w:tc>
              <w:tc>
                <w:tcPr>
                  <w:tcW w:w="1270" w:type="pct"/>
                  <w:noWrap w:val="0"/>
                  <w:vAlign w:val="center"/>
                </w:tcPr>
                <w:p w14:paraId="3DE5D4CE">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颗粒物</w:t>
                  </w:r>
                </w:p>
              </w:tc>
              <w:tc>
                <w:tcPr>
                  <w:tcW w:w="1796" w:type="pct"/>
                  <w:noWrap w:val="0"/>
                  <w:vAlign w:val="center"/>
                </w:tcPr>
                <w:p w14:paraId="01CEFD0B">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车间无组织排放</w:t>
                  </w:r>
                </w:p>
              </w:tc>
            </w:tr>
            <w:tr w14:paraId="402DA8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509" w:type="pct"/>
                  <w:vMerge w:val="continue"/>
                  <w:noWrap w:val="0"/>
                  <w:vAlign w:val="center"/>
                </w:tcPr>
                <w:p w14:paraId="0A290377">
                  <w:pPr>
                    <w:pStyle w:val="7"/>
                    <w:adjustRightInd w:val="0"/>
                    <w:snapToGrid w:val="0"/>
                    <w:ind w:firstLine="0" w:firstLineChars="0"/>
                    <w:jc w:val="center"/>
                    <w:rPr>
                      <w:rFonts w:hint="eastAsia"/>
                      <w:bCs/>
                      <w:sz w:val="21"/>
                      <w:szCs w:val="21"/>
                      <w:lang w:val="en-US" w:eastAsia="zh-CN"/>
                    </w:rPr>
                  </w:pPr>
                </w:p>
              </w:tc>
              <w:tc>
                <w:tcPr>
                  <w:tcW w:w="1422" w:type="pct"/>
                  <w:gridSpan w:val="2"/>
                  <w:noWrap w:val="0"/>
                  <w:vAlign w:val="center"/>
                </w:tcPr>
                <w:p w14:paraId="689549DD">
                  <w:pPr>
                    <w:pStyle w:val="7"/>
                    <w:adjustRightInd w:val="0"/>
                    <w:snapToGrid w:val="0"/>
                    <w:ind w:firstLine="0" w:firstLineChars="0"/>
                    <w:jc w:val="center"/>
                    <w:rPr>
                      <w:rFonts w:hint="default"/>
                      <w:bCs/>
                      <w:sz w:val="21"/>
                      <w:szCs w:val="21"/>
                      <w:lang w:val="en-US" w:eastAsia="zh-CN"/>
                    </w:rPr>
                  </w:pPr>
                  <w:r>
                    <w:rPr>
                      <w:rFonts w:hint="eastAsia"/>
                      <w:bCs/>
                      <w:sz w:val="21"/>
                      <w:szCs w:val="21"/>
                      <w:lang w:val="en-US" w:eastAsia="zh-CN"/>
                    </w:rPr>
                    <w:t>切割废气G</w:t>
                  </w:r>
                  <w:r>
                    <w:rPr>
                      <w:rFonts w:hint="eastAsia"/>
                      <w:bCs/>
                      <w:sz w:val="21"/>
                      <w:szCs w:val="21"/>
                      <w:vertAlign w:val="subscript"/>
                      <w:lang w:val="en-US" w:eastAsia="zh-CN"/>
                    </w:rPr>
                    <w:t>4</w:t>
                  </w:r>
                </w:p>
              </w:tc>
              <w:tc>
                <w:tcPr>
                  <w:tcW w:w="1270" w:type="pct"/>
                  <w:noWrap w:val="0"/>
                  <w:vAlign w:val="center"/>
                </w:tcPr>
                <w:p w14:paraId="538047DF">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颗粒物</w:t>
                  </w:r>
                </w:p>
              </w:tc>
              <w:tc>
                <w:tcPr>
                  <w:tcW w:w="1796" w:type="pct"/>
                  <w:noWrap w:val="0"/>
                  <w:vAlign w:val="center"/>
                </w:tcPr>
                <w:p w14:paraId="67D9067C">
                  <w:pPr>
                    <w:pStyle w:val="7"/>
                    <w:adjustRightInd w:val="0"/>
                    <w:snapToGrid w:val="0"/>
                    <w:ind w:firstLine="0" w:firstLineChars="0"/>
                    <w:jc w:val="center"/>
                    <w:rPr>
                      <w:rFonts w:hint="eastAsia" w:eastAsia="宋体"/>
                      <w:bCs/>
                      <w:sz w:val="21"/>
                      <w:szCs w:val="21"/>
                      <w:lang w:val="en-US" w:eastAsia="zh-CN"/>
                    </w:rPr>
                  </w:pPr>
                  <w:r>
                    <w:rPr>
                      <w:rFonts w:hint="eastAsia" w:eastAsia="宋体"/>
                      <w:bCs/>
                      <w:sz w:val="21"/>
                      <w:szCs w:val="21"/>
                      <w:lang w:val="en-US" w:eastAsia="zh-CN"/>
                    </w:rPr>
                    <w:t>经集气罩收集后，引至布袋除尘器净化处理后，通过15m高排气筒排放</w:t>
                  </w:r>
                </w:p>
              </w:tc>
            </w:tr>
            <w:tr w14:paraId="5B38D6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509" w:type="pct"/>
                  <w:vMerge w:val="continue"/>
                  <w:noWrap w:val="0"/>
                  <w:vAlign w:val="center"/>
                </w:tcPr>
                <w:p w14:paraId="32FA7EE6">
                  <w:pPr>
                    <w:pStyle w:val="7"/>
                    <w:adjustRightInd w:val="0"/>
                    <w:snapToGrid w:val="0"/>
                    <w:ind w:firstLine="0" w:firstLineChars="0"/>
                    <w:jc w:val="center"/>
                    <w:rPr>
                      <w:rFonts w:hint="eastAsia"/>
                      <w:bCs/>
                      <w:sz w:val="21"/>
                      <w:szCs w:val="21"/>
                      <w:lang w:val="en-US" w:eastAsia="zh-CN"/>
                    </w:rPr>
                  </w:pPr>
                </w:p>
              </w:tc>
              <w:tc>
                <w:tcPr>
                  <w:tcW w:w="1422" w:type="pct"/>
                  <w:gridSpan w:val="2"/>
                  <w:noWrap w:val="0"/>
                  <w:vAlign w:val="center"/>
                </w:tcPr>
                <w:p w14:paraId="1D604B1C">
                  <w:pPr>
                    <w:pStyle w:val="7"/>
                    <w:adjustRightInd w:val="0"/>
                    <w:snapToGrid w:val="0"/>
                    <w:ind w:firstLine="0" w:firstLineChars="0"/>
                    <w:jc w:val="center"/>
                    <w:rPr>
                      <w:rFonts w:hint="default"/>
                      <w:bCs/>
                      <w:sz w:val="21"/>
                      <w:szCs w:val="21"/>
                      <w:lang w:val="en-US" w:eastAsia="zh-CN"/>
                    </w:rPr>
                  </w:pPr>
                  <w:r>
                    <w:rPr>
                      <w:rFonts w:hint="eastAsia"/>
                      <w:bCs/>
                      <w:sz w:val="21"/>
                      <w:szCs w:val="21"/>
                      <w:lang w:val="en-US" w:eastAsia="zh-CN"/>
                    </w:rPr>
                    <w:t>废油贮存废气G</w:t>
                  </w:r>
                  <w:r>
                    <w:rPr>
                      <w:rFonts w:hint="eastAsia"/>
                      <w:bCs/>
                      <w:sz w:val="21"/>
                      <w:szCs w:val="21"/>
                      <w:vertAlign w:val="subscript"/>
                      <w:lang w:val="en-US" w:eastAsia="zh-CN"/>
                    </w:rPr>
                    <w:t>5</w:t>
                  </w:r>
                </w:p>
              </w:tc>
              <w:tc>
                <w:tcPr>
                  <w:tcW w:w="1270" w:type="pct"/>
                  <w:noWrap w:val="0"/>
                  <w:vAlign w:val="center"/>
                </w:tcPr>
                <w:p w14:paraId="02FF9031">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非甲烷总烃</w:t>
                  </w:r>
                </w:p>
              </w:tc>
              <w:tc>
                <w:tcPr>
                  <w:tcW w:w="1796" w:type="pct"/>
                  <w:noWrap w:val="0"/>
                  <w:vAlign w:val="center"/>
                </w:tcPr>
                <w:p w14:paraId="1F0AC5F9">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经负压收集后，引至二级活性炭吸附装置净化处理后，通过15m高排气筒排放</w:t>
                  </w:r>
                </w:p>
              </w:tc>
            </w:tr>
            <w:tr w14:paraId="331A25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509" w:type="pct"/>
                  <w:vMerge w:val="restart"/>
                  <w:noWrap w:val="0"/>
                  <w:vAlign w:val="center"/>
                </w:tcPr>
                <w:p w14:paraId="08A61957">
                  <w:pPr>
                    <w:pStyle w:val="7"/>
                    <w:adjustRightInd w:val="0"/>
                    <w:snapToGrid w:val="0"/>
                    <w:ind w:firstLine="0" w:firstLineChars="0"/>
                    <w:jc w:val="center"/>
                    <w:rPr>
                      <w:rFonts w:hint="default"/>
                      <w:sz w:val="21"/>
                      <w:szCs w:val="21"/>
                      <w:lang w:val="en-US" w:eastAsia="zh-CN"/>
                    </w:rPr>
                  </w:pPr>
                  <w:r>
                    <w:rPr>
                      <w:rFonts w:hint="eastAsia"/>
                      <w:sz w:val="21"/>
                      <w:szCs w:val="21"/>
                      <w:lang w:val="en-US" w:eastAsia="zh-CN"/>
                    </w:rPr>
                    <w:t>废水</w:t>
                  </w:r>
                </w:p>
              </w:tc>
              <w:tc>
                <w:tcPr>
                  <w:tcW w:w="1422" w:type="pct"/>
                  <w:gridSpan w:val="2"/>
                  <w:noWrap w:val="0"/>
                  <w:vAlign w:val="center"/>
                </w:tcPr>
                <w:p w14:paraId="6FF16FA3">
                  <w:pPr>
                    <w:pStyle w:val="7"/>
                    <w:adjustRightInd w:val="0"/>
                    <w:snapToGrid w:val="0"/>
                    <w:ind w:firstLine="0" w:firstLineChars="0"/>
                    <w:jc w:val="center"/>
                    <w:rPr>
                      <w:rFonts w:hint="default" w:eastAsia="宋体"/>
                      <w:bCs/>
                      <w:sz w:val="21"/>
                      <w:szCs w:val="21"/>
                      <w:lang w:val="en-US" w:eastAsia="zh-CN"/>
                    </w:rPr>
                  </w:pPr>
                  <w:r>
                    <w:rPr>
                      <w:rFonts w:hint="eastAsia"/>
                      <w:bCs/>
                      <w:sz w:val="21"/>
                      <w:szCs w:val="21"/>
                      <w:lang w:val="en-US" w:eastAsia="zh-CN"/>
                    </w:rPr>
                    <w:t>地坪保洁废水W1</w:t>
                  </w:r>
                </w:p>
              </w:tc>
              <w:tc>
                <w:tcPr>
                  <w:tcW w:w="1270" w:type="pct"/>
                  <w:noWrap w:val="0"/>
                  <w:vAlign w:val="center"/>
                </w:tcPr>
                <w:p w14:paraId="63B99B7A">
                  <w:pPr>
                    <w:pStyle w:val="7"/>
                    <w:adjustRightInd w:val="0"/>
                    <w:snapToGrid w:val="0"/>
                    <w:ind w:firstLine="0" w:firstLineChars="0"/>
                    <w:jc w:val="center"/>
                    <w:rPr>
                      <w:rFonts w:hint="default" w:eastAsia="宋体"/>
                      <w:bCs/>
                      <w:sz w:val="21"/>
                      <w:szCs w:val="21"/>
                      <w:lang w:val="en-US" w:eastAsia="zh-CN"/>
                    </w:rPr>
                  </w:pPr>
                  <w:r>
                    <w:rPr>
                      <w:rFonts w:hint="eastAsia"/>
                      <w:bCs/>
                      <w:sz w:val="21"/>
                      <w:szCs w:val="21"/>
                      <w:lang w:val="en-US" w:eastAsia="zh-CN"/>
                    </w:rPr>
                    <w:t>COD、SS、石油类</w:t>
                  </w:r>
                </w:p>
              </w:tc>
              <w:tc>
                <w:tcPr>
                  <w:tcW w:w="1796" w:type="pct"/>
                  <w:vMerge w:val="restart"/>
                  <w:noWrap w:val="0"/>
                  <w:vAlign w:val="center"/>
                </w:tcPr>
                <w:p w14:paraId="32571A7E">
                  <w:pPr>
                    <w:pStyle w:val="7"/>
                    <w:adjustRightInd w:val="0"/>
                    <w:snapToGrid w:val="0"/>
                    <w:ind w:firstLine="0" w:firstLineChars="0"/>
                    <w:jc w:val="center"/>
                    <w:rPr>
                      <w:rFonts w:hint="default"/>
                      <w:bCs/>
                      <w:sz w:val="21"/>
                      <w:szCs w:val="21"/>
                      <w:lang w:val="en-US" w:eastAsia="zh-CN"/>
                    </w:rPr>
                  </w:pPr>
                  <w:r>
                    <w:rPr>
                      <w:rFonts w:hint="eastAsia"/>
                      <w:bCs/>
                      <w:sz w:val="21"/>
                      <w:szCs w:val="21"/>
                      <w:lang w:val="en-US" w:eastAsia="zh-CN"/>
                    </w:rPr>
                    <w:t>经自建污水处理站预处理后，回用于厂区绿化及地坪保洁</w:t>
                  </w:r>
                </w:p>
              </w:tc>
            </w:tr>
            <w:tr w14:paraId="1BF061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509" w:type="pct"/>
                  <w:vMerge w:val="continue"/>
                  <w:noWrap w:val="0"/>
                  <w:vAlign w:val="center"/>
                </w:tcPr>
                <w:p w14:paraId="25301434">
                  <w:pPr>
                    <w:pStyle w:val="7"/>
                    <w:adjustRightInd w:val="0"/>
                    <w:snapToGrid w:val="0"/>
                    <w:ind w:firstLine="0" w:firstLineChars="0"/>
                    <w:jc w:val="center"/>
                    <w:rPr>
                      <w:rFonts w:hint="eastAsia"/>
                      <w:sz w:val="21"/>
                      <w:szCs w:val="21"/>
                      <w:lang w:val="en-US" w:eastAsia="zh-CN"/>
                    </w:rPr>
                  </w:pPr>
                </w:p>
              </w:tc>
              <w:tc>
                <w:tcPr>
                  <w:tcW w:w="1422" w:type="pct"/>
                  <w:gridSpan w:val="2"/>
                  <w:noWrap w:val="0"/>
                  <w:vAlign w:val="center"/>
                </w:tcPr>
                <w:p w14:paraId="7E00128A">
                  <w:pPr>
                    <w:pStyle w:val="7"/>
                    <w:adjustRightInd w:val="0"/>
                    <w:snapToGrid w:val="0"/>
                    <w:ind w:firstLine="0" w:firstLineChars="0"/>
                    <w:jc w:val="center"/>
                    <w:rPr>
                      <w:rFonts w:hint="eastAsia" w:ascii="Times New Roman" w:hAnsi="Times New Roman" w:eastAsia="宋体" w:cs="Times New Roman"/>
                      <w:bCs/>
                      <w:kern w:val="2"/>
                      <w:sz w:val="21"/>
                      <w:szCs w:val="21"/>
                      <w:lang w:val="en-US" w:eastAsia="zh-CN" w:bidi="ar-SA"/>
                    </w:rPr>
                  </w:pPr>
                  <w:r>
                    <w:rPr>
                      <w:rFonts w:hint="eastAsia"/>
                      <w:bCs/>
                      <w:sz w:val="21"/>
                      <w:szCs w:val="21"/>
                      <w:lang w:val="en-US" w:eastAsia="zh-CN"/>
                    </w:rPr>
                    <w:t>初期雨水W2</w:t>
                  </w:r>
                </w:p>
              </w:tc>
              <w:tc>
                <w:tcPr>
                  <w:tcW w:w="1270" w:type="pct"/>
                  <w:noWrap w:val="0"/>
                  <w:vAlign w:val="center"/>
                </w:tcPr>
                <w:p w14:paraId="4F7C9A72">
                  <w:pPr>
                    <w:pStyle w:val="7"/>
                    <w:adjustRightInd w:val="0"/>
                    <w:snapToGrid w:val="0"/>
                    <w:ind w:firstLine="0" w:firstLineChars="0"/>
                    <w:jc w:val="center"/>
                    <w:rPr>
                      <w:rFonts w:ascii="Times New Roman" w:hAnsi="Times New Roman" w:eastAsia="宋体" w:cs="Times New Roman"/>
                      <w:bCs/>
                      <w:kern w:val="2"/>
                      <w:sz w:val="21"/>
                      <w:szCs w:val="21"/>
                      <w:lang w:val="en-US" w:eastAsia="zh-CN" w:bidi="ar-SA"/>
                    </w:rPr>
                  </w:pPr>
                  <w:r>
                    <w:rPr>
                      <w:rFonts w:hint="eastAsia"/>
                      <w:bCs/>
                      <w:sz w:val="21"/>
                      <w:szCs w:val="21"/>
                      <w:lang w:val="en-US" w:eastAsia="zh-CN"/>
                    </w:rPr>
                    <w:t>COD、SS、石油类</w:t>
                  </w:r>
                </w:p>
              </w:tc>
              <w:tc>
                <w:tcPr>
                  <w:tcW w:w="1796" w:type="pct"/>
                  <w:vMerge w:val="continue"/>
                  <w:noWrap w:val="0"/>
                  <w:vAlign w:val="center"/>
                </w:tcPr>
                <w:p w14:paraId="6FA6934D">
                  <w:pPr>
                    <w:pStyle w:val="7"/>
                    <w:adjustRightInd w:val="0"/>
                    <w:snapToGrid w:val="0"/>
                    <w:ind w:firstLine="0" w:firstLineChars="0"/>
                    <w:jc w:val="center"/>
                    <w:rPr>
                      <w:bCs/>
                      <w:sz w:val="21"/>
                      <w:szCs w:val="21"/>
                    </w:rPr>
                  </w:pPr>
                </w:p>
              </w:tc>
            </w:tr>
            <w:tr w14:paraId="650EFC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509" w:type="pct"/>
                  <w:noWrap w:val="0"/>
                  <w:vAlign w:val="center"/>
                </w:tcPr>
                <w:p w14:paraId="24CC09FE">
                  <w:pPr>
                    <w:pStyle w:val="7"/>
                    <w:adjustRightInd w:val="0"/>
                    <w:snapToGrid w:val="0"/>
                    <w:ind w:firstLine="0" w:firstLineChars="0"/>
                    <w:jc w:val="center"/>
                    <w:rPr>
                      <w:sz w:val="21"/>
                      <w:szCs w:val="21"/>
                    </w:rPr>
                  </w:pPr>
                  <w:r>
                    <w:rPr>
                      <w:bCs/>
                      <w:sz w:val="21"/>
                      <w:szCs w:val="21"/>
                    </w:rPr>
                    <w:t>噪声</w:t>
                  </w:r>
                </w:p>
              </w:tc>
              <w:tc>
                <w:tcPr>
                  <w:tcW w:w="1422" w:type="pct"/>
                  <w:gridSpan w:val="2"/>
                  <w:noWrap w:val="0"/>
                  <w:vAlign w:val="center"/>
                </w:tcPr>
                <w:p w14:paraId="2710DA79">
                  <w:pPr>
                    <w:pStyle w:val="7"/>
                    <w:adjustRightInd w:val="0"/>
                    <w:snapToGrid w:val="0"/>
                    <w:ind w:firstLine="0" w:firstLineChars="0"/>
                    <w:jc w:val="center"/>
                    <w:rPr>
                      <w:bCs/>
                      <w:sz w:val="21"/>
                      <w:szCs w:val="21"/>
                    </w:rPr>
                  </w:pPr>
                  <w:r>
                    <w:rPr>
                      <w:rFonts w:hint="eastAsia"/>
                      <w:bCs/>
                      <w:sz w:val="21"/>
                      <w:szCs w:val="21"/>
                    </w:rPr>
                    <w:t>设备运行N</w:t>
                  </w:r>
                </w:p>
              </w:tc>
              <w:tc>
                <w:tcPr>
                  <w:tcW w:w="1270" w:type="pct"/>
                  <w:noWrap w:val="0"/>
                  <w:vAlign w:val="center"/>
                </w:tcPr>
                <w:p w14:paraId="7305D3D8">
                  <w:pPr>
                    <w:pStyle w:val="7"/>
                    <w:adjustRightInd w:val="0"/>
                    <w:snapToGrid w:val="0"/>
                    <w:ind w:firstLine="0" w:firstLineChars="0"/>
                    <w:jc w:val="center"/>
                    <w:rPr>
                      <w:rFonts w:hint="eastAsia"/>
                      <w:bCs/>
                      <w:sz w:val="21"/>
                      <w:szCs w:val="21"/>
                    </w:rPr>
                  </w:pPr>
                  <w:r>
                    <w:rPr>
                      <w:bCs/>
                      <w:sz w:val="21"/>
                      <w:szCs w:val="21"/>
                    </w:rPr>
                    <w:t>Leq（A）</w:t>
                  </w:r>
                </w:p>
              </w:tc>
              <w:tc>
                <w:tcPr>
                  <w:tcW w:w="1796" w:type="pct"/>
                  <w:noWrap w:val="0"/>
                  <w:vAlign w:val="center"/>
                </w:tcPr>
                <w:p w14:paraId="748EC387">
                  <w:pPr>
                    <w:pStyle w:val="7"/>
                    <w:adjustRightInd w:val="0"/>
                    <w:snapToGrid w:val="0"/>
                    <w:ind w:firstLine="0" w:firstLineChars="0"/>
                    <w:jc w:val="center"/>
                    <w:rPr>
                      <w:rFonts w:hint="default" w:eastAsia="宋体"/>
                      <w:bCs/>
                      <w:sz w:val="21"/>
                      <w:szCs w:val="21"/>
                      <w:lang w:val="en-US" w:eastAsia="zh-CN"/>
                    </w:rPr>
                  </w:pPr>
                  <w:r>
                    <w:rPr>
                      <w:rFonts w:hint="eastAsia"/>
                      <w:bCs/>
                      <w:sz w:val="21"/>
                      <w:szCs w:val="21"/>
                      <w:lang w:val="en-US" w:eastAsia="zh-CN"/>
                    </w:rPr>
                    <w:t>设备减震、厂房隔声</w:t>
                  </w:r>
                </w:p>
              </w:tc>
            </w:tr>
            <w:tr w14:paraId="13C853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509" w:type="pct"/>
                  <w:vMerge w:val="restart"/>
                  <w:noWrap w:val="0"/>
                  <w:vAlign w:val="center"/>
                </w:tcPr>
                <w:p w14:paraId="6FDD5DD6">
                  <w:pPr>
                    <w:pStyle w:val="7"/>
                    <w:adjustRightInd w:val="0"/>
                    <w:snapToGrid w:val="0"/>
                    <w:ind w:firstLine="0" w:firstLineChars="0"/>
                    <w:jc w:val="center"/>
                    <w:rPr>
                      <w:rFonts w:hint="eastAsia" w:eastAsia="宋体"/>
                      <w:bCs/>
                      <w:sz w:val="21"/>
                      <w:szCs w:val="21"/>
                      <w:lang w:val="en-US" w:eastAsia="zh-CN"/>
                    </w:rPr>
                  </w:pPr>
                  <w:r>
                    <w:rPr>
                      <w:rFonts w:hint="eastAsia"/>
                      <w:bCs/>
                      <w:sz w:val="21"/>
                      <w:szCs w:val="21"/>
                      <w:lang w:val="en-US" w:eastAsia="zh-CN"/>
                    </w:rPr>
                    <w:t>固废</w:t>
                  </w:r>
                </w:p>
              </w:tc>
              <w:tc>
                <w:tcPr>
                  <w:tcW w:w="331" w:type="pct"/>
                  <w:vMerge w:val="restart"/>
                  <w:noWrap w:val="0"/>
                  <w:vAlign w:val="center"/>
                </w:tcPr>
                <w:p w14:paraId="2E7F4060">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一般固废</w:t>
                  </w:r>
                </w:p>
              </w:tc>
              <w:tc>
                <w:tcPr>
                  <w:tcW w:w="1091" w:type="pct"/>
                  <w:noWrap w:val="0"/>
                  <w:vAlign w:val="center"/>
                </w:tcPr>
                <w:p w14:paraId="30870913">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引爆的安全气囊（S</w:t>
                  </w:r>
                  <w:r>
                    <w:rPr>
                      <w:rFonts w:hint="eastAsia" w:eastAsia="宋体"/>
                      <w:bCs/>
                      <w:sz w:val="21"/>
                      <w:szCs w:val="21"/>
                      <w:vertAlign w:val="subscript"/>
                      <w:lang w:val="en-US" w:eastAsia="zh-CN"/>
                    </w:rPr>
                    <w:t>10</w:t>
                  </w:r>
                  <w:r>
                    <w:rPr>
                      <w:rFonts w:hint="eastAsia" w:eastAsia="宋体"/>
                      <w:bCs/>
                      <w:sz w:val="21"/>
                      <w:szCs w:val="21"/>
                      <w:lang w:val="en-US" w:eastAsia="zh-CN"/>
                    </w:rPr>
                    <w:t>）</w:t>
                  </w:r>
                </w:p>
              </w:tc>
              <w:tc>
                <w:tcPr>
                  <w:tcW w:w="1270" w:type="pct"/>
                  <w:noWrap w:val="0"/>
                  <w:vAlign w:val="center"/>
                </w:tcPr>
                <w:p w14:paraId="1782506C">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织物、金属、塑料</w:t>
                  </w:r>
                </w:p>
              </w:tc>
              <w:tc>
                <w:tcPr>
                  <w:tcW w:w="1796" w:type="pct"/>
                  <w:noWrap w:val="0"/>
                  <w:vAlign w:val="center"/>
                </w:tcPr>
                <w:p w14:paraId="2D5D7527">
                  <w:pPr>
                    <w:pStyle w:val="7"/>
                    <w:adjustRightInd w:val="0"/>
                    <w:snapToGrid w:val="0"/>
                    <w:ind w:firstLine="0" w:firstLineChars="0"/>
                    <w:jc w:val="center"/>
                    <w:rPr>
                      <w:rFonts w:hint="default"/>
                      <w:bCs/>
                      <w:sz w:val="21"/>
                      <w:szCs w:val="21"/>
                      <w:lang w:val="en-US" w:eastAsia="zh-CN"/>
                    </w:rPr>
                  </w:pPr>
                  <w:r>
                    <w:rPr>
                      <w:rFonts w:hint="eastAsia"/>
                      <w:bCs/>
                      <w:sz w:val="21"/>
                      <w:szCs w:val="21"/>
                      <w:lang w:val="en-US" w:eastAsia="zh-CN"/>
                    </w:rPr>
                    <w:t>外售物资回收单位</w:t>
                  </w:r>
                </w:p>
              </w:tc>
            </w:tr>
            <w:tr w14:paraId="11116C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509" w:type="pct"/>
                  <w:vMerge w:val="continue"/>
                  <w:noWrap w:val="0"/>
                  <w:vAlign w:val="center"/>
                </w:tcPr>
                <w:p w14:paraId="65BA435D">
                  <w:pPr>
                    <w:pStyle w:val="7"/>
                    <w:adjustRightInd w:val="0"/>
                    <w:snapToGrid w:val="0"/>
                    <w:ind w:firstLine="0" w:firstLineChars="0"/>
                    <w:jc w:val="center"/>
                    <w:rPr>
                      <w:rFonts w:hint="eastAsia"/>
                      <w:bCs/>
                      <w:sz w:val="21"/>
                      <w:szCs w:val="21"/>
                      <w:lang w:val="en-US" w:eastAsia="zh-CN"/>
                    </w:rPr>
                  </w:pPr>
                </w:p>
              </w:tc>
              <w:tc>
                <w:tcPr>
                  <w:tcW w:w="331" w:type="pct"/>
                  <w:vMerge w:val="continue"/>
                  <w:noWrap w:val="0"/>
                  <w:vAlign w:val="center"/>
                </w:tcPr>
                <w:p w14:paraId="5D7FE69C">
                  <w:pPr>
                    <w:pStyle w:val="7"/>
                    <w:adjustRightInd w:val="0"/>
                    <w:snapToGrid w:val="0"/>
                    <w:ind w:firstLine="0" w:firstLineChars="0"/>
                    <w:jc w:val="center"/>
                    <w:rPr>
                      <w:rFonts w:hint="eastAsia" w:eastAsia="宋体"/>
                      <w:bCs/>
                      <w:sz w:val="21"/>
                      <w:szCs w:val="21"/>
                      <w:lang w:eastAsia="zh-CN"/>
                    </w:rPr>
                  </w:pPr>
                </w:p>
              </w:tc>
              <w:tc>
                <w:tcPr>
                  <w:tcW w:w="1091" w:type="pct"/>
                  <w:noWrap w:val="0"/>
                  <w:vAlign w:val="center"/>
                </w:tcPr>
                <w:p w14:paraId="5034A807">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废玻璃（S</w:t>
                  </w:r>
                  <w:r>
                    <w:rPr>
                      <w:rFonts w:hint="eastAsia" w:eastAsia="宋体"/>
                      <w:bCs/>
                      <w:sz w:val="21"/>
                      <w:szCs w:val="21"/>
                      <w:vertAlign w:val="subscript"/>
                      <w:lang w:val="en-US" w:eastAsia="zh-CN"/>
                    </w:rPr>
                    <w:t>13</w:t>
                  </w:r>
                  <w:r>
                    <w:rPr>
                      <w:rFonts w:hint="eastAsia" w:eastAsia="宋体"/>
                      <w:bCs/>
                      <w:sz w:val="21"/>
                      <w:szCs w:val="21"/>
                      <w:lang w:val="en-US" w:eastAsia="zh-CN"/>
                    </w:rPr>
                    <w:t>）</w:t>
                  </w:r>
                </w:p>
              </w:tc>
              <w:tc>
                <w:tcPr>
                  <w:tcW w:w="1270" w:type="pct"/>
                  <w:noWrap w:val="0"/>
                  <w:vAlign w:val="center"/>
                </w:tcPr>
                <w:p w14:paraId="169C73FC">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玻璃</w:t>
                  </w:r>
                </w:p>
              </w:tc>
              <w:tc>
                <w:tcPr>
                  <w:tcW w:w="1796" w:type="pct"/>
                  <w:noWrap w:val="0"/>
                  <w:vAlign w:val="center"/>
                </w:tcPr>
                <w:p w14:paraId="41D83220">
                  <w:pPr>
                    <w:pStyle w:val="7"/>
                    <w:adjustRightInd w:val="0"/>
                    <w:snapToGrid w:val="0"/>
                    <w:ind w:firstLine="0" w:firstLineChars="0"/>
                    <w:jc w:val="center"/>
                    <w:rPr>
                      <w:rFonts w:hint="default"/>
                      <w:bCs/>
                      <w:sz w:val="21"/>
                      <w:szCs w:val="21"/>
                      <w:lang w:val="en-US" w:eastAsia="zh-CN"/>
                    </w:rPr>
                  </w:pPr>
                  <w:r>
                    <w:rPr>
                      <w:rFonts w:hint="eastAsia"/>
                      <w:bCs/>
                      <w:sz w:val="21"/>
                      <w:szCs w:val="21"/>
                      <w:lang w:val="en-US" w:eastAsia="zh-CN"/>
                    </w:rPr>
                    <w:t>外售给废玻璃回收单位</w:t>
                  </w:r>
                </w:p>
              </w:tc>
            </w:tr>
            <w:tr w14:paraId="343591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509" w:type="pct"/>
                  <w:vMerge w:val="continue"/>
                  <w:noWrap w:val="0"/>
                  <w:vAlign w:val="center"/>
                </w:tcPr>
                <w:p w14:paraId="0ACBEB43">
                  <w:pPr>
                    <w:pStyle w:val="7"/>
                    <w:adjustRightInd w:val="0"/>
                    <w:snapToGrid w:val="0"/>
                    <w:ind w:firstLine="0" w:firstLineChars="0"/>
                    <w:jc w:val="center"/>
                    <w:rPr>
                      <w:rFonts w:hint="eastAsia"/>
                      <w:bCs/>
                      <w:sz w:val="21"/>
                      <w:szCs w:val="21"/>
                      <w:lang w:val="en-US" w:eastAsia="zh-CN"/>
                    </w:rPr>
                  </w:pPr>
                </w:p>
              </w:tc>
              <w:tc>
                <w:tcPr>
                  <w:tcW w:w="331" w:type="pct"/>
                  <w:vMerge w:val="continue"/>
                  <w:noWrap w:val="0"/>
                  <w:vAlign w:val="center"/>
                </w:tcPr>
                <w:p w14:paraId="6741782D">
                  <w:pPr>
                    <w:pStyle w:val="7"/>
                    <w:adjustRightInd w:val="0"/>
                    <w:snapToGrid w:val="0"/>
                    <w:ind w:firstLine="0" w:firstLineChars="0"/>
                    <w:jc w:val="center"/>
                    <w:rPr>
                      <w:rFonts w:hint="eastAsia" w:eastAsia="宋体"/>
                      <w:bCs/>
                      <w:sz w:val="21"/>
                      <w:szCs w:val="21"/>
                      <w:lang w:eastAsia="zh-CN"/>
                    </w:rPr>
                  </w:pPr>
                </w:p>
              </w:tc>
              <w:tc>
                <w:tcPr>
                  <w:tcW w:w="1091" w:type="pct"/>
                  <w:noWrap w:val="0"/>
                  <w:vAlign w:val="center"/>
                </w:tcPr>
                <w:p w14:paraId="227DD1DF">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废有色金属（S</w:t>
                  </w:r>
                  <w:r>
                    <w:rPr>
                      <w:rFonts w:hint="eastAsia" w:eastAsia="宋体"/>
                      <w:bCs/>
                      <w:sz w:val="21"/>
                      <w:szCs w:val="21"/>
                      <w:vertAlign w:val="subscript"/>
                      <w:lang w:val="en-US" w:eastAsia="zh-CN"/>
                    </w:rPr>
                    <w:t>14</w:t>
                  </w:r>
                  <w:r>
                    <w:rPr>
                      <w:rFonts w:hint="eastAsia" w:eastAsia="宋体"/>
                      <w:bCs/>
                      <w:sz w:val="21"/>
                      <w:szCs w:val="21"/>
                      <w:lang w:val="en-US" w:eastAsia="zh-CN"/>
                    </w:rPr>
                    <w:t>）</w:t>
                  </w:r>
                </w:p>
              </w:tc>
              <w:tc>
                <w:tcPr>
                  <w:tcW w:w="1270" w:type="pct"/>
                  <w:noWrap w:val="0"/>
                  <w:vAlign w:val="center"/>
                </w:tcPr>
                <w:p w14:paraId="75D0BDAC">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有色金属</w:t>
                  </w:r>
                </w:p>
              </w:tc>
              <w:tc>
                <w:tcPr>
                  <w:tcW w:w="1796" w:type="pct"/>
                  <w:noWrap w:val="0"/>
                  <w:vAlign w:val="center"/>
                </w:tcPr>
                <w:p w14:paraId="08E4BA5F">
                  <w:pPr>
                    <w:pStyle w:val="7"/>
                    <w:adjustRightInd w:val="0"/>
                    <w:snapToGrid w:val="0"/>
                    <w:ind w:firstLine="0" w:firstLineChars="0"/>
                    <w:jc w:val="center"/>
                    <w:rPr>
                      <w:rFonts w:hint="default"/>
                      <w:bCs/>
                      <w:sz w:val="21"/>
                      <w:szCs w:val="21"/>
                      <w:lang w:val="en-US" w:eastAsia="zh-CN"/>
                    </w:rPr>
                  </w:pPr>
                  <w:r>
                    <w:rPr>
                      <w:rFonts w:hint="eastAsia"/>
                      <w:bCs/>
                      <w:sz w:val="21"/>
                      <w:szCs w:val="21"/>
                      <w:lang w:val="en-US" w:eastAsia="zh-CN"/>
                    </w:rPr>
                    <w:t>外售给废有色金属回收单位</w:t>
                  </w:r>
                </w:p>
              </w:tc>
            </w:tr>
            <w:tr w14:paraId="62964E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509" w:type="pct"/>
                  <w:vMerge w:val="continue"/>
                  <w:noWrap w:val="0"/>
                  <w:vAlign w:val="center"/>
                </w:tcPr>
                <w:p w14:paraId="46AF5D0A">
                  <w:pPr>
                    <w:pStyle w:val="7"/>
                    <w:adjustRightInd w:val="0"/>
                    <w:snapToGrid w:val="0"/>
                    <w:ind w:firstLine="0" w:firstLineChars="0"/>
                    <w:jc w:val="center"/>
                    <w:rPr>
                      <w:rFonts w:hint="eastAsia"/>
                      <w:bCs/>
                      <w:sz w:val="21"/>
                      <w:szCs w:val="21"/>
                      <w:lang w:val="en-US" w:eastAsia="zh-CN"/>
                    </w:rPr>
                  </w:pPr>
                </w:p>
              </w:tc>
              <w:tc>
                <w:tcPr>
                  <w:tcW w:w="331" w:type="pct"/>
                  <w:vMerge w:val="continue"/>
                  <w:noWrap w:val="0"/>
                  <w:vAlign w:val="center"/>
                </w:tcPr>
                <w:p w14:paraId="5451EB34">
                  <w:pPr>
                    <w:pStyle w:val="7"/>
                    <w:adjustRightInd w:val="0"/>
                    <w:snapToGrid w:val="0"/>
                    <w:ind w:firstLine="0" w:firstLineChars="0"/>
                    <w:jc w:val="center"/>
                    <w:rPr>
                      <w:rFonts w:hint="eastAsia" w:eastAsia="宋体"/>
                      <w:bCs/>
                      <w:sz w:val="21"/>
                      <w:szCs w:val="21"/>
                      <w:lang w:eastAsia="zh-CN"/>
                    </w:rPr>
                  </w:pPr>
                </w:p>
              </w:tc>
              <w:tc>
                <w:tcPr>
                  <w:tcW w:w="1091" w:type="pct"/>
                  <w:noWrap w:val="0"/>
                  <w:vAlign w:val="center"/>
                </w:tcPr>
                <w:p w14:paraId="474550F4">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废橡胶（S</w:t>
                  </w:r>
                  <w:r>
                    <w:rPr>
                      <w:rFonts w:hint="eastAsia" w:eastAsia="宋体"/>
                      <w:bCs/>
                      <w:sz w:val="21"/>
                      <w:szCs w:val="21"/>
                      <w:vertAlign w:val="subscript"/>
                      <w:lang w:val="en-US" w:eastAsia="zh-CN"/>
                    </w:rPr>
                    <w:t>16</w:t>
                  </w:r>
                  <w:r>
                    <w:rPr>
                      <w:rFonts w:hint="eastAsia" w:eastAsia="宋体"/>
                      <w:bCs/>
                      <w:sz w:val="21"/>
                      <w:szCs w:val="21"/>
                      <w:lang w:val="en-US" w:eastAsia="zh-CN"/>
                    </w:rPr>
                    <w:t>）</w:t>
                  </w:r>
                </w:p>
              </w:tc>
              <w:tc>
                <w:tcPr>
                  <w:tcW w:w="1270" w:type="pct"/>
                  <w:noWrap w:val="0"/>
                  <w:vAlign w:val="center"/>
                </w:tcPr>
                <w:p w14:paraId="1A20AFF7">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橡胶</w:t>
                  </w:r>
                </w:p>
              </w:tc>
              <w:tc>
                <w:tcPr>
                  <w:tcW w:w="1796" w:type="pct"/>
                  <w:noWrap w:val="0"/>
                  <w:vAlign w:val="center"/>
                </w:tcPr>
                <w:p w14:paraId="2DCEC821">
                  <w:pPr>
                    <w:pStyle w:val="7"/>
                    <w:adjustRightInd w:val="0"/>
                    <w:snapToGrid w:val="0"/>
                    <w:ind w:firstLine="0" w:firstLineChars="0"/>
                    <w:jc w:val="center"/>
                    <w:rPr>
                      <w:rFonts w:hint="default"/>
                      <w:bCs/>
                      <w:sz w:val="21"/>
                      <w:szCs w:val="21"/>
                      <w:lang w:val="en-US" w:eastAsia="zh-CN"/>
                    </w:rPr>
                  </w:pPr>
                  <w:r>
                    <w:rPr>
                      <w:rFonts w:hint="eastAsia"/>
                      <w:bCs/>
                      <w:sz w:val="21"/>
                      <w:szCs w:val="21"/>
                      <w:lang w:val="en-US" w:eastAsia="zh-CN"/>
                    </w:rPr>
                    <w:t>外售给废橡胶回收单位</w:t>
                  </w:r>
                </w:p>
              </w:tc>
            </w:tr>
            <w:tr w14:paraId="33FEFF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509" w:type="pct"/>
                  <w:vMerge w:val="continue"/>
                  <w:noWrap w:val="0"/>
                  <w:vAlign w:val="center"/>
                </w:tcPr>
                <w:p w14:paraId="1F532934">
                  <w:pPr>
                    <w:pStyle w:val="7"/>
                    <w:adjustRightInd w:val="0"/>
                    <w:snapToGrid w:val="0"/>
                    <w:ind w:firstLine="0" w:firstLineChars="0"/>
                    <w:jc w:val="center"/>
                    <w:rPr>
                      <w:rFonts w:hint="eastAsia"/>
                      <w:bCs/>
                      <w:sz w:val="21"/>
                      <w:szCs w:val="21"/>
                      <w:lang w:val="en-US" w:eastAsia="zh-CN"/>
                    </w:rPr>
                  </w:pPr>
                </w:p>
              </w:tc>
              <w:tc>
                <w:tcPr>
                  <w:tcW w:w="331" w:type="pct"/>
                  <w:vMerge w:val="continue"/>
                  <w:noWrap w:val="0"/>
                  <w:vAlign w:val="center"/>
                </w:tcPr>
                <w:p w14:paraId="430A5B40">
                  <w:pPr>
                    <w:pStyle w:val="7"/>
                    <w:adjustRightInd w:val="0"/>
                    <w:snapToGrid w:val="0"/>
                    <w:ind w:firstLine="0" w:firstLineChars="0"/>
                    <w:jc w:val="center"/>
                    <w:rPr>
                      <w:rFonts w:hint="eastAsia" w:eastAsia="宋体"/>
                      <w:bCs/>
                      <w:sz w:val="21"/>
                      <w:szCs w:val="21"/>
                      <w:lang w:eastAsia="zh-CN"/>
                    </w:rPr>
                  </w:pPr>
                </w:p>
              </w:tc>
              <w:tc>
                <w:tcPr>
                  <w:tcW w:w="1091" w:type="pct"/>
                  <w:noWrap w:val="0"/>
                  <w:vAlign w:val="center"/>
                </w:tcPr>
                <w:p w14:paraId="6C9B841A">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废钢铁（S</w:t>
                  </w:r>
                  <w:r>
                    <w:rPr>
                      <w:rFonts w:hint="eastAsia" w:eastAsia="宋体"/>
                      <w:bCs/>
                      <w:sz w:val="21"/>
                      <w:szCs w:val="21"/>
                      <w:vertAlign w:val="subscript"/>
                      <w:lang w:val="en-US" w:eastAsia="zh-CN"/>
                    </w:rPr>
                    <w:t>17</w:t>
                  </w:r>
                  <w:r>
                    <w:rPr>
                      <w:rFonts w:hint="eastAsia" w:eastAsia="宋体"/>
                      <w:bCs/>
                      <w:sz w:val="21"/>
                      <w:szCs w:val="21"/>
                      <w:lang w:val="en-US" w:eastAsia="zh-CN"/>
                    </w:rPr>
                    <w:t>）</w:t>
                  </w:r>
                </w:p>
              </w:tc>
              <w:tc>
                <w:tcPr>
                  <w:tcW w:w="1270" w:type="pct"/>
                  <w:noWrap w:val="0"/>
                  <w:vAlign w:val="center"/>
                </w:tcPr>
                <w:p w14:paraId="2B53E702">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钢铁</w:t>
                  </w:r>
                </w:p>
              </w:tc>
              <w:tc>
                <w:tcPr>
                  <w:tcW w:w="1796" w:type="pct"/>
                  <w:noWrap w:val="0"/>
                  <w:vAlign w:val="center"/>
                </w:tcPr>
                <w:p w14:paraId="014BFEEC">
                  <w:pPr>
                    <w:pStyle w:val="7"/>
                    <w:adjustRightInd w:val="0"/>
                    <w:snapToGrid w:val="0"/>
                    <w:ind w:firstLine="0" w:firstLineChars="0"/>
                    <w:jc w:val="center"/>
                    <w:rPr>
                      <w:rFonts w:hint="default"/>
                      <w:bCs/>
                      <w:sz w:val="21"/>
                      <w:szCs w:val="21"/>
                      <w:lang w:val="en-US" w:eastAsia="zh-CN"/>
                    </w:rPr>
                  </w:pPr>
                  <w:r>
                    <w:rPr>
                      <w:rFonts w:hint="eastAsia"/>
                      <w:bCs/>
                      <w:sz w:val="21"/>
                      <w:szCs w:val="21"/>
                      <w:lang w:val="en-US" w:eastAsia="zh-CN"/>
                    </w:rPr>
                    <w:t>外售给废钢铁回收单位</w:t>
                  </w:r>
                </w:p>
              </w:tc>
            </w:tr>
            <w:tr w14:paraId="507DCB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509" w:type="pct"/>
                  <w:vMerge w:val="continue"/>
                  <w:noWrap w:val="0"/>
                  <w:vAlign w:val="center"/>
                </w:tcPr>
                <w:p w14:paraId="7AFC1336">
                  <w:pPr>
                    <w:pStyle w:val="7"/>
                    <w:adjustRightInd w:val="0"/>
                    <w:snapToGrid w:val="0"/>
                    <w:ind w:firstLine="0" w:firstLineChars="0"/>
                    <w:jc w:val="center"/>
                    <w:rPr>
                      <w:rFonts w:hint="eastAsia"/>
                      <w:bCs/>
                      <w:sz w:val="21"/>
                      <w:szCs w:val="21"/>
                      <w:lang w:val="en-US" w:eastAsia="zh-CN"/>
                    </w:rPr>
                  </w:pPr>
                </w:p>
              </w:tc>
              <w:tc>
                <w:tcPr>
                  <w:tcW w:w="331" w:type="pct"/>
                  <w:vMerge w:val="continue"/>
                  <w:noWrap w:val="0"/>
                  <w:vAlign w:val="center"/>
                </w:tcPr>
                <w:p w14:paraId="784A907F">
                  <w:pPr>
                    <w:pStyle w:val="7"/>
                    <w:adjustRightInd w:val="0"/>
                    <w:snapToGrid w:val="0"/>
                    <w:ind w:firstLine="0" w:firstLineChars="0"/>
                    <w:jc w:val="center"/>
                    <w:rPr>
                      <w:rFonts w:hint="eastAsia" w:eastAsia="宋体"/>
                      <w:bCs/>
                      <w:sz w:val="21"/>
                      <w:szCs w:val="21"/>
                      <w:lang w:eastAsia="zh-CN"/>
                    </w:rPr>
                  </w:pPr>
                </w:p>
              </w:tc>
              <w:tc>
                <w:tcPr>
                  <w:tcW w:w="1091" w:type="pct"/>
                  <w:noWrap w:val="0"/>
                  <w:vAlign w:val="center"/>
                </w:tcPr>
                <w:p w14:paraId="3B5EE058">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废塑料（S</w:t>
                  </w:r>
                  <w:r>
                    <w:rPr>
                      <w:rFonts w:hint="eastAsia" w:eastAsia="宋体"/>
                      <w:bCs/>
                      <w:sz w:val="21"/>
                      <w:szCs w:val="21"/>
                      <w:vertAlign w:val="subscript"/>
                      <w:lang w:val="en-US" w:eastAsia="zh-CN"/>
                    </w:rPr>
                    <w:t>18</w:t>
                  </w:r>
                  <w:r>
                    <w:rPr>
                      <w:rFonts w:hint="eastAsia" w:eastAsia="宋体"/>
                      <w:bCs/>
                      <w:sz w:val="21"/>
                      <w:szCs w:val="21"/>
                      <w:lang w:val="en-US" w:eastAsia="zh-CN"/>
                    </w:rPr>
                    <w:t>）</w:t>
                  </w:r>
                </w:p>
              </w:tc>
              <w:tc>
                <w:tcPr>
                  <w:tcW w:w="1270" w:type="pct"/>
                  <w:noWrap w:val="0"/>
                  <w:vAlign w:val="center"/>
                </w:tcPr>
                <w:p w14:paraId="7F07F9A2">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塑料</w:t>
                  </w:r>
                </w:p>
              </w:tc>
              <w:tc>
                <w:tcPr>
                  <w:tcW w:w="1796" w:type="pct"/>
                  <w:noWrap w:val="0"/>
                  <w:vAlign w:val="center"/>
                </w:tcPr>
                <w:p w14:paraId="592D177C">
                  <w:pPr>
                    <w:pStyle w:val="7"/>
                    <w:adjustRightInd w:val="0"/>
                    <w:snapToGrid w:val="0"/>
                    <w:ind w:firstLine="0" w:firstLineChars="0"/>
                    <w:jc w:val="center"/>
                    <w:rPr>
                      <w:rFonts w:hint="default"/>
                      <w:bCs/>
                      <w:sz w:val="21"/>
                      <w:szCs w:val="21"/>
                      <w:lang w:val="en-US" w:eastAsia="zh-CN"/>
                    </w:rPr>
                  </w:pPr>
                  <w:r>
                    <w:rPr>
                      <w:rFonts w:hint="eastAsia"/>
                      <w:bCs/>
                      <w:sz w:val="21"/>
                      <w:szCs w:val="21"/>
                      <w:lang w:val="en-US" w:eastAsia="zh-CN"/>
                    </w:rPr>
                    <w:t>外售给废塑料回收单位</w:t>
                  </w:r>
                </w:p>
              </w:tc>
            </w:tr>
            <w:tr w14:paraId="76B4DA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509" w:type="pct"/>
                  <w:vMerge w:val="continue"/>
                  <w:noWrap w:val="0"/>
                  <w:vAlign w:val="center"/>
                </w:tcPr>
                <w:p w14:paraId="6AA3A6B6">
                  <w:pPr>
                    <w:pStyle w:val="7"/>
                    <w:adjustRightInd w:val="0"/>
                    <w:snapToGrid w:val="0"/>
                    <w:ind w:firstLine="0" w:firstLineChars="0"/>
                    <w:jc w:val="center"/>
                    <w:rPr>
                      <w:rFonts w:hint="eastAsia"/>
                      <w:bCs/>
                      <w:sz w:val="21"/>
                      <w:szCs w:val="21"/>
                      <w:lang w:val="en-US" w:eastAsia="zh-CN"/>
                    </w:rPr>
                  </w:pPr>
                </w:p>
              </w:tc>
              <w:tc>
                <w:tcPr>
                  <w:tcW w:w="331" w:type="pct"/>
                  <w:vMerge w:val="continue"/>
                  <w:noWrap w:val="0"/>
                  <w:vAlign w:val="center"/>
                </w:tcPr>
                <w:p w14:paraId="1339477C">
                  <w:pPr>
                    <w:pStyle w:val="7"/>
                    <w:adjustRightInd w:val="0"/>
                    <w:snapToGrid w:val="0"/>
                    <w:ind w:firstLine="0" w:firstLineChars="0"/>
                    <w:jc w:val="center"/>
                    <w:rPr>
                      <w:rFonts w:hint="eastAsia" w:eastAsia="宋体"/>
                      <w:bCs/>
                      <w:sz w:val="21"/>
                      <w:szCs w:val="21"/>
                      <w:lang w:eastAsia="zh-CN"/>
                    </w:rPr>
                  </w:pPr>
                </w:p>
              </w:tc>
              <w:tc>
                <w:tcPr>
                  <w:tcW w:w="1091" w:type="pct"/>
                  <w:noWrap w:val="0"/>
                  <w:vAlign w:val="center"/>
                </w:tcPr>
                <w:p w14:paraId="504E0D3B">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不可回收废物（S</w:t>
                  </w:r>
                  <w:r>
                    <w:rPr>
                      <w:rFonts w:hint="eastAsia" w:eastAsia="宋体"/>
                      <w:bCs/>
                      <w:sz w:val="21"/>
                      <w:szCs w:val="21"/>
                      <w:vertAlign w:val="subscript"/>
                      <w:lang w:val="en-US" w:eastAsia="zh-CN"/>
                    </w:rPr>
                    <w:t>19</w:t>
                  </w:r>
                  <w:r>
                    <w:rPr>
                      <w:rFonts w:hint="eastAsia" w:eastAsia="宋体"/>
                      <w:bCs/>
                      <w:sz w:val="21"/>
                      <w:szCs w:val="21"/>
                      <w:lang w:val="en-US" w:eastAsia="zh-CN"/>
                    </w:rPr>
                    <w:t>）</w:t>
                  </w:r>
                </w:p>
              </w:tc>
              <w:tc>
                <w:tcPr>
                  <w:tcW w:w="1270" w:type="pct"/>
                  <w:noWrap w:val="0"/>
                  <w:vAlign w:val="center"/>
                </w:tcPr>
                <w:p w14:paraId="42F3020D">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碎玻璃、碎塑料、安全带、内饰等</w:t>
                  </w:r>
                </w:p>
              </w:tc>
              <w:tc>
                <w:tcPr>
                  <w:tcW w:w="1796" w:type="pct"/>
                  <w:noWrap w:val="0"/>
                  <w:vAlign w:val="center"/>
                </w:tcPr>
                <w:p w14:paraId="53BB6450">
                  <w:pPr>
                    <w:pStyle w:val="7"/>
                    <w:adjustRightInd w:val="0"/>
                    <w:snapToGrid w:val="0"/>
                    <w:ind w:firstLine="0" w:firstLineChars="0"/>
                    <w:jc w:val="center"/>
                    <w:rPr>
                      <w:rFonts w:hint="default"/>
                      <w:bCs/>
                      <w:sz w:val="21"/>
                      <w:szCs w:val="21"/>
                      <w:lang w:val="en-US" w:eastAsia="zh-CN"/>
                    </w:rPr>
                  </w:pPr>
                  <w:r>
                    <w:rPr>
                      <w:rFonts w:hint="eastAsia"/>
                      <w:bCs/>
                      <w:sz w:val="21"/>
                      <w:szCs w:val="21"/>
                      <w:lang w:val="en-US" w:eastAsia="zh-CN"/>
                    </w:rPr>
                    <w:t>委托一般工业固废处置单位处置</w:t>
                  </w:r>
                </w:p>
              </w:tc>
            </w:tr>
            <w:tr w14:paraId="535BFC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509" w:type="pct"/>
                  <w:vMerge w:val="continue"/>
                  <w:noWrap w:val="0"/>
                  <w:vAlign w:val="center"/>
                </w:tcPr>
                <w:p w14:paraId="1A703F02">
                  <w:pPr>
                    <w:pStyle w:val="7"/>
                    <w:adjustRightInd w:val="0"/>
                    <w:snapToGrid w:val="0"/>
                    <w:ind w:firstLine="0" w:firstLineChars="0"/>
                    <w:jc w:val="center"/>
                    <w:rPr>
                      <w:rFonts w:hint="eastAsia"/>
                      <w:bCs/>
                      <w:sz w:val="21"/>
                      <w:szCs w:val="21"/>
                      <w:lang w:val="en-US" w:eastAsia="zh-CN"/>
                    </w:rPr>
                  </w:pPr>
                </w:p>
              </w:tc>
              <w:tc>
                <w:tcPr>
                  <w:tcW w:w="331" w:type="pct"/>
                  <w:vMerge w:val="continue"/>
                  <w:noWrap w:val="0"/>
                  <w:vAlign w:val="center"/>
                </w:tcPr>
                <w:p w14:paraId="52BCDF50">
                  <w:pPr>
                    <w:pStyle w:val="7"/>
                    <w:adjustRightInd w:val="0"/>
                    <w:snapToGrid w:val="0"/>
                    <w:ind w:firstLine="0" w:firstLineChars="0"/>
                    <w:jc w:val="center"/>
                    <w:rPr>
                      <w:rFonts w:hint="eastAsia" w:eastAsia="宋体"/>
                      <w:bCs/>
                      <w:sz w:val="21"/>
                      <w:szCs w:val="21"/>
                      <w:lang w:eastAsia="zh-CN"/>
                    </w:rPr>
                  </w:pPr>
                </w:p>
              </w:tc>
              <w:tc>
                <w:tcPr>
                  <w:tcW w:w="1091" w:type="pct"/>
                  <w:noWrap w:val="0"/>
                  <w:vAlign w:val="center"/>
                </w:tcPr>
                <w:p w14:paraId="20C90E45">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五大总成（S</w:t>
                  </w:r>
                  <w:r>
                    <w:rPr>
                      <w:rFonts w:hint="eastAsia" w:eastAsia="宋体"/>
                      <w:bCs/>
                      <w:sz w:val="21"/>
                      <w:szCs w:val="21"/>
                      <w:vertAlign w:val="subscript"/>
                      <w:lang w:val="en-US" w:eastAsia="zh-CN"/>
                    </w:rPr>
                    <w:t>20</w:t>
                  </w:r>
                  <w:r>
                    <w:rPr>
                      <w:rFonts w:hint="eastAsia" w:eastAsia="宋体"/>
                      <w:bCs/>
                      <w:sz w:val="21"/>
                      <w:szCs w:val="21"/>
                      <w:lang w:val="en-US" w:eastAsia="zh-CN"/>
                    </w:rPr>
                    <w:t>）</w:t>
                  </w:r>
                </w:p>
              </w:tc>
              <w:tc>
                <w:tcPr>
                  <w:tcW w:w="1270" w:type="pct"/>
                  <w:noWrap w:val="0"/>
                  <w:vAlign w:val="center"/>
                </w:tcPr>
                <w:p w14:paraId="429A0C1A">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发动机、车架、变速器、前后桥</w:t>
                  </w:r>
                </w:p>
              </w:tc>
              <w:tc>
                <w:tcPr>
                  <w:tcW w:w="1796" w:type="pct"/>
                  <w:noWrap w:val="0"/>
                  <w:vAlign w:val="center"/>
                </w:tcPr>
                <w:p w14:paraId="5E12E040">
                  <w:pPr>
                    <w:pStyle w:val="7"/>
                    <w:adjustRightInd w:val="0"/>
                    <w:snapToGrid w:val="0"/>
                    <w:ind w:firstLine="0" w:firstLineChars="0"/>
                    <w:jc w:val="center"/>
                    <w:rPr>
                      <w:rFonts w:hint="default"/>
                      <w:bCs/>
                      <w:sz w:val="21"/>
                      <w:szCs w:val="21"/>
                      <w:lang w:val="en-US" w:eastAsia="zh-CN"/>
                    </w:rPr>
                  </w:pPr>
                  <w:r>
                    <w:rPr>
                      <w:rFonts w:hint="eastAsia"/>
                      <w:bCs/>
                      <w:sz w:val="21"/>
                      <w:szCs w:val="21"/>
                      <w:lang w:val="en-US" w:eastAsia="zh-CN"/>
                    </w:rPr>
                    <w:t>具有再制造能力的外售回收利用，不具备再制造条件的，外售钢铁回收单位</w:t>
                  </w:r>
                </w:p>
              </w:tc>
            </w:tr>
            <w:tr w14:paraId="584CE6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509" w:type="pct"/>
                  <w:vMerge w:val="continue"/>
                  <w:noWrap w:val="0"/>
                  <w:vAlign w:val="center"/>
                </w:tcPr>
                <w:p w14:paraId="554FF895">
                  <w:pPr>
                    <w:pStyle w:val="7"/>
                    <w:adjustRightInd w:val="0"/>
                    <w:snapToGrid w:val="0"/>
                    <w:ind w:firstLine="0" w:firstLineChars="0"/>
                    <w:jc w:val="center"/>
                    <w:rPr>
                      <w:rFonts w:hint="eastAsia"/>
                      <w:bCs/>
                      <w:sz w:val="21"/>
                      <w:szCs w:val="21"/>
                      <w:lang w:val="en-US" w:eastAsia="zh-CN"/>
                    </w:rPr>
                  </w:pPr>
                </w:p>
              </w:tc>
              <w:tc>
                <w:tcPr>
                  <w:tcW w:w="331" w:type="pct"/>
                  <w:vMerge w:val="continue"/>
                  <w:noWrap w:val="0"/>
                  <w:vAlign w:val="center"/>
                </w:tcPr>
                <w:p w14:paraId="12037FAA">
                  <w:pPr>
                    <w:pStyle w:val="7"/>
                    <w:adjustRightInd w:val="0"/>
                    <w:snapToGrid w:val="0"/>
                    <w:ind w:firstLine="0" w:firstLineChars="0"/>
                    <w:jc w:val="center"/>
                    <w:rPr>
                      <w:rFonts w:hint="eastAsia" w:eastAsia="宋体"/>
                      <w:bCs/>
                      <w:sz w:val="21"/>
                      <w:szCs w:val="21"/>
                      <w:lang w:eastAsia="zh-CN"/>
                    </w:rPr>
                  </w:pPr>
                </w:p>
              </w:tc>
              <w:tc>
                <w:tcPr>
                  <w:tcW w:w="1091" w:type="pct"/>
                  <w:noWrap w:val="0"/>
                  <w:vAlign w:val="center"/>
                </w:tcPr>
                <w:p w14:paraId="2287B83C">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废动力蓄电池（S</w:t>
                  </w:r>
                  <w:r>
                    <w:rPr>
                      <w:rFonts w:hint="eastAsia" w:eastAsia="宋体"/>
                      <w:bCs/>
                      <w:sz w:val="21"/>
                      <w:szCs w:val="21"/>
                      <w:vertAlign w:val="subscript"/>
                      <w:lang w:val="en-US" w:eastAsia="zh-CN"/>
                    </w:rPr>
                    <w:t>21</w:t>
                  </w:r>
                  <w:r>
                    <w:rPr>
                      <w:rFonts w:hint="eastAsia" w:eastAsia="宋体"/>
                      <w:bCs/>
                      <w:sz w:val="21"/>
                      <w:szCs w:val="21"/>
                      <w:lang w:val="en-US" w:eastAsia="zh-CN"/>
                    </w:rPr>
                    <w:t>）</w:t>
                  </w:r>
                </w:p>
              </w:tc>
              <w:tc>
                <w:tcPr>
                  <w:tcW w:w="1270" w:type="pct"/>
                  <w:noWrap w:val="0"/>
                  <w:vAlign w:val="center"/>
                </w:tcPr>
                <w:p w14:paraId="3D6D20EA">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动力蓄电池</w:t>
                  </w:r>
                </w:p>
              </w:tc>
              <w:tc>
                <w:tcPr>
                  <w:tcW w:w="1796" w:type="pct"/>
                  <w:noWrap w:val="0"/>
                  <w:vAlign w:val="center"/>
                </w:tcPr>
                <w:p w14:paraId="6665E69F">
                  <w:pPr>
                    <w:pStyle w:val="7"/>
                    <w:adjustRightInd w:val="0"/>
                    <w:snapToGrid w:val="0"/>
                    <w:ind w:firstLine="0" w:firstLineChars="0"/>
                    <w:jc w:val="center"/>
                    <w:rPr>
                      <w:rFonts w:hint="default"/>
                      <w:bCs/>
                      <w:sz w:val="21"/>
                      <w:szCs w:val="21"/>
                      <w:lang w:val="en-US" w:eastAsia="zh-CN"/>
                    </w:rPr>
                  </w:pPr>
                  <w:r>
                    <w:rPr>
                      <w:rFonts w:hint="eastAsia"/>
                      <w:bCs/>
                      <w:sz w:val="21"/>
                      <w:szCs w:val="21"/>
                      <w:lang w:val="en-US" w:eastAsia="zh-CN"/>
                    </w:rPr>
                    <w:t>外售给专业资质单位回收</w:t>
                  </w:r>
                </w:p>
              </w:tc>
            </w:tr>
            <w:tr w14:paraId="52F6A2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509" w:type="pct"/>
                  <w:vMerge w:val="continue"/>
                  <w:noWrap w:val="0"/>
                  <w:vAlign w:val="center"/>
                </w:tcPr>
                <w:p w14:paraId="4537DEE7">
                  <w:pPr>
                    <w:pStyle w:val="7"/>
                    <w:adjustRightInd w:val="0"/>
                    <w:snapToGrid w:val="0"/>
                    <w:ind w:firstLine="0" w:firstLineChars="0"/>
                    <w:jc w:val="center"/>
                    <w:rPr>
                      <w:rFonts w:hint="eastAsia"/>
                      <w:bCs/>
                      <w:sz w:val="21"/>
                      <w:szCs w:val="21"/>
                      <w:lang w:val="en-US" w:eastAsia="zh-CN"/>
                    </w:rPr>
                  </w:pPr>
                </w:p>
              </w:tc>
              <w:tc>
                <w:tcPr>
                  <w:tcW w:w="331" w:type="pct"/>
                  <w:vMerge w:val="restart"/>
                  <w:noWrap w:val="0"/>
                  <w:vAlign w:val="center"/>
                </w:tcPr>
                <w:p w14:paraId="252A4740">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危险废物</w:t>
                  </w:r>
                </w:p>
              </w:tc>
              <w:tc>
                <w:tcPr>
                  <w:tcW w:w="1091" w:type="pct"/>
                  <w:noWrap w:val="0"/>
                  <w:vAlign w:val="center"/>
                </w:tcPr>
                <w:p w14:paraId="520C79A4">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废燃料油（S</w:t>
                  </w:r>
                  <w:r>
                    <w:rPr>
                      <w:rFonts w:hint="eastAsia" w:eastAsia="宋体"/>
                      <w:bCs/>
                      <w:sz w:val="21"/>
                      <w:szCs w:val="21"/>
                      <w:vertAlign w:val="subscript"/>
                      <w:lang w:val="en-US" w:eastAsia="zh-CN"/>
                    </w:rPr>
                    <w:t>1</w:t>
                  </w:r>
                  <w:r>
                    <w:rPr>
                      <w:rFonts w:hint="eastAsia" w:eastAsia="宋体"/>
                      <w:bCs/>
                      <w:sz w:val="21"/>
                      <w:szCs w:val="21"/>
                      <w:lang w:val="en-US" w:eastAsia="zh-CN"/>
                    </w:rPr>
                    <w:t>）</w:t>
                  </w:r>
                </w:p>
              </w:tc>
              <w:tc>
                <w:tcPr>
                  <w:tcW w:w="1270" w:type="pct"/>
                  <w:noWrap w:val="0"/>
                  <w:vAlign w:val="center"/>
                </w:tcPr>
                <w:p w14:paraId="575A375A">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汽油、柴油</w:t>
                  </w:r>
                </w:p>
              </w:tc>
              <w:tc>
                <w:tcPr>
                  <w:tcW w:w="1796" w:type="pct"/>
                  <w:vMerge w:val="restart"/>
                  <w:noWrap w:val="0"/>
                  <w:vAlign w:val="center"/>
                </w:tcPr>
                <w:p w14:paraId="7DC3F8CB">
                  <w:pPr>
                    <w:pStyle w:val="7"/>
                    <w:adjustRightInd w:val="0"/>
                    <w:snapToGrid w:val="0"/>
                    <w:ind w:firstLine="0" w:firstLineChars="0"/>
                    <w:jc w:val="center"/>
                    <w:rPr>
                      <w:rFonts w:hint="default"/>
                      <w:bCs/>
                      <w:sz w:val="21"/>
                      <w:szCs w:val="21"/>
                      <w:lang w:val="en-US" w:eastAsia="zh-CN"/>
                    </w:rPr>
                  </w:pPr>
                  <w:r>
                    <w:rPr>
                      <w:rFonts w:hint="eastAsia"/>
                      <w:bCs/>
                      <w:sz w:val="21"/>
                      <w:szCs w:val="21"/>
                      <w:lang w:val="en-US" w:eastAsia="zh-CN"/>
                    </w:rPr>
                    <w:t>分类暂存厂区危废暂存库，定期委托有资质单位处置</w:t>
                  </w:r>
                </w:p>
              </w:tc>
            </w:tr>
            <w:tr w14:paraId="33BE7B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68" w:hRule="atLeast"/>
                <w:jc w:val="center"/>
              </w:trPr>
              <w:tc>
                <w:tcPr>
                  <w:tcW w:w="509" w:type="pct"/>
                  <w:vMerge w:val="continue"/>
                  <w:noWrap w:val="0"/>
                  <w:vAlign w:val="center"/>
                </w:tcPr>
                <w:p w14:paraId="20770BDC">
                  <w:pPr>
                    <w:pStyle w:val="7"/>
                    <w:adjustRightInd w:val="0"/>
                    <w:snapToGrid w:val="0"/>
                    <w:ind w:firstLine="0" w:firstLineChars="0"/>
                    <w:jc w:val="center"/>
                    <w:rPr>
                      <w:rFonts w:hint="eastAsia"/>
                      <w:bCs/>
                      <w:sz w:val="21"/>
                      <w:szCs w:val="21"/>
                      <w:lang w:val="en-US" w:eastAsia="zh-CN"/>
                    </w:rPr>
                  </w:pPr>
                </w:p>
              </w:tc>
              <w:tc>
                <w:tcPr>
                  <w:tcW w:w="331" w:type="pct"/>
                  <w:vMerge w:val="continue"/>
                  <w:noWrap w:val="0"/>
                  <w:vAlign w:val="center"/>
                </w:tcPr>
                <w:p w14:paraId="481C3F30">
                  <w:pPr>
                    <w:pStyle w:val="7"/>
                    <w:adjustRightInd w:val="0"/>
                    <w:snapToGrid w:val="0"/>
                    <w:ind w:firstLine="0" w:firstLineChars="0"/>
                    <w:jc w:val="center"/>
                    <w:rPr>
                      <w:rFonts w:hint="eastAsia" w:eastAsia="宋体"/>
                      <w:bCs/>
                      <w:sz w:val="21"/>
                      <w:szCs w:val="21"/>
                      <w:lang w:eastAsia="zh-CN"/>
                    </w:rPr>
                  </w:pPr>
                </w:p>
              </w:tc>
              <w:tc>
                <w:tcPr>
                  <w:tcW w:w="1091" w:type="pct"/>
                  <w:noWrap w:val="0"/>
                  <w:vAlign w:val="center"/>
                </w:tcPr>
                <w:p w14:paraId="77C88EA6">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废油液（S</w:t>
                  </w:r>
                  <w:r>
                    <w:rPr>
                      <w:rFonts w:hint="eastAsia" w:eastAsia="宋体"/>
                      <w:bCs/>
                      <w:sz w:val="21"/>
                      <w:szCs w:val="21"/>
                      <w:vertAlign w:val="subscript"/>
                      <w:lang w:val="en-US" w:eastAsia="zh-CN"/>
                    </w:rPr>
                    <w:t>2</w:t>
                  </w:r>
                  <w:r>
                    <w:rPr>
                      <w:rFonts w:hint="eastAsia" w:eastAsia="宋体"/>
                      <w:bCs/>
                      <w:sz w:val="21"/>
                      <w:szCs w:val="21"/>
                      <w:lang w:val="en-US" w:eastAsia="zh-CN"/>
                    </w:rPr>
                    <w:t>）</w:t>
                  </w:r>
                </w:p>
              </w:tc>
              <w:tc>
                <w:tcPr>
                  <w:tcW w:w="1270" w:type="pct"/>
                  <w:noWrap w:val="0"/>
                  <w:vAlign w:val="center"/>
                </w:tcPr>
                <w:p w14:paraId="11BFDB84">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润滑油（机油）、变速箱油、差速器油、制动液、助力转向液等油类物质</w:t>
                  </w:r>
                </w:p>
              </w:tc>
              <w:tc>
                <w:tcPr>
                  <w:tcW w:w="1796" w:type="pct"/>
                  <w:vMerge w:val="continue"/>
                  <w:noWrap w:val="0"/>
                  <w:vAlign w:val="center"/>
                </w:tcPr>
                <w:p w14:paraId="22AF8878">
                  <w:pPr>
                    <w:pStyle w:val="7"/>
                    <w:adjustRightInd w:val="0"/>
                    <w:snapToGrid w:val="0"/>
                    <w:ind w:firstLine="0" w:firstLineChars="0"/>
                    <w:jc w:val="center"/>
                    <w:rPr>
                      <w:rFonts w:hint="eastAsia"/>
                      <w:bCs/>
                      <w:sz w:val="21"/>
                      <w:szCs w:val="21"/>
                      <w:lang w:val="en-US" w:eastAsia="zh-CN"/>
                    </w:rPr>
                  </w:pPr>
                </w:p>
              </w:tc>
            </w:tr>
            <w:tr w14:paraId="0BA78F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509" w:type="pct"/>
                  <w:vMerge w:val="continue"/>
                  <w:noWrap w:val="0"/>
                  <w:vAlign w:val="center"/>
                </w:tcPr>
                <w:p w14:paraId="227E15AF">
                  <w:pPr>
                    <w:pStyle w:val="7"/>
                    <w:adjustRightInd w:val="0"/>
                    <w:snapToGrid w:val="0"/>
                    <w:ind w:firstLine="0" w:firstLineChars="0"/>
                    <w:jc w:val="center"/>
                    <w:rPr>
                      <w:rFonts w:hint="eastAsia"/>
                      <w:bCs/>
                      <w:sz w:val="21"/>
                      <w:szCs w:val="21"/>
                      <w:lang w:val="en-US" w:eastAsia="zh-CN"/>
                    </w:rPr>
                  </w:pPr>
                </w:p>
              </w:tc>
              <w:tc>
                <w:tcPr>
                  <w:tcW w:w="331" w:type="pct"/>
                  <w:vMerge w:val="continue"/>
                  <w:noWrap w:val="0"/>
                  <w:vAlign w:val="center"/>
                </w:tcPr>
                <w:p w14:paraId="7DBC1A4C">
                  <w:pPr>
                    <w:pStyle w:val="7"/>
                    <w:adjustRightInd w:val="0"/>
                    <w:snapToGrid w:val="0"/>
                    <w:ind w:firstLine="0" w:firstLineChars="0"/>
                    <w:jc w:val="center"/>
                    <w:rPr>
                      <w:rFonts w:hint="eastAsia" w:eastAsia="宋体"/>
                      <w:bCs/>
                      <w:sz w:val="21"/>
                      <w:szCs w:val="21"/>
                      <w:lang w:eastAsia="zh-CN"/>
                    </w:rPr>
                  </w:pPr>
                </w:p>
              </w:tc>
              <w:tc>
                <w:tcPr>
                  <w:tcW w:w="1091" w:type="pct"/>
                  <w:noWrap w:val="0"/>
                  <w:vAlign w:val="center"/>
                </w:tcPr>
                <w:p w14:paraId="0F95AF5F">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废防冻冷却液（S</w:t>
                  </w:r>
                  <w:r>
                    <w:rPr>
                      <w:rFonts w:hint="eastAsia" w:eastAsia="宋体"/>
                      <w:bCs/>
                      <w:sz w:val="21"/>
                      <w:szCs w:val="21"/>
                      <w:vertAlign w:val="subscript"/>
                      <w:lang w:val="en-US" w:eastAsia="zh-CN"/>
                    </w:rPr>
                    <w:t>3</w:t>
                  </w:r>
                  <w:r>
                    <w:rPr>
                      <w:rFonts w:hint="eastAsia" w:eastAsia="宋体"/>
                      <w:bCs/>
                      <w:sz w:val="21"/>
                      <w:szCs w:val="21"/>
                      <w:lang w:val="en-US" w:eastAsia="zh-CN"/>
                    </w:rPr>
                    <w:t>）</w:t>
                  </w:r>
                </w:p>
              </w:tc>
              <w:tc>
                <w:tcPr>
                  <w:tcW w:w="1270" w:type="pct"/>
                  <w:noWrap w:val="0"/>
                  <w:vAlign w:val="center"/>
                </w:tcPr>
                <w:p w14:paraId="583F4D0A">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防冻冷却液</w:t>
                  </w:r>
                </w:p>
              </w:tc>
              <w:tc>
                <w:tcPr>
                  <w:tcW w:w="1796" w:type="pct"/>
                  <w:vMerge w:val="continue"/>
                  <w:noWrap w:val="0"/>
                  <w:vAlign w:val="center"/>
                </w:tcPr>
                <w:p w14:paraId="1AE4AEAA">
                  <w:pPr>
                    <w:pStyle w:val="7"/>
                    <w:adjustRightInd w:val="0"/>
                    <w:snapToGrid w:val="0"/>
                    <w:ind w:firstLine="0" w:firstLineChars="0"/>
                    <w:jc w:val="center"/>
                    <w:rPr>
                      <w:rFonts w:hint="eastAsia"/>
                      <w:bCs/>
                      <w:sz w:val="21"/>
                      <w:szCs w:val="21"/>
                      <w:lang w:val="en-US" w:eastAsia="zh-CN"/>
                    </w:rPr>
                  </w:pPr>
                </w:p>
              </w:tc>
            </w:tr>
            <w:tr w14:paraId="2A0868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509" w:type="pct"/>
                  <w:vMerge w:val="continue"/>
                  <w:noWrap w:val="0"/>
                  <w:vAlign w:val="center"/>
                </w:tcPr>
                <w:p w14:paraId="27BED9E8">
                  <w:pPr>
                    <w:pStyle w:val="7"/>
                    <w:adjustRightInd w:val="0"/>
                    <w:snapToGrid w:val="0"/>
                    <w:ind w:firstLine="0" w:firstLineChars="0"/>
                    <w:jc w:val="center"/>
                    <w:rPr>
                      <w:rFonts w:hint="eastAsia"/>
                      <w:bCs/>
                      <w:sz w:val="21"/>
                      <w:szCs w:val="21"/>
                      <w:lang w:val="en-US" w:eastAsia="zh-CN"/>
                    </w:rPr>
                  </w:pPr>
                </w:p>
              </w:tc>
              <w:tc>
                <w:tcPr>
                  <w:tcW w:w="331" w:type="pct"/>
                  <w:vMerge w:val="continue"/>
                  <w:noWrap w:val="0"/>
                  <w:vAlign w:val="center"/>
                </w:tcPr>
                <w:p w14:paraId="4131AB29">
                  <w:pPr>
                    <w:pStyle w:val="7"/>
                    <w:adjustRightInd w:val="0"/>
                    <w:snapToGrid w:val="0"/>
                    <w:ind w:firstLine="0" w:firstLineChars="0"/>
                    <w:jc w:val="center"/>
                    <w:rPr>
                      <w:rFonts w:hint="eastAsia" w:eastAsia="宋体"/>
                      <w:bCs/>
                      <w:sz w:val="21"/>
                      <w:szCs w:val="21"/>
                      <w:lang w:eastAsia="zh-CN"/>
                    </w:rPr>
                  </w:pPr>
                </w:p>
              </w:tc>
              <w:tc>
                <w:tcPr>
                  <w:tcW w:w="1091" w:type="pct"/>
                  <w:noWrap w:val="0"/>
                  <w:vAlign w:val="center"/>
                </w:tcPr>
                <w:p w14:paraId="1ECD99DF">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废挡风玻璃清洗剂（S</w:t>
                  </w:r>
                  <w:r>
                    <w:rPr>
                      <w:rFonts w:hint="eastAsia" w:eastAsia="宋体"/>
                      <w:bCs/>
                      <w:sz w:val="21"/>
                      <w:szCs w:val="21"/>
                      <w:vertAlign w:val="subscript"/>
                      <w:lang w:val="en-US" w:eastAsia="zh-CN"/>
                    </w:rPr>
                    <w:t>4</w:t>
                  </w:r>
                  <w:r>
                    <w:rPr>
                      <w:rFonts w:hint="eastAsia" w:eastAsia="宋体"/>
                      <w:bCs/>
                      <w:sz w:val="21"/>
                      <w:szCs w:val="21"/>
                      <w:lang w:val="en-US" w:eastAsia="zh-CN"/>
                    </w:rPr>
                    <w:t>）</w:t>
                  </w:r>
                </w:p>
              </w:tc>
              <w:tc>
                <w:tcPr>
                  <w:tcW w:w="1270" w:type="pct"/>
                  <w:noWrap w:val="0"/>
                  <w:vAlign w:val="center"/>
                </w:tcPr>
                <w:p w14:paraId="53E9CC8A">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挡风玻璃清洗剂</w:t>
                  </w:r>
                </w:p>
              </w:tc>
              <w:tc>
                <w:tcPr>
                  <w:tcW w:w="1796" w:type="pct"/>
                  <w:vMerge w:val="continue"/>
                  <w:noWrap w:val="0"/>
                  <w:vAlign w:val="center"/>
                </w:tcPr>
                <w:p w14:paraId="324CF045">
                  <w:pPr>
                    <w:pStyle w:val="7"/>
                    <w:adjustRightInd w:val="0"/>
                    <w:snapToGrid w:val="0"/>
                    <w:ind w:firstLine="0" w:firstLineChars="0"/>
                    <w:jc w:val="center"/>
                    <w:rPr>
                      <w:rFonts w:hint="eastAsia"/>
                      <w:bCs/>
                      <w:sz w:val="21"/>
                      <w:szCs w:val="21"/>
                      <w:lang w:val="en-US" w:eastAsia="zh-CN"/>
                    </w:rPr>
                  </w:pPr>
                </w:p>
              </w:tc>
            </w:tr>
            <w:tr w14:paraId="013FD4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509" w:type="pct"/>
                  <w:vMerge w:val="continue"/>
                  <w:noWrap w:val="0"/>
                  <w:vAlign w:val="center"/>
                </w:tcPr>
                <w:p w14:paraId="2A7E74CB">
                  <w:pPr>
                    <w:pStyle w:val="7"/>
                    <w:adjustRightInd w:val="0"/>
                    <w:snapToGrid w:val="0"/>
                    <w:ind w:firstLine="0" w:firstLineChars="0"/>
                    <w:jc w:val="center"/>
                    <w:rPr>
                      <w:rFonts w:hint="eastAsia"/>
                      <w:bCs/>
                      <w:sz w:val="21"/>
                      <w:szCs w:val="21"/>
                      <w:lang w:val="en-US" w:eastAsia="zh-CN"/>
                    </w:rPr>
                  </w:pPr>
                </w:p>
              </w:tc>
              <w:tc>
                <w:tcPr>
                  <w:tcW w:w="331" w:type="pct"/>
                  <w:vMerge w:val="continue"/>
                  <w:noWrap w:val="0"/>
                  <w:vAlign w:val="center"/>
                </w:tcPr>
                <w:p w14:paraId="416BC9C7">
                  <w:pPr>
                    <w:pStyle w:val="7"/>
                    <w:adjustRightInd w:val="0"/>
                    <w:snapToGrid w:val="0"/>
                    <w:ind w:firstLine="0" w:firstLineChars="0"/>
                    <w:jc w:val="center"/>
                    <w:rPr>
                      <w:rFonts w:hint="eastAsia" w:eastAsia="宋体"/>
                      <w:bCs/>
                      <w:sz w:val="21"/>
                      <w:szCs w:val="21"/>
                      <w:lang w:eastAsia="zh-CN"/>
                    </w:rPr>
                  </w:pPr>
                </w:p>
              </w:tc>
              <w:tc>
                <w:tcPr>
                  <w:tcW w:w="1091" w:type="pct"/>
                  <w:noWrap w:val="0"/>
                  <w:vAlign w:val="center"/>
                </w:tcPr>
                <w:p w14:paraId="5480FAE0">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废铅酸蓄电池（S</w:t>
                  </w:r>
                  <w:r>
                    <w:rPr>
                      <w:rFonts w:hint="eastAsia" w:eastAsia="宋体"/>
                      <w:bCs/>
                      <w:sz w:val="21"/>
                      <w:szCs w:val="21"/>
                      <w:vertAlign w:val="subscript"/>
                      <w:lang w:val="en-US" w:eastAsia="zh-CN"/>
                    </w:rPr>
                    <w:t>5</w:t>
                  </w:r>
                  <w:r>
                    <w:rPr>
                      <w:rFonts w:hint="eastAsia" w:eastAsia="宋体"/>
                      <w:bCs/>
                      <w:sz w:val="21"/>
                      <w:szCs w:val="21"/>
                      <w:lang w:val="en-US" w:eastAsia="zh-CN"/>
                    </w:rPr>
                    <w:t>）</w:t>
                  </w:r>
                </w:p>
              </w:tc>
              <w:tc>
                <w:tcPr>
                  <w:tcW w:w="1270" w:type="pct"/>
                  <w:noWrap w:val="0"/>
                  <w:vAlign w:val="center"/>
                </w:tcPr>
                <w:p w14:paraId="4A811902">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铅、硫酸</w:t>
                  </w:r>
                </w:p>
              </w:tc>
              <w:tc>
                <w:tcPr>
                  <w:tcW w:w="1796" w:type="pct"/>
                  <w:vMerge w:val="continue"/>
                  <w:noWrap w:val="0"/>
                  <w:vAlign w:val="center"/>
                </w:tcPr>
                <w:p w14:paraId="2163DA41">
                  <w:pPr>
                    <w:pStyle w:val="7"/>
                    <w:adjustRightInd w:val="0"/>
                    <w:snapToGrid w:val="0"/>
                    <w:ind w:firstLine="0" w:firstLineChars="0"/>
                    <w:jc w:val="center"/>
                    <w:rPr>
                      <w:rFonts w:hint="eastAsia"/>
                      <w:bCs/>
                      <w:sz w:val="21"/>
                      <w:szCs w:val="21"/>
                      <w:lang w:val="en-US" w:eastAsia="zh-CN"/>
                    </w:rPr>
                  </w:pPr>
                </w:p>
              </w:tc>
            </w:tr>
            <w:tr w14:paraId="10262F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509" w:type="pct"/>
                  <w:vMerge w:val="continue"/>
                  <w:noWrap w:val="0"/>
                  <w:vAlign w:val="center"/>
                </w:tcPr>
                <w:p w14:paraId="7D494C90">
                  <w:pPr>
                    <w:pStyle w:val="7"/>
                    <w:adjustRightInd w:val="0"/>
                    <w:snapToGrid w:val="0"/>
                    <w:ind w:firstLine="0" w:firstLineChars="0"/>
                    <w:jc w:val="center"/>
                    <w:rPr>
                      <w:rFonts w:hint="eastAsia"/>
                      <w:bCs/>
                      <w:sz w:val="21"/>
                      <w:szCs w:val="21"/>
                      <w:lang w:val="en-US" w:eastAsia="zh-CN"/>
                    </w:rPr>
                  </w:pPr>
                </w:p>
              </w:tc>
              <w:tc>
                <w:tcPr>
                  <w:tcW w:w="331" w:type="pct"/>
                  <w:vMerge w:val="continue"/>
                  <w:noWrap w:val="0"/>
                  <w:vAlign w:val="center"/>
                </w:tcPr>
                <w:p w14:paraId="3AD1CBE1">
                  <w:pPr>
                    <w:pStyle w:val="7"/>
                    <w:adjustRightInd w:val="0"/>
                    <w:snapToGrid w:val="0"/>
                    <w:ind w:firstLine="0" w:firstLineChars="0"/>
                    <w:jc w:val="center"/>
                    <w:rPr>
                      <w:rFonts w:hint="eastAsia" w:eastAsia="宋体"/>
                      <w:bCs/>
                      <w:sz w:val="21"/>
                      <w:szCs w:val="21"/>
                      <w:lang w:eastAsia="zh-CN"/>
                    </w:rPr>
                  </w:pPr>
                </w:p>
              </w:tc>
              <w:tc>
                <w:tcPr>
                  <w:tcW w:w="1091" w:type="pct"/>
                  <w:noWrap w:val="0"/>
                  <w:vAlign w:val="center"/>
                </w:tcPr>
                <w:p w14:paraId="05087C93">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废制冷剂（S</w:t>
                  </w:r>
                  <w:r>
                    <w:rPr>
                      <w:rFonts w:hint="eastAsia" w:eastAsia="宋体"/>
                      <w:bCs/>
                      <w:sz w:val="21"/>
                      <w:szCs w:val="21"/>
                      <w:vertAlign w:val="subscript"/>
                      <w:lang w:val="en-US" w:eastAsia="zh-CN"/>
                    </w:rPr>
                    <w:t>6</w:t>
                  </w:r>
                  <w:r>
                    <w:rPr>
                      <w:rFonts w:hint="eastAsia" w:eastAsia="宋体"/>
                      <w:bCs/>
                      <w:sz w:val="21"/>
                      <w:szCs w:val="21"/>
                      <w:lang w:val="en-US" w:eastAsia="zh-CN"/>
                    </w:rPr>
                    <w:t>）</w:t>
                  </w:r>
                </w:p>
              </w:tc>
              <w:tc>
                <w:tcPr>
                  <w:tcW w:w="1270" w:type="pct"/>
                  <w:noWrap w:val="0"/>
                  <w:vAlign w:val="center"/>
                </w:tcPr>
                <w:p w14:paraId="0F23E820">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R134a</w:t>
                  </w:r>
                </w:p>
              </w:tc>
              <w:tc>
                <w:tcPr>
                  <w:tcW w:w="1796" w:type="pct"/>
                  <w:vMerge w:val="continue"/>
                  <w:noWrap w:val="0"/>
                  <w:vAlign w:val="center"/>
                </w:tcPr>
                <w:p w14:paraId="610E41ED">
                  <w:pPr>
                    <w:pStyle w:val="7"/>
                    <w:adjustRightInd w:val="0"/>
                    <w:snapToGrid w:val="0"/>
                    <w:ind w:firstLine="0" w:firstLineChars="0"/>
                    <w:jc w:val="center"/>
                    <w:rPr>
                      <w:rFonts w:hint="eastAsia"/>
                      <w:bCs/>
                      <w:sz w:val="21"/>
                      <w:szCs w:val="21"/>
                      <w:lang w:val="en-US" w:eastAsia="zh-CN"/>
                    </w:rPr>
                  </w:pPr>
                </w:p>
              </w:tc>
            </w:tr>
            <w:tr w14:paraId="541371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509" w:type="pct"/>
                  <w:vMerge w:val="continue"/>
                  <w:noWrap w:val="0"/>
                  <w:vAlign w:val="center"/>
                </w:tcPr>
                <w:p w14:paraId="5F9EF17D">
                  <w:pPr>
                    <w:pStyle w:val="7"/>
                    <w:adjustRightInd w:val="0"/>
                    <w:snapToGrid w:val="0"/>
                    <w:ind w:firstLine="0" w:firstLineChars="0"/>
                    <w:jc w:val="center"/>
                    <w:rPr>
                      <w:rFonts w:hint="eastAsia"/>
                      <w:bCs/>
                      <w:sz w:val="21"/>
                      <w:szCs w:val="21"/>
                      <w:lang w:val="en-US" w:eastAsia="zh-CN"/>
                    </w:rPr>
                  </w:pPr>
                </w:p>
              </w:tc>
              <w:tc>
                <w:tcPr>
                  <w:tcW w:w="331" w:type="pct"/>
                  <w:vMerge w:val="continue"/>
                  <w:noWrap w:val="0"/>
                  <w:vAlign w:val="center"/>
                </w:tcPr>
                <w:p w14:paraId="3BA28758">
                  <w:pPr>
                    <w:pStyle w:val="7"/>
                    <w:adjustRightInd w:val="0"/>
                    <w:snapToGrid w:val="0"/>
                    <w:ind w:firstLine="0" w:firstLineChars="0"/>
                    <w:jc w:val="center"/>
                    <w:rPr>
                      <w:rFonts w:hint="eastAsia" w:eastAsia="宋体"/>
                      <w:bCs/>
                      <w:sz w:val="21"/>
                      <w:szCs w:val="21"/>
                      <w:lang w:eastAsia="zh-CN"/>
                    </w:rPr>
                  </w:pPr>
                </w:p>
              </w:tc>
              <w:tc>
                <w:tcPr>
                  <w:tcW w:w="1091" w:type="pct"/>
                  <w:noWrap w:val="0"/>
                  <w:vAlign w:val="center"/>
                </w:tcPr>
                <w:p w14:paraId="5905D21A">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废油箱（S</w:t>
                  </w:r>
                  <w:r>
                    <w:rPr>
                      <w:rFonts w:hint="eastAsia" w:eastAsia="宋体"/>
                      <w:bCs/>
                      <w:sz w:val="21"/>
                      <w:szCs w:val="21"/>
                      <w:vertAlign w:val="subscript"/>
                      <w:lang w:val="en-US" w:eastAsia="zh-CN"/>
                    </w:rPr>
                    <w:t>7</w:t>
                  </w:r>
                  <w:r>
                    <w:rPr>
                      <w:rFonts w:hint="eastAsia" w:eastAsia="宋体"/>
                      <w:bCs/>
                      <w:sz w:val="21"/>
                      <w:szCs w:val="21"/>
                      <w:lang w:val="en-US" w:eastAsia="zh-CN"/>
                    </w:rPr>
                    <w:t>）</w:t>
                  </w:r>
                </w:p>
              </w:tc>
              <w:tc>
                <w:tcPr>
                  <w:tcW w:w="1270" w:type="pct"/>
                  <w:noWrap w:val="0"/>
                  <w:vAlign w:val="center"/>
                </w:tcPr>
                <w:p w14:paraId="092671F0">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机油等油类物质</w:t>
                  </w:r>
                </w:p>
              </w:tc>
              <w:tc>
                <w:tcPr>
                  <w:tcW w:w="1796" w:type="pct"/>
                  <w:vMerge w:val="continue"/>
                  <w:noWrap w:val="0"/>
                  <w:vAlign w:val="center"/>
                </w:tcPr>
                <w:p w14:paraId="2C1E0015">
                  <w:pPr>
                    <w:pStyle w:val="7"/>
                    <w:adjustRightInd w:val="0"/>
                    <w:snapToGrid w:val="0"/>
                    <w:ind w:firstLine="0" w:firstLineChars="0"/>
                    <w:jc w:val="center"/>
                    <w:rPr>
                      <w:rFonts w:hint="eastAsia"/>
                      <w:bCs/>
                      <w:sz w:val="21"/>
                      <w:szCs w:val="21"/>
                      <w:lang w:val="en-US" w:eastAsia="zh-CN"/>
                    </w:rPr>
                  </w:pPr>
                </w:p>
              </w:tc>
            </w:tr>
            <w:tr w14:paraId="07B714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509" w:type="pct"/>
                  <w:vMerge w:val="continue"/>
                  <w:noWrap w:val="0"/>
                  <w:vAlign w:val="center"/>
                </w:tcPr>
                <w:p w14:paraId="612D181E">
                  <w:pPr>
                    <w:pStyle w:val="7"/>
                    <w:adjustRightInd w:val="0"/>
                    <w:snapToGrid w:val="0"/>
                    <w:ind w:firstLine="0" w:firstLineChars="0"/>
                    <w:jc w:val="center"/>
                    <w:rPr>
                      <w:rFonts w:hint="eastAsia"/>
                      <w:bCs/>
                      <w:sz w:val="21"/>
                      <w:szCs w:val="21"/>
                      <w:lang w:val="en-US" w:eastAsia="zh-CN"/>
                    </w:rPr>
                  </w:pPr>
                </w:p>
              </w:tc>
              <w:tc>
                <w:tcPr>
                  <w:tcW w:w="331" w:type="pct"/>
                  <w:vMerge w:val="continue"/>
                  <w:noWrap w:val="0"/>
                  <w:vAlign w:val="center"/>
                </w:tcPr>
                <w:p w14:paraId="02DA7D09">
                  <w:pPr>
                    <w:pStyle w:val="7"/>
                    <w:adjustRightInd w:val="0"/>
                    <w:snapToGrid w:val="0"/>
                    <w:ind w:firstLine="0" w:firstLineChars="0"/>
                    <w:jc w:val="center"/>
                    <w:rPr>
                      <w:rFonts w:hint="eastAsia" w:eastAsia="宋体"/>
                      <w:bCs/>
                      <w:sz w:val="21"/>
                      <w:szCs w:val="21"/>
                      <w:lang w:eastAsia="zh-CN"/>
                    </w:rPr>
                  </w:pPr>
                </w:p>
              </w:tc>
              <w:tc>
                <w:tcPr>
                  <w:tcW w:w="1091" w:type="pct"/>
                  <w:noWrap w:val="0"/>
                  <w:vAlign w:val="center"/>
                </w:tcPr>
                <w:p w14:paraId="0BBA891F">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废液化气罐（S</w:t>
                  </w:r>
                  <w:r>
                    <w:rPr>
                      <w:rFonts w:hint="eastAsia" w:eastAsia="宋体"/>
                      <w:bCs/>
                      <w:sz w:val="21"/>
                      <w:szCs w:val="21"/>
                      <w:vertAlign w:val="subscript"/>
                      <w:lang w:val="en-US" w:eastAsia="zh-CN"/>
                    </w:rPr>
                    <w:t>8</w:t>
                  </w:r>
                  <w:r>
                    <w:rPr>
                      <w:rFonts w:hint="eastAsia" w:eastAsia="宋体"/>
                      <w:bCs/>
                      <w:sz w:val="21"/>
                      <w:szCs w:val="21"/>
                      <w:lang w:val="en-US" w:eastAsia="zh-CN"/>
                    </w:rPr>
                    <w:t>）</w:t>
                  </w:r>
                </w:p>
              </w:tc>
              <w:tc>
                <w:tcPr>
                  <w:tcW w:w="1270" w:type="pct"/>
                  <w:noWrap w:val="0"/>
                  <w:vAlign w:val="center"/>
                </w:tcPr>
                <w:p w14:paraId="771B6A34">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液化气</w:t>
                  </w:r>
                </w:p>
              </w:tc>
              <w:tc>
                <w:tcPr>
                  <w:tcW w:w="1796" w:type="pct"/>
                  <w:vMerge w:val="continue"/>
                  <w:noWrap w:val="0"/>
                  <w:vAlign w:val="center"/>
                </w:tcPr>
                <w:p w14:paraId="3EBF5CB7">
                  <w:pPr>
                    <w:pStyle w:val="7"/>
                    <w:adjustRightInd w:val="0"/>
                    <w:snapToGrid w:val="0"/>
                    <w:ind w:firstLine="0" w:firstLineChars="0"/>
                    <w:jc w:val="center"/>
                    <w:rPr>
                      <w:rFonts w:hint="eastAsia"/>
                      <w:bCs/>
                      <w:sz w:val="21"/>
                      <w:szCs w:val="21"/>
                      <w:lang w:val="en-US" w:eastAsia="zh-CN"/>
                    </w:rPr>
                  </w:pPr>
                </w:p>
              </w:tc>
            </w:tr>
            <w:tr w14:paraId="5C1375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509" w:type="pct"/>
                  <w:vMerge w:val="continue"/>
                  <w:noWrap w:val="0"/>
                  <w:vAlign w:val="center"/>
                </w:tcPr>
                <w:p w14:paraId="6D852F67">
                  <w:pPr>
                    <w:pStyle w:val="7"/>
                    <w:adjustRightInd w:val="0"/>
                    <w:snapToGrid w:val="0"/>
                    <w:ind w:firstLine="0" w:firstLineChars="0"/>
                    <w:jc w:val="center"/>
                    <w:rPr>
                      <w:rFonts w:hint="eastAsia"/>
                      <w:bCs/>
                      <w:sz w:val="21"/>
                      <w:szCs w:val="21"/>
                      <w:lang w:val="en-US" w:eastAsia="zh-CN"/>
                    </w:rPr>
                  </w:pPr>
                </w:p>
              </w:tc>
              <w:tc>
                <w:tcPr>
                  <w:tcW w:w="331" w:type="pct"/>
                  <w:vMerge w:val="continue"/>
                  <w:noWrap w:val="0"/>
                  <w:vAlign w:val="center"/>
                </w:tcPr>
                <w:p w14:paraId="078EAD3B">
                  <w:pPr>
                    <w:pStyle w:val="7"/>
                    <w:adjustRightInd w:val="0"/>
                    <w:snapToGrid w:val="0"/>
                    <w:ind w:firstLine="0" w:firstLineChars="0"/>
                    <w:jc w:val="center"/>
                    <w:rPr>
                      <w:rFonts w:hint="eastAsia" w:eastAsia="宋体"/>
                      <w:bCs/>
                      <w:sz w:val="21"/>
                      <w:szCs w:val="21"/>
                      <w:lang w:eastAsia="zh-CN"/>
                    </w:rPr>
                  </w:pPr>
                </w:p>
              </w:tc>
              <w:tc>
                <w:tcPr>
                  <w:tcW w:w="1091" w:type="pct"/>
                  <w:noWrap w:val="0"/>
                  <w:vAlign w:val="center"/>
                </w:tcPr>
                <w:p w14:paraId="1328C1F4">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废机油、燃油滤清器（S</w:t>
                  </w:r>
                  <w:r>
                    <w:rPr>
                      <w:rFonts w:hint="eastAsia" w:eastAsia="宋体"/>
                      <w:bCs/>
                      <w:sz w:val="21"/>
                      <w:szCs w:val="21"/>
                      <w:vertAlign w:val="subscript"/>
                      <w:lang w:val="en-US" w:eastAsia="zh-CN"/>
                    </w:rPr>
                    <w:t>9</w:t>
                  </w:r>
                  <w:r>
                    <w:rPr>
                      <w:rFonts w:hint="eastAsia" w:eastAsia="宋体"/>
                      <w:bCs/>
                      <w:sz w:val="21"/>
                      <w:szCs w:val="21"/>
                      <w:lang w:val="en-US" w:eastAsia="zh-CN"/>
                    </w:rPr>
                    <w:t>）</w:t>
                  </w:r>
                </w:p>
              </w:tc>
              <w:tc>
                <w:tcPr>
                  <w:tcW w:w="1270" w:type="pct"/>
                  <w:noWrap w:val="0"/>
                  <w:vAlign w:val="center"/>
                </w:tcPr>
                <w:p w14:paraId="4719DA3F">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机油等含油物质</w:t>
                  </w:r>
                </w:p>
              </w:tc>
              <w:tc>
                <w:tcPr>
                  <w:tcW w:w="1796" w:type="pct"/>
                  <w:vMerge w:val="continue"/>
                  <w:noWrap w:val="0"/>
                  <w:vAlign w:val="center"/>
                </w:tcPr>
                <w:p w14:paraId="759B2E86">
                  <w:pPr>
                    <w:pStyle w:val="7"/>
                    <w:adjustRightInd w:val="0"/>
                    <w:snapToGrid w:val="0"/>
                    <w:ind w:firstLine="0" w:firstLineChars="0"/>
                    <w:jc w:val="center"/>
                    <w:rPr>
                      <w:rFonts w:hint="eastAsia"/>
                      <w:bCs/>
                      <w:sz w:val="21"/>
                      <w:szCs w:val="21"/>
                      <w:lang w:val="en-US" w:eastAsia="zh-CN"/>
                    </w:rPr>
                  </w:pPr>
                </w:p>
              </w:tc>
            </w:tr>
            <w:tr w14:paraId="328A1E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509" w:type="pct"/>
                  <w:vMerge w:val="continue"/>
                  <w:noWrap w:val="0"/>
                  <w:vAlign w:val="center"/>
                </w:tcPr>
                <w:p w14:paraId="3E4CDA98">
                  <w:pPr>
                    <w:pStyle w:val="7"/>
                    <w:adjustRightInd w:val="0"/>
                    <w:snapToGrid w:val="0"/>
                    <w:ind w:firstLine="0" w:firstLineChars="0"/>
                    <w:jc w:val="center"/>
                    <w:rPr>
                      <w:rFonts w:hint="eastAsia"/>
                      <w:bCs/>
                      <w:sz w:val="21"/>
                      <w:szCs w:val="21"/>
                      <w:lang w:val="en-US" w:eastAsia="zh-CN"/>
                    </w:rPr>
                  </w:pPr>
                </w:p>
              </w:tc>
              <w:tc>
                <w:tcPr>
                  <w:tcW w:w="331" w:type="pct"/>
                  <w:vMerge w:val="continue"/>
                  <w:noWrap w:val="0"/>
                  <w:vAlign w:val="center"/>
                </w:tcPr>
                <w:p w14:paraId="54985591">
                  <w:pPr>
                    <w:pStyle w:val="7"/>
                    <w:adjustRightInd w:val="0"/>
                    <w:snapToGrid w:val="0"/>
                    <w:ind w:firstLine="0" w:firstLineChars="0"/>
                    <w:jc w:val="center"/>
                    <w:rPr>
                      <w:rFonts w:hint="eastAsia" w:eastAsia="宋体"/>
                      <w:bCs/>
                      <w:sz w:val="21"/>
                      <w:szCs w:val="21"/>
                      <w:lang w:eastAsia="zh-CN"/>
                    </w:rPr>
                  </w:pPr>
                </w:p>
              </w:tc>
              <w:tc>
                <w:tcPr>
                  <w:tcW w:w="1091" w:type="pct"/>
                  <w:noWrap w:val="0"/>
                  <w:vAlign w:val="center"/>
                </w:tcPr>
                <w:p w14:paraId="00751F71">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废电容器（S</w:t>
                  </w:r>
                  <w:r>
                    <w:rPr>
                      <w:rFonts w:hint="eastAsia" w:eastAsia="宋体"/>
                      <w:bCs/>
                      <w:sz w:val="21"/>
                      <w:szCs w:val="21"/>
                      <w:vertAlign w:val="subscript"/>
                      <w:lang w:val="en-US" w:eastAsia="zh-CN"/>
                    </w:rPr>
                    <w:t>11</w:t>
                  </w:r>
                  <w:r>
                    <w:rPr>
                      <w:rFonts w:hint="eastAsia" w:eastAsia="宋体"/>
                      <w:bCs/>
                      <w:sz w:val="21"/>
                      <w:szCs w:val="21"/>
                      <w:lang w:val="en-US" w:eastAsia="zh-CN"/>
                    </w:rPr>
                    <w:t>）</w:t>
                  </w:r>
                </w:p>
              </w:tc>
              <w:tc>
                <w:tcPr>
                  <w:tcW w:w="1270" w:type="pct"/>
                  <w:noWrap w:val="0"/>
                  <w:vAlign w:val="center"/>
                </w:tcPr>
                <w:p w14:paraId="61C17BF3">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电容油</w:t>
                  </w:r>
                </w:p>
              </w:tc>
              <w:tc>
                <w:tcPr>
                  <w:tcW w:w="1796" w:type="pct"/>
                  <w:vMerge w:val="continue"/>
                  <w:noWrap w:val="0"/>
                  <w:vAlign w:val="center"/>
                </w:tcPr>
                <w:p w14:paraId="10DC335C">
                  <w:pPr>
                    <w:pStyle w:val="7"/>
                    <w:adjustRightInd w:val="0"/>
                    <w:snapToGrid w:val="0"/>
                    <w:ind w:firstLine="0" w:firstLineChars="0"/>
                    <w:jc w:val="center"/>
                    <w:rPr>
                      <w:rFonts w:hint="eastAsia"/>
                      <w:bCs/>
                      <w:sz w:val="21"/>
                      <w:szCs w:val="21"/>
                      <w:lang w:val="en-US" w:eastAsia="zh-CN"/>
                    </w:rPr>
                  </w:pPr>
                </w:p>
              </w:tc>
            </w:tr>
            <w:tr w14:paraId="1D1F08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509" w:type="pct"/>
                  <w:vMerge w:val="continue"/>
                  <w:noWrap w:val="0"/>
                  <w:vAlign w:val="center"/>
                </w:tcPr>
                <w:p w14:paraId="2B783326">
                  <w:pPr>
                    <w:pStyle w:val="7"/>
                    <w:adjustRightInd w:val="0"/>
                    <w:snapToGrid w:val="0"/>
                    <w:ind w:firstLine="0" w:firstLineChars="0"/>
                    <w:jc w:val="center"/>
                    <w:rPr>
                      <w:rFonts w:hint="eastAsia"/>
                      <w:bCs/>
                      <w:sz w:val="21"/>
                      <w:szCs w:val="21"/>
                      <w:lang w:val="en-US" w:eastAsia="zh-CN"/>
                    </w:rPr>
                  </w:pPr>
                </w:p>
              </w:tc>
              <w:tc>
                <w:tcPr>
                  <w:tcW w:w="331" w:type="pct"/>
                  <w:vMerge w:val="continue"/>
                  <w:noWrap w:val="0"/>
                  <w:vAlign w:val="center"/>
                </w:tcPr>
                <w:p w14:paraId="0AC69183">
                  <w:pPr>
                    <w:pStyle w:val="7"/>
                    <w:adjustRightInd w:val="0"/>
                    <w:snapToGrid w:val="0"/>
                    <w:ind w:firstLine="0" w:firstLineChars="0"/>
                    <w:jc w:val="center"/>
                    <w:rPr>
                      <w:rFonts w:hint="eastAsia" w:eastAsia="宋体"/>
                      <w:bCs/>
                      <w:sz w:val="21"/>
                      <w:szCs w:val="21"/>
                      <w:lang w:eastAsia="zh-CN"/>
                    </w:rPr>
                  </w:pPr>
                </w:p>
              </w:tc>
              <w:tc>
                <w:tcPr>
                  <w:tcW w:w="1091" w:type="pct"/>
                  <w:noWrap w:val="0"/>
                  <w:vAlign w:val="center"/>
                </w:tcPr>
                <w:p w14:paraId="66C675A9">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废尾气净化器（S</w:t>
                  </w:r>
                  <w:r>
                    <w:rPr>
                      <w:rFonts w:hint="eastAsia" w:eastAsia="宋体"/>
                      <w:bCs/>
                      <w:sz w:val="21"/>
                      <w:szCs w:val="21"/>
                      <w:vertAlign w:val="subscript"/>
                      <w:lang w:val="en-US" w:eastAsia="zh-CN"/>
                    </w:rPr>
                    <w:t>12</w:t>
                  </w:r>
                  <w:r>
                    <w:rPr>
                      <w:rFonts w:hint="eastAsia" w:eastAsia="宋体"/>
                      <w:bCs/>
                      <w:sz w:val="21"/>
                      <w:szCs w:val="21"/>
                      <w:lang w:val="en-US" w:eastAsia="zh-CN"/>
                    </w:rPr>
                    <w:t>）</w:t>
                  </w:r>
                </w:p>
              </w:tc>
              <w:tc>
                <w:tcPr>
                  <w:tcW w:w="1270" w:type="pct"/>
                  <w:noWrap w:val="0"/>
                  <w:vAlign w:val="center"/>
                </w:tcPr>
                <w:p w14:paraId="2BE337D7">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尾气催化剂</w:t>
                  </w:r>
                </w:p>
              </w:tc>
              <w:tc>
                <w:tcPr>
                  <w:tcW w:w="1796" w:type="pct"/>
                  <w:vMerge w:val="continue"/>
                  <w:noWrap w:val="0"/>
                  <w:vAlign w:val="center"/>
                </w:tcPr>
                <w:p w14:paraId="5C42C636">
                  <w:pPr>
                    <w:pStyle w:val="7"/>
                    <w:adjustRightInd w:val="0"/>
                    <w:snapToGrid w:val="0"/>
                    <w:ind w:firstLine="0" w:firstLineChars="0"/>
                    <w:jc w:val="center"/>
                    <w:rPr>
                      <w:rFonts w:hint="eastAsia"/>
                      <w:bCs/>
                      <w:sz w:val="21"/>
                      <w:szCs w:val="21"/>
                      <w:lang w:val="en-US" w:eastAsia="zh-CN"/>
                    </w:rPr>
                  </w:pPr>
                </w:p>
              </w:tc>
            </w:tr>
            <w:tr w14:paraId="6973D0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jc w:val="center"/>
              </w:trPr>
              <w:tc>
                <w:tcPr>
                  <w:tcW w:w="509" w:type="pct"/>
                  <w:vMerge w:val="continue"/>
                  <w:noWrap w:val="0"/>
                  <w:vAlign w:val="center"/>
                </w:tcPr>
                <w:p w14:paraId="306DB2F9">
                  <w:pPr>
                    <w:pStyle w:val="7"/>
                    <w:adjustRightInd w:val="0"/>
                    <w:snapToGrid w:val="0"/>
                    <w:ind w:firstLine="0" w:firstLineChars="0"/>
                    <w:jc w:val="center"/>
                    <w:rPr>
                      <w:rFonts w:hint="eastAsia"/>
                      <w:bCs/>
                      <w:sz w:val="21"/>
                      <w:szCs w:val="21"/>
                      <w:lang w:val="en-US" w:eastAsia="zh-CN"/>
                    </w:rPr>
                  </w:pPr>
                </w:p>
              </w:tc>
              <w:tc>
                <w:tcPr>
                  <w:tcW w:w="331" w:type="pct"/>
                  <w:vMerge w:val="continue"/>
                  <w:noWrap w:val="0"/>
                  <w:vAlign w:val="center"/>
                </w:tcPr>
                <w:p w14:paraId="4D5BBB82">
                  <w:pPr>
                    <w:pStyle w:val="7"/>
                    <w:adjustRightInd w:val="0"/>
                    <w:snapToGrid w:val="0"/>
                    <w:ind w:firstLine="0" w:firstLineChars="0"/>
                    <w:jc w:val="center"/>
                    <w:rPr>
                      <w:rFonts w:hint="eastAsia" w:eastAsia="宋体"/>
                      <w:bCs/>
                      <w:sz w:val="21"/>
                      <w:szCs w:val="21"/>
                      <w:lang w:eastAsia="zh-CN"/>
                    </w:rPr>
                  </w:pPr>
                </w:p>
              </w:tc>
              <w:tc>
                <w:tcPr>
                  <w:tcW w:w="1091" w:type="pct"/>
                  <w:noWrap w:val="0"/>
                  <w:vAlign w:val="center"/>
                </w:tcPr>
                <w:p w14:paraId="0C0D222D">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废电路板及电子元器件（S</w:t>
                  </w:r>
                  <w:r>
                    <w:rPr>
                      <w:rFonts w:hint="eastAsia" w:eastAsia="宋体"/>
                      <w:bCs/>
                      <w:sz w:val="21"/>
                      <w:szCs w:val="21"/>
                      <w:vertAlign w:val="subscript"/>
                      <w:lang w:val="en-US" w:eastAsia="zh-CN"/>
                    </w:rPr>
                    <w:t>15</w:t>
                  </w:r>
                  <w:r>
                    <w:rPr>
                      <w:rFonts w:hint="eastAsia" w:eastAsia="宋体"/>
                      <w:bCs/>
                      <w:sz w:val="21"/>
                      <w:szCs w:val="21"/>
                      <w:lang w:val="en-US" w:eastAsia="zh-CN"/>
                    </w:rPr>
                    <w:t>）</w:t>
                  </w:r>
                </w:p>
              </w:tc>
              <w:tc>
                <w:tcPr>
                  <w:tcW w:w="1270" w:type="pct"/>
                  <w:noWrap w:val="0"/>
                  <w:vAlign w:val="center"/>
                </w:tcPr>
                <w:p w14:paraId="0E52EA09">
                  <w:pPr>
                    <w:pStyle w:val="7"/>
                    <w:adjustRightInd w:val="0"/>
                    <w:snapToGrid w:val="0"/>
                    <w:ind w:firstLine="0" w:firstLineChars="0"/>
                    <w:jc w:val="center"/>
                    <w:rPr>
                      <w:rFonts w:hint="default" w:eastAsia="宋体"/>
                      <w:bCs/>
                      <w:sz w:val="21"/>
                      <w:szCs w:val="21"/>
                      <w:lang w:val="en-US" w:eastAsia="zh-CN"/>
                    </w:rPr>
                  </w:pPr>
                  <w:r>
                    <w:rPr>
                      <w:rFonts w:hint="eastAsia" w:eastAsia="宋体"/>
                      <w:bCs/>
                      <w:sz w:val="21"/>
                      <w:szCs w:val="21"/>
                      <w:lang w:val="en-US" w:eastAsia="zh-CN"/>
                    </w:rPr>
                    <w:t>电路板及电子元器件</w:t>
                  </w:r>
                </w:p>
              </w:tc>
              <w:tc>
                <w:tcPr>
                  <w:tcW w:w="1796" w:type="pct"/>
                  <w:vMerge w:val="continue"/>
                  <w:noWrap w:val="0"/>
                  <w:vAlign w:val="center"/>
                </w:tcPr>
                <w:p w14:paraId="02E0F620">
                  <w:pPr>
                    <w:pStyle w:val="7"/>
                    <w:adjustRightInd w:val="0"/>
                    <w:snapToGrid w:val="0"/>
                    <w:ind w:firstLine="0" w:firstLineChars="0"/>
                    <w:jc w:val="center"/>
                    <w:rPr>
                      <w:rFonts w:hint="eastAsia"/>
                      <w:bCs/>
                      <w:sz w:val="21"/>
                      <w:szCs w:val="21"/>
                      <w:lang w:val="en-US" w:eastAsia="zh-CN"/>
                    </w:rPr>
                  </w:pPr>
                </w:p>
              </w:tc>
            </w:tr>
          </w:tbl>
          <w:p w14:paraId="5F3A38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snapToGrid w:val="0"/>
                <w:sz w:val="24"/>
                <w:szCs w:val="24"/>
                <w:vertAlign w:val="baseline"/>
                <w:lang w:val="en-US" w:eastAsia="zh-CN"/>
              </w:rPr>
            </w:pPr>
          </w:p>
        </w:tc>
      </w:tr>
      <w:tr w14:paraId="452D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14:paraId="5CCA5B0D">
            <w:pPr>
              <w:pStyle w:val="20"/>
              <w:adjustRightInd w:val="0"/>
              <w:snapToGrid w:val="0"/>
              <w:spacing w:before="0" w:beforeAutospacing="0" w:after="0" w:afterAutospacing="0"/>
              <w:jc w:val="center"/>
              <w:rPr>
                <w:rFonts w:hint="default" w:ascii="Times New Roman" w:hAnsi="Times New Roman" w:eastAsia="宋体"/>
                <w:snapToGrid w:val="0"/>
                <w:sz w:val="24"/>
                <w:szCs w:val="24"/>
                <w:vertAlign w:val="baseline"/>
                <w:lang w:val="en-US" w:eastAsia="zh-CN"/>
              </w:rPr>
            </w:pPr>
            <w:r>
              <w:rPr>
                <w:rFonts w:ascii="Times New Roman" w:hAnsi="Times New Roman"/>
                <w:bCs/>
                <w:kern w:val="2"/>
                <w:sz w:val="21"/>
                <w:szCs w:val="21"/>
              </w:rPr>
              <w:t>与项目有关的原有环境污染问题</w:t>
            </w:r>
          </w:p>
        </w:tc>
        <w:tc>
          <w:tcPr>
            <w:tcW w:w="8099" w:type="dxa"/>
            <w:vAlign w:val="top"/>
          </w:tcPr>
          <w:p w14:paraId="227B041C">
            <w:pPr>
              <w:pStyle w:val="29"/>
              <w:spacing w:line="360" w:lineRule="auto"/>
              <w:ind w:firstLine="480" w:firstLineChars="200"/>
              <w:jc w:val="both"/>
              <w:rPr>
                <w:rFonts w:hint="eastAsia" w:ascii="Times New Roman" w:hAnsi="Times New Roman" w:eastAsia="宋体" w:cs="Times New Roman"/>
                <w:b w:val="0"/>
                <w:bCs w:val="0"/>
                <w:color w:val="auto"/>
                <w:kern w:val="2"/>
              </w:rPr>
            </w:pPr>
            <w:r>
              <w:rPr>
                <w:rFonts w:hint="eastAsia" w:ascii="Times New Roman" w:hAnsi="Times New Roman" w:eastAsia="宋体" w:cs="Times New Roman"/>
                <w:b w:val="0"/>
                <w:bCs w:val="0"/>
                <w:color w:val="auto"/>
                <w:kern w:val="2"/>
                <w:lang w:val="en-US" w:eastAsia="zh-CN"/>
              </w:rPr>
              <w:t>根据现场调查，厂址现状已建设1栋建筑面积2600m</w:t>
            </w:r>
            <w:r>
              <w:rPr>
                <w:rFonts w:hint="eastAsia" w:ascii="Times New Roman" w:hAnsi="Times New Roman" w:eastAsia="宋体" w:cs="Times New Roman"/>
                <w:b w:val="0"/>
                <w:bCs w:val="0"/>
                <w:color w:val="auto"/>
                <w:kern w:val="2"/>
                <w:vertAlign w:val="superscript"/>
                <w:lang w:val="en-US" w:eastAsia="zh-CN"/>
              </w:rPr>
              <w:t>2</w:t>
            </w:r>
            <w:r>
              <w:rPr>
                <w:rFonts w:hint="eastAsia" w:ascii="Times New Roman" w:hAnsi="Times New Roman" w:eastAsia="宋体" w:cs="Times New Roman"/>
                <w:b w:val="0"/>
                <w:bCs w:val="0"/>
                <w:color w:val="auto"/>
                <w:kern w:val="2"/>
                <w:lang w:val="en-US" w:eastAsia="zh-CN"/>
              </w:rPr>
              <w:t>生产车间，车间处于闲置状态，</w:t>
            </w:r>
            <w:r>
              <w:rPr>
                <w:rFonts w:hint="eastAsia" w:ascii="Times New Roman" w:hAnsi="Times New Roman" w:eastAsia="宋体" w:cs="Times New Roman"/>
                <w:b w:val="0"/>
                <w:bCs w:val="0"/>
                <w:color w:val="auto"/>
                <w:kern w:val="2"/>
              </w:rPr>
              <w:t>无与项目有关的原有环境污染问题。</w:t>
            </w:r>
          </w:p>
          <w:p w14:paraId="79425807">
            <w:pPr>
              <w:pStyle w:val="29"/>
              <w:spacing w:line="360" w:lineRule="auto"/>
              <w:ind w:firstLine="480" w:firstLineChars="200"/>
              <w:jc w:val="both"/>
              <w:rPr>
                <w:rFonts w:hint="eastAsia" w:ascii="Times New Roman" w:hAnsi="Times New Roman" w:eastAsia="宋体" w:cs="Times New Roman"/>
                <w:b w:val="0"/>
                <w:bCs w:val="0"/>
                <w:color w:val="auto"/>
                <w:kern w:val="2"/>
              </w:rPr>
            </w:pPr>
          </w:p>
          <w:p w14:paraId="43854E4B">
            <w:pPr>
              <w:pStyle w:val="29"/>
              <w:spacing w:line="360" w:lineRule="auto"/>
              <w:ind w:firstLine="480" w:firstLineChars="200"/>
              <w:jc w:val="both"/>
              <w:rPr>
                <w:rFonts w:hint="eastAsia" w:ascii="Times New Roman" w:hAnsi="Times New Roman" w:eastAsia="宋体" w:cs="Times New Roman"/>
                <w:b w:val="0"/>
                <w:bCs w:val="0"/>
                <w:color w:val="auto"/>
                <w:kern w:val="2"/>
              </w:rPr>
            </w:pPr>
          </w:p>
          <w:p w14:paraId="6270760E">
            <w:pPr>
              <w:pStyle w:val="29"/>
              <w:spacing w:line="360" w:lineRule="auto"/>
              <w:ind w:firstLine="480" w:firstLineChars="200"/>
              <w:jc w:val="both"/>
              <w:rPr>
                <w:rFonts w:hint="eastAsia" w:ascii="Times New Roman" w:hAnsi="Times New Roman" w:eastAsia="宋体" w:cs="Times New Roman"/>
                <w:b w:val="0"/>
                <w:bCs w:val="0"/>
                <w:color w:val="auto"/>
                <w:kern w:val="2"/>
              </w:rPr>
            </w:pPr>
          </w:p>
          <w:p w14:paraId="577EF694">
            <w:pPr>
              <w:pStyle w:val="29"/>
              <w:spacing w:line="360" w:lineRule="auto"/>
              <w:ind w:firstLine="480" w:firstLineChars="200"/>
              <w:jc w:val="both"/>
              <w:rPr>
                <w:rFonts w:hint="eastAsia" w:ascii="Times New Roman" w:hAnsi="Times New Roman" w:eastAsia="宋体" w:cs="Times New Roman"/>
                <w:b w:val="0"/>
                <w:bCs w:val="0"/>
                <w:color w:val="auto"/>
                <w:kern w:val="2"/>
              </w:rPr>
            </w:pPr>
          </w:p>
          <w:p w14:paraId="2269CEA1">
            <w:pPr>
              <w:pStyle w:val="29"/>
              <w:spacing w:line="360" w:lineRule="auto"/>
              <w:ind w:firstLine="480" w:firstLineChars="200"/>
              <w:jc w:val="both"/>
              <w:rPr>
                <w:rFonts w:hint="eastAsia" w:ascii="Times New Roman" w:hAnsi="Times New Roman" w:eastAsia="宋体" w:cs="Times New Roman"/>
                <w:b w:val="0"/>
                <w:bCs w:val="0"/>
                <w:color w:val="auto"/>
                <w:kern w:val="2"/>
              </w:rPr>
            </w:pPr>
          </w:p>
          <w:p w14:paraId="157E3164">
            <w:pPr>
              <w:pStyle w:val="29"/>
              <w:spacing w:line="360" w:lineRule="auto"/>
              <w:ind w:firstLine="480" w:firstLineChars="200"/>
              <w:jc w:val="both"/>
              <w:rPr>
                <w:rFonts w:hint="eastAsia" w:ascii="Times New Roman" w:hAnsi="Times New Roman" w:eastAsia="宋体" w:cs="Times New Roman"/>
                <w:b w:val="0"/>
                <w:bCs w:val="0"/>
                <w:color w:val="auto"/>
                <w:kern w:val="2"/>
              </w:rPr>
            </w:pPr>
          </w:p>
          <w:p w14:paraId="5149C7B5">
            <w:pPr>
              <w:pStyle w:val="29"/>
              <w:spacing w:line="360" w:lineRule="auto"/>
              <w:ind w:firstLine="480" w:firstLineChars="200"/>
              <w:jc w:val="both"/>
              <w:rPr>
                <w:rFonts w:hint="eastAsia" w:ascii="Times New Roman" w:hAnsi="Times New Roman" w:eastAsia="宋体" w:cs="Times New Roman"/>
                <w:b w:val="0"/>
                <w:bCs w:val="0"/>
                <w:color w:val="auto"/>
                <w:kern w:val="2"/>
              </w:rPr>
            </w:pPr>
          </w:p>
          <w:p w14:paraId="2B4CBCAC">
            <w:pPr>
              <w:pStyle w:val="29"/>
              <w:spacing w:line="360" w:lineRule="auto"/>
              <w:ind w:firstLine="480" w:firstLineChars="200"/>
              <w:jc w:val="both"/>
              <w:rPr>
                <w:rFonts w:hint="eastAsia" w:ascii="Times New Roman" w:hAnsi="Times New Roman" w:eastAsia="宋体" w:cs="Times New Roman"/>
                <w:b w:val="0"/>
                <w:bCs w:val="0"/>
                <w:color w:val="auto"/>
                <w:kern w:val="2"/>
              </w:rPr>
            </w:pPr>
          </w:p>
          <w:p w14:paraId="31E3CDC8">
            <w:pPr>
              <w:pStyle w:val="29"/>
              <w:spacing w:line="360" w:lineRule="auto"/>
              <w:jc w:val="both"/>
              <w:rPr>
                <w:rFonts w:hint="eastAsia" w:ascii="Times New Roman" w:hAnsi="Times New Roman" w:eastAsia="宋体"/>
                <w:snapToGrid w:val="0"/>
                <w:sz w:val="24"/>
                <w:szCs w:val="24"/>
                <w:vertAlign w:val="baseline"/>
                <w:lang w:val="en-US" w:eastAsia="zh-CN"/>
              </w:rPr>
            </w:pPr>
          </w:p>
        </w:tc>
      </w:tr>
    </w:tbl>
    <w:p w14:paraId="53441387">
      <w:pPr>
        <w:pStyle w:val="20"/>
        <w:jc w:val="both"/>
        <w:rPr>
          <w:rFonts w:hint="default" w:ascii="Times New Roman" w:hAnsi="Times New Roman" w:eastAsia="宋体"/>
          <w:snapToGrid w:val="0"/>
          <w:sz w:val="36"/>
          <w:szCs w:val="36"/>
          <w:lang w:val="en-US" w:eastAsia="zh-CN"/>
        </w:rPr>
        <w:sectPr>
          <w:pgSz w:w="11906" w:h="16838"/>
          <w:pgMar w:top="1701" w:right="1531" w:bottom="1701" w:left="1531" w:header="851" w:footer="850" w:gutter="0"/>
          <w:pgNumType w:fmt="decimal"/>
          <w:cols w:space="0" w:num="1"/>
          <w:rtlGutter w:val="0"/>
          <w:docGrid w:linePitch="312" w:charSpace="0"/>
        </w:sectPr>
      </w:pPr>
    </w:p>
    <w:p w14:paraId="59C96B91">
      <w:pPr>
        <w:pStyle w:val="20"/>
        <w:jc w:val="center"/>
        <w:outlineLvl w:val="0"/>
        <w:rPr>
          <w:rFonts w:ascii="Times New Roman" w:hAnsi="Times New Roman"/>
          <w:snapToGrid w:val="0"/>
          <w:sz w:val="30"/>
          <w:szCs w:val="30"/>
        </w:rPr>
      </w:pPr>
      <w:r>
        <w:rPr>
          <w:rFonts w:hint="eastAsia" w:ascii="Times New Roman" w:hAnsi="Times New Roman"/>
          <w:snapToGrid w:val="0"/>
          <w:sz w:val="30"/>
          <w:szCs w:val="30"/>
        </w:rPr>
        <w:t>三、区域环境质量现状、环境保护目标及评价标准</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054AEA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14:paraId="226D3200">
            <w:pPr>
              <w:adjustRightInd w:val="0"/>
              <w:snapToGrid w:val="0"/>
              <w:jc w:val="center"/>
              <w:rPr>
                <w:kern w:val="0"/>
                <w:szCs w:val="21"/>
              </w:rPr>
            </w:pPr>
            <w:r>
              <w:rPr>
                <w:kern w:val="0"/>
                <w:szCs w:val="21"/>
              </w:rPr>
              <w:t>区域</w:t>
            </w:r>
          </w:p>
          <w:p w14:paraId="7EB0ACCE">
            <w:pPr>
              <w:adjustRightInd w:val="0"/>
              <w:snapToGrid w:val="0"/>
              <w:jc w:val="center"/>
              <w:rPr>
                <w:kern w:val="0"/>
                <w:szCs w:val="21"/>
              </w:rPr>
            </w:pPr>
            <w:r>
              <w:rPr>
                <w:kern w:val="0"/>
                <w:szCs w:val="21"/>
              </w:rPr>
              <w:t>环境</w:t>
            </w:r>
          </w:p>
          <w:p w14:paraId="5609072C">
            <w:pPr>
              <w:adjustRightInd w:val="0"/>
              <w:snapToGrid w:val="0"/>
              <w:jc w:val="center"/>
              <w:rPr>
                <w:kern w:val="0"/>
                <w:szCs w:val="21"/>
              </w:rPr>
            </w:pPr>
            <w:r>
              <w:rPr>
                <w:kern w:val="0"/>
                <w:szCs w:val="21"/>
              </w:rPr>
              <w:t>质量</w:t>
            </w:r>
          </w:p>
          <w:p w14:paraId="4BB780D4">
            <w:pPr>
              <w:adjustRightInd w:val="0"/>
              <w:snapToGrid w:val="0"/>
              <w:jc w:val="center"/>
              <w:rPr>
                <w:kern w:val="0"/>
                <w:szCs w:val="21"/>
              </w:rPr>
            </w:pPr>
            <w:r>
              <w:rPr>
                <w:kern w:val="0"/>
                <w:szCs w:val="21"/>
              </w:rPr>
              <w:t>现状</w:t>
            </w:r>
          </w:p>
        </w:tc>
        <w:tc>
          <w:tcPr>
            <w:tcW w:w="8190" w:type="dxa"/>
            <w:noWrap w:val="0"/>
            <w:vAlign w:val="center"/>
          </w:tcPr>
          <w:p w14:paraId="34A440AF">
            <w:pPr>
              <w:spacing w:line="360" w:lineRule="auto"/>
              <w:rPr>
                <w:b/>
                <w:bCs/>
                <w:color w:val="000000"/>
                <w:sz w:val="24"/>
              </w:rPr>
            </w:pPr>
            <w:r>
              <w:rPr>
                <w:b/>
                <w:bCs/>
                <w:color w:val="000000"/>
                <w:sz w:val="24"/>
              </w:rPr>
              <w:t>3.1环境质量现状</w:t>
            </w:r>
          </w:p>
          <w:p w14:paraId="420CDAB8">
            <w:pPr>
              <w:spacing w:line="360" w:lineRule="auto"/>
              <w:rPr>
                <w:b/>
                <w:bCs/>
                <w:color w:val="000000"/>
                <w:sz w:val="24"/>
              </w:rPr>
            </w:pPr>
            <w:r>
              <w:rPr>
                <w:b/>
                <w:bCs/>
                <w:color w:val="000000"/>
                <w:sz w:val="24"/>
              </w:rPr>
              <w:t>3.1.1环境空气质量现状</w:t>
            </w:r>
          </w:p>
          <w:p w14:paraId="1EDD9F49">
            <w:pPr>
              <w:pStyle w:val="19"/>
              <w:spacing w:after="0" w:line="360" w:lineRule="auto"/>
              <w:ind w:firstLine="480" w:firstLineChars="200"/>
              <w:rPr>
                <w:rFonts w:hint="eastAsia" w:eastAsia="宋体"/>
                <w:sz w:val="24"/>
                <w:lang w:eastAsia="zh-CN"/>
              </w:rPr>
            </w:pPr>
            <w:r>
              <w:rPr>
                <w:rFonts w:hint="eastAsia"/>
                <w:sz w:val="24"/>
                <w:lang w:eastAsia="zh-CN"/>
              </w:rPr>
              <w:t>（</w:t>
            </w:r>
            <w:r>
              <w:rPr>
                <w:rFonts w:hint="eastAsia"/>
                <w:sz w:val="24"/>
                <w:lang w:val="en-US" w:eastAsia="zh-CN"/>
              </w:rPr>
              <w:t>1</w:t>
            </w:r>
            <w:r>
              <w:rPr>
                <w:rFonts w:hint="eastAsia"/>
                <w:sz w:val="24"/>
                <w:lang w:eastAsia="zh-CN"/>
              </w:rPr>
              <w:t>）</w:t>
            </w:r>
            <w:r>
              <w:rPr>
                <w:rStyle w:val="28"/>
                <w:rFonts w:hint="default" w:ascii="Times New Roman" w:hAnsi="Times New Roman" w:eastAsia="宋体" w:cs="Times New Roman"/>
                <w:color w:val="auto"/>
                <w:sz w:val="24"/>
                <w:szCs w:val="24"/>
                <w:lang w:val="en-US" w:eastAsia="zh-CN"/>
              </w:rPr>
              <w:t>环境</w:t>
            </w:r>
            <w:r>
              <w:rPr>
                <w:rStyle w:val="28"/>
                <w:rFonts w:hint="default" w:ascii="Times New Roman" w:hAnsi="Times New Roman" w:eastAsia="宋体" w:cs="Times New Roman"/>
                <w:color w:val="auto"/>
                <w:sz w:val="24"/>
                <w:szCs w:val="24"/>
              </w:rPr>
              <w:t>质量达标</w:t>
            </w:r>
            <w:r>
              <w:rPr>
                <w:rStyle w:val="28"/>
                <w:rFonts w:hint="default" w:ascii="Times New Roman" w:hAnsi="Times New Roman" w:eastAsia="宋体" w:cs="Times New Roman"/>
                <w:color w:val="auto"/>
                <w:sz w:val="24"/>
                <w:szCs w:val="24"/>
                <w:lang w:val="en-US" w:eastAsia="zh-CN"/>
              </w:rPr>
              <w:t>性分析</w:t>
            </w:r>
          </w:p>
          <w:p w14:paraId="031C3392">
            <w:pPr>
              <w:pStyle w:val="19"/>
              <w:spacing w:after="0" w:line="360" w:lineRule="auto"/>
              <w:ind w:firstLine="480" w:firstLineChars="200"/>
              <w:rPr>
                <w:rFonts w:hint="eastAsia"/>
                <w:sz w:val="24"/>
              </w:rPr>
            </w:pPr>
            <w:r>
              <w:rPr>
                <w:rFonts w:hint="eastAsia"/>
                <w:sz w:val="24"/>
              </w:rPr>
              <w:t>根据《环境影响评价技术导则 大气环境》（</w:t>
            </w:r>
            <w:r>
              <w:rPr>
                <w:sz w:val="24"/>
              </w:rPr>
              <w:t>HJ2.2-2018</w:t>
            </w:r>
            <w:r>
              <w:rPr>
                <w:rFonts w:hint="eastAsia"/>
                <w:sz w:val="24"/>
              </w:rPr>
              <w:t xml:space="preserve">），项目所在区 </w:t>
            </w:r>
          </w:p>
          <w:p w14:paraId="4F0E02FA">
            <w:pPr>
              <w:pStyle w:val="19"/>
              <w:spacing w:after="0" w:line="360" w:lineRule="auto"/>
              <w:rPr>
                <w:rFonts w:hint="eastAsia"/>
                <w:sz w:val="24"/>
              </w:rPr>
            </w:pPr>
            <w:r>
              <w:rPr>
                <w:rFonts w:hint="eastAsia"/>
                <w:sz w:val="24"/>
              </w:rPr>
              <w:t>域达标情况判定优先采用国家或地方生态环境主管部门公开发布的环境质 量公告或环境质量报告中的数据或结论。</w:t>
            </w:r>
          </w:p>
          <w:p w14:paraId="1961879D">
            <w:pPr>
              <w:pStyle w:val="19"/>
              <w:spacing w:after="0" w:line="360" w:lineRule="auto"/>
              <w:ind w:firstLine="480" w:firstLineChars="200"/>
              <w:rPr>
                <w:sz w:val="24"/>
                <w:szCs w:val="32"/>
              </w:rPr>
            </w:pPr>
            <w:r>
              <w:rPr>
                <w:rFonts w:hint="eastAsia"/>
                <w:sz w:val="24"/>
                <w:szCs w:val="32"/>
              </w:rPr>
              <w:t>本次评价</w:t>
            </w:r>
            <w:r>
              <w:rPr>
                <w:rFonts w:hint="eastAsia"/>
                <w:sz w:val="24"/>
                <w:lang w:val="en-US" w:eastAsia="zh-CN"/>
              </w:rPr>
              <w:t>选取2024年作为评价基准年，根据</w:t>
            </w:r>
            <w:r>
              <w:rPr>
                <w:rFonts w:hint="eastAsia" w:ascii="Times New Roman" w:hAnsi="Times New Roman" w:cs="Times New Roman"/>
                <w:sz w:val="24"/>
              </w:rPr>
              <w:t>《宿州市202</w:t>
            </w:r>
            <w:r>
              <w:rPr>
                <w:rFonts w:hint="eastAsia" w:cs="Times New Roman"/>
                <w:sz w:val="24"/>
                <w:lang w:val="en-US" w:eastAsia="zh-CN"/>
              </w:rPr>
              <w:t>4</w:t>
            </w:r>
            <w:r>
              <w:rPr>
                <w:rFonts w:hint="eastAsia" w:ascii="Times New Roman" w:hAnsi="Times New Roman" w:cs="Times New Roman"/>
                <w:sz w:val="24"/>
              </w:rPr>
              <w:t>年环境质量状况报告》</w:t>
            </w:r>
            <w:r>
              <w:rPr>
                <w:rFonts w:hint="eastAsia"/>
                <w:sz w:val="24"/>
              </w:rPr>
              <w:t>中环境空气质量现状监测数据。202</w:t>
            </w:r>
            <w:r>
              <w:rPr>
                <w:rFonts w:hint="eastAsia"/>
                <w:sz w:val="24"/>
                <w:lang w:val="en-US" w:eastAsia="zh-CN"/>
              </w:rPr>
              <w:t>4</w:t>
            </w:r>
            <w:r>
              <w:rPr>
                <w:rFonts w:hint="eastAsia"/>
                <w:sz w:val="24"/>
              </w:rPr>
              <w:t>年度</w:t>
            </w:r>
            <w:r>
              <w:rPr>
                <w:rFonts w:hint="eastAsia"/>
                <w:sz w:val="24"/>
                <w:lang w:val="en-US" w:eastAsia="zh-CN"/>
              </w:rPr>
              <w:t>宿州</w:t>
            </w:r>
            <w:r>
              <w:rPr>
                <w:rFonts w:hint="eastAsia"/>
                <w:sz w:val="24"/>
              </w:rPr>
              <w:t>市环境空气污染物</w:t>
            </w:r>
            <w:r>
              <w:rPr>
                <w:color w:val="000000"/>
                <w:kern w:val="0"/>
                <w:sz w:val="24"/>
              </w:rPr>
              <w:t>SO</w:t>
            </w:r>
            <w:r>
              <w:rPr>
                <w:color w:val="000000"/>
                <w:kern w:val="0"/>
                <w:sz w:val="24"/>
                <w:vertAlign w:val="subscript"/>
              </w:rPr>
              <w:t>2</w:t>
            </w:r>
            <w:r>
              <w:rPr>
                <w:color w:val="000000"/>
                <w:kern w:val="0"/>
                <w:sz w:val="24"/>
              </w:rPr>
              <w:t>、NO</w:t>
            </w:r>
            <w:r>
              <w:rPr>
                <w:color w:val="000000"/>
                <w:kern w:val="0"/>
                <w:sz w:val="24"/>
                <w:vertAlign w:val="subscript"/>
              </w:rPr>
              <w:t>2</w:t>
            </w:r>
            <w:r>
              <w:rPr>
                <w:color w:val="000000"/>
                <w:kern w:val="0"/>
                <w:sz w:val="24"/>
              </w:rPr>
              <w:t>、CO、O</w:t>
            </w:r>
            <w:r>
              <w:rPr>
                <w:color w:val="000000"/>
                <w:kern w:val="0"/>
                <w:sz w:val="24"/>
                <w:vertAlign w:val="subscript"/>
              </w:rPr>
              <w:t>3</w:t>
            </w:r>
            <w:r>
              <w:rPr>
                <w:color w:val="000000"/>
                <w:kern w:val="0"/>
                <w:sz w:val="24"/>
              </w:rPr>
              <w:t>、PM</w:t>
            </w:r>
            <w:r>
              <w:rPr>
                <w:color w:val="000000"/>
                <w:kern w:val="0"/>
                <w:sz w:val="24"/>
                <w:vertAlign w:val="subscript"/>
              </w:rPr>
              <w:t>10</w:t>
            </w:r>
            <w:r>
              <w:rPr>
                <w:color w:val="000000"/>
                <w:kern w:val="0"/>
                <w:sz w:val="24"/>
              </w:rPr>
              <w:t>、PM</w:t>
            </w:r>
            <w:r>
              <w:rPr>
                <w:color w:val="000000"/>
                <w:kern w:val="0"/>
                <w:sz w:val="24"/>
                <w:vertAlign w:val="subscript"/>
              </w:rPr>
              <w:t>2.5</w:t>
            </w:r>
            <w:r>
              <w:rPr>
                <w:color w:val="000000"/>
                <w:kern w:val="0"/>
                <w:sz w:val="24"/>
              </w:rPr>
              <w:t>监测结果统计见下表。</w:t>
            </w:r>
          </w:p>
          <w:p w14:paraId="56C7476C">
            <w:pPr>
              <w:pStyle w:val="8"/>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1 区域基本污染物环境质量现状评价表</w:t>
            </w:r>
          </w:p>
          <w:tbl>
            <w:tblPr>
              <w:tblStyle w:val="25"/>
              <w:tblW w:w="7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300"/>
              <w:gridCol w:w="1385"/>
              <w:gridCol w:w="1100"/>
              <w:gridCol w:w="1129"/>
              <w:gridCol w:w="1095"/>
            </w:tblGrid>
            <w:tr w14:paraId="70680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48" w:type="dxa"/>
                  <w:noWrap w:val="0"/>
                  <w:vAlign w:val="center"/>
                </w:tcPr>
                <w:p w14:paraId="351590EE">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污染物</w:t>
                  </w:r>
                </w:p>
              </w:tc>
              <w:tc>
                <w:tcPr>
                  <w:tcW w:w="2300" w:type="dxa"/>
                  <w:noWrap w:val="0"/>
                  <w:vAlign w:val="center"/>
                </w:tcPr>
                <w:p w14:paraId="78175948">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评价标准</w:t>
                  </w:r>
                </w:p>
              </w:tc>
              <w:tc>
                <w:tcPr>
                  <w:tcW w:w="1385" w:type="dxa"/>
                  <w:noWrap w:val="0"/>
                  <w:vAlign w:val="center"/>
                </w:tcPr>
                <w:p w14:paraId="5C460A7E">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年均浓度</w:t>
                  </w:r>
                </w:p>
              </w:tc>
              <w:tc>
                <w:tcPr>
                  <w:tcW w:w="1100" w:type="dxa"/>
                  <w:noWrap w:val="0"/>
                  <w:vAlign w:val="center"/>
                </w:tcPr>
                <w:p w14:paraId="55FF1AEE">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标准值</w:t>
                  </w:r>
                </w:p>
              </w:tc>
              <w:tc>
                <w:tcPr>
                  <w:tcW w:w="1129" w:type="dxa"/>
                  <w:noWrap w:val="0"/>
                  <w:vAlign w:val="center"/>
                </w:tcPr>
                <w:p w14:paraId="6DBEB6E2">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占标率</w:t>
                  </w:r>
                </w:p>
              </w:tc>
              <w:tc>
                <w:tcPr>
                  <w:tcW w:w="1095" w:type="dxa"/>
                  <w:noWrap w:val="0"/>
                  <w:vAlign w:val="center"/>
                </w:tcPr>
                <w:p w14:paraId="18E358DD">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达标情况</w:t>
                  </w:r>
                </w:p>
              </w:tc>
            </w:tr>
            <w:tr w14:paraId="7719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8" w:type="dxa"/>
                  <w:noWrap w:val="0"/>
                  <w:vAlign w:val="center"/>
                </w:tcPr>
                <w:p w14:paraId="728F432B">
                  <w:pPr>
                    <w:adjustRightInd w:val="0"/>
                    <w:snapToGrid w:val="0"/>
                    <w:spacing w:line="276" w:lineRule="auto"/>
                    <w:jc w:val="center"/>
                    <w:rPr>
                      <w:rFonts w:hint="default" w:ascii="Times New Roman" w:hAnsi="Times New Roman" w:eastAsia="宋体" w:cs="Times New Roman"/>
                      <w:color w:val="auto"/>
                      <w:kern w:val="0"/>
                      <w:szCs w:val="21"/>
                    </w:rPr>
                  </w:pPr>
                  <w:r>
                    <w:rPr>
                      <w:rFonts w:ascii="Times New Roman" w:hAnsi="Times New Roman" w:cs="Times New Roman"/>
                      <w:kern w:val="2"/>
                      <w:sz w:val="21"/>
                      <w:szCs w:val="21"/>
                    </w:rPr>
                    <w:t>SO</w:t>
                  </w:r>
                  <w:r>
                    <w:rPr>
                      <w:rFonts w:ascii="Times New Roman" w:hAnsi="Times New Roman" w:cs="Times New Roman"/>
                      <w:kern w:val="2"/>
                      <w:sz w:val="21"/>
                      <w:szCs w:val="21"/>
                      <w:vertAlign w:val="subscript"/>
                    </w:rPr>
                    <w:t>2</w:t>
                  </w:r>
                </w:p>
              </w:tc>
              <w:tc>
                <w:tcPr>
                  <w:tcW w:w="2300" w:type="dxa"/>
                  <w:noWrap w:val="0"/>
                  <w:vAlign w:val="center"/>
                </w:tcPr>
                <w:p w14:paraId="496C5353">
                  <w:pPr>
                    <w:adjustRightInd w:val="0"/>
                    <w:snapToGrid w:val="0"/>
                    <w:spacing w:line="276" w:lineRule="auto"/>
                    <w:jc w:val="center"/>
                    <w:rPr>
                      <w:rFonts w:hint="default" w:ascii="Times New Roman" w:hAnsi="Times New Roman" w:eastAsia="宋体" w:cs="Times New Roman"/>
                      <w:color w:val="auto"/>
                      <w:kern w:val="0"/>
                      <w:szCs w:val="21"/>
                    </w:rPr>
                  </w:pPr>
                  <w:r>
                    <w:rPr>
                      <w:rFonts w:ascii="Times New Roman" w:hAnsi="Times New Roman" w:cs="Times New Roman"/>
                      <w:kern w:val="2"/>
                      <w:sz w:val="21"/>
                      <w:szCs w:val="21"/>
                    </w:rPr>
                    <w:t>年平均质量浓度</w:t>
                  </w:r>
                </w:p>
              </w:tc>
              <w:tc>
                <w:tcPr>
                  <w:tcW w:w="1385" w:type="dxa"/>
                  <w:noWrap w:val="0"/>
                  <w:vAlign w:val="center"/>
                </w:tcPr>
                <w:p w14:paraId="763843BA">
                  <w:pPr>
                    <w:widowControl w:val="0"/>
                    <w:adjustRightInd w:val="0"/>
                    <w:snapToGrid w:val="0"/>
                    <w:spacing w:line="276" w:lineRule="auto"/>
                    <w:jc w:val="center"/>
                    <w:rPr>
                      <w:rFonts w:hint="default" w:ascii="Times New Roman" w:hAnsi="Times New Roman" w:eastAsia="宋体" w:cs="Times New Roman"/>
                      <w:b w:val="0"/>
                      <w:bCs w:val="0"/>
                      <w:color w:val="auto"/>
                      <w:kern w:val="0"/>
                      <w:szCs w:val="21"/>
                      <w:lang w:val="en-US" w:eastAsia="zh-CN"/>
                    </w:rPr>
                  </w:pPr>
                  <w:r>
                    <w:rPr>
                      <w:rFonts w:hint="eastAsia" w:cs="Times New Roman"/>
                      <w:b w:val="0"/>
                      <w:bCs w:val="0"/>
                      <w:kern w:val="2"/>
                      <w:sz w:val="21"/>
                      <w:szCs w:val="21"/>
                      <w:lang w:val="en-US" w:eastAsia="zh-CN"/>
                    </w:rPr>
                    <w:t>6</w:t>
                  </w:r>
                  <w:r>
                    <w:rPr>
                      <w:rFonts w:hint="default" w:ascii="Times New Roman" w:hAnsi="Times New Roman" w:eastAsia="宋体" w:cs="Times New Roman"/>
                      <w:b w:val="0"/>
                      <w:bCs w:val="0"/>
                      <w:color w:val="auto"/>
                      <w:kern w:val="0"/>
                      <w:szCs w:val="21"/>
                    </w:rPr>
                    <w:t>μg/m</w:t>
                  </w:r>
                  <w:r>
                    <w:rPr>
                      <w:rFonts w:hint="default" w:ascii="Times New Roman" w:hAnsi="Times New Roman" w:eastAsia="宋体" w:cs="Times New Roman"/>
                      <w:b w:val="0"/>
                      <w:bCs w:val="0"/>
                      <w:color w:val="auto"/>
                      <w:kern w:val="0"/>
                      <w:szCs w:val="21"/>
                      <w:vertAlign w:val="superscript"/>
                    </w:rPr>
                    <w:t>3</w:t>
                  </w:r>
                </w:p>
              </w:tc>
              <w:tc>
                <w:tcPr>
                  <w:tcW w:w="1100" w:type="dxa"/>
                  <w:noWrap w:val="0"/>
                  <w:vAlign w:val="center"/>
                </w:tcPr>
                <w:p w14:paraId="179F6E27">
                  <w:pPr>
                    <w:widowControl w:val="0"/>
                    <w:adjustRightInd w:val="0"/>
                    <w:snapToGrid w:val="0"/>
                    <w:spacing w:line="276" w:lineRule="auto"/>
                    <w:jc w:val="center"/>
                    <w:rPr>
                      <w:rFonts w:hint="default" w:ascii="Times New Roman" w:hAnsi="Times New Roman" w:eastAsia="宋体" w:cs="Times New Roman"/>
                      <w:b w:val="0"/>
                      <w:bCs w:val="0"/>
                      <w:color w:val="auto"/>
                      <w:kern w:val="0"/>
                      <w:szCs w:val="21"/>
                    </w:rPr>
                  </w:pPr>
                  <w:r>
                    <w:rPr>
                      <w:rFonts w:ascii="Times New Roman" w:hAnsi="Times New Roman" w:cs="Times New Roman"/>
                      <w:b w:val="0"/>
                      <w:bCs w:val="0"/>
                      <w:kern w:val="2"/>
                      <w:sz w:val="21"/>
                      <w:szCs w:val="21"/>
                    </w:rPr>
                    <w:t>60</w:t>
                  </w:r>
                  <w:r>
                    <w:rPr>
                      <w:rFonts w:hint="default" w:ascii="Times New Roman" w:hAnsi="Times New Roman" w:eastAsia="宋体" w:cs="Times New Roman"/>
                      <w:b w:val="0"/>
                      <w:bCs w:val="0"/>
                      <w:color w:val="auto"/>
                      <w:kern w:val="0"/>
                      <w:szCs w:val="21"/>
                    </w:rPr>
                    <w:t>μg/m</w:t>
                  </w:r>
                  <w:r>
                    <w:rPr>
                      <w:rFonts w:hint="default" w:ascii="Times New Roman" w:hAnsi="Times New Roman" w:eastAsia="宋体" w:cs="Times New Roman"/>
                      <w:b w:val="0"/>
                      <w:bCs w:val="0"/>
                      <w:color w:val="auto"/>
                      <w:kern w:val="0"/>
                      <w:szCs w:val="21"/>
                      <w:vertAlign w:val="superscript"/>
                    </w:rPr>
                    <w:t>3</w:t>
                  </w:r>
                </w:p>
              </w:tc>
              <w:tc>
                <w:tcPr>
                  <w:tcW w:w="1129" w:type="dxa"/>
                  <w:noWrap w:val="0"/>
                  <w:vAlign w:val="center"/>
                </w:tcPr>
                <w:p w14:paraId="305FBDCD">
                  <w:pPr>
                    <w:widowControl w:val="0"/>
                    <w:adjustRightInd w:val="0"/>
                    <w:snapToGrid w:val="0"/>
                    <w:spacing w:line="276" w:lineRule="auto"/>
                    <w:jc w:val="center"/>
                    <w:rPr>
                      <w:rFonts w:hint="default" w:ascii="Times New Roman" w:hAnsi="Times New Roman" w:eastAsia="宋体" w:cs="Times New Roman"/>
                      <w:color w:val="auto"/>
                      <w:kern w:val="0"/>
                      <w:szCs w:val="21"/>
                    </w:rPr>
                  </w:pPr>
                  <w:r>
                    <w:rPr>
                      <w:rFonts w:hint="eastAsia" w:cs="Times New Roman"/>
                      <w:kern w:val="2"/>
                      <w:sz w:val="21"/>
                      <w:szCs w:val="21"/>
                      <w:lang w:val="en-US" w:eastAsia="zh-CN"/>
                    </w:rPr>
                    <w:t>10</w:t>
                  </w:r>
                  <w:r>
                    <w:rPr>
                      <w:rFonts w:ascii="Times New Roman" w:hAnsi="Times New Roman" w:cs="Times New Roman"/>
                      <w:kern w:val="2"/>
                      <w:sz w:val="21"/>
                      <w:szCs w:val="21"/>
                    </w:rPr>
                    <w:t>%</w:t>
                  </w:r>
                </w:p>
              </w:tc>
              <w:tc>
                <w:tcPr>
                  <w:tcW w:w="1095" w:type="dxa"/>
                  <w:noWrap w:val="0"/>
                  <w:vAlign w:val="center"/>
                </w:tcPr>
                <w:p w14:paraId="69951E38">
                  <w:pPr>
                    <w:adjustRightInd w:val="0"/>
                    <w:snapToGrid w:val="0"/>
                    <w:spacing w:line="276" w:lineRule="auto"/>
                    <w:jc w:val="center"/>
                    <w:rPr>
                      <w:rFonts w:hint="default" w:ascii="Times New Roman" w:hAnsi="Times New Roman" w:eastAsia="宋体" w:cs="Times New Roman"/>
                      <w:color w:val="auto"/>
                      <w:kern w:val="0"/>
                      <w:szCs w:val="21"/>
                    </w:rPr>
                  </w:pPr>
                  <w:r>
                    <w:rPr>
                      <w:rFonts w:ascii="Times New Roman" w:hAnsi="Times New Roman" w:cs="Times New Roman"/>
                      <w:kern w:val="2"/>
                      <w:sz w:val="21"/>
                      <w:szCs w:val="21"/>
                    </w:rPr>
                    <w:t>达标</w:t>
                  </w:r>
                </w:p>
              </w:tc>
            </w:tr>
            <w:tr w14:paraId="1776D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8" w:type="dxa"/>
                  <w:noWrap w:val="0"/>
                  <w:vAlign w:val="center"/>
                </w:tcPr>
                <w:p w14:paraId="499086B1">
                  <w:pPr>
                    <w:adjustRightInd w:val="0"/>
                    <w:snapToGrid w:val="0"/>
                    <w:spacing w:line="276" w:lineRule="auto"/>
                    <w:jc w:val="center"/>
                    <w:rPr>
                      <w:rFonts w:hint="default" w:ascii="Times New Roman" w:hAnsi="Times New Roman" w:eastAsia="宋体" w:cs="Times New Roman"/>
                      <w:color w:val="auto"/>
                      <w:kern w:val="0"/>
                      <w:szCs w:val="21"/>
                    </w:rPr>
                  </w:pPr>
                  <w:r>
                    <w:rPr>
                      <w:rFonts w:ascii="Times New Roman" w:hAnsi="Times New Roman" w:cs="Times New Roman"/>
                      <w:kern w:val="2"/>
                      <w:sz w:val="21"/>
                      <w:szCs w:val="21"/>
                    </w:rPr>
                    <w:t>NO</w:t>
                  </w:r>
                  <w:r>
                    <w:rPr>
                      <w:rFonts w:ascii="Times New Roman" w:hAnsi="Times New Roman" w:cs="Times New Roman"/>
                      <w:kern w:val="2"/>
                      <w:sz w:val="21"/>
                      <w:szCs w:val="21"/>
                      <w:vertAlign w:val="subscript"/>
                    </w:rPr>
                    <w:t>2</w:t>
                  </w:r>
                </w:p>
              </w:tc>
              <w:tc>
                <w:tcPr>
                  <w:tcW w:w="2300" w:type="dxa"/>
                  <w:noWrap w:val="0"/>
                  <w:vAlign w:val="center"/>
                </w:tcPr>
                <w:p w14:paraId="41025BE0">
                  <w:pPr>
                    <w:adjustRightInd w:val="0"/>
                    <w:snapToGrid w:val="0"/>
                    <w:spacing w:line="276" w:lineRule="auto"/>
                    <w:jc w:val="center"/>
                    <w:rPr>
                      <w:rFonts w:hint="default" w:ascii="Times New Roman" w:hAnsi="Times New Roman" w:eastAsia="宋体" w:cs="Times New Roman"/>
                      <w:color w:val="auto"/>
                      <w:kern w:val="0"/>
                      <w:szCs w:val="21"/>
                    </w:rPr>
                  </w:pPr>
                  <w:r>
                    <w:rPr>
                      <w:rFonts w:ascii="Times New Roman" w:hAnsi="Times New Roman" w:cs="Times New Roman"/>
                      <w:kern w:val="2"/>
                      <w:sz w:val="21"/>
                      <w:szCs w:val="21"/>
                    </w:rPr>
                    <w:t>年平均质量浓度</w:t>
                  </w:r>
                </w:p>
              </w:tc>
              <w:tc>
                <w:tcPr>
                  <w:tcW w:w="1385" w:type="dxa"/>
                  <w:noWrap w:val="0"/>
                  <w:vAlign w:val="center"/>
                </w:tcPr>
                <w:p w14:paraId="7259CB39">
                  <w:pPr>
                    <w:widowControl w:val="0"/>
                    <w:adjustRightInd w:val="0"/>
                    <w:snapToGrid w:val="0"/>
                    <w:spacing w:line="276" w:lineRule="auto"/>
                    <w:jc w:val="center"/>
                    <w:rPr>
                      <w:rFonts w:hint="default" w:ascii="Times New Roman" w:hAnsi="Times New Roman" w:eastAsia="宋体" w:cs="Times New Roman"/>
                      <w:b w:val="0"/>
                      <w:bCs w:val="0"/>
                      <w:color w:val="auto"/>
                      <w:kern w:val="0"/>
                      <w:szCs w:val="21"/>
                      <w:lang w:val="en-US" w:eastAsia="zh-CN"/>
                    </w:rPr>
                  </w:pPr>
                  <w:r>
                    <w:rPr>
                      <w:rFonts w:hint="eastAsia" w:cs="Times New Roman"/>
                      <w:b w:val="0"/>
                      <w:bCs w:val="0"/>
                      <w:color w:val="auto"/>
                      <w:kern w:val="0"/>
                      <w:szCs w:val="21"/>
                      <w:lang w:val="en-US" w:eastAsia="zh-CN"/>
                    </w:rPr>
                    <w:t>18</w:t>
                  </w:r>
                  <w:r>
                    <w:rPr>
                      <w:rFonts w:hint="default" w:ascii="Times New Roman" w:hAnsi="Times New Roman" w:eastAsia="宋体" w:cs="Times New Roman"/>
                      <w:b w:val="0"/>
                      <w:bCs w:val="0"/>
                      <w:color w:val="auto"/>
                      <w:kern w:val="0"/>
                      <w:szCs w:val="21"/>
                    </w:rPr>
                    <w:t>μg/m</w:t>
                  </w:r>
                  <w:r>
                    <w:rPr>
                      <w:rFonts w:hint="default" w:ascii="Times New Roman" w:hAnsi="Times New Roman" w:eastAsia="宋体" w:cs="Times New Roman"/>
                      <w:b w:val="0"/>
                      <w:bCs w:val="0"/>
                      <w:color w:val="auto"/>
                      <w:kern w:val="0"/>
                      <w:szCs w:val="21"/>
                      <w:vertAlign w:val="superscript"/>
                    </w:rPr>
                    <w:t>3</w:t>
                  </w:r>
                </w:p>
              </w:tc>
              <w:tc>
                <w:tcPr>
                  <w:tcW w:w="1100" w:type="dxa"/>
                  <w:noWrap w:val="0"/>
                  <w:vAlign w:val="center"/>
                </w:tcPr>
                <w:p w14:paraId="767055CF">
                  <w:pPr>
                    <w:widowControl w:val="0"/>
                    <w:adjustRightInd w:val="0"/>
                    <w:snapToGrid w:val="0"/>
                    <w:spacing w:line="276" w:lineRule="auto"/>
                    <w:jc w:val="center"/>
                    <w:rPr>
                      <w:rFonts w:hint="default" w:ascii="Times New Roman" w:hAnsi="Times New Roman" w:eastAsia="宋体" w:cs="Times New Roman"/>
                      <w:b w:val="0"/>
                      <w:bCs w:val="0"/>
                      <w:color w:val="auto"/>
                      <w:kern w:val="0"/>
                      <w:szCs w:val="21"/>
                    </w:rPr>
                  </w:pPr>
                  <w:r>
                    <w:rPr>
                      <w:rFonts w:ascii="Times New Roman" w:hAnsi="Times New Roman" w:cs="Times New Roman"/>
                      <w:b w:val="0"/>
                      <w:bCs w:val="0"/>
                      <w:kern w:val="2"/>
                      <w:sz w:val="21"/>
                      <w:szCs w:val="21"/>
                    </w:rPr>
                    <w:t>40</w:t>
                  </w:r>
                  <w:r>
                    <w:rPr>
                      <w:rFonts w:hint="default" w:ascii="Times New Roman" w:hAnsi="Times New Roman" w:eastAsia="宋体" w:cs="Times New Roman"/>
                      <w:b w:val="0"/>
                      <w:bCs w:val="0"/>
                      <w:color w:val="auto"/>
                      <w:kern w:val="0"/>
                      <w:szCs w:val="21"/>
                    </w:rPr>
                    <w:t>μg/m</w:t>
                  </w:r>
                  <w:r>
                    <w:rPr>
                      <w:rFonts w:hint="default" w:ascii="Times New Roman" w:hAnsi="Times New Roman" w:eastAsia="宋体" w:cs="Times New Roman"/>
                      <w:b w:val="0"/>
                      <w:bCs w:val="0"/>
                      <w:color w:val="auto"/>
                      <w:kern w:val="0"/>
                      <w:szCs w:val="21"/>
                      <w:vertAlign w:val="superscript"/>
                    </w:rPr>
                    <w:t>3</w:t>
                  </w:r>
                </w:p>
              </w:tc>
              <w:tc>
                <w:tcPr>
                  <w:tcW w:w="1129" w:type="dxa"/>
                  <w:noWrap w:val="0"/>
                  <w:vAlign w:val="center"/>
                </w:tcPr>
                <w:p w14:paraId="0909AC36">
                  <w:pPr>
                    <w:widowControl w:val="0"/>
                    <w:adjustRightInd w:val="0"/>
                    <w:snapToGrid w:val="0"/>
                    <w:spacing w:line="276" w:lineRule="auto"/>
                    <w:jc w:val="center"/>
                    <w:rPr>
                      <w:rFonts w:hint="default" w:ascii="Times New Roman" w:hAnsi="Times New Roman" w:eastAsia="宋体" w:cs="Times New Roman"/>
                      <w:color w:val="auto"/>
                      <w:kern w:val="0"/>
                      <w:szCs w:val="21"/>
                    </w:rPr>
                  </w:pPr>
                  <w:r>
                    <w:rPr>
                      <w:rFonts w:hint="eastAsia" w:cs="Times New Roman"/>
                      <w:kern w:val="2"/>
                      <w:sz w:val="21"/>
                      <w:szCs w:val="21"/>
                      <w:lang w:val="en-US" w:eastAsia="zh-CN"/>
                    </w:rPr>
                    <w:t>45</w:t>
                  </w:r>
                  <w:r>
                    <w:rPr>
                      <w:rFonts w:ascii="Times New Roman" w:hAnsi="Times New Roman" w:cs="Times New Roman"/>
                      <w:kern w:val="2"/>
                      <w:sz w:val="21"/>
                      <w:szCs w:val="21"/>
                    </w:rPr>
                    <w:t>%</w:t>
                  </w:r>
                </w:p>
              </w:tc>
              <w:tc>
                <w:tcPr>
                  <w:tcW w:w="1095" w:type="dxa"/>
                  <w:noWrap w:val="0"/>
                  <w:vAlign w:val="center"/>
                </w:tcPr>
                <w:p w14:paraId="47323560">
                  <w:pPr>
                    <w:adjustRightInd w:val="0"/>
                    <w:snapToGrid w:val="0"/>
                    <w:spacing w:line="276" w:lineRule="auto"/>
                    <w:jc w:val="center"/>
                    <w:rPr>
                      <w:rFonts w:hint="default" w:ascii="Times New Roman" w:hAnsi="Times New Roman" w:eastAsia="宋体" w:cs="Times New Roman"/>
                      <w:color w:val="auto"/>
                      <w:kern w:val="0"/>
                      <w:szCs w:val="21"/>
                    </w:rPr>
                  </w:pPr>
                  <w:r>
                    <w:rPr>
                      <w:rFonts w:ascii="Times New Roman" w:hAnsi="Times New Roman" w:cs="Times New Roman"/>
                      <w:kern w:val="2"/>
                      <w:sz w:val="21"/>
                      <w:szCs w:val="21"/>
                    </w:rPr>
                    <w:t>达标</w:t>
                  </w:r>
                </w:p>
              </w:tc>
            </w:tr>
            <w:tr w14:paraId="481B4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8" w:type="dxa"/>
                  <w:noWrap w:val="0"/>
                  <w:vAlign w:val="center"/>
                </w:tcPr>
                <w:p w14:paraId="44847573">
                  <w:pPr>
                    <w:adjustRightInd w:val="0"/>
                    <w:snapToGrid w:val="0"/>
                    <w:spacing w:line="276" w:lineRule="auto"/>
                    <w:jc w:val="center"/>
                    <w:rPr>
                      <w:rFonts w:hint="default" w:ascii="Times New Roman" w:hAnsi="Times New Roman" w:eastAsia="宋体" w:cs="Times New Roman"/>
                      <w:b/>
                      <w:bCs/>
                      <w:color w:val="auto"/>
                      <w:kern w:val="0"/>
                      <w:szCs w:val="21"/>
                    </w:rPr>
                  </w:pPr>
                  <w:r>
                    <w:rPr>
                      <w:rFonts w:ascii="Times New Roman" w:hAnsi="Times New Roman" w:cs="Times New Roman"/>
                      <w:b/>
                      <w:bCs/>
                      <w:kern w:val="2"/>
                      <w:sz w:val="21"/>
                      <w:szCs w:val="21"/>
                    </w:rPr>
                    <w:t>PM</w:t>
                  </w:r>
                  <w:r>
                    <w:rPr>
                      <w:rFonts w:ascii="Times New Roman" w:hAnsi="Times New Roman" w:cs="Times New Roman"/>
                      <w:b/>
                      <w:bCs/>
                      <w:kern w:val="2"/>
                      <w:sz w:val="21"/>
                      <w:szCs w:val="21"/>
                      <w:vertAlign w:val="subscript"/>
                    </w:rPr>
                    <w:t>10</w:t>
                  </w:r>
                </w:p>
              </w:tc>
              <w:tc>
                <w:tcPr>
                  <w:tcW w:w="2300" w:type="dxa"/>
                  <w:noWrap w:val="0"/>
                  <w:vAlign w:val="center"/>
                </w:tcPr>
                <w:p w14:paraId="1645FC63">
                  <w:pPr>
                    <w:adjustRightInd w:val="0"/>
                    <w:snapToGrid w:val="0"/>
                    <w:spacing w:line="276" w:lineRule="auto"/>
                    <w:jc w:val="center"/>
                    <w:rPr>
                      <w:rFonts w:hint="default" w:ascii="Times New Roman" w:hAnsi="Times New Roman" w:eastAsia="宋体" w:cs="Times New Roman"/>
                      <w:b/>
                      <w:bCs/>
                      <w:color w:val="auto"/>
                      <w:kern w:val="0"/>
                      <w:szCs w:val="21"/>
                    </w:rPr>
                  </w:pPr>
                  <w:r>
                    <w:rPr>
                      <w:rFonts w:ascii="Times New Roman" w:hAnsi="Times New Roman" w:cs="Times New Roman"/>
                      <w:b/>
                      <w:bCs/>
                      <w:kern w:val="2"/>
                      <w:sz w:val="21"/>
                      <w:szCs w:val="21"/>
                    </w:rPr>
                    <w:t>年平均质量浓度</w:t>
                  </w:r>
                </w:p>
              </w:tc>
              <w:tc>
                <w:tcPr>
                  <w:tcW w:w="1385" w:type="dxa"/>
                  <w:noWrap w:val="0"/>
                  <w:vAlign w:val="center"/>
                </w:tcPr>
                <w:p w14:paraId="1A86C049">
                  <w:pPr>
                    <w:widowControl w:val="0"/>
                    <w:adjustRightInd w:val="0"/>
                    <w:snapToGrid w:val="0"/>
                    <w:spacing w:line="276" w:lineRule="auto"/>
                    <w:jc w:val="center"/>
                    <w:rPr>
                      <w:rFonts w:hint="default" w:ascii="Times New Roman" w:hAnsi="Times New Roman" w:eastAsia="宋体" w:cs="Times New Roman"/>
                      <w:b/>
                      <w:bCs/>
                      <w:color w:val="auto"/>
                      <w:kern w:val="0"/>
                      <w:szCs w:val="21"/>
                      <w:lang w:val="en-US" w:eastAsia="zh-CN"/>
                    </w:rPr>
                  </w:pPr>
                  <w:r>
                    <w:rPr>
                      <w:rFonts w:hint="eastAsia" w:cs="Times New Roman"/>
                      <w:b/>
                      <w:bCs/>
                      <w:color w:val="auto"/>
                      <w:kern w:val="0"/>
                      <w:szCs w:val="21"/>
                      <w:lang w:val="en-US" w:eastAsia="zh-CN"/>
                    </w:rPr>
                    <w:t>71</w:t>
                  </w:r>
                  <w:r>
                    <w:rPr>
                      <w:rFonts w:hint="default" w:ascii="Times New Roman" w:hAnsi="Times New Roman" w:eastAsia="宋体" w:cs="Times New Roman"/>
                      <w:b/>
                      <w:bCs/>
                      <w:color w:val="auto"/>
                      <w:kern w:val="0"/>
                      <w:szCs w:val="21"/>
                    </w:rPr>
                    <w:t>μg/m</w:t>
                  </w:r>
                  <w:r>
                    <w:rPr>
                      <w:rFonts w:hint="default" w:ascii="Times New Roman" w:hAnsi="Times New Roman" w:eastAsia="宋体" w:cs="Times New Roman"/>
                      <w:b/>
                      <w:bCs/>
                      <w:color w:val="auto"/>
                      <w:kern w:val="0"/>
                      <w:szCs w:val="21"/>
                      <w:vertAlign w:val="superscript"/>
                    </w:rPr>
                    <w:t>3</w:t>
                  </w:r>
                </w:p>
              </w:tc>
              <w:tc>
                <w:tcPr>
                  <w:tcW w:w="1100" w:type="dxa"/>
                  <w:noWrap w:val="0"/>
                  <w:vAlign w:val="center"/>
                </w:tcPr>
                <w:p w14:paraId="600BF0EB">
                  <w:pPr>
                    <w:widowControl w:val="0"/>
                    <w:adjustRightInd w:val="0"/>
                    <w:snapToGrid w:val="0"/>
                    <w:spacing w:line="276" w:lineRule="auto"/>
                    <w:jc w:val="center"/>
                    <w:rPr>
                      <w:rFonts w:hint="default" w:ascii="Times New Roman" w:hAnsi="Times New Roman" w:eastAsia="宋体" w:cs="Times New Roman"/>
                      <w:b/>
                      <w:bCs/>
                      <w:color w:val="auto"/>
                      <w:kern w:val="0"/>
                      <w:szCs w:val="21"/>
                      <w:lang w:val="en-US" w:eastAsia="zh-CN"/>
                    </w:rPr>
                  </w:pPr>
                  <w:r>
                    <w:rPr>
                      <w:rFonts w:hint="eastAsia" w:cs="Times New Roman"/>
                      <w:b/>
                      <w:bCs/>
                      <w:kern w:val="2"/>
                      <w:sz w:val="21"/>
                      <w:szCs w:val="21"/>
                      <w:lang w:val="en-US" w:eastAsia="zh-CN"/>
                    </w:rPr>
                    <w:t>60</w:t>
                  </w:r>
                  <w:r>
                    <w:rPr>
                      <w:rFonts w:hint="default" w:ascii="Times New Roman" w:hAnsi="Times New Roman" w:eastAsia="宋体" w:cs="Times New Roman"/>
                      <w:b/>
                      <w:bCs/>
                      <w:color w:val="auto"/>
                      <w:kern w:val="0"/>
                      <w:szCs w:val="21"/>
                    </w:rPr>
                    <w:t>μg/m</w:t>
                  </w:r>
                  <w:r>
                    <w:rPr>
                      <w:rFonts w:hint="default" w:ascii="Times New Roman" w:hAnsi="Times New Roman" w:eastAsia="宋体" w:cs="Times New Roman"/>
                      <w:b/>
                      <w:bCs/>
                      <w:color w:val="auto"/>
                      <w:kern w:val="0"/>
                      <w:szCs w:val="21"/>
                      <w:vertAlign w:val="superscript"/>
                    </w:rPr>
                    <w:t>3</w:t>
                  </w:r>
                </w:p>
              </w:tc>
              <w:tc>
                <w:tcPr>
                  <w:tcW w:w="1129" w:type="dxa"/>
                  <w:noWrap w:val="0"/>
                  <w:vAlign w:val="center"/>
                </w:tcPr>
                <w:p w14:paraId="1BFA8E11">
                  <w:pPr>
                    <w:widowControl w:val="0"/>
                    <w:adjustRightInd w:val="0"/>
                    <w:snapToGrid w:val="0"/>
                    <w:spacing w:line="276" w:lineRule="auto"/>
                    <w:jc w:val="center"/>
                    <w:rPr>
                      <w:rFonts w:hint="default" w:ascii="Times New Roman" w:hAnsi="Times New Roman" w:eastAsia="宋体" w:cs="Times New Roman"/>
                      <w:b/>
                      <w:bCs/>
                      <w:color w:val="auto"/>
                      <w:kern w:val="0"/>
                      <w:szCs w:val="21"/>
                    </w:rPr>
                  </w:pPr>
                  <w:r>
                    <w:rPr>
                      <w:rFonts w:hint="eastAsia" w:cs="Times New Roman"/>
                      <w:b/>
                      <w:bCs/>
                      <w:kern w:val="2"/>
                      <w:sz w:val="21"/>
                      <w:szCs w:val="21"/>
                      <w:lang w:val="en-US" w:eastAsia="zh-CN"/>
                    </w:rPr>
                    <w:t>118.3</w:t>
                  </w:r>
                  <w:r>
                    <w:rPr>
                      <w:rFonts w:ascii="Times New Roman" w:hAnsi="Times New Roman" w:cs="Times New Roman"/>
                      <w:b/>
                      <w:bCs/>
                      <w:kern w:val="2"/>
                      <w:sz w:val="21"/>
                      <w:szCs w:val="21"/>
                    </w:rPr>
                    <w:t>%</w:t>
                  </w:r>
                </w:p>
              </w:tc>
              <w:tc>
                <w:tcPr>
                  <w:tcW w:w="1095" w:type="dxa"/>
                  <w:noWrap w:val="0"/>
                  <w:vAlign w:val="center"/>
                </w:tcPr>
                <w:p w14:paraId="1653CAA2">
                  <w:pPr>
                    <w:adjustRightInd w:val="0"/>
                    <w:snapToGrid w:val="0"/>
                    <w:spacing w:line="276" w:lineRule="auto"/>
                    <w:jc w:val="center"/>
                    <w:rPr>
                      <w:rFonts w:hint="default" w:ascii="Times New Roman" w:hAnsi="Times New Roman" w:eastAsia="宋体" w:cs="Times New Roman"/>
                      <w:b/>
                      <w:bCs/>
                      <w:color w:val="auto"/>
                      <w:kern w:val="0"/>
                      <w:szCs w:val="21"/>
                    </w:rPr>
                  </w:pPr>
                  <w:r>
                    <w:rPr>
                      <w:rFonts w:ascii="Times New Roman" w:hAnsi="Times New Roman" w:cs="Times New Roman"/>
                      <w:b/>
                      <w:bCs/>
                      <w:kern w:val="2"/>
                      <w:sz w:val="21"/>
                      <w:szCs w:val="21"/>
                    </w:rPr>
                    <w:t>不达标</w:t>
                  </w:r>
                </w:p>
              </w:tc>
            </w:tr>
            <w:tr w14:paraId="4E93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8" w:type="dxa"/>
                  <w:noWrap w:val="0"/>
                  <w:vAlign w:val="center"/>
                </w:tcPr>
                <w:p w14:paraId="1E1CF2FC">
                  <w:pPr>
                    <w:adjustRightInd w:val="0"/>
                    <w:snapToGrid w:val="0"/>
                    <w:spacing w:line="276" w:lineRule="auto"/>
                    <w:jc w:val="center"/>
                    <w:rPr>
                      <w:rFonts w:hint="default" w:ascii="Times New Roman" w:hAnsi="Times New Roman" w:eastAsia="宋体" w:cs="Times New Roman"/>
                      <w:b/>
                      <w:bCs/>
                      <w:color w:val="auto"/>
                      <w:kern w:val="0"/>
                      <w:szCs w:val="21"/>
                    </w:rPr>
                  </w:pPr>
                  <w:r>
                    <w:rPr>
                      <w:rFonts w:ascii="Times New Roman" w:hAnsi="Times New Roman" w:cs="Times New Roman"/>
                      <w:b/>
                      <w:bCs/>
                      <w:kern w:val="2"/>
                      <w:sz w:val="21"/>
                      <w:szCs w:val="21"/>
                    </w:rPr>
                    <w:t>PM</w:t>
                  </w:r>
                  <w:r>
                    <w:rPr>
                      <w:rFonts w:ascii="Times New Roman" w:hAnsi="Times New Roman" w:cs="Times New Roman"/>
                      <w:b/>
                      <w:bCs/>
                      <w:kern w:val="2"/>
                      <w:sz w:val="21"/>
                      <w:szCs w:val="21"/>
                      <w:vertAlign w:val="subscript"/>
                    </w:rPr>
                    <w:t>2.5</w:t>
                  </w:r>
                </w:p>
              </w:tc>
              <w:tc>
                <w:tcPr>
                  <w:tcW w:w="2300" w:type="dxa"/>
                  <w:noWrap w:val="0"/>
                  <w:vAlign w:val="center"/>
                </w:tcPr>
                <w:p w14:paraId="1F14F393">
                  <w:pPr>
                    <w:adjustRightInd w:val="0"/>
                    <w:snapToGrid w:val="0"/>
                    <w:spacing w:line="276" w:lineRule="auto"/>
                    <w:jc w:val="center"/>
                    <w:rPr>
                      <w:rFonts w:hint="default" w:ascii="Times New Roman" w:hAnsi="Times New Roman" w:eastAsia="宋体" w:cs="Times New Roman"/>
                      <w:b/>
                      <w:bCs/>
                      <w:color w:val="auto"/>
                      <w:kern w:val="0"/>
                      <w:szCs w:val="21"/>
                    </w:rPr>
                  </w:pPr>
                  <w:r>
                    <w:rPr>
                      <w:rFonts w:ascii="Times New Roman" w:hAnsi="Times New Roman" w:cs="Times New Roman"/>
                      <w:b/>
                      <w:bCs/>
                      <w:kern w:val="2"/>
                      <w:sz w:val="21"/>
                      <w:szCs w:val="21"/>
                    </w:rPr>
                    <w:t>年平均质量浓度</w:t>
                  </w:r>
                </w:p>
              </w:tc>
              <w:tc>
                <w:tcPr>
                  <w:tcW w:w="1385" w:type="dxa"/>
                  <w:noWrap w:val="0"/>
                  <w:vAlign w:val="center"/>
                </w:tcPr>
                <w:p w14:paraId="15F982BF">
                  <w:pPr>
                    <w:widowControl w:val="0"/>
                    <w:adjustRightInd w:val="0"/>
                    <w:snapToGrid w:val="0"/>
                    <w:spacing w:line="276" w:lineRule="auto"/>
                    <w:jc w:val="center"/>
                    <w:rPr>
                      <w:rFonts w:hint="default" w:ascii="Times New Roman" w:hAnsi="Times New Roman" w:eastAsia="宋体" w:cs="Times New Roman"/>
                      <w:b/>
                      <w:bCs/>
                      <w:color w:val="auto"/>
                      <w:kern w:val="0"/>
                      <w:szCs w:val="21"/>
                      <w:lang w:val="en-US" w:eastAsia="zh-CN"/>
                    </w:rPr>
                  </w:pPr>
                  <w:r>
                    <w:rPr>
                      <w:rFonts w:hint="eastAsia" w:cs="Times New Roman"/>
                      <w:b/>
                      <w:bCs/>
                      <w:color w:val="auto"/>
                      <w:kern w:val="0"/>
                      <w:szCs w:val="21"/>
                      <w:lang w:val="en-US" w:eastAsia="zh-CN"/>
                    </w:rPr>
                    <w:t>43</w:t>
                  </w:r>
                  <w:r>
                    <w:rPr>
                      <w:rFonts w:hint="default" w:ascii="Times New Roman" w:hAnsi="Times New Roman" w:eastAsia="宋体" w:cs="Times New Roman"/>
                      <w:b/>
                      <w:bCs/>
                      <w:color w:val="auto"/>
                      <w:kern w:val="0"/>
                      <w:szCs w:val="21"/>
                    </w:rPr>
                    <w:t>μg/m</w:t>
                  </w:r>
                  <w:r>
                    <w:rPr>
                      <w:rFonts w:hint="default" w:ascii="Times New Roman" w:hAnsi="Times New Roman" w:eastAsia="宋体" w:cs="Times New Roman"/>
                      <w:b/>
                      <w:bCs/>
                      <w:color w:val="auto"/>
                      <w:kern w:val="0"/>
                      <w:szCs w:val="21"/>
                      <w:vertAlign w:val="superscript"/>
                    </w:rPr>
                    <w:t>3</w:t>
                  </w:r>
                </w:p>
              </w:tc>
              <w:tc>
                <w:tcPr>
                  <w:tcW w:w="1100" w:type="dxa"/>
                  <w:noWrap w:val="0"/>
                  <w:vAlign w:val="center"/>
                </w:tcPr>
                <w:p w14:paraId="66AB0B13">
                  <w:pPr>
                    <w:widowControl w:val="0"/>
                    <w:adjustRightInd w:val="0"/>
                    <w:snapToGrid w:val="0"/>
                    <w:spacing w:line="276" w:lineRule="auto"/>
                    <w:jc w:val="center"/>
                    <w:rPr>
                      <w:rFonts w:hint="eastAsia" w:ascii="Times New Roman" w:hAnsi="Times New Roman" w:eastAsia="宋体" w:cs="Times New Roman"/>
                      <w:b/>
                      <w:bCs/>
                      <w:color w:val="auto"/>
                      <w:kern w:val="0"/>
                      <w:szCs w:val="21"/>
                      <w:lang w:val="en-US" w:eastAsia="zh-CN"/>
                    </w:rPr>
                  </w:pPr>
                  <w:r>
                    <w:rPr>
                      <w:rFonts w:ascii="Times New Roman" w:hAnsi="Times New Roman" w:cs="Times New Roman"/>
                      <w:b/>
                      <w:bCs/>
                      <w:kern w:val="2"/>
                      <w:sz w:val="21"/>
                      <w:szCs w:val="21"/>
                    </w:rPr>
                    <w:t>3</w:t>
                  </w:r>
                  <w:r>
                    <w:rPr>
                      <w:rFonts w:hint="eastAsia" w:cs="Times New Roman"/>
                      <w:b/>
                      <w:bCs/>
                      <w:kern w:val="2"/>
                      <w:sz w:val="21"/>
                      <w:szCs w:val="21"/>
                      <w:lang w:val="en-US" w:eastAsia="zh-CN"/>
                    </w:rPr>
                    <w:t>0</w:t>
                  </w:r>
                  <w:r>
                    <w:rPr>
                      <w:rFonts w:hint="default" w:ascii="Times New Roman" w:hAnsi="Times New Roman" w:eastAsia="宋体" w:cs="Times New Roman"/>
                      <w:b/>
                      <w:bCs/>
                      <w:color w:val="auto"/>
                      <w:kern w:val="0"/>
                      <w:szCs w:val="21"/>
                    </w:rPr>
                    <w:t>μg/m</w:t>
                  </w:r>
                  <w:r>
                    <w:rPr>
                      <w:rFonts w:hint="default" w:ascii="Times New Roman" w:hAnsi="Times New Roman" w:eastAsia="宋体" w:cs="Times New Roman"/>
                      <w:b/>
                      <w:bCs/>
                      <w:color w:val="auto"/>
                      <w:kern w:val="0"/>
                      <w:szCs w:val="21"/>
                      <w:vertAlign w:val="superscript"/>
                    </w:rPr>
                    <w:t>3</w:t>
                  </w:r>
                </w:p>
              </w:tc>
              <w:tc>
                <w:tcPr>
                  <w:tcW w:w="1129" w:type="dxa"/>
                  <w:noWrap w:val="0"/>
                  <w:vAlign w:val="center"/>
                </w:tcPr>
                <w:p w14:paraId="61CF2C78">
                  <w:pPr>
                    <w:widowControl w:val="0"/>
                    <w:adjustRightInd w:val="0"/>
                    <w:snapToGrid w:val="0"/>
                    <w:spacing w:line="276" w:lineRule="auto"/>
                    <w:jc w:val="center"/>
                    <w:rPr>
                      <w:rFonts w:hint="default" w:ascii="Times New Roman" w:hAnsi="Times New Roman" w:eastAsia="宋体" w:cs="Times New Roman"/>
                      <w:b/>
                      <w:bCs/>
                      <w:color w:val="auto"/>
                      <w:kern w:val="0"/>
                      <w:szCs w:val="21"/>
                    </w:rPr>
                  </w:pPr>
                  <w:r>
                    <w:rPr>
                      <w:rFonts w:hint="eastAsia" w:cs="Times New Roman"/>
                      <w:b/>
                      <w:bCs/>
                      <w:kern w:val="2"/>
                      <w:sz w:val="21"/>
                      <w:szCs w:val="21"/>
                      <w:lang w:val="en-US" w:eastAsia="zh-CN"/>
                    </w:rPr>
                    <w:t>143.3</w:t>
                  </w:r>
                  <w:r>
                    <w:rPr>
                      <w:rFonts w:ascii="Times New Roman" w:hAnsi="Times New Roman" w:cs="Times New Roman"/>
                      <w:b/>
                      <w:bCs/>
                      <w:kern w:val="2"/>
                      <w:sz w:val="21"/>
                      <w:szCs w:val="21"/>
                    </w:rPr>
                    <w:t>%</w:t>
                  </w:r>
                </w:p>
              </w:tc>
              <w:tc>
                <w:tcPr>
                  <w:tcW w:w="1095" w:type="dxa"/>
                  <w:noWrap w:val="0"/>
                  <w:vAlign w:val="center"/>
                </w:tcPr>
                <w:p w14:paraId="5B48F728">
                  <w:pPr>
                    <w:adjustRightInd w:val="0"/>
                    <w:snapToGrid w:val="0"/>
                    <w:spacing w:line="276" w:lineRule="auto"/>
                    <w:jc w:val="center"/>
                    <w:rPr>
                      <w:rFonts w:hint="default" w:ascii="Times New Roman" w:hAnsi="Times New Roman" w:eastAsia="宋体" w:cs="Times New Roman"/>
                      <w:b/>
                      <w:bCs/>
                      <w:color w:val="auto"/>
                      <w:kern w:val="0"/>
                      <w:szCs w:val="21"/>
                    </w:rPr>
                  </w:pPr>
                  <w:r>
                    <w:rPr>
                      <w:rFonts w:ascii="Times New Roman" w:hAnsi="Times New Roman" w:cs="Times New Roman"/>
                      <w:b/>
                      <w:bCs/>
                      <w:kern w:val="2"/>
                      <w:sz w:val="21"/>
                      <w:szCs w:val="21"/>
                    </w:rPr>
                    <w:t>不达标</w:t>
                  </w:r>
                </w:p>
              </w:tc>
            </w:tr>
            <w:tr w14:paraId="0F34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948" w:type="dxa"/>
                  <w:noWrap w:val="0"/>
                  <w:vAlign w:val="center"/>
                </w:tcPr>
                <w:p w14:paraId="483DC7B3">
                  <w:pPr>
                    <w:adjustRightInd w:val="0"/>
                    <w:snapToGrid w:val="0"/>
                    <w:spacing w:line="276" w:lineRule="auto"/>
                    <w:jc w:val="center"/>
                    <w:rPr>
                      <w:rFonts w:hint="default" w:ascii="Times New Roman" w:hAnsi="Times New Roman" w:eastAsia="宋体" w:cs="Times New Roman"/>
                      <w:color w:val="auto"/>
                      <w:kern w:val="0"/>
                      <w:szCs w:val="21"/>
                    </w:rPr>
                  </w:pPr>
                  <w:r>
                    <w:rPr>
                      <w:rFonts w:ascii="Times New Roman" w:hAnsi="Times New Roman" w:cs="Times New Roman"/>
                      <w:kern w:val="2"/>
                      <w:sz w:val="21"/>
                      <w:szCs w:val="21"/>
                    </w:rPr>
                    <w:t>CO</w:t>
                  </w:r>
                </w:p>
              </w:tc>
              <w:tc>
                <w:tcPr>
                  <w:tcW w:w="2300" w:type="dxa"/>
                  <w:noWrap w:val="0"/>
                  <w:vAlign w:val="center"/>
                </w:tcPr>
                <w:p w14:paraId="359F192E">
                  <w:pPr>
                    <w:adjustRightInd w:val="0"/>
                    <w:snapToGrid w:val="0"/>
                    <w:spacing w:line="276" w:lineRule="auto"/>
                    <w:jc w:val="center"/>
                    <w:rPr>
                      <w:rFonts w:hint="default" w:ascii="Times New Roman" w:hAnsi="Times New Roman" w:eastAsia="宋体" w:cs="Times New Roman"/>
                      <w:color w:val="auto"/>
                      <w:kern w:val="0"/>
                      <w:szCs w:val="21"/>
                    </w:rPr>
                  </w:pPr>
                  <w:r>
                    <w:rPr>
                      <w:rFonts w:ascii="Times New Roman" w:hAnsi="Times New Roman" w:cs="Times New Roman"/>
                      <w:kern w:val="2"/>
                      <w:sz w:val="21"/>
                      <w:szCs w:val="21"/>
                    </w:rPr>
                    <w:t>24小时平均第95百分位数</w:t>
                  </w:r>
                </w:p>
              </w:tc>
              <w:tc>
                <w:tcPr>
                  <w:tcW w:w="1385" w:type="dxa"/>
                  <w:noWrap w:val="0"/>
                  <w:vAlign w:val="center"/>
                </w:tcPr>
                <w:p w14:paraId="0FC76413">
                  <w:pPr>
                    <w:widowControl w:val="0"/>
                    <w:adjustRightInd w:val="0"/>
                    <w:snapToGrid w:val="0"/>
                    <w:spacing w:line="276" w:lineRule="auto"/>
                    <w:jc w:val="center"/>
                    <w:rPr>
                      <w:rFonts w:hint="default" w:ascii="Times New Roman" w:hAnsi="Times New Roman" w:eastAsia="宋体" w:cs="Times New Roman"/>
                      <w:b w:val="0"/>
                      <w:bCs w:val="0"/>
                      <w:color w:val="auto"/>
                      <w:kern w:val="0"/>
                      <w:szCs w:val="21"/>
                    </w:rPr>
                  </w:pPr>
                  <w:r>
                    <w:rPr>
                      <w:rFonts w:hint="eastAsia" w:cs="Times New Roman"/>
                      <w:b w:val="0"/>
                      <w:bCs w:val="0"/>
                      <w:kern w:val="2"/>
                      <w:sz w:val="21"/>
                      <w:szCs w:val="21"/>
                      <w:lang w:val="en-US" w:eastAsia="zh-CN"/>
                    </w:rPr>
                    <w:t>0.</w:t>
                  </w:r>
                  <w:r>
                    <w:rPr>
                      <w:rFonts w:hint="eastAsia" w:ascii="Times New Roman" w:hAnsi="Times New Roman" w:cs="Times New Roman"/>
                      <w:b w:val="0"/>
                      <w:bCs w:val="0"/>
                      <w:kern w:val="2"/>
                      <w:sz w:val="21"/>
                      <w:szCs w:val="21"/>
                    </w:rPr>
                    <w:t>9</w:t>
                  </w:r>
                  <w:r>
                    <w:rPr>
                      <w:rFonts w:hint="eastAsia" w:cs="Times New Roman"/>
                      <w:b w:val="0"/>
                      <w:bCs w:val="0"/>
                      <w:color w:val="auto"/>
                      <w:kern w:val="0"/>
                      <w:szCs w:val="21"/>
                      <w:lang w:val="en-US" w:eastAsia="zh-CN"/>
                    </w:rPr>
                    <w:t>m</w:t>
                  </w:r>
                  <w:r>
                    <w:rPr>
                      <w:rFonts w:hint="default" w:ascii="Times New Roman" w:hAnsi="Times New Roman" w:eastAsia="宋体" w:cs="Times New Roman"/>
                      <w:b w:val="0"/>
                      <w:bCs w:val="0"/>
                      <w:color w:val="auto"/>
                      <w:kern w:val="0"/>
                      <w:szCs w:val="21"/>
                    </w:rPr>
                    <w:t>g/m</w:t>
                  </w:r>
                  <w:r>
                    <w:rPr>
                      <w:rFonts w:hint="default" w:ascii="Times New Roman" w:hAnsi="Times New Roman" w:eastAsia="宋体" w:cs="Times New Roman"/>
                      <w:b w:val="0"/>
                      <w:bCs w:val="0"/>
                      <w:color w:val="auto"/>
                      <w:kern w:val="0"/>
                      <w:szCs w:val="21"/>
                      <w:vertAlign w:val="superscript"/>
                    </w:rPr>
                    <w:t>3</w:t>
                  </w:r>
                </w:p>
              </w:tc>
              <w:tc>
                <w:tcPr>
                  <w:tcW w:w="1100" w:type="dxa"/>
                  <w:noWrap w:val="0"/>
                  <w:vAlign w:val="center"/>
                </w:tcPr>
                <w:p w14:paraId="7D069884">
                  <w:pPr>
                    <w:widowControl w:val="0"/>
                    <w:adjustRightInd w:val="0"/>
                    <w:snapToGrid w:val="0"/>
                    <w:spacing w:line="276" w:lineRule="auto"/>
                    <w:jc w:val="center"/>
                    <w:rPr>
                      <w:rFonts w:hint="default" w:ascii="Times New Roman" w:hAnsi="Times New Roman" w:eastAsia="宋体" w:cs="Times New Roman"/>
                      <w:b w:val="0"/>
                      <w:bCs w:val="0"/>
                      <w:color w:val="auto"/>
                      <w:kern w:val="0"/>
                      <w:szCs w:val="21"/>
                    </w:rPr>
                  </w:pPr>
                  <w:r>
                    <w:rPr>
                      <w:rFonts w:ascii="Times New Roman" w:hAnsi="Times New Roman" w:cs="Times New Roman"/>
                      <w:b w:val="0"/>
                      <w:bCs w:val="0"/>
                      <w:kern w:val="2"/>
                      <w:sz w:val="21"/>
                      <w:szCs w:val="21"/>
                    </w:rPr>
                    <w:t>4</w:t>
                  </w:r>
                  <w:r>
                    <w:rPr>
                      <w:rFonts w:hint="eastAsia" w:cs="Times New Roman"/>
                      <w:b w:val="0"/>
                      <w:bCs w:val="0"/>
                      <w:color w:val="auto"/>
                      <w:kern w:val="0"/>
                      <w:szCs w:val="21"/>
                      <w:lang w:val="en-US" w:eastAsia="zh-CN"/>
                    </w:rPr>
                    <w:t>m</w:t>
                  </w:r>
                  <w:r>
                    <w:rPr>
                      <w:rFonts w:hint="default" w:ascii="Times New Roman" w:hAnsi="Times New Roman" w:eastAsia="宋体" w:cs="Times New Roman"/>
                      <w:b w:val="0"/>
                      <w:bCs w:val="0"/>
                      <w:color w:val="auto"/>
                      <w:kern w:val="0"/>
                      <w:szCs w:val="21"/>
                    </w:rPr>
                    <w:t>g/m</w:t>
                  </w:r>
                  <w:r>
                    <w:rPr>
                      <w:rFonts w:hint="default" w:ascii="Times New Roman" w:hAnsi="Times New Roman" w:eastAsia="宋体" w:cs="Times New Roman"/>
                      <w:b w:val="0"/>
                      <w:bCs w:val="0"/>
                      <w:color w:val="auto"/>
                      <w:kern w:val="0"/>
                      <w:szCs w:val="21"/>
                      <w:vertAlign w:val="superscript"/>
                    </w:rPr>
                    <w:t>3</w:t>
                  </w:r>
                </w:p>
              </w:tc>
              <w:tc>
                <w:tcPr>
                  <w:tcW w:w="1129" w:type="dxa"/>
                  <w:noWrap w:val="0"/>
                  <w:vAlign w:val="center"/>
                </w:tcPr>
                <w:p w14:paraId="686FCC09">
                  <w:pPr>
                    <w:widowControl w:val="0"/>
                    <w:adjustRightInd w:val="0"/>
                    <w:snapToGrid w:val="0"/>
                    <w:spacing w:line="276" w:lineRule="auto"/>
                    <w:jc w:val="center"/>
                    <w:rPr>
                      <w:rFonts w:hint="default" w:ascii="Times New Roman" w:hAnsi="Times New Roman" w:eastAsia="宋体" w:cs="Times New Roman"/>
                      <w:color w:val="auto"/>
                      <w:kern w:val="0"/>
                      <w:szCs w:val="21"/>
                    </w:rPr>
                  </w:pPr>
                  <w:r>
                    <w:rPr>
                      <w:rFonts w:hint="eastAsia" w:ascii="Times New Roman" w:hAnsi="Times New Roman" w:cs="Times New Roman"/>
                      <w:kern w:val="2"/>
                      <w:sz w:val="21"/>
                      <w:szCs w:val="21"/>
                    </w:rPr>
                    <w:t>22.50</w:t>
                  </w:r>
                  <w:r>
                    <w:rPr>
                      <w:rFonts w:ascii="Times New Roman" w:hAnsi="Times New Roman" w:cs="Times New Roman"/>
                      <w:kern w:val="2"/>
                      <w:sz w:val="21"/>
                      <w:szCs w:val="21"/>
                    </w:rPr>
                    <w:t>%</w:t>
                  </w:r>
                </w:p>
              </w:tc>
              <w:tc>
                <w:tcPr>
                  <w:tcW w:w="1095" w:type="dxa"/>
                  <w:noWrap w:val="0"/>
                  <w:vAlign w:val="center"/>
                </w:tcPr>
                <w:p w14:paraId="5485A319">
                  <w:pPr>
                    <w:adjustRightInd w:val="0"/>
                    <w:snapToGrid w:val="0"/>
                    <w:spacing w:line="276" w:lineRule="auto"/>
                    <w:jc w:val="center"/>
                    <w:rPr>
                      <w:rFonts w:hint="default" w:ascii="Times New Roman" w:hAnsi="Times New Roman" w:eastAsia="宋体" w:cs="Times New Roman"/>
                      <w:color w:val="auto"/>
                      <w:kern w:val="0"/>
                      <w:szCs w:val="21"/>
                    </w:rPr>
                  </w:pPr>
                  <w:r>
                    <w:rPr>
                      <w:rFonts w:ascii="Times New Roman" w:hAnsi="Times New Roman" w:cs="Times New Roman"/>
                      <w:kern w:val="2"/>
                      <w:sz w:val="21"/>
                      <w:szCs w:val="21"/>
                    </w:rPr>
                    <w:t>达标</w:t>
                  </w:r>
                </w:p>
              </w:tc>
            </w:tr>
            <w:tr w14:paraId="6CAA2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948" w:type="dxa"/>
                  <w:noWrap w:val="0"/>
                  <w:vAlign w:val="center"/>
                </w:tcPr>
                <w:p w14:paraId="6BD94485">
                  <w:pPr>
                    <w:adjustRightInd w:val="0"/>
                    <w:snapToGrid w:val="0"/>
                    <w:spacing w:line="276" w:lineRule="auto"/>
                    <w:jc w:val="center"/>
                    <w:rPr>
                      <w:rFonts w:hint="default" w:ascii="Times New Roman" w:hAnsi="Times New Roman" w:eastAsia="宋体" w:cs="Times New Roman"/>
                      <w:color w:val="auto"/>
                      <w:kern w:val="0"/>
                      <w:szCs w:val="21"/>
                    </w:rPr>
                  </w:pPr>
                  <w:r>
                    <w:rPr>
                      <w:rFonts w:ascii="Times New Roman" w:hAnsi="Times New Roman" w:cs="Times New Roman"/>
                      <w:kern w:val="2"/>
                      <w:sz w:val="21"/>
                      <w:szCs w:val="21"/>
                    </w:rPr>
                    <w:t>O</w:t>
                  </w:r>
                  <w:r>
                    <w:rPr>
                      <w:rFonts w:ascii="Times New Roman" w:hAnsi="Times New Roman" w:cs="Times New Roman"/>
                      <w:kern w:val="2"/>
                      <w:sz w:val="21"/>
                      <w:szCs w:val="21"/>
                      <w:vertAlign w:val="subscript"/>
                    </w:rPr>
                    <w:t>3</w:t>
                  </w:r>
                </w:p>
              </w:tc>
              <w:tc>
                <w:tcPr>
                  <w:tcW w:w="2300" w:type="dxa"/>
                  <w:noWrap w:val="0"/>
                  <w:vAlign w:val="center"/>
                </w:tcPr>
                <w:p w14:paraId="197D1D34">
                  <w:pPr>
                    <w:adjustRightInd w:val="0"/>
                    <w:snapToGrid w:val="0"/>
                    <w:spacing w:line="276" w:lineRule="auto"/>
                    <w:jc w:val="center"/>
                    <w:rPr>
                      <w:rFonts w:hint="default" w:ascii="Times New Roman" w:hAnsi="Times New Roman" w:eastAsia="宋体" w:cs="Times New Roman"/>
                      <w:color w:val="auto"/>
                      <w:kern w:val="0"/>
                      <w:szCs w:val="21"/>
                    </w:rPr>
                  </w:pPr>
                  <w:r>
                    <w:rPr>
                      <w:rFonts w:ascii="Times New Roman" w:hAnsi="Times New Roman" w:cs="Times New Roman"/>
                      <w:kern w:val="2"/>
                      <w:sz w:val="21"/>
                      <w:szCs w:val="21"/>
                    </w:rPr>
                    <w:t>日最大8小时平均第90百分位数</w:t>
                  </w:r>
                </w:p>
              </w:tc>
              <w:tc>
                <w:tcPr>
                  <w:tcW w:w="1385" w:type="dxa"/>
                  <w:noWrap w:val="0"/>
                  <w:vAlign w:val="center"/>
                </w:tcPr>
                <w:p w14:paraId="688B91CA">
                  <w:pPr>
                    <w:widowControl w:val="0"/>
                    <w:adjustRightInd w:val="0"/>
                    <w:snapToGrid w:val="0"/>
                    <w:spacing w:line="276" w:lineRule="auto"/>
                    <w:jc w:val="center"/>
                    <w:rPr>
                      <w:rFonts w:hint="default" w:ascii="Times New Roman" w:hAnsi="Times New Roman" w:eastAsia="宋体" w:cs="Times New Roman"/>
                      <w:b w:val="0"/>
                      <w:bCs w:val="0"/>
                      <w:color w:val="auto"/>
                      <w:kern w:val="0"/>
                      <w:szCs w:val="21"/>
                      <w:lang w:val="en-US" w:eastAsia="zh-CN"/>
                    </w:rPr>
                  </w:pPr>
                  <w:r>
                    <w:rPr>
                      <w:rFonts w:ascii="Times New Roman" w:hAnsi="Times New Roman" w:cs="Times New Roman"/>
                      <w:b w:val="0"/>
                      <w:bCs w:val="0"/>
                      <w:kern w:val="2"/>
                      <w:sz w:val="21"/>
                      <w:szCs w:val="21"/>
                    </w:rPr>
                    <w:t>1</w:t>
                  </w:r>
                  <w:r>
                    <w:rPr>
                      <w:rFonts w:hint="eastAsia" w:cs="Times New Roman"/>
                      <w:b w:val="0"/>
                      <w:bCs w:val="0"/>
                      <w:kern w:val="2"/>
                      <w:sz w:val="21"/>
                      <w:szCs w:val="21"/>
                      <w:lang w:val="en-US" w:eastAsia="zh-CN"/>
                    </w:rPr>
                    <w:t>70</w:t>
                  </w:r>
                  <w:r>
                    <w:rPr>
                      <w:rFonts w:hint="default" w:ascii="Times New Roman" w:hAnsi="Times New Roman" w:eastAsia="宋体" w:cs="Times New Roman"/>
                      <w:b w:val="0"/>
                      <w:bCs w:val="0"/>
                      <w:color w:val="auto"/>
                      <w:kern w:val="0"/>
                      <w:szCs w:val="21"/>
                    </w:rPr>
                    <w:t>μg/m</w:t>
                  </w:r>
                  <w:r>
                    <w:rPr>
                      <w:rFonts w:hint="default" w:ascii="Times New Roman" w:hAnsi="Times New Roman" w:eastAsia="宋体" w:cs="Times New Roman"/>
                      <w:b w:val="0"/>
                      <w:bCs w:val="0"/>
                      <w:color w:val="auto"/>
                      <w:kern w:val="0"/>
                      <w:szCs w:val="21"/>
                      <w:vertAlign w:val="superscript"/>
                    </w:rPr>
                    <w:t>3</w:t>
                  </w:r>
                </w:p>
              </w:tc>
              <w:tc>
                <w:tcPr>
                  <w:tcW w:w="1100" w:type="dxa"/>
                  <w:noWrap w:val="0"/>
                  <w:vAlign w:val="center"/>
                </w:tcPr>
                <w:p w14:paraId="03B89FC7">
                  <w:pPr>
                    <w:widowControl w:val="0"/>
                    <w:adjustRightInd w:val="0"/>
                    <w:snapToGrid w:val="0"/>
                    <w:spacing w:line="276" w:lineRule="auto"/>
                    <w:jc w:val="center"/>
                    <w:rPr>
                      <w:rFonts w:hint="default" w:ascii="Times New Roman" w:hAnsi="Times New Roman" w:eastAsia="宋体" w:cs="Times New Roman"/>
                      <w:b w:val="0"/>
                      <w:bCs w:val="0"/>
                      <w:color w:val="auto"/>
                      <w:kern w:val="0"/>
                      <w:szCs w:val="21"/>
                    </w:rPr>
                  </w:pPr>
                  <w:r>
                    <w:rPr>
                      <w:rFonts w:ascii="Times New Roman" w:hAnsi="Times New Roman" w:cs="Times New Roman"/>
                      <w:b w:val="0"/>
                      <w:bCs w:val="0"/>
                      <w:kern w:val="2"/>
                      <w:sz w:val="21"/>
                      <w:szCs w:val="21"/>
                    </w:rPr>
                    <w:t>160</w:t>
                  </w:r>
                  <w:r>
                    <w:rPr>
                      <w:rFonts w:hint="default" w:ascii="Times New Roman" w:hAnsi="Times New Roman" w:eastAsia="宋体" w:cs="Times New Roman"/>
                      <w:b w:val="0"/>
                      <w:bCs w:val="0"/>
                      <w:color w:val="auto"/>
                      <w:kern w:val="0"/>
                      <w:szCs w:val="21"/>
                    </w:rPr>
                    <w:t>μg/m</w:t>
                  </w:r>
                  <w:r>
                    <w:rPr>
                      <w:rFonts w:hint="default" w:ascii="Times New Roman" w:hAnsi="Times New Roman" w:eastAsia="宋体" w:cs="Times New Roman"/>
                      <w:b w:val="0"/>
                      <w:bCs w:val="0"/>
                      <w:color w:val="auto"/>
                      <w:kern w:val="0"/>
                      <w:szCs w:val="21"/>
                      <w:vertAlign w:val="superscript"/>
                    </w:rPr>
                    <w:t>3</w:t>
                  </w:r>
                </w:p>
              </w:tc>
              <w:tc>
                <w:tcPr>
                  <w:tcW w:w="1129" w:type="dxa"/>
                  <w:noWrap w:val="0"/>
                  <w:vAlign w:val="center"/>
                </w:tcPr>
                <w:p w14:paraId="2466FDB7">
                  <w:pPr>
                    <w:widowControl w:val="0"/>
                    <w:adjustRightInd w:val="0"/>
                    <w:snapToGrid w:val="0"/>
                    <w:spacing w:line="276" w:lineRule="auto"/>
                    <w:jc w:val="center"/>
                    <w:rPr>
                      <w:rFonts w:hint="default" w:ascii="Times New Roman" w:hAnsi="Times New Roman" w:eastAsia="宋体" w:cs="Times New Roman"/>
                      <w:color w:val="auto"/>
                      <w:kern w:val="0"/>
                      <w:szCs w:val="21"/>
                    </w:rPr>
                  </w:pPr>
                  <w:r>
                    <w:rPr>
                      <w:rFonts w:hint="eastAsia" w:ascii="Times New Roman" w:hAnsi="Times New Roman" w:cs="Times New Roman"/>
                      <w:kern w:val="2"/>
                      <w:sz w:val="21"/>
                      <w:szCs w:val="21"/>
                    </w:rPr>
                    <w:t>10</w:t>
                  </w:r>
                  <w:r>
                    <w:rPr>
                      <w:rFonts w:hint="eastAsia" w:cs="Times New Roman"/>
                      <w:kern w:val="2"/>
                      <w:sz w:val="21"/>
                      <w:szCs w:val="21"/>
                      <w:lang w:val="en-US" w:eastAsia="zh-CN"/>
                    </w:rPr>
                    <w:t>6.3</w:t>
                  </w:r>
                  <w:r>
                    <w:rPr>
                      <w:rFonts w:ascii="Times New Roman" w:hAnsi="Times New Roman" w:cs="Times New Roman"/>
                      <w:kern w:val="2"/>
                      <w:sz w:val="21"/>
                      <w:szCs w:val="21"/>
                    </w:rPr>
                    <w:t>%</w:t>
                  </w:r>
                </w:p>
              </w:tc>
              <w:tc>
                <w:tcPr>
                  <w:tcW w:w="1095" w:type="dxa"/>
                  <w:noWrap w:val="0"/>
                  <w:vAlign w:val="center"/>
                </w:tcPr>
                <w:p w14:paraId="2C045EA6">
                  <w:pPr>
                    <w:adjustRightInd w:val="0"/>
                    <w:snapToGrid w:val="0"/>
                    <w:spacing w:line="276" w:lineRule="auto"/>
                    <w:jc w:val="center"/>
                    <w:rPr>
                      <w:rFonts w:hint="default" w:ascii="Times New Roman" w:hAnsi="Times New Roman" w:eastAsia="宋体" w:cs="Times New Roman"/>
                      <w:color w:val="auto"/>
                      <w:kern w:val="0"/>
                      <w:szCs w:val="21"/>
                    </w:rPr>
                  </w:pPr>
                  <w:r>
                    <w:rPr>
                      <w:rFonts w:ascii="Times New Roman" w:hAnsi="Times New Roman" w:cs="Times New Roman"/>
                      <w:kern w:val="2"/>
                      <w:sz w:val="21"/>
                      <w:szCs w:val="21"/>
                    </w:rPr>
                    <w:t>达标</w:t>
                  </w:r>
                </w:p>
              </w:tc>
            </w:tr>
          </w:tbl>
          <w:p w14:paraId="6A5A0D37">
            <w:pPr>
              <w:spacing w:before="120" w:beforeLines="50" w:line="360" w:lineRule="auto"/>
              <w:ind w:firstLine="480" w:firstLineChars="200"/>
              <w:rPr>
                <w:szCs w:val="32"/>
              </w:rPr>
            </w:pPr>
            <w:r>
              <w:rPr>
                <w:rFonts w:hint="eastAsia" w:ascii="Times New Roman" w:hAnsi="Times New Roman" w:eastAsia="宋体" w:cs="Times New Roman"/>
                <w:color w:val="auto"/>
                <w:sz w:val="24"/>
                <w:szCs w:val="24"/>
                <w:lang w:val="en-US" w:eastAsia="zh-CN"/>
              </w:rPr>
              <w:t>由上表可知，</w:t>
            </w:r>
            <w:r>
              <w:rPr>
                <w:rFonts w:hint="default" w:ascii="Times New Roman" w:hAnsi="Times New Roman" w:eastAsia="宋体" w:cs="Times New Roman"/>
                <w:color w:val="auto"/>
                <w:sz w:val="24"/>
                <w:szCs w:val="24"/>
              </w:rPr>
              <w:t>宿州市202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度</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eastAsia"/>
                <w:color w:val="000000"/>
                <w:sz w:val="24"/>
              </w:rPr>
              <w:t>年平均质量浓度</w:t>
            </w:r>
            <w:r>
              <w:rPr>
                <w:rFonts w:hint="eastAsia"/>
                <w:color w:val="000000"/>
                <w:sz w:val="24"/>
                <w:lang w:eastAsia="zh-CN"/>
              </w:rPr>
              <w:t>、</w:t>
            </w:r>
            <w:r>
              <w:rPr>
                <w:rFonts w:hint="eastAsia"/>
                <w:color w:val="000000"/>
                <w:sz w:val="24"/>
              </w:rPr>
              <w:t>臭氧日最大8小时滑动平均值的90百分位数浓度值</w:t>
            </w:r>
            <w:r>
              <w:rPr>
                <w:rFonts w:hint="eastAsia"/>
                <w:color w:val="000000"/>
                <w:sz w:val="24"/>
                <w:lang w:val="en-US" w:eastAsia="zh-CN"/>
              </w:rPr>
              <w:t>以及CO</w:t>
            </w:r>
            <w:r>
              <w:rPr>
                <w:rFonts w:hint="eastAsia"/>
                <w:color w:val="000000"/>
                <w:sz w:val="24"/>
              </w:rPr>
              <w:t>日均值第9</w:t>
            </w:r>
            <w:r>
              <w:rPr>
                <w:color w:val="000000"/>
                <w:sz w:val="24"/>
              </w:rPr>
              <w:t>5</w:t>
            </w:r>
            <w:r>
              <w:rPr>
                <w:rFonts w:hint="eastAsia"/>
                <w:color w:val="000000"/>
                <w:sz w:val="24"/>
              </w:rPr>
              <w:t>百分位数浓度值均满足</w:t>
            </w:r>
            <w:r>
              <w:rPr>
                <w:rFonts w:hint="eastAsia"/>
                <w:color w:val="auto"/>
                <w:sz w:val="24"/>
                <w:szCs w:val="32"/>
                <w:lang w:val="en-US" w:eastAsia="zh-CN"/>
              </w:rPr>
              <w:t>《环境空气质量标准》（GB3095-2026）表1中过渡阶段二级标准浓度限值要求</w:t>
            </w:r>
            <w:r>
              <w:rPr>
                <w:rFonts w:hint="eastAsia"/>
                <w:color w:val="000000"/>
                <w:sz w:val="24"/>
                <w:lang w:eastAsia="zh-CN"/>
              </w:rPr>
              <w:t>，</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eastAsia"/>
                <w:color w:val="000000"/>
                <w:sz w:val="24"/>
                <w:lang w:eastAsia="zh-CN"/>
              </w:rPr>
              <w:t>、</w:t>
            </w:r>
            <w:r>
              <w:rPr>
                <w:rFonts w:hint="eastAsia"/>
                <w:color w:val="000000"/>
                <w:sz w:val="24"/>
                <w:lang w:val="en-US" w:eastAsia="zh-CN"/>
              </w:rPr>
              <w:t>PM</w:t>
            </w:r>
            <w:r>
              <w:rPr>
                <w:rFonts w:hint="eastAsia"/>
                <w:color w:val="000000"/>
                <w:sz w:val="24"/>
                <w:vertAlign w:val="subscript"/>
                <w:lang w:val="en-US" w:eastAsia="zh-CN"/>
              </w:rPr>
              <w:t>2.5</w:t>
            </w:r>
            <w:r>
              <w:rPr>
                <w:rFonts w:hint="eastAsia"/>
                <w:color w:val="000000"/>
                <w:sz w:val="24"/>
                <w:lang w:val="en-US" w:eastAsia="zh-CN"/>
              </w:rPr>
              <w:t>年平均浓度</w:t>
            </w:r>
            <w:r>
              <w:rPr>
                <w:rFonts w:hint="eastAsia"/>
                <w:color w:val="000000"/>
                <w:sz w:val="24"/>
              </w:rPr>
              <w:t>均</w:t>
            </w:r>
            <w:r>
              <w:rPr>
                <w:rFonts w:hint="eastAsia"/>
                <w:color w:val="000000"/>
                <w:sz w:val="24"/>
                <w:lang w:val="en-US" w:eastAsia="zh-CN"/>
              </w:rPr>
              <w:t>不能</w:t>
            </w:r>
            <w:r>
              <w:rPr>
                <w:rFonts w:hint="eastAsia"/>
                <w:color w:val="000000"/>
                <w:sz w:val="24"/>
              </w:rPr>
              <w:t>满足</w:t>
            </w:r>
            <w:r>
              <w:rPr>
                <w:rFonts w:hint="eastAsia"/>
                <w:color w:val="auto"/>
                <w:sz w:val="24"/>
                <w:szCs w:val="32"/>
                <w:lang w:val="en-US" w:eastAsia="zh-CN"/>
              </w:rPr>
              <w:t>《环境空气质量标准》（GB3095-2026）表1中过渡阶段二级标准浓度限值要求</w:t>
            </w:r>
            <w:r>
              <w:rPr>
                <w:color w:val="000000"/>
                <w:sz w:val="24"/>
              </w:rPr>
              <w:t>。根据《环境影响评价技术导则 大气环境》（HJ2.2-2018），项目所在区域判定为</w:t>
            </w:r>
            <w:r>
              <w:rPr>
                <w:rFonts w:hint="eastAsia"/>
                <w:color w:val="000000"/>
                <w:sz w:val="24"/>
                <w:lang w:val="en-US" w:eastAsia="zh-CN"/>
              </w:rPr>
              <w:t>不</w:t>
            </w:r>
            <w:r>
              <w:rPr>
                <w:color w:val="000000"/>
                <w:sz w:val="24"/>
              </w:rPr>
              <w:t>达标区。</w:t>
            </w:r>
          </w:p>
          <w:p w14:paraId="4CDF8795">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限期达标方案</w:t>
            </w:r>
          </w:p>
          <w:p w14:paraId="4BA1395A">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针对基本污染物不达标问题，宿州市人民政府决定采取措施进行区域整改，具体整改措施如下：在加大调整产业结构、强化环境监督、综合整治面源污染的同时，进一步完善工业污染源治理，取缔分散居民燃煤锅炉的使用，加强施工临时堆土管理及车辆运输管理；加大区域产业布局调整力度。加快城市建成区及临近周边重污染企业搬迁改造或关闭退出，推动实施低端化工等重污染企业搬迁工程。禁止新增化工园区，加大现有化工园区整治力度。已明确的退城企业，要明确时间表，逾期不退城的予以停产；严格控制</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两高</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行业产能；强化</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散乱污</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企业综合整治；深化工业污染治理；大力培育绿色环保产业；加快调整能源结构，构建清洁低碳高效能源体系；积极调整运输结构，发展绿色交通体系等，采取以上措施，使宿州市区域环境空气质量大大改善。</w:t>
            </w:r>
          </w:p>
          <w:p w14:paraId="143A55BD">
            <w:pPr>
              <w:spacing w:line="360" w:lineRule="auto"/>
              <w:rPr>
                <w:b/>
                <w:color w:val="000000"/>
                <w:sz w:val="24"/>
              </w:rPr>
            </w:pPr>
            <w:r>
              <w:rPr>
                <w:b/>
                <w:color w:val="000000"/>
                <w:sz w:val="24"/>
              </w:rPr>
              <w:t>3.1.2地表水环境质量现状</w:t>
            </w:r>
          </w:p>
          <w:p w14:paraId="2996BBA9">
            <w:pPr>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rPr>
              <w:t>《宿州市202</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rPr>
              <w:t>年环境质量状况报告》</w:t>
            </w:r>
            <w:r>
              <w:rPr>
                <w:rFonts w:hint="eastAsia" w:cs="Times New Roman"/>
                <w:color w:val="auto"/>
                <w:sz w:val="24"/>
                <w:szCs w:val="24"/>
                <w:lang w:val="en-US" w:eastAsia="zh-CN"/>
              </w:rPr>
              <w:t>可知</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宿州</w:t>
            </w:r>
            <w:r>
              <w:rPr>
                <w:rFonts w:hint="default" w:ascii="Times New Roman" w:hAnsi="Times New Roman" w:eastAsia="宋体" w:cs="Times New Roman"/>
                <w:color w:val="auto"/>
                <w:sz w:val="24"/>
                <w:szCs w:val="24"/>
              </w:rPr>
              <w:t>市水环境质量</w:t>
            </w:r>
            <w:r>
              <w:rPr>
                <w:rFonts w:hint="eastAsia" w:cs="Times New Roman"/>
                <w:color w:val="auto"/>
                <w:sz w:val="24"/>
                <w:szCs w:val="24"/>
                <w:lang w:val="en-US" w:eastAsia="zh-CN"/>
              </w:rPr>
              <w:t>稳中向好、稳中趋优。</w:t>
            </w:r>
            <w:r>
              <w:rPr>
                <w:rFonts w:hint="default" w:ascii="Times New Roman" w:hAnsi="Times New Roman" w:eastAsia="宋体" w:cs="Times New Roman"/>
                <w:color w:val="auto"/>
                <w:sz w:val="24"/>
                <w:szCs w:val="24"/>
              </w:rPr>
              <w:t>全市13个地表水国家考核断面中</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rPr>
              <w:t>个水质为Ⅲ类，水质优良比例为</w:t>
            </w:r>
            <w:r>
              <w:rPr>
                <w:rFonts w:hint="eastAsia" w:cs="Times New Roman"/>
                <w:color w:val="auto"/>
                <w:sz w:val="24"/>
                <w:szCs w:val="24"/>
                <w:lang w:val="en-US" w:eastAsia="zh-CN"/>
              </w:rPr>
              <w:t>76.9</w:t>
            </w:r>
            <w:r>
              <w:rPr>
                <w:rFonts w:hint="default" w:ascii="Times New Roman" w:hAnsi="Times New Roman" w:eastAsia="宋体" w:cs="Times New Roman"/>
                <w:color w:val="auto"/>
                <w:sz w:val="24"/>
                <w:szCs w:val="24"/>
              </w:rPr>
              <w:t>%，较上年同比提升</w:t>
            </w:r>
            <w:r>
              <w:rPr>
                <w:rFonts w:hint="eastAsia" w:cs="Times New Roman"/>
                <w:color w:val="auto"/>
                <w:sz w:val="24"/>
                <w:szCs w:val="24"/>
                <w:lang w:val="en-US" w:eastAsia="zh-CN"/>
              </w:rPr>
              <w:t>7.7</w:t>
            </w:r>
            <w:r>
              <w:rPr>
                <w:rFonts w:hint="default" w:ascii="Times New Roman" w:hAnsi="Times New Roman" w:eastAsia="宋体" w:cs="Times New Roman"/>
                <w:color w:val="auto"/>
                <w:sz w:val="24"/>
                <w:szCs w:val="24"/>
              </w:rPr>
              <w:t>个百分点，</w:t>
            </w:r>
            <w:r>
              <w:rPr>
                <w:rFonts w:hint="eastAsia" w:cs="Times New Roman"/>
                <w:color w:val="auto"/>
                <w:sz w:val="24"/>
                <w:szCs w:val="24"/>
                <w:lang w:val="en-US" w:eastAsia="zh-CN"/>
              </w:rPr>
              <w:t>超额完成省厅下达的年度力争考核目标；</w:t>
            </w:r>
            <w:r>
              <w:rPr>
                <w:rFonts w:hint="default" w:ascii="Times New Roman" w:hAnsi="Times New Roman" w:eastAsia="宋体" w:cs="Times New Roman"/>
                <w:color w:val="auto"/>
                <w:sz w:val="24"/>
                <w:szCs w:val="24"/>
              </w:rPr>
              <w:t>10个地表水省考核断面中</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个断面水质为Ⅲ类，水质优良比例为</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0%，</w:t>
            </w:r>
            <w:r>
              <w:rPr>
                <w:rFonts w:hint="eastAsia" w:cs="Times New Roman"/>
                <w:color w:val="auto"/>
                <w:sz w:val="24"/>
                <w:szCs w:val="24"/>
                <w:lang w:val="en-US" w:eastAsia="zh-CN"/>
              </w:rPr>
              <w:t>超出</w:t>
            </w:r>
            <w:r>
              <w:rPr>
                <w:rFonts w:hint="default" w:ascii="Times New Roman" w:hAnsi="Times New Roman" w:eastAsia="宋体" w:cs="Times New Roman"/>
                <w:color w:val="auto"/>
                <w:sz w:val="24"/>
                <w:szCs w:val="24"/>
              </w:rPr>
              <w:t>省年度考核目标</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0个百分点</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9个县级及以上集中式饮用水水源地水质达标率为100%。</w:t>
            </w:r>
          </w:p>
          <w:p w14:paraId="69C04876">
            <w:pPr>
              <w:pStyle w:val="66"/>
              <w:keepNext w:val="0"/>
              <w:keepLines w:val="0"/>
              <w:pageBreakBefore w:val="0"/>
              <w:widowControl w:val="0"/>
              <w:kinsoku/>
              <w:wordWrap/>
              <w:overflowPunct/>
              <w:topLinePunct w:val="0"/>
              <w:bidi w:val="0"/>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lang w:eastAsia="zh-CN"/>
              </w:rPr>
              <w:t>本项目附近</w:t>
            </w:r>
            <w:r>
              <w:rPr>
                <w:rFonts w:hint="eastAsia" w:cs="Times New Roman"/>
                <w:b w:val="0"/>
                <w:bCs/>
                <w:color w:val="auto"/>
                <w:sz w:val="24"/>
                <w:szCs w:val="24"/>
                <w:lang w:val="en-US" w:eastAsia="zh-CN"/>
              </w:rPr>
              <w:t>地表</w:t>
            </w:r>
            <w:r>
              <w:rPr>
                <w:rFonts w:hint="default" w:ascii="Times New Roman" w:hAnsi="Times New Roman" w:eastAsia="宋体" w:cs="Times New Roman"/>
                <w:b w:val="0"/>
                <w:bCs/>
                <w:color w:val="auto"/>
                <w:sz w:val="24"/>
                <w:szCs w:val="24"/>
                <w:lang w:eastAsia="zh-CN"/>
              </w:rPr>
              <w:t>水体为沱河，</w:t>
            </w:r>
            <w:r>
              <w:rPr>
                <w:rFonts w:hint="eastAsia" w:ascii="Times New Roman" w:hAnsi="Times New Roman" w:eastAsia="宋体" w:cs="Times New Roman"/>
                <w:b w:val="0"/>
                <w:bCs/>
                <w:color w:val="auto"/>
                <w:sz w:val="24"/>
                <w:szCs w:val="24"/>
                <w:lang w:eastAsia="zh-CN"/>
              </w:rPr>
              <w:t>沱河芦岭桥考核断面水质均值</w:t>
            </w:r>
            <w:r>
              <w:rPr>
                <w:rFonts w:hint="default" w:ascii="Times New Roman" w:hAnsi="Times New Roman" w:eastAsia="宋体" w:cs="Times New Roman"/>
                <w:b w:val="0"/>
                <w:bCs/>
                <w:color w:val="auto"/>
                <w:sz w:val="24"/>
                <w:szCs w:val="24"/>
                <w:lang w:eastAsia="zh-CN"/>
              </w:rPr>
              <w:t>满足《地表水环境质量标准》（GB3838-2002）Ⅳ类标准限值</w:t>
            </w:r>
            <w:r>
              <w:rPr>
                <w:rFonts w:hint="default" w:ascii="Times New Roman" w:hAnsi="Times New Roman" w:eastAsia="宋体" w:cs="Times New Roman"/>
                <w:b w:val="0"/>
                <w:bCs/>
                <w:color w:val="auto"/>
                <w:sz w:val="24"/>
                <w:szCs w:val="24"/>
              </w:rPr>
              <w:t>。</w:t>
            </w:r>
          </w:p>
          <w:p w14:paraId="6AF93D18">
            <w:pPr>
              <w:spacing w:line="360" w:lineRule="auto"/>
              <w:rPr>
                <w:b/>
                <w:bCs/>
                <w:sz w:val="24"/>
              </w:rPr>
            </w:pPr>
            <w:r>
              <w:rPr>
                <w:rFonts w:hint="eastAsia"/>
                <w:b/>
                <w:bCs/>
                <w:sz w:val="24"/>
              </w:rPr>
              <w:t>3.1.3声环境质量现状</w:t>
            </w:r>
          </w:p>
          <w:p w14:paraId="00E6680F">
            <w:pPr>
              <w:pStyle w:val="66"/>
              <w:keepNext w:val="0"/>
              <w:keepLines w:val="0"/>
              <w:pageBreakBefore w:val="0"/>
              <w:widowControl w:val="0"/>
              <w:kinsoku/>
              <w:wordWrap/>
              <w:overflowPunct/>
              <w:topLinePunct w:val="0"/>
              <w:bidi w:val="0"/>
              <w:ind w:firstLine="480" w:firstLineChars="200"/>
              <w:textAlignment w:val="auto"/>
              <w:rPr>
                <w:rFonts w:hint="eastAsia"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eastAsia="zh-CN"/>
              </w:rPr>
              <w:t>本项目厂界50m范围内无声环境保护目标</w:t>
            </w:r>
            <w:r>
              <w:rPr>
                <w:rFonts w:hint="eastAsia" w:ascii="Times New Roman" w:hAnsi="Times New Roman" w:eastAsia="宋体" w:cs="Times New Roman"/>
                <w:b w:val="0"/>
                <w:bCs/>
                <w:color w:val="auto"/>
                <w:sz w:val="24"/>
                <w:szCs w:val="24"/>
                <w:lang w:eastAsia="zh-CN"/>
              </w:rPr>
              <w:t>，不开展声环境质量现状监测。</w:t>
            </w:r>
          </w:p>
          <w:p w14:paraId="18483DB9">
            <w:pPr>
              <w:pStyle w:val="2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imes New Roman" w:hAnsi="Times New Roman" w:eastAsia="宋体" w:cs="Times New Roman"/>
                <w:b/>
                <w:bCs w:val="0"/>
                <w:color w:val="auto"/>
                <w:kern w:val="2"/>
                <w:szCs w:val="32"/>
                <w:lang w:val="en-US" w:eastAsia="zh-CN"/>
              </w:rPr>
            </w:pPr>
            <w:r>
              <w:rPr>
                <w:rFonts w:hint="eastAsia" w:ascii="Times New Roman" w:hAnsi="Times New Roman" w:eastAsia="宋体" w:cs="Times New Roman"/>
                <w:b/>
                <w:bCs w:val="0"/>
                <w:color w:val="auto"/>
                <w:kern w:val="2"/>
                <w:szCs w:val="32"/>
                <w:lang w:val="en-US" w:eastAsia="zh-CN"/>
              </w:rPr>
              <w:t>3.1.4 地下水环境质量现状</w:t>
            </w:r>
          </w:p>
          <w:p w14:paraId="1C4F284A">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为了解项目区域地下水环境质量现状，本次环评</w:t>
            </w:r>
            <w:r>
              <w:rPr>
                <w:rFonts w:hint="eastAsia" w:cs="Times New Roman"/>
                <w:bCs/>
                <w:color w:val="auto"/>
                <w:sz w:val="24"/>
                <w:lang w:val="en-US" w:eastAsia="zh-CN"/>
              </w:rPr>
              <w:t>委托安徽龙图检验检测科技有限公司对区域</w:t>
            </w:r>
            <w:r>
              <w:rPr>
                <w:rFonts w:hint="default" w:ascii="Times New Roman" w:hAnsi="Times New Roman" w:cs="Times New Roman"/>
                <w:bCs/>
                <w:color w:val="auto"/>
                <w:sz w:val="24"/>
              </w:rPr>
              <w:t>地下水现状</w:t>
            </w:r>
            <w:r>
              <w:rPr>
                <w:rFonts w:hint="eastAsia" w:cs="Times New Roman"/>
                <w:bCs/>
                <w:color w:val="auto"/>
                <w:sz w:val="24"/>
                <w:lang w:val="en-US" w:eastAsia="zh-CN"/>
              </w:rPr>
              <w:t>进行</w:t>
            </w:r>
            <w:r>
              <w:rPr>
                <w:rFonts w:hint="default" w:ascii="Times New Roman" w:hAnsi="Times New Roman" w:cs="Times New Roman"/>
                <w:bCs/>
                <w:color w:val="auto"/>
                <w:sz w:val="24"/>
              </w:rPr>
              <w:t>监测，具体监测内容如下。</w:t>
            </w:r>
          </w:p>
          <w:p w14:paraId="24899FCB">
            <w:pPr>
              <w:pStyle w:val="23"/>
              <w:ind w:left="0" w:leftChars="0" w:firstLine="480" w:firstLineChars="200"/>
              <w:rPr>
                <w:rFonts w:hint="eastAsia" w:ascii="Times New Roman" w:hAnsi="Times New Roman" w:eastAsia="宋体" w:cs="Times New Roman"/>
                <w:color w:val="auto"/>
                <w:sz w:val="24"/>
                <w:szCs w:val="22"/>
                <w:lang w:eastAsia="zh-CN"/>
              </w:rPr>
            </w:pPr>
            <w:r>
              <w:rPr>
                <w:rFonts w:hint="default" w:ascii="Times New Roman" w:hAnsi="Times New Roman" w:cs="Times New Roman"/>
                <w:color w:val="auto"/>
                <w:sz w:val="24"/>
                <w:szCs w:val="22"/>
              </w:rPr>
              <w:t>（1）监测</w:t>
            </w:r>
            <w:r>
              <w:rPr>
                <w:rFonts w:hint="eastAsia" w:ascii="Times New Roman" w:hAnsi="Times New Roman" w:cs="Times New Roman"/>
                <w:color w:val="auto"/>
                <w:sz w:val="24"/>
                <w:szCs w:val="22"/>
                <w:lang w:val="en-US" w:eastAsia="zh-CN"/>
              </w:rPr>
              <w:t>点位</w:t>
            </w:r>
          </w:p>
          <w:p w14:paraId="3E3AE6FD">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szCs w:val="22"/>
              </w:rPr>
              <w:t>监测布点</w:t>
            </w:r>
            <w:r>
              <w:rPr>
                <w:rFonts w:hint="eastAsia" w:ascii="Times New Roman" w:hAnsi="Times New Roman" w:cs="Times New Roman"/>
                <w:color w:val="auto"/>
                <w:sz w:val="24"/>
                <w:szCs w:val="22"/>
                <w:lang w:val="en-US" w:eastAsia="zh-CN"/>
              </w:rPr>
              <w:t>情况</w:t>
            </w:r>
            <w:r>
              <w:rPr>
                <w:rFonts w:hint="default" w:ascii="Times New Roman" w:hAnsi="Times New Roman" w:cs="Times New Roman"/>
                <w:color w:val="auto"/>
                <w:sz w:val="24"/>
                <w:szCs w:val="22"/>
              </w:rPr>
              <w:t>见</w:t>
            </w:r>
            <w:r>
              <w:rPr>
                <w:rFonts w:hint="eastAsia" w:ascii="Times New Roman" w:hAnsi="Times New Roman" w:cs="Times New Roman"/>
                <w:color w:val="auto"/>
                <w:sz w:val="24"/>
                <w:szCs w:val="22"/>
                <w:lang w:val="en-US" w:eastAsia="zh-CN"/>
              </w:rPr>
              <w:t>下表</w:t>
            </w:r>
            <w:r>
              <w:rPr>
                <w:rFonts w:hint="default" w:ascii="Times New Roman" w:hAnsi="Times New Roman" w:cs="Times New Roman"/>
                <w:color w:val="auto"/>
                <w:sz w:val="24"/>
                <w:szCs w:val="22"/>
              </w:rPr>
              <w:t>。</w:t>
            </w:r>
          </w:p>
          <w:p w14:paraId="25E37E56">
            <w:pPr>
              <w:pStyle w:val="8"/>
              <w:ind w:firstLine="482"/>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表3-</w:t>
            </w:r>
            <w:r>
              <w:rPr>
                <w:rFonts w:hint="eastAsia" w:ascii="Times New Roman" w:hAnsi="Times New Roman" w:cs="Times New Roman" w:eastAsiaTheme="minorEastAsia"/>
                <w:b/>
                <w:color w:val="auto"/>
                <w:sz w:val="21"/>
                <w:szCs w:val="21"/>
                <w:lang w:val="en-US" w:eastAsia="zh-CN"/>
              </w:rPr>
              <w:t>2</w:t>
            </w:r>
            <w:r>
              <w:rPr>
                <w:rFonts w:hint="default" w:ascii="Times New Roman" w:hAnsi="Times New Roman" w:cs="Times New Roman" w:eastAsiaTheme="minorEastAsia"/>
                <w:b/>
                <w:color w:val="auto"/>
                <w:sz w:val="21"/>
                <w:szCs w:val="21"/>
              </w:rPr>
              <w:t xml:space="preserve">  地下水监测点位</w:t>
            </w:r>
            <w:r>
              <w:rPr>
                <w:rFonts w:hint="eastAsia" w:ascii="Times New Roman" w:hAnsi="Times New Roman" w:cs="Times New Roman" w:eastAsiaTheme="minorEastAsia"/>
                <w:b/>
                <w:color w:val="auto"/>
                <w:sz w:val="21"/>
                <w:szCs w:val="21"/>
                <w:lang w:val="en-US" w:eastAsia="zh-CN"/>
              </w:rPr>
              <w:t>一览</w:t>
            </w:r>
            <w:r>
              <w:rPr>
                <w:rFonts w:hint="default" w:ascii="Times New Roman" w:hAnsi="Times New Roman" w:cs="Times New Roman" w:eastAsiaTheme="minorEastAsia"/>
                <w:b/>
                <w:color w:val="auto"/>
                <w:sz w:val="21"/>
                <w:szCs w:val="21"/>
              </w:rPr>
              <w:t>表</w:t>
            </w:r>
          </w:p>
          <w:tbl>
            <w:tblPr>
              <w:tblStyle w:val="24"/>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487"/>
              <w:gridCol w:w="1282"/>
              <w:gridCol w:w="1189"/>
              <w:gridCol w:w="1430"/>
              <w:gridCol w:w="1474"/>
            </w:tblGrid>
            <w:tr w14:paraId="6944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698" w:type="pct"/>
                  <w:vAlign w:val="center"/>
                </w:tcPr>
                <w:p w14:paraId="4B41F41B">
                  <w:pPr>
                    <w:spacing w:line="240" w:lineRule="auto"/>
                    <w:jc w:val="center"/>
                    <w:rPr>
                      <w:rFonts w:hint="eastAsia" w:ascii="Times New Roman" w:hAnsi="Times New Roman" w:eastAsia="宋体" w:cs="Times New Roman"/>
                      <w:b/>
                      <w:bCs/>
                      <w:color w:val="auto"/>
                      <w:szCs w:val="21"/>
                      <w:lang w:eastAsia="zh-CN"/>
                    </w:rPr>
                  </w:pPr>
                  <w:r>
                    <w:rPr>
                      <w:rFonts w:hint="eastAsia" w:cs="Times New Roman"/>
                      <w:b/>
                      <w:bCs/>
                      <w:color w:val="auto"/>
                      <w:szCs w:val="21"/>
                      <w:lang w:val="en-US" w:eastAsia="zh-CN"/>
                    </w:rPr>
                    <w:t>监测点位</w:t>
                  </w:r>
                </w:p>
              </w:tc>
              <w:tc>
                <w:tcPr>
                  <w:tcW w:w="932" w:type="pct"/>
                  <w:vAlign w:val="center"/>
                </w:tcPr>
                <w:p w14:paraId="5FED1782">
                  <w:pPr>
                    <w:spacing w:line="240" w:lineRule="auto"/>
                    <w:jc w:val="center"/>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监测点名称</w:t>
                  </w:r>
                </w:p>
              </w:tc>
              <w:tc>
                <w:tcPr>
                  <w:tcW w:w="803" w:type="pct"/>
                  <w:vAlign w:val="center"/>
                </w:tcPr>
                <w:p w14:paraId="3EF7D1BA">
                  <w:pPr>
                    <w:spacing w:line="240" w:lineRule="auto"/>
                    <w:jc w:val="center"/>
                    <w:rPr>
                      <w:rFonts w:hint="eastAsia"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经度</w:t>
                  </w:r>
                </w:p>
              </w:tc>
              <w:tc>
                <w:tcPr>
                  <w:tcW w:w="745" w:type="pct"/>
                  <w:vAlign w:val="center"/>
                </w:tcPr>
                <w:p w14:paraId="10CDE578">
                  <w:pPr>
                    <w:spacing w:line="240" w:lineRule="auto"/>
                    <w:jc w:val="center"/>
                    <w:rPr>
                      <w:rFonts w:hint="eastAsia"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维度</w:t>
                  </w:r>
                </w:p>
              </w:tc>
              <w:tc>
                <w:tcPr>
                  <w:tcW w:w="896" w:type="pct"/>
                  <w:vAlign w:val="center"/>
                </w:tcPr>
                <w:p w14:paraId="55FF50A6">
                  <w:pPr>
                    <w:spacing w:line="240" w:lineRule="auto"/>
                    <w:jc w:val="center"/>
                    <w:rPr>
                      <w:rFonts w:hint="default"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井深（m）</w:t>
                  </w:r>
                </w:p>
              </w:tc>
              <w:tc>
                <w:tcPr>
                  <w:tcW w:w="923" w:type="pct"/>
                  <w:vAlign w:val="center"/>
                </w:tcPr>
                <w:p w14:paraId="2F7408E1">
                  <w:pPr>
                    <w:spacing w:line="240" w:lineRule="auto"/>
                    <w:jc w:val="center"/>
                    <w:rPr>
                      <w:rFonts w:hint="default"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水位埋深（m）</w:t>
                  </w:r>
                </w:p>
              </w:tc>
            </w:tr>
            <w:tr w14:paraId="7EE15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698" w:type="pct"/>
                  <w:vAlign w:val="center"/>
                </w:tcPr>
                <w:p w14:paraId="6A7EB818">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D</w:t>
                  </w:r>
                  <w:r>
                    <w:rPr>
                      <w:rFonts w:hint="eastAsia" w:cs="Times New Roman"/>
                      <w:color w:val="auto"/>
                      <w:szCs w:val="21"/>
                      <w:lang w:val="en-US" w:eastAsia="zh-CN"/>
                    </w:rPr>
                    <w:t>1</w:t>
                  </w:r>
                </w:p>
              </w:tc>
              <w:tc>
                <w:tcPr>
                  <w:tcW w:w="932" w:type="pct"/>
                  <w:vAlign w:val="center"/>
                </w:tcPr>
                <w:p w14:paraId="568D1713">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项目区域上游（金凌居民自备井）</w:t>
                  </w:r>
                </w:p>
              </w:tc>
              <w:tc>
                <w:tcPr>
                  <w:tcW w:w="803" w:type="pct"/>
                  <w:vAlign w:val="center"/>
                </w:tcPr>
                <w:p w14:paraId="0DF3D214">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117.085741</w:t>
                  </w:r>
                </w:p>
              </w:tc>
              <w:tc>
                <w:tcPr>
                  <w:tcW w:w="745" w:type="pct"/>
                  <w:vAlign w:val="center"/>
                </w:tcPr>
                <w:p w14:paraId="68118330">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33.614634</w:t>
                  </w:r>
                </w:p>
              </w:tc>
              <w:tc>
                <w:tcPr>
                  <w:tcW w:w="896" w:type="pct"/>
                  <w:vAlign w:val="center"/>
                </w:tcPr>
                <w:p w14:paraId="44C8F52B">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30</w:t>
                  </w:r>
                </w:p>
              </w:tc>
              <w:tc>
                <w:tcPr>
                  <w:tcW w:w="923" w:type="pct"/>
                  <w:vAlign w:val="center"/>
                </w:tcPr>
                <w:p w14:paraId="17DC8B66">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r>
            <w:tr w14:paraId="74A0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98" w:type="pct"/>
                  <w:vAlign w:val="center"/>
                </w:tcPr>
                <w:p w14:paraId="374CB098">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D</w:t>
                  </w:r>
                  <w:r>
                    <w:rPr>
                      <w:rFonts w:hint="eastAsia" w:cs="Times New Roman"/>
                      <w:color w:val="auto"/>
                      <w:szCs w:val="21"/>
                      <w:lang w:val="en-US" w:eastAsia="zh-CN"/>
                    </w:rPr>
                    <w:t>2</w:t>
                  </w:r>
                </w:p>
              </w:tc>
              <w:tc>
                <w:tcPr>
                  <w:tcW w:w="932" w:type="pct"/>
                  <w:vAlign w:val="center"/>
                </w:tcPr>
                <w:p w14:paraId="53DE9299">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项目区域地下水监测井</w:t>
                  </w:r>
                </w:p>
              </w:tc>
              <w:tc>
                <w:tcPr>
                  <w:tcW w:w="803" w:type="pct"/>
                  <w:vAlign w:val="center"/>
                </w:tcPr>
                <w:p w14:paraId="4BA4CDC0">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117.085429</w:t>
                  </w:r>
                </w:p>
              </w:tc>
              <w:tc>
                <w:tcPr>
                  <w:tcW w:w="745" w:type="pct"/>
                  <w:vAlign w:val="center"/>
                </w:tcPr>
                <w:p w14:paraId="109FF9EE">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33.616088</w:t>
                  </w:r>
                </w:p>
              </w:tc>
              <w:tc>
                <w:tcPr>
                  <w:tcW w:w="896" w:type="pct"/>
                  <w:vAlign w:val="center"/>
                </w:tcPr>
                <w:p w14:paraId="0574EA3A">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105</w:t>
                  </w:r>
                </w:p>
              </w:tc>
              <w:tc>
                <w:tcPr>
                  <w:tcW w:w="923" w:type="pct"/>
                  <w:vAlign w:val="center"/>
                </w:tcPr>
                <w:p w14:paraId="209D6BEF">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w:t>
                  </w:r>
                </w:p>
              </w:tc>
            </w:tr>
            <w:tr w14:paraId="1164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698" w:type="pct"/>
                  <w:vAlign w:val="center"/>
                </w:tcPr>
                <w:p w14:paraId="0CEEB9DF">
                  <w:pPr>
                    <w:spacing w:line="240"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D</w:t>
                  </w:r>
                  <w:r>
                    <w:rPr>
                      <w:rFonts w:hint="eastAsia" w:cs="Times New Roman"/>
                      <w:color w:val="auto"/>
                      <w:szCs w:val="21"/>
                      <w:lang w:val="en-US" w:eastAsia="zh-CN"/>
                    </w:rPr>
                    <w:t>3</w:t>
                  </w:r>
                </w:p>
              </w:tc>
              <w:tc>
                <w:tcPr>
                  <w:tcW w:w="932" w:type="pct"/>
                  <w:vAlign w:val="center"/>
                </w:tcPr>
                <w:p w14:paraId="3E290579">
                  <w:pPr>
                    <w:spacing w:line="240" w:lineRule="auto"/>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项目区域下游（二铺村居民自用井）</w:t>
                  </w:r>
                </w:p>
              </w:tc>
              <w:tc>
                <w:tcPr>
                  <w:tcW w:w="803" w:type="pct"/>
                  <w:vAlign w:val="center"/>
                </w:tcPr>
                <w:p w14:paraId="54981E4B">
                  <w:pPr>
                    <w:spacing w:line="240" w:lineRule="auto"/>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117.082074</w:t>
                  </w:r>
                </w:p>
              </w:tc>
              <w:tc>
                <w:tcPr>
                  <w:tcW w:w="745" w:type="pct"/>
                  <w:vAlign w:val="center"/>
                </w:tcPr>
                <w:p w14:paraId="0E625CDE">
                  <w:pPr>
                    <w:spacing w:line="240" w:lineRule="auto"/>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33.616015</w:t>
                  </w:r>
                </w:p>
              </w:tc>
              <w:tc>
                <w:tcPr>
                  <w:tcW w:w="896" w:type="pct"/>
                  <w:vAlign w:val="center"/>
                </w:tcPr>
                <w:p w14:paraId="1B7AD0E4">
                  <w:pPr>
                    <w:spacing w:line="240" w:lineRule="auto"/>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30</w:t>
                  </w:r>
                </w:p>
              </w:tc>
              <w:tc>
                <w:tcPr>
                  <w:tcW w:w="923" w:type="pct"/>
                  <w:vAlign w:val="center"/>
                </w:tcPr>
                <w:p w14:paraId="1AED3CC6">
                  <w:pPr>
                    <w:spacing w:line="240" w:lineRule="auto"/>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10</w:t>
                  </w:r>
                </w:p>
              </w:tc>
            </w:tr>
          </w:tbl>
          <w:p w14:paraId="28749C92">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（2）监测时间及频次</w:t>
            </w:r>
          </w:p>
          <w:p w14:paraId="634086F6">
            <w:pPr>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rPr>
              <w:t>监测时间：</w:t>
            </w:r>
            <w:r>
              <w:rPr>
                <w:rFonts w:hint="eastAsia" w:cs="Times New Roman"/>
                <w:bCs/>
                <w:color w:val="auto"/>
                <w:sz w:val="24"/>
                <w:lang w:val="en-US" w:eastAsia="zh-CN"/>
              </w:rPr>
              <w:t>2024</w:t>
            </w:r>
            <w:r>
              <w:rPr>
                <w:rFonts w:hint="eastAsia" w:ascii="Times New Roman" w:hAnsi="Times New Roman" w:cs="Times New Roman"/>
                <w:bCs/>
                <w:color w:val="auto"/>
                <w:sz w:val="24"/>
                <w:lang w:val="en-US" w:eastAsia="zh-CN"/>
              </w:rPr>
              <w:t>年0</w:t>
            </w:r>
            <w:r>
              <w:rPr>
                <w:rFonts w:hint="eastAsia" w:cs="Times New Roman"/>
                <w:bCs/>
                <w:color w:val="auto"/>
                <w:sz w:val="24"/>
                <w:lang w:val="en-US" w:eastAsia="zh-CN"/>
              </w:rPr>
              <w:t>6</w:t>
            </w:r>
            <w:r>
              <w:rPr>
                <w:rFonts w:hint="eastAsia" w:ascii="Times New Roman" w:hAnsi="Times New Roman" w:cs="Times New Roman"/>
                <w:bCs/>
                <w:color w:val="auto"/>
                <w:sz w:val="24"/>
                <w:lang w:val="en-US" w:eastAsia="zh-CN"/>
              </w:rPr>
              <w:t>月</w:t>
            </w:r>
            <w:r>
              <w:rPr>
                <w:rFonts w:hint="eastAsia" w:cs="Times New Roman"/>
                <w:bCs/>
                <w:color w:val="auto"/>
                <w:sz w:val="24"/>
                <w:lang w:val="en-US" w:eastAsia="zh-CN"/>
              </w:rPr>
              <w:t>14</w:t>
            </w:r>
            <w:r>
              <w:rPr>
                <w:rFonts w:hint="eastAsia" w:ascii="Times New Roman" w:hAnsi="Times New Roman" w:cs="Times New Roman"/>
                <w:bCs/>
                <w:color w:val="auto"/>
                <w:sz w:val="24"/>
                <w:lang w:val="en-US" w:eastAsia="zh-CN"/>
              </w:rPr>
              <w:t>日；</w:t>
            </w:r>
          </w:p>
          <w:p w14:paraId="6C921F54">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监测频次：连续监测1天，每天每点采样1次。</w:t>
            </w:r>
          </w:p>
          <w:p w14:paraId="2DB5E418">
            <w:pPr>
              <w:adjustRightInd w:val="0"/>
              <w:snapToGrid w:val="0"/>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3</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监测因子</w:t>
            </w:r>
          </w:p>
          <w:p w14:paraId="73D6FE1A">
            <w:pPr>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pH、</w:t>
            </w:r>
            <w:r>
              <w:rPr>
                <w:rFonts w:hint="eastAsia" w:cs="Times New Roman"/>
                <w:color w:val="auto"/>
                <w:sz w:val="24"/>
                <w:szCs w:val="24"/>
                <w:lang w:val="en-US" w:eastAsia="zh-CN"/>
              </w:rPr>
              <w:t>碳酸盐、重碳酸盐、溶解性总固体、总硬度、高锰酸盐指数、氨氮、硝酸盐氮、亚硝酸盐氮、硫酸盐、氯化物、氟化物、挥发酚、氰化物、铬（六价）、总大肠菌群、菌落总数、铅、镉、铁、锰、钾、钠、钙、镁、汞、砷</w:t>
            </w:r>
            <w:r>
              <w:rPr>
                <w:rFonts w:hint="default" w:ascii="Times New Roman" w:hAnsi="Times New Roman" w:cs="Times New Roman"/>
                <w:color w:val="auto"/>
                <w:sz w:val="24"/>
                <w:szCs w:val="24"/>
              </w:rPr>
              <w:t>共</w:t>
            </w:r>
            <w:r>
              <w:rPr>
                <w:rFonts w:hint="eastAsia" w:cs="Times New Roman"/>
                <w:color w:val="auto"/>
                <w:sz w:val="24"/>
                <w:szCs w:val="24"/>
                <w:lang w:val="en-US" w:eastAsia="zh-CN"/>
              </w:rPr>
              <w:t>27</w:t>
            </w:r>
            <w:r>
              <w:rPr>
                <w:rFonts w:hint="default" w:ascii="Times New Roman" w:hAnsi="Times New Roman" w:cs="Times New Roman"/>
                <w:color w:val="auto"/>
                <w:sz w:val="24"/>
                <w:szCs w:val="24"/>
              </w:rPr>
              <w:t>项指标</w:t>
            </w:r>
            <w:r>
              <w:rPr>
                <w:rFonts w:hint="eastAsia" w:ascii="Times New Roman" w:hAnsi="Times New Roman" w:cs="Times New Roman"/>
                <w:color w:val="auto"/>
                <w:sz w:val="24"/>
                <w:szCs w:val="24"/>
                <w:lang w:eastAsia="zh-CN"/>
              </w:rPr>
              <w:t>。</w:t>
            </w:r>
          </w:p>
          <w:p w14:paraId="0FCE7E11">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）监测结果</w:t>
            </w:r>
          </w:p>
          <w:p w14:paraId="5B454D9F">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评价区域地下水各监测点水质评价因子具体监测结果见</w:t>
            </w:r>
            <w:r>
              <w:rPr>
                <w:rFonts w:hint="eastAsia" w:ascii="Times New Roman" w:hAnsi="Times New Roman" w:cs="Times New Roman"/>
                <w:color w:val="auto"/>
                <w:sz w:val="24"/>
                <w:lang w:val="en-US" w:eastAsia="zh-CN"/>
              </w:rPr>
              <w:t>下表</w:t>
            </w:r>
            <w:r>
              <w:rPr>
                <w:rFonts w:hint="default" w:ascii="Times New Roman" w:hAnsi="Times New Roman" w:cs="Times New Roman"/>
                <w:color w:val="auto"/>
                <w:sz w:val="24"/>
              </w:rPr>
              <w:t>。</w:t>
            </w:r>
          </w:p>
          <w:p w14:paraId="5F66AA4B">
            <w:pPr>
              <w:pStyle w:val="14"/>
              <w:spacing w:line="240" w:lineRule="atLeast"/>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表3-</w:t>
            </w:r>
            <w:r>
              <w:rPr>
                <w:rFonts w:hint="eastAsia" w:ascii="Times New Roman" w:hAnsi="Times New Roman" w:cs="Times New Roman"/>
                <w:b/>
                <w:color w:val="auto"/>
                <w:szCs w:val="21"/>
                <w:lang w:val="en-US" w:eastAsia="zh-CN"/>
              </w:rPr>
              <w:t>3</w:t>
            </w:r>
            <w:r>
              <w:rPr>
                <w:rFonts w:hint="default" w:ascii="Times New Roman" w:hAnsi="Times New Roman" w:cs="Times New Roman"/>
                <w:b/>
                <w:color w:val="auto"/>
                <w:szCs w:val="21"/>
              </w:rPr>
              <w:t xml:space="preserve"> 地下水监测结果统计表</w:t>
            </w:r>
          </w:p>
          <w:tbl>
            <w:tblPr>
              <w:tblStyle w:val="24"/>
              <w:tblW w:w="49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1860"/>
              <w:gridCol w:w="1569"/>
              <w:gridCol w:w="1656"/>
              <w:gridCol w:w="1360"/>
            </w:tblGrid>
            <w:tr w14:paraId="5E5A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39" w:type="pct"/>
                  <w:tcBorders>
                    <w:right w:val="single" w:color="auto" w:sz="4" w:space="0"/>
                    <w:tl2br w:val="single" w:color="auto" w:sz="4" w:space="0"/>
                  </w:tcBorders>
                  <w:vAlign w:val="center"/>
                </w:tcPr>
                <w:p w14:paraId="49055D49">
                  <w:pPr>
                    <w:jc w:val="center"/>
                    <w:rPr>
                      <w:rFonts w:hint="default" w:ascii="Times New Roman" w:hAnsi="Times New Roman" w:cs="Times New Roman"/>
                      <w:b/>
                      <w:bCs/>
                      <w:color w:val="auto"/>
                      <w:szCs w:val="21"/>
                    </w:rPr>
                  </w:pPr>
                  <w:r>
                    <w:rPr>
                      <w:rFonts w:hint="eastAsia" w:cs="Times New Roman"/>
                      <w:b/>
                      <w:bCs/>
                      <w:color w:val="auto"/>
                      <w:szCs w:val="21"/>
                      <w:lang w:val="en-US" w:eastAsia="zh-CN"/>
                    </w:rPr>
                    <w:t xml:space="preserve">        </w:t>
                  </w:r>
                  <w:r>
                    <w:rPr>
                      <w:rFonts w:hint="default" w:ascii="Times New Roman" w:hAnsi="Times New Roman" w:cs="Times New Roman"/>
                      <w:b/>
                      <w:bCs/>
                      <w:color w:val="auto"/>
                      <w:szCs w:val="21"/>
                    </w:rPr>
                    <w:t>点位</w:t>
                  </w:r>
                </w:p>
                <w:p w14:paraId="1C162142">
                  <w:pPr>
                    <w:jc w:val="both"/>
                    <w:rPr>
                      <w:rFonts w:hint="default" w:ascii="Times New Roman" w:hAnsi="Times New Roman" w:cs="Times New Roman"/>
                      <w:b/>
                      <w:bCs/>
                      <w:color w:val="auto"/>
                      <w:szCs w:val="21"/>
                    </w:rPr>
                  </w:pPr>
                  <w:r>
                    <w:rPr>
                      <w:rFonts w:hint="default" w:ascii="Times New Roman" w:hAnsi="Times New Roman" w:cs="Times New Roman"/>
                      <w:b/>
                      <w:bCs/>
                      <w:color w:val="auto"/>
                      <w:szCs w:val="21"/>
                    </w:rPr>
                    <w:t>项目</w:t>
                  </w:r>
                </w:p>
              </w:tc>
              <w:tc>
                <w:tcPr>
                  <w:tcW w:w="1171" w:type="pct"/>
                  <w:tcBorders>
                    <w:left w:val="single" w:color="auto" w:sz="4" w:space="0"/>
                    <w:right w:val="single" w:color="auto" w:sz="4" w:space="0"/>
                  </w:tcBorders>
                  <w:vAlign w:val="center"/>
                </w:tcPr>
                <w:p w14:paraId="038A358E">
                  <w:pPr>
                    <w:pStyle w:val="47"/>
                    <w:spacing w:line="240" w:lineRule="auto"/>
                    <w:ind w:left="0" w:leftChars="0" w:firstLine="0" w:firstLineChars="0"/>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项目区域上游（金凌居民自备井）</w:t>
                  </w:r>
                </w:p>
              </w:tc>
              <w:tc>
                <w:tcPr>
                  <w:tcW w:w="988" w:type="pct"/>
                  <w:tcBorders>
                    <w:left w:val="single" w:color="auto" w:sz="4" w:space="0"/>
                    <w:right w:val="single" w:color="auto" w:sz="4" w:space="0"/>
                  </w:tcBorders>
                  <w:vAlign w:val="center"/>
                </w:tcPr>
                <w:p w14:paraId="63E8243C">
                  <w:pPr>
                    <w:pStyle w:val="47"/>
                    <w:spacing w:line="240" w:lineRule="auto"/>
                    <w:ind w:left="0" w:leftChars="0" w:firstLine="0" w:firstLineChars="0"/>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项目区域地下水监测井</w:t>
                  </w:r>
                </w:p>
              </w:tc>
              <w:tc>
                <w:tcPr>
                  <w:tcW w:w="1043" w:type="pct"/>
                  <w:tcBorders>
                    <w:left w:val="single" w:color="auto" w:sz="4" w:space="0"/>
                    <w:right w:val="single" w:color="auto" w:sz="4" w:space="0"/>
                  </w:tcBorders>
                  <w:vAlign w:val="center"/>
                </w:tcPr>
                <w:p w14:paraId="41BF2326">
                  <w:pPr>
                    <w:pStyle w:val="47"/>
                    <w:spacing w:line="240" w:lineRule="auto"/>
                    <w:ind w:left="0" w:leftChars="0" w:firstLine="0" w:firstLineChars="0"/>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项目区域下游（二铺村居民自用井）</w:t>
                  </w:r>
                </w:p>
              </w:tc>
              <w:tc>
                <w:tcPr>
                  <w:tcW w:w="856" w:type="pct"/>
                  <w:vMerge w:val="restart"/>
                  <w:tcBorders>
                    <w:left w:val="single" w:color="auto" w:sz="4" w:space="0"/>
                    <w:right w:val="single" w:color="auto" w:sz="4" w:space="0"/>
                  </w:tcBorders>
                  <w:vAlign w:val="center"/>
                </w:tcPr>
                <w:p w14:paraId="494C72FE">
                  <w:pPr>
                    <w:pStyle w:val="47"/>
                    <w:spacing w:line="240" w:lineRule="auto"/>
                    <w:ind w:left="0" w:leftChars="0" w:firstLine="0" w:firstLineChars="0"/>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单位</w:t>
                  </w:r>
                </w:p>
              </w:tc>
            </w:tr>
            <w:tr w14:paraId="3466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939" w:type="pct"/>
                  <w:tcBorders>
                    <w:right w:val="single" w:color="auto" w:sz="4" w:space="0"/>
                  </w:tcBorders>
                  <w:vAlign w:val="center"/>
                </w:tcPr>
                <w:p w14:paraId="20F29D37">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样品性状</w:t>
                  </w:r>
                </w:p>
              </w:tc>
              <w:tc>
                <w:tcPr>
                  <w:tcW w:w="1171" w:type="pct"/>
                  <w:tcBorders>
                    <w:top w:val="single" w:color="auto" w:sz="4" w:space="0"/>
                    <w:left w:val="single" w:color="auto" w:sz="4" w:space="0"/>
                  </w:tcBorders>
                  <w:vAlign w:val="center"/>
                </w:tcPr>
                <w:p w14:paraId="5E5C211D">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无色、无味、透明</w:t>
                  </w:r>
                </w:p>
              </w:tc>
              <w:tc>
                <w:tcPr>
                  <w:tcW w:w="988" w:type="pct"/>
                  <w:tcBorders>
                    <w:top w:val="single" w:color="auto" w:sz="4" w:space="0"/>
                    <w:left w:val="single" w:color="auto" w:sz="4" w:space="0"/>
                  </w:tcBorders>
                  <w:vAlign w:val="center"/>
                </w:tcPr>
                <w:p w14:paraId="4E3B8C94">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lang w:val="en-US" w:eastAsia="zh-CN"/>
                    </w:rPr>
                    <w:t>无色、无味、透明</w:t>
                  </w:r>
                </w:p>
              </w:tc>
              <w:tc>
                <w:tcPr>
                  <w:tcW w:w="1043" w:type="pct"/>
                  <w:tcBorders>
                    <w:top w:val="single" w:color="auto" w:sz="4" w:space="0"/>
                    <w:left w:val="single" w:color="auto" w:sz="4" w:space="0"/>
                  </w:tcBorders>
                  <w:vAlign w:val="center"/>
                </w:tcPr>
                <w:p w14:paraId="32E53AC1">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lang w:val="en-US" w:eastAsia="zh-CN"/>
                    </w:rPr>
                    <w:t>无色、无味、透明</w:t>
                  </w:r>
                </w:p>
              </w:tc>
              <w:tc>
                <w:tcPr>
                  <w:tcW w:w="856" w:type="pct"/>
                  <w:vMerge w:val="continue"/>
                  <w:tcBorders>
                    <w:left w:val="single" w:color="auto" w:sz="4" w:space="0"/>
                    <w:right w:val="single" w:color="auto" w:sz="4" w:space="0"/>
                  </w:tcBorders>
                  <w:vAlign w:val="center"/>
                </w:tcPr>
                <w:p w14:paraId="6F8C9DFA">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p>
              </w:tc>
            </w:tr>
            <w:tr w14:paraId="66AA8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939" w:type="pct"/>
                  <w:tcBorders>
                    <w:right w:val="single" w:color="auto" w:sz="4" w:space="0"/>
                  </w:tcBorders>
                  <w:vAlign w:val="center"/>
                </w:tcPr>
                <w:p w14:paraId="48F782F9">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pH值（温度）</w:t>
                  </w:r>
                </w:p>
              </w:tc>
              <w:tc>
                <w:tcPr>
                  <w:tcW w:w="1171" w:type="pct"/>
                  <w:tcBorders>
                    <w:left w:val="single" w:color="auto" w:sz="4" w:space="0"/>
                  </w:tcBorders>
                  <w:vAlign w:val="center"/>
                </w:tcPr>
                <w:p w14:paraId="5AD09A96">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7.9（17.4）</w:t>
                  </w:r>
                </w:p>
              </w:tc>
              <w:tc>
                <w:tcPr>
                  <w:tcW w:w="988" w:type="pct"/>
                  <w:tcBorders>
                    <w:left w:val="single" w:color="auto" w:sz="4" w:space="0"/>
                  </w:tcBorders>
                  <w:vAlign w:val="center"/>
                </w:tcPr>
                <w:p w14:paraId="0E62994D">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7.9（17.2）</w:t>
                  </w:r>
                </w:p>
              </w:tc>
              <w:tc>
                <w:tcPr>
                  <w:tcW w:w="1043" w:type="pct"/>
                  <w:tcBorders>
                    <w:left w:val="single" w:color="auto" w:sz="4" w:space="0"/>
                  </w:tcBorders>
                  <w:vAlign w:val="center"/>
                </w:tcPr>
                <w:p w14:paraId="1E443FF5">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7.9（16.9）</w:t>
                  </w:r>
                </w:p>
              </w:tc>
              <w:tc>
                <w:tcPr>
                  <w:tcW w:w="856" w:type="pct"/>
                  <w:tcBorders>
                    <w:top w:val="single" w:color="auto" w:sz="4" w:space="0"/>
                    <w:left w:val="single" w:color="auto" w:sz="4" w:space="0"/>
                  </w:tcBorders>
                  <w:vAlign w:val="center"/>
                </w:tcPr>
                <w:p w14:paraId="0DE89621">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无量纲（℃）</w:t>
                  </w:r>
                </w:p>
              </w:tc>
            </w:tr>
            <w:tr w14:paraId="05E09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39" w:type="pct"/>
                  <w:tcBorders>
                    <w:right w:val="single" w:color="auto" w:sz="4" w:space="0"/>
                  </w:tcBorders>
                  <w:vAlign w:val="center"/>
                </w:tcPr>
                <w:p w14:paraId="1B029CD1">
                  <w:pPr>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碳酸盐</w:t>
                  </w:r>
                </w:p>
              </w:tc>
              <w:tc>
                <w:tcPr>
                  <w:tcW w:w="1171" w:type="pct"/>
                  <w:tcBorders>
                    <w:left w:val="single" w:color="auto" w:sz="4" w:space="0"/>
                  </w:tcBorders>
                  <w:vAlign w:val="center"/>
                </w:tcPr>
                <w:p w14:paraId="208ACF45">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未检出</w:t>
                  </w:r>
                </w:p>
              </w:tc>
              <w:tc>
                <w:tcPr>
                  <w:tcW w:w="988" w:type="pct"/>
                  <w:tcBorders>
                    <w:left w:val="single" w:color="auto" w:sz="4" w:space="0"/>
                  </w:tcBorders>
                  <w:vAlign w:val="center"/>
                </w:tcPr>
                <w:p w14:paraId="370A18D2">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未检出</w:t>
                  </w:r>
                </w:p>
              </w:tc>
              <w:tc>
                <w:tcPr>
                  <w:tcW w:w="1043" w:type="pct"/>
                  <w:tcBorders>
                    <w:left w:val="single" w:color="auto" w:sz="4" w:space="0"/>
                  </w:tcBorders>
                  <w:vAlign w:val="center"/>
                </w:tcPr>
                <w:p w14:paraId="02D6E88F">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未检出</w:t>
                  </w:r>
                </w:p>
              </w:tc>
              <w:tc>
                <w:tcPr>
                  <w:tcW w:w="856" w:type="pct"/>
                  <w:tcBorders>
                    <w:top w:val="single" w:color="auto" w:sz="4" w:space="0"/>
                    <w:left w:val="single" w:color="auto" w:sz="4" w:space="0"/>
                  </w:tcBorders>
                  <w:vAlign w:val="center"/>
                </w:tcPr>
                <w:p w14:paraId="080A0C1A">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mol/L</w:t>
                  </w:r>
                </w:p>
              </w:tc>
            </w:tr>
            <w:tr w14:paraId="25AF9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39" w:type="pct"/>
                  <w:tcBorders>
                    <w:right w:val="single" w:color="auto" w:sz="4" w:space="0"/>
                  </w:tcBorders>
                  <w:vAlign w:val="center"/>
                </w:tcPr>
                <w:p w14:paraId="78C5FD3B">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重碳酸盐</w:t>
                  </w:r>
                </w:p>
              </w:tc>
              <w:tc>
                <w:tcPr>
                  <w:tcW w:w="1171" w:type="pct"/>
                  <w:tcBorders>
                    <w:left w:val="single" w:color="auto" w:sz="4" w:space="0"/>
                  </w:tcBorders>
                  <w:vAlign w:val="center"/>
                </w:tcPr>
                <w:p w14:paraId="2140DBD4">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5.46</w:t>
                  </w:r>
                </w:p>
              </w:tc>
              <w:tc>
                <w:tcPr>
                  <w:tcW w:w="988" w:type="pct"/>
                  <w:tcBorders>
                    <w:left w:val="single" w:color="auto" w:sz="4" w:space="0"/>
                  </w:tcBorders>
                  <w:vAlign w:val="center"/>
                </w:tcPr>
                <w:p w14:paraId="09AF4B74">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4.60</w:t>
                  </w:r>
                </w:p>
              </w:tc>
              <w:tc>
                <w:tcPr>
                  <w:tcW w:w="1043" w:type="pct"/>
                  <w:tcBorders>
                    <w:left w:val="single" w:color="auto" w:sz="4" w:space="0"/>
                  </w:tcBorders>
                  <w:vAlign w:val="center"/>
                </w:tcPr>
                <w:p w14:paraId="4BEDCD67">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4.32</w:t>
                  </w:r>
                </w:p>
              </w:tc>
              <w:tc>
                <w:tcPr>
                  <w:tcW w:w="856" w:type="pct"/>
                  <w:tcBorders>
                    <w:top w:val="single" w:color="auto" w:sz="4" w:space="0"/>
                    <w:left w:val="single" w:color="auto" w:sz="4" w:space="0"/>
                  </w:tcBorders>
                  <w:vAlign w:val="center"/>
                </w:tcPr>
                <w:p w14:paraId="56F3692F">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mol/L</w:t>
                  </w:r>
                </w:p>
              </w:tc>
            </w:tr>
            <w:tr w14:paraId="1D77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939" w:type="pct"/>
                  <w:tcBorders>
                    <w:right w:val="single" w:color="auto" w:sz="4" w:space="0"/>
                  </w:tcBorders>
                  <w:vAlign w:val="center"/>
                </w:tcPr>
                <w:p w14:paraId="243B690B">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溶解性总固体</w:t>
                  </w:r>
                </w:p>
              </w:tc>
              <w:tc>
                <w:tcPr>
                  <w:tcW w:w="1171" w:type="pct"/>
                  <w:tcBorders>
                    <w:left w:val="single" w:color="auto" w:sz="4" w:space="0"/>
                  </w:tcBorders>
                  <w:vAlign w:val="center"/>
                </w:tcPr>
                <w:p w14:paraId="6EB5D4A4">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589</w:t>
                  </w:r>
                </w:p>
              </w:tc>
              <w:tc>
                <w:tcPr>
                  <w:tcW w:w="988" w:type="pct"/>
                  <w:tcBorders>
                    <w:left w:val="single" w:color="auto" w:sz="4" w:space="0"/>
                  </w:tcBorders>
                  <w:vAlign w:val="center"/>
                </w:tcPr>
                <w:p w14:paraId="644ABD1F">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382</w:t>
                  </w:r>
                </w:p>
              </w:tc>
              <w:tc>
                <w:tcPr>
                  <w:tcW w:w="1043" w:type="pct"/>
                  <w:tcBorders>
                    <w:left w:val="single" w:color="auto" w:sz="4" w:space="0"/>
                  </w:tcBorders>
                  <w:vAlign w:val="center"/>
                </w:tcPr>
                <w:p w14:paraId="098BE5ED">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485</w:t>
                  </w:r>
                </w:p>
              </w:tc>
              <w:tc>
                <w:tcPr>
                  <w:tcW w:w="856" w:type="pct"/>
                  <w:tcBorders>
                    <w:top w:val="single" w:color="auto" w:sz="4" w:space="0"/>
                    <w:left w:val="single" w:color="auto" w:sz="4" w:space="0"/>
                  </w:tcBorders>
                  <w:vAlign w:val="center"/>
                </w:tcPr>
                <w:p w14:paraId="2CBAF062">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mg/L</w:t>
                  </w:r>
                </w:p>
              </w:tc>
            </w:tr>
            <w:tr w14:paraId="5854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39" w:type="pct"/>
                  <w:tcBorders>
                    <w:right w:val="single" w:color="auto" w:sz="4" w:space="0"/>
                  </w:tcBorders>
                  <w:vAlign w:val="center"/>
                </w:tcPr>
                <w:p w14:paraId="571DC7F8">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总硬度</w:t>
                  </w:r>
                </w:p>
              </w:tc>
              <w:tc>
                <w:tcPr>
                  <w:tcW w:w="1171" w:type="pct"/>
                  <w:tcBorders>
                    <w:left w:val="single" w:color="auto" w:sz="4" w:space="0"/>
                  </w:tcBorders>
                  <w:vAlign w:val="center"/>
                </w:tcPr>
                <w:p w14:paraId="788F2BD9">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320</w:t>
                  </w:r>
                </w:p>
              </w:tc>
              <w:tc>
                <w:tcPr>
                  <w:tcW w:w="988" w:type="pct"/>
                  <w:tcBorders>
                    <w:left w:val="single" w:color="auto" w:sz="4" w:space="0"/>
                  </w:tcBorders>
                  <w:vAlign w:val="center"/>
                </w:tcPr>
                <w:p w14:paraId="698AE2A6">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166</w:t>
                  </w:r>
                </w:p>
              </w:tc>
              <w:tc>
                <w:tcPr>
                  <w:tcW w:w="1043" w:type="pct"/>
                  <w:tcBorders>
                    <w:left w:val="single" w:color="auto" w:sz="4" w:space="0"/>
                  </w:tcBorders>
                  <w:vAlign w:val="center"/>
                </w:tcPr>
                <w:p w14:paraId="3634AF41">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268</w:t>
                  </w:r>
                </w:p>
              </w:tc>
              <w:tc>
                <w:tcPr>
                  <w:tcW w:w="856" w:type="pct"/>
                  <w:tcBorders>
                    <w:top w:val="single" w:color="auto" w:sz="4" w:space="0"/>
                    <w:left w:val="single" w:color="auto" w:sz="4" w:space="0"/>
                  </w:tcBorders>
                  <w:vAlign w:val="center"/>
                </w:tcPr>
                <w:p w14:paraId="041A8E03">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mg/L</w:t>
                  </w:r>
                </w:p>
              </w:tc>
            </w:tr>
            <w:tr w14:paraId="41F34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939" w:type="pct"/>
                  <w:tcBorders>
                    <w:right w:val="single" w:color="auto" w:sz="4" w:space="0"/>
                  </w:tcBorders>
                  <w:vAlign w:val="center"/>
                </w:tcPr>
                <w:p w14:paraId="17A2176E">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高锰酸盐指数</w:t>
                  </w:r>
                </w:p>
              </w:tc>
              <w:tc>
                <w:tcPr>
                  <w:tcW w:w="1171" w:type="pct"/>
                  <w:tcBorders>
                    <w:left w:val="single" w:color="auto" w:sz="4" w:space="0"/>
                  </w:tcBorders>
                  <w:vAlign w:val="center"/>
                </w:tcPr>
                <w:p w14:paraId="0B3BD6AE">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2.1</w:t>
                  </w:r>
                </w:p>
              </w:tc>
              <w:tc>
                <w:tcPr>
                  <w:tcW w:w="988" w:type="pct"/>
                  <w:tcBorders>
                    <w:left w:val="single" w:color="auto" w:sz="4" w:space="0"/>
                  </w:tcBorders>
                  <w:vAlign w:val="center"/>
                </w:tcPr>
                <w:p w14:paraId="44D7C655">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1.7</w:t>
                  </w:r>
                </w:p>
              </w:tc>
              <w:tc>
                <w:tcPr>
                  <w:tcW w:w="1043" w:type="pct"/>
                  <w:tcBorders>
                    <w:left w:val="single" w:color="auto" w:sz="4" w:space="0"/>
                  </w:tcBorders>
                  <w:vAlign w:val="center"/>
                </w:tcPr>
                <w:p w14:paraId="4F8F70DB">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1.9</w:t>
                  </w:r>
                </w:p>
              </w:tc>
              <w:tc>
                <w:tcPr>
                  <w:tcW w:w="856" w:type="pct"/>
                  <w:tcBorders>
                    <w:top w:val="single" w:color="auto" w:sz="4" w:space="0"/>
                    <w:left w:val="single" w:color="auto" w:sz="4" w:space="0"/>
                  </w:tcBorders>
                  <w:vAlign w:val="center"/>
                </w:tcPr>
                <w:p w14:paraId="5C622725">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mg/L</w:t>
                  </w:r>
                </w:p>
              </w:tc>
            </w:tr>
            <w:tr w14:paraId="7CE1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39" w:type="pct"/>
                  <w:tcBorders>
                    <w:right w:val="single" w:color="auto" w:sz="4" w:space="0"/>
                  </w:tcBorders>
                  <w:vAlign w:val="center"/>
                </w:tcPr>
                <w:p w14:paraId="17E2BA84">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氨氮</w:t>
                  </w:r>
                </w:p>
              </w:tc>
              <w:tc>
                <w:tcPr>
                  <w:tcW w:w="1171" w:type="pct"/>
                  <w:tcBorders>
                    <w:left w:val="single" w:color="auto" w:sz="4" w:space="0"/>
                  </w:tcBorders>
                  <w:vAlign w:val="center"/>
                </w:tcPr>
                <w:p w14:paraId="519E765A">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0.432</w:t>
                  </w:r>
                </w:p>
              </w:tc>
              <w:tc>
                <w:tcPr>
                  <w:tcW w:w="988" w:type="pct"/>
                  <w:tcBorders>
                    <w:left w:val="single" w:color="auto" w:sz="4" w:space="0"/>
                  </w:tcBorders>
                  <w:vAlign w:val="center"/>
                </w:tcPr>
                <w:p w14:paraId="5E414290">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0.190</w:t>
                  </w:r>
                </w:p>
              </w:tc>
              <w:tc>
                <w:tcPr>
                  <w:tcW w:w="1043" w:type="pct"/>
                  <w:tcBorders>
                    <w:left w:val="single" w:color="auto" w:sz="4" w:space="0"/>
                  </w:tcBorders>
                  <w:vAlign w:val="center"/>
                </w:tcPr>
                <w:p w14:paraId="15567ABC">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0.323</w:t>
                  </w:r>
                </w:p>
              </w:tc>
              <w:tc>
                <w:tcPr>
                  <w:tcW w:w="856" w:type="pct"/>
                  <w:tcBorders>
                    <w:top w:val="single" w:color="auto" w:sz="4" w:space="0"/>
                    <w:left w:val="single" w:color="auto" w:sz="4" w:space="0"/>
                  </w:tcBorders>
                  <w:vAlign w:val="center"/>
                </w:tcPr>
                <w:p w14:paraId="56A917D8">
                  <w:pPr>
                    <w:pStyle w:val="47"/>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Times New Roman" w:eastAsia="宋体" w:cs="Times New Roman"/>
                      <w:color w:val="auto"/>
                      <w:sz w:val="21"/>
                      <w:lang w:val="en-US" w:eastAsia="zh-CN"/>
                    </w:rPr>
                    <w:t>mg/L</w:t>
                  </w:r>
                </w:p>
              </w:tc>
            </w:tr>
            <w:tr w14:paraId="0CE9F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939" w:type="pct"/>
                  <w:tcBorders>
                    <w:right w:val="single" w:color="auto" w:sz="4" w:space="0"/>
                  </w:tcBorders>
                  <w:vAlign w:val="center"/>
                </w:tcPr>
                <w:p w14:paraId="7ABBE588">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硝酸盐氮</w:t>
                  </w:r>
                </w:p>
              </w:tc>
              <w:tc>
                <w:tcPr>
                  <w:tcW w:w="1171" w:type="pct"/>
                  <w:tcBorders>
                    <w:left w:val="single" w:color="auto" w:sz="4" w:space="0"/>
                  </w:tcBorders>
                  <w:vAlign w:val="center"/>
                </w:tcPr>
                <w:p w14:paraId="795F7FB7">
                  <w:pPr>
                    <w:pStyle w:val="47"/>
                    <w:spacing w:line="240" w:lineRule="auto"/>
                    <w:ind w:left="0" w:leftChars="0" w:firstLine="0" w:firstLineChars="0"/>
                    <w:jc w:val="center"/>
                    <w:rPr>
                      <w:rFonts w:hint="default" w:ascii="Times New Roman" w:hAnsi="Times New Roman" w:eastAsia="黑体" w:cs="Times New Roman"/>
                      <w:color w:val="auto"/>
                      <w:szCs w:val="21"/>
                      <w:lang w:val="en-US" w:eastAsia="zh-CN"/>
                    </w:rPr>
                  </w:pPr>
                  <w:r>
                    <w:rPr>
                      <w:rFonts w:hint="eastAsia" w:ascii="Times New Roman" w:cs="Times New Roman"/>
                      <w:color w:val="auto"/>
                      <w:szCs w:val="21"/>
                      <w:lang w:val="en-US" w:eastAsia="zh-CN"/>
                    </w:rPr>
                    <w:t>5.50</w:t>
                  </w:r>
                </w:p>
              </w:tc>
              <w:tc>
                <w:tcPr>
                  <w:tcW w:w="988" w:type="pct"/>
                  <w:tcBorders>
                    <w:left w:val="single" w:color="auto" w:sz="4" w:space="0"/>
                  </w:tcBorders>
                  <w:vAlign w:val="center"/>
                </w:tcPr>
                <w:p w14:paraId="72F27ABB">
                  <w:pPr>
                    <w:pStyle w:val="47"/>
                    <w:spacing w:line="240" w:lineRule="auto"/>
                    <w:ind w:left="0" w:leftChars="0" w:firstLine="0" w:firstLineChars="0"/>
                    <w:jc w:val="center"/>
                    <w:rPr>
                      <w:rFonts w:hint="default" w:ascii="Times New Roman" w:hAnsi="Times New Roman" w:eastAsia="黑体" w:cs="Times New Roman"/>
                      <w:color w:val="auto"/>
                      <w:szCs w:val="21"/>
                      <w:lang w:val="en-US" w:eastAsia="zh-CN"/>
                    </w:rPr>
                  </w:pPr>
                  <w:r>
                    <w:rPr>
                      <w:rFonts w:hint="eastAsia" w:ascii="Times New Roman" w:cs="Times New Roman"/>
                      <w:color w:val="auto"/>
                      <w:szCs w:val="21"/>
                      <w:lang w:val="en-US" w:eastAsia="zh-CN"/>
                    </w:rPr>
                    <w:t>0.332</w:t>
                  </w:r>
                </w:p>
              </w:tc>
              <w:tc>
                <w:tcPr>
                  <w:tcW w:w="1043" w:type="pct"/>
                  <w:tcBorders>
                    <w:left w:val="single" w:color="auto" w:sz="4" w:space="0"/>
                  </w:tcBorders>
                  <w:vAlign w:val="center"/>
                </w:tcPr>
                <w:p w14:paraId="5B91E1E7">
                  <w:pPr>
                    <w:pStyle w:val="47"/>
                    <w:spacing w:line="240" w:lineRule="auto"/>
                    <w:ind w:left="0" w:leftChars="0" w:firstLine="0" w:firstLineChars="0"/>
                    <w:jc w:val="center"/>
                    <w:rPr>
                      <w:rFonts w:hint="default" w:ascii="Times New Roman" w:hAnsi="Times New Roman" w:eastAsia="黑体" w:cs="Times New Roman"/>
                      <w:color w:val="auto"/>
                      <w:szCs w:val="21"/>
                      <w:lang w:val="en-US" w:eastAsia="zh-CN"/>
                    </w:rPr>
                  </w:pPr>
                  <w:r>
                    <w:rPr>
                      <w:rFonts w:hint="eastAsia" w:ascii="Times New Roman" w:cs="Times New Roman"/>
                      <w:color w:val="auto"/>
                      <w:szCs w:val="21"/>
                      <w:lang w:val="en-US" w:eastAsia="zh-CN"/>
                    </w:rPr>
                    <w:t>8.18</w:t>
                  </w:r>
                </w:p>
              </w:tc>
              <w:tc>
                <w:tcPr>
                  <w:tcW w:w="856" w:type="pct"/>
                  <w:tcBorders>
                    <w:left w:val="single" w:color="auto" w:sz="4" w:space="0"/>
                  </w:tcBorders>
                  <w:vAlign w:val="center"/>
                </w:tcPr>
                <w:p w14:paraId="2CF031FD">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mg/L</w:t>
                  </w:r>
                </w:p>
              </w:tc>
            </w:tr>
            <w:tr w14:paraId="5F0A2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939" w:type="pct"/>
                  <w:tcBorders>
                    <w:right w:val="single" w:color="auto" w:sz="4" w:space="0"/>
                  </w:tcBorders>
                  <w:vAlign w:val="center"/>
                </w:tcPr>
                <w:p w14:paraId="20009F09">
                  <w:pPr>
                    <w:widowControl/>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亚硝酸盐氮</w:t>
                  </w:r>
                </w:p>
              </w:tc>
              <w:tc>
                <w:tcPr>
                  <w:tcW w:w="1171" w:type="pct"/>
                  <w:tcBorders>
                    <w:left w:val="single" w:color="auto" w:sz="4" w:space="0"/>
                  </w:tcBorders>
                  <w:vAlign w:val="center"/>
                </w:tcPr>
                <w:p w14:paraId="7B597159">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0.016L</w:t>
                  </w:r>
                </w:p>
              </w:tc>
              <w:tc>
                <w:tcPr>
                  <w:tcW w:w="988" w:type="pct"/>
                  <w:tcBorders>
                    <w:left w:val="single" w:color="auto" w:sz="4" w:space="0"/>
                  </w:tcBorders>
                  <w:vAlign w:val="center"/>
                </w:tcPr>
                <w:p w14:paraId="52D4632C">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0.016L</w:t>
                  </w:r>
                </w:p>
              </w:tc>
              <w:tc>
                <w:tcPr>
                  <w:tcW w:w="1043" w:type="pct"/>
                  <w:tcBorders>
                    <w:left w:val="single" w:color="auto" w:sz="4" w:space="0"/>
                  </w:tcBorders>
                  <w:vAlign w:val="center"/>
                </w:tcPr>
                <w:p w14:paraId="1E7B149B">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0.016L</w:t>
                  </w:r>
                </w:p>
              </w:tc>
              <w:tc>
                <w:tcPr>
                  <w:tcW w:w="856" w:type="pct"/>
                  <w:tcBorders>
                    <w:left w:val="single" w:color="auto" w:sz="4" w:space="0"/>
                  </w:tcBorders>
                  <w:vAlign w:val="center"/>
                </w:tcPr>
                <w:p w14:paraId="505FCE90">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mg/L</w:t>
                  </w:r>
                </w:p>
              </w:tc>
            </w:tr>
            <w:tr w14:paraId="5851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939" w:type="pct"/>
                  <w:tcBorders>
                    <w:right w:val="single" w:color="auto" w:sz="4" w:space="0"/>
                  </w:tcBorders>
                  <w:vAlign w:val="center"/>
                </w:tcPr>
                <w:p w14:paraId="16DC6326">
                  <w:pPr>
                    <w:widowControl/>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硫酸盐</w:t>
                  </w:r>
                </w:p>
              </w:tc>
              <w:tc>
                <w:tcPr>
                  <w:tcW w:w="1171" w:type="pct"/>
                  <w:tcBorders>
                    <w:left w:val="single" w:color="auto" w:sz="4" w:space="0"/>
                  </w:tcBorders>
                  <w:vAlign w:val="center"/>
                </w:tcPr>
                <w:p w14:paraId="31A6C3C6">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80.8</w:t>
                  </w:r>
                </w:p>
              </w:tc>
              <w:tc>
                <w:tcPr>
                  <w:tcW w:w="988" w:type="pct"/>
                  <w:tcBorders>
                    <w:left w:val="single" w:color="auto" w:sz="4" w:space="0"/>
                  </w:tcBorders>
                  <w:vAlign w:val="center"/>
                </w:tcPr>
                <w:p w14:paraId="36188952">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3.77</w:t>
                  </w:r>
                </w:p>
              </w:tc>
              <w:tc>
                <w:tcPr>
                  <w:tcW w:w="1043" w:type="pct"/>
                  <w:tcBorders>
                    <w:left w:val="single" w:color="auto" w:sz="4" w:space="0"/>
                  </w:tcBorders>
                  <w:vAlign w:val="center"/>
                </w:tcPr>
                <w:p w14:paraId="6606A2D9">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59.3</w:t>
                  </w:r>
                </w:p>
              </w:tc>
              <w:tc>
                <w:tcPr>
                  <w:tcW w:w="856" w:type="pct"/>
                  <w:tcBorders>
                    <w:left w:val="single" w:color="auto" w:sz="4" w:space="0"/>
                  </w:tcBorders>
                  <w:vAlign w:val="center"/>
                </w:tcPr>
                <w:p w14:paraId="7D136C42">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mg/L</w:t>
                  </w:r>
                </w:p>
              </w:tc>
            </w:tr>
            <w:tr w14:paraId="143A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939" w:type="pct"/>
                  <w:tcBorders>
                    <w:right w:val="single" w:color="auto" w:sz="4" w:space="0"/>
                  </w:tcBorders>
                  <w:vAlign w:val="center"/>
                </w:tcPr>
                <w:p w14:paraId="3FAC7544">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氯化物</w:t>
                  </w:r>
                </w:p>
              </w:tc>
              <w:tc>
                <w:tcPr>
                  <w:tcW w:w="1171" w:type="pct"/>
                  <w:tcBorders>
                    <w:left w:val="single" w:color="auto" w:sz="4" w:space="0"/>
                  </w:tcBorders>
                  <w:vAlign w:val="center"/>
                </w:tcPr>
                <w:p w14:paraId="771876D1">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39</w:t>
                  </w:r>
                </w:p>
              </w:tc>
              <w:tc>
                <w:tcPr>
                  <w:tcW w:w="988" w:type="pct"/>
                  <w:tcBorders>
                    <w:left w:val="single" w:color="auto" w:sz="4" w:space="0"/>
                  </w:tcBorders>
                  <w:vAlign w:val="center"/>
                </w:tcPr>
                <w:p w14:paraId="415892DD">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30</w:t>
                  </w:r>
                </w:p>
              </w:tc>
              <w:tc>
                <w:tcPr>
                  <w:tcW w:w="1043" w:type="pct"/>
                  <w:tcBorders>
                    <w:left w:val="single" w:color="auto" w:sz="4" w:space="0"/>
                  </w:tcBorders>
                  <w:vAlign w:val="center"/>
                </w:tcPr>
                <w:p w14:paraId="178F30E7">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63</w:t>
                  </w:r>
                </w:p>
              </w:tc>
              <w:tc>
                <w:tcPr>
                  <w:tcW w:w="856" w:type="pct"/>
                  <w:tcBorders>
                    <w:left w:val="single" w:color="auto" w:sz="4" w:space="0"/>
                  </w:tcBorders>
                  <w:vAlign w:val="center"/>
                </w:tcPr>
                <w:p w14:paraId="62337FAB">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mg/L</w:t>
                  </w:r>
                </w:p>
              </w:tc>
            </w:tr>
            <w:tr w14:paraId="5B7C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939" w:type="pct"/>
                  <w:tcBorders>
                    <w:right w:val="single" w:color="auto" w:sz="4" w:space="0"/>
                  </w:tcBorders>
                  <w:vAlign w:val="center"/>
                </w:tcPr>
                <w:p w14:paraId="1973FE56">
                  <w:pPr>
                    <w:widowControl/>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氟化物</w:t>
                  </w:r>
                </w:p>
              </w:tc>
              <w:tc>
                <w:tcPr>
                  <w:tcW w:w="1171" w:type="pct"/>
                  <w:tcBorders>
                    <w:left w:val="single" w:color="auto" w:sz="4" w:space="0"/>
                  </w:tcBorders>
                  <w:vAlign w:val="center"/>
                </w:tcPr>
                <w:p w14:paraId="4A113CCB">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0.70</w:t>
                  </w:r>
                </w:p>
              </w:tc>
              <w:tc>
                <w:tcPr>
                  <w:tcW w:w="988" w:type="pct"/>
                  <w:tcBorders>
                    <w:left w:val="single" w:color="auto" w:sz="4" w:space="0"/>
                  </w:tcBorders>
                  <w:vAlign w:val="center"/>
                </w:tcPr>
                <w:p w14:paraId="6EF5DFC5">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0.86</w:t>
                  </w:r>
                </w:p>
              </w:tc>
              <w:tc>
                <w:tcPr>
                  <w:tcW w:w="1043" w:type="pct"/>
                  <w:tcBorders>
                    <w:left w:val="single" w:color="auto" w:sz="4" w:space="0"/>
                  </w:tcBorders>
                  <w:vAlign w:val="center"/>
                </w:tcPr>
                <w:p w14:paraId="76601419">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0.96</w:t>
                  </w:r>
                </w:p>
              </w:tc>
              <w:tc>
                <w:tcPr>
                  <w:tcW w:w="856" w:type="pct"/>
                  <w:tcBorders>
                    <w:left w:val="single" w:color="auto" w:sz="4" w:space="0"/>
                  </w:tcBorders>
                  <w:vAlign w:val="center"/>
                </w:tcPr>
                <w:p w14:paraId="2B40BAF1">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mg/L</w:t>
                  </w:r>
                </w:p>
              </w:tc>
            </w:tr>
            <w:tr w14:paraId="0A32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939" w:type="pct"/>
                  <w:tcBorders>
                    <w:right w:val="single" w:color="auto" w:sz="4" w:space="0"/>
                  </w:tcBorders>
                  <w:vAlign w:val="center"/>
                </w:tcPr>
                <w:p w14:paraId="1B6B4AEB">
                  <w:pPr>
                    <w:widowControl/>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挥发酚</w:t>
                  </w:r>
                </w:p>
              </w:tc>
              <w:tc>
                <w:tcPr>
                  <w:tcW w:w="1171" w:type="pct"/>
                  <w:tcBorders>
                    <w:left w:val="single" w:color="auto" w:sz="4" w:space="0"/>
                  </w:tcBorders>
                  <w:vAlign w:val="center"/>
                </w:tcPr>
                <w:p w14:paraId="4865790A">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0.0003L</w:t>
                  </w:r>
                </w:p>
              </w:tc>
              <w:tc>
                <w:tcPr>
                  <w:tcW w:w="988" w:type="pct"/>
                  <w:tcBorders>
                    <w:left w:val="single" w:color="auto" w:sz="4" w:space="0"/>
                  </w:tcBorders>
                  <w:vAlign w:val="center"/>
                </w:tcPr>
                <w:p w14:paraId="5C6C5653">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0.0003L</w:t>
                  </w:r>
                </w:p>
              </w:tc>
              <w:tc>
                <w:tcPr>
                  <w:tcW w:w="1043" w:type="pct"/>
                  <w:tcBorders>
                    <w:left w:val="single" w:color="auto" w:sz="4" w:space="0"/>
                  </w:tcBorders>
                  <w:vAlign w:val="center"/>
                </w:tcPr>
                <w:p w14:paraId="70767B0D">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0.0003L</w:t>
                  </w:r>
                </w:p>
              </w:tc>
              <w:tc>
                <w:tcPr>
                  <w:tcW w:w="856" w:type="pct"/>
                  <w:tcBorders>
                    <w:left w:val="single" w:color="auto" w:sz="4" w:space="0"/>
                  </w:tcBorders>
                  <w:vAlign w:val="center"/>
                </w:tcPr>
                <w:p w14:paraId="4E8AB4C8">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mg/L</w:t>
                  </w:r>
                </w:p>
              </w:tc>
            </w:tr>
            <w:tr w14:paraId="77C07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939" w:type="pct"/>
                  <w:tcBorders>
                    <w:right w:val="single" w:color="auto" w:sz="4" w:space="0"/>
                  </w:tcBorders>
                  <w:vAlign w:val="center"/>
                </w:tcPr>
                <w:p w14:paraId="53D23758">
                  <w:pPr>
                    <w:widowControl/>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氰化物</w:t>
                  </w:r>
                </w:p>
              </w:tc>
              <w:tc>
                <w:tcPr>
                  <w:tcW w:w="1171" w:type="pct"/>
                  <w:tcBorders>
                    <w:left w:val="single" w:color="auto" w:sz="4" w:space="0"/>
                  </w:tcBorders>
                  <w:vAlign w:val="center"/>
                </w:tcPr>
                <w:p w14:paraId="051887F5">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0.002L</w:t>
                  </w:r>
                </w:p>
              </w:tc>
              <w:tc>
                <w:tcPr>
                  <w:tcW w:w="988" w:type="pct"/>
                  <w:tcBorders>
                    <w:left w:val="single" w:color="auto" w:sz="4" w:space="0"/>
                  </w:tcBorders>
                  <w:vAlign w:val="center"/>
                </w:tcPr>
                <w:p w14:paraId="653C49F3">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0.002L</w:t>
                  </w:r>
                </w:p>
              </w:tc>
              <w:tc>
                <w:tcPr>
                  <w:tcW w:w="1043" w:type="pct"/>
                  <w:tcBorders>
                    <w:left w:val="single" w:color="auto" w:sz="4" w:space="0"/>
                  </w:tcBorders>
                  <w:vAlign w:val="center"/>
                </w:tcPr>
                <w:p w14:paraId="1992F5BA">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0.002L</w:t>
                  </w:r>
                </w:p>
              </w:tc>
              <w:tc>
                <w:tcPr>
                  <w:tcW w:w="856" w:type="pct"/>
                  <w:tcBorders>
                    <w:left w:val="single" w:color="auto" w:sz="4" w:space="0"/>
                  </w:tcBorders>
                  <w:vAlign w:val="center"/>
                </w:tcPr>
                <w:p w14:paraId="3BA2B5F2">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mg/L</w:t>
                  </w:r>
                </w:p>
              </w:tc>
            </w:tr>
            <w:tr w14:paraId="6D82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39" w:type="pct"/>
                  <w:tcBorders>
                    <w:right w:val="single" w:color="auto" w:sz="4" w:space="0"/>
                  </w:tcBorders>
                  <w:vAlign w:val="center"/>
                </w:tcPr>
                <w:p w14:paraId="19CFF5FC">
                  <w:pPr>
                    <w:widowControl/>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铬（六价）</w:t>
                  </w:r>
                </w:p>
              </w:tc>
              <w:tc>
                <w:tcPr>
                  <w:tcW w:w="1171" w:type="pct"/>
                  <w:tcBorders>
                    <w:left w:val="single" w:color="auto" w:sz="4" w:space="0"/>
                  </w:tcBorders>
                  <w:vAlign w:val="center"/>
                </w:tcPr>
                <w:p w14:paraId="507F7667">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0.004L</w:t>
                  </w:r>
                </w:p>
              </w:tc>
              <w:tc>
                <w:tcPr>
                  <w:tcW w:w="988" w:type="pct"/>
                  <w:tcBorders>
                    <w:left w:val="single" w:color="auto" w:sz="4" w:space="0"/>
                  </w:tcBorders>
                  <w:vAlign w:val="center"/>
                </w:tcPr>
                <w:p w14:paraId="45BB50A1">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0.004L</w:t>
                  </w:r>
                </w:p>
              </w:tc>
              <w:tc>
                <w:tcPr>
                  <w:tcW w:w="1043" w:type="pct"/>
                  <w:tcBorders>
                    <w:left w:val="single" w:color="auto" w:sz="4" w:space="0"/>
                  </w:tcBorders>
                  <w:vAlign w:val="center"/>
                </w:tcPr>
                <w:p w14:paraId="394015D2">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0.004L</w:t>
                  </w:r>
                </w:p>
              </w:tc>
              <w:tc>
                <w:tcPr>
                  <w:tcW w:w="856" w:type="pct"/>
                  <w:tcBorders>
                    <w:left w:val="single" w:color="auto" w:sz="4" w:space="0"/>
                  </w:tcBorders>
                  <w:vAlign w:val="center"/>
                </w:tcPr>
                <w:p w14:paraId="28C94408">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mg/L</w:t>
                  </w:r>
                </w:p>
              </w:tc>
            </w:tr>
            <w:tr w14:paraId="29C6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39" w:type="pct"/>
                  <w:vAlign w:val="center"/>
                </w:tcPr>
                <w:p w14:paraId="54D63C3F">
                  <w:pPr>
                    <w:widowControl/>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总大肠菌群</w:t>
                  </w:r>
                </w:p>
              </w:tc>
              <w:tc>
                <w:tcPr>
                  <w:tcW w:w="1171" w:type="pct"/>
                  <w:tcBorders>
                    <w:left w:val="single" w:color="auto" w:sz="4" w:space="0"/>
                  </w:tcBorders>
                  <w:vAlign w:val="center"/>
                </w:tcPr>
                <w:p w14:paraId="21EFB518">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2L</w:t>
                  </w:r>
                </w:p>
              </w:tc>
              <w:tc>
                <w:tcPr>
                  <w:tcW w:w="988" w:type="pct"/>
                  <w:tcBorders>
                    <w:left w:val="single" w:color="auto" w:sz="4" w:space="0"/>
                  </w:tcBorders>
                  <w:vAlign w:val="center"/>
                </w:tcPr>
                <w:p w14:paraId="68E40F27">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2L</w:t>
                  </w:r>
                </w:p>
              </w:tc>
              <w:tc>
                <w:tcPr>
                  <w:tcW w:w="1043" w:type="pct"/>
                  <w:tcBorders>
                    <w:left w:val="single" w:color="auto" w:sz="4" w:space="0"/>
                  </w:tcBorders>
                  <w:vAlign w:val="center"/>
                </w:tcPr>
                <w:p w14:paraId="54A3D23A">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2L</w:t>
                  </w:r>
                </w:p>
              </w:tc>
              <w:tc>
                <w:tcPr>
                  <w:tcW w:w="856" w:type="pct"/>
                  <w:tcBorders>
                    <w:left w:val="single" w:color="auto" w:sz="4" w:space="0"/>
                  </w:tcBorders>
                  <w:vAlign w:val="center"/>
                </w:tcPr>
                <w:p w14:paraId="55E3C15D">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MPN/100mL</w:t>
                  </w:r>
                </w:p>
              </w:tc>
            </w:tr>
            <w:tr w14:paraId="4750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939" w:type="pct"/>
                  <w:vAlign w:val="center"/>
                </w:tcPr>
                <w:p w14:paraId="62F200DB">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菌落总数</w:t>
                  </w:r>
                </w:p>
              </w:tc>
              <w:tc>
                <w:tcPr>
                  <w:tcW w:w="1171" w:type="pct"/>
                  <w:tcBorders>
                    <w:left w:val="single" w:color="auto" w:sz="4" w:space="0"/>
                  </w:tcBorders>
                  <w:vAlign w:val="center"/>
                </w:tcPr>
                <w:p w14:paraId="29318FC0">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74</w:t>
                  </w:r>
                </w:p>
              </w:tc>
              <w:tc>
                <w:tcPr>
                  <w:tcW w:w="988" w:type="pct"/>
                  <w:tcBorders>
                    <w:left w:val="single" w:color="auto" w:sz="4" w:space="0"/>
                  </w:tcBorders>
                  <w:vAlign w:val="center"/>
                </w:tcPr>
                <w:p w14:paraId="569D3079">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86</w:t>
                  </w:r>
                </w:p>
              </w:tc>
              <w:tc>
                <w:tcPr>
                  <w:tcW w:w="1043" w:type="pct"/>
                  <w:tcBorders>
                    <w:left w:val="single" w:color="auto" w:sz="4" w:space="0"/>
                  </w:tcBorders>
                  <w:vAlign w:val="center"/>
                </w:tcPr>
                <w:p w14:paraId="55919807">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72</w:t>
                  </w:r>
                </w:p>
              </w:tc>
              <w:tc>
                <w:tcPr>
                  <w:tcW w:w="856" w:type="pct"/>
                  <w:tcBorders>
                    <w:left w:val="single" w:color="auto" w:sz="4" w:space="0"/>
                  </w:tcBorders>
                  <w:vAlign w:val="center"/>
                </w:tcPr>
                <w:p w14:paraId="1454091A">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CFU/mL</w:t>
                  </w:r>
                </w:p>
              </w:tc>
            </w:tr>
            <w:tr w14:paraId="2E52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39" w:type="pct"/>
                  <w:vAlign w:val="center"/>
                </w:tcPr>
                <w:p w14:paraId="79BE81AE">
                  <w:pPr>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铅</w:t>
                  </w:r>
                </w:p>
              </w:tc>
              <w:tc>
                <w:tcPr>
                  <w:tcW w:w="1171" w:type="pct"/>
                  <w:tcBorders>
                    <w:left w:val="single" w:color="auto" w:sz="4" w:space="0"/>
                  </w:tcBorders>
                  <w:vAlign w:val="center"/>
                </w:tcPr>
                <w:p w14:paraId="6CD9DF63">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1L</w:t>
                  </w:r>
                </w:p>
              </w:tc>
              <w:tc>
                <w:tcPr>
                  <w:tcW w:w="988" w:type="pct"/>
                  <w:tcBorders>
                    <w:left w:val="single" w:color="auto" w:sz="4" w:space="0"/>
                  </w:tcBorders>
                  <w:vAlign w:val="center"/>
                </w:tcPr>
                <w:p w14:paraId="7FAA09BB">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1L</w:t>
                  </w:r>
                </w:p>
              </w:tc>
              <w:tc>
                <w:tcPr>
                  <w:tcW w:w="1043" w:type="pct"/>
                  <w:tcBorders>
                    <w:left w:val="single" w:color="auto" w:sz="4" w:space="0"/>
                  </w:tcBorders>
                  <w:vAlign w:val="center"/>
                </w:tcPr>
                <w:p w14:paraId="1461A15B">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1L</w:t>
                  </w:r>
                </w:p>
              </w:tc>
              <w:tc>
                <w:tcPr>
                  <w:tcW w:w="856" w:type="pct"/>
                  <w:tcBorders>
                    <w:left w:val="single" w:color="auto" w:sz="4" w:space="0"/>
                  </w:tcBorders>
                  <w:vAlign w:val="center"/>
                </w:tcPr>
                <w:p w14:paraId="7019659A">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ug/L</w:t>
                  </w:r>
                </w:p>
              </w:tc>
            </w:tr>
            <w:tr w14:paraId="1E8B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939" w:type="pct"/>
                  <w:vAlign w:val="center"/>
                </w:tcPr>
                <w:p w14:paraId="52596695">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镉</w:t>
                  </w:r>
                </w:p>
              </w:tc>
              <w:tc>
                <w:tcPr>
                  <w:tcW w:w="1171" w:type="pct"/>
                  <w:tcBorders>
                    <w:left w:val="single" w:color="auto" w:sz="4" w:space="0"/>
                  </w:tcBorders>
                  <w:vAlign w:val="center"/>
                </w:tcPr>
                <w:p w14:paraId="71DE4913">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0.1L</w:t>
                  </w:r>
                </w:p>
              </w:tc>
              <w:tc>
                <w:tcPr>
                  <w:tcW w:w="988" w:type="pct"/>
                  <w:tcBorders>
                    <w:left w:val="single" w:color="auto" w:sz="4" w:space="0"/>
                  </w:tcBorders>
                  <w:vAlign w:val="center"/>
                </w:tcPr>
                <w:p w14:paraId="4478B81A">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0.1L</w:t>
                  </w:r>
                </w:p>
              </w:tc>
              <w:tc>
                <w:tcPr>
                  <w:tcW w:w="1043" w:type="pct"/>
                  <w:tcBorders>
                    <w:left w:val="single" w:color="auto" w:sz="4" w:space="0"/>
                  </w:tcBorders>
                  <w:vAlign w:val="center"/>
                </w:tcPr>
                <w:p w14:paraId="313B8E7A">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0.1L</w:t>
                  </w:r>
                </w:p>
              </w:tc>
              <w:tc>
                <w:tcPr>
                  <w:tcW w:w="856" w:type="pct"/>
                  <w:tcBorders>
                    <w:left w:val="single" w:color="auto" w:sz="4" w:space="0"/>
                  </w:tcBorders>
                  <w:vAlign w:val="center"/>
                </w:tcPr>
                <w:p w14:paraId="5EBB38B7">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ug/L</w:t>
                  </w:r>
                </w:p>
              </w:tc>
            </w:tr>
            <w:tr w14:paraId="7B42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939" w:type="pct"/>
                  <w:vAlign w:val="center"/>
                </w:tcPr>
                <w:p w14:paraId="76E63FAF">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铁</w:t>
                  </w:r>
                </w:p>
              </w:tc>
              <w:tc>
                <w:tcPr>
                  <w:tcW w:w="1171" w:type="pct"/>
                  <w:tcBorders>
                    <w:left w:val="single" w:color="auto" w:sz="4" w:space="0"/>
                  </w:tcBorders>
                  <w:vAlign w:val="center"/>
                </w:tcPr>
                <w:p w14:paraId="72104C9E">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0.03L</w:t>
                  </w:r>
                </w:p>
              </w:tc>
              <w:tc>
                <w:tcPr>
                  <w:tcW w:w="988" w:type="pct"/>
                  <w:tcBorders>
                    <w:left w:val="single" w:color="auto" w:sz="4" w:space="0"/>
                  </w:tcBorders>
                  <w:vAlign w:val="center"/>
                </w:tcPr>
                <w:p w14:paraId="7F768285">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0.03L</w:t>
                  </w:r>
                </w:p>
              </w:tc>
              <w:tc>
                <w:tcPr>
                  <w:tcW w:w="1043" w:type="pct"/>
                  <w:tcBorders>
                    <w:left w:val="single" w:color="auto" w:sz="4" w:space="0"/>
                  </w:tcBorders>
                  <w:vAlign w:val="center"/>
                </w:tcPr>
                <w:p w14:paraId="125A4290">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0.03L</w:t>
                  </w:r>
                </w:p>
              </w:tc>
              <w:tc>
                <w:tcPr>
                  <w:tcW w:w="856" w:type="pct"/>
                  <w:tcBorders>
                    <w:left w:val="single" w:color="auto" w:sz="4" w:space="0"/>
                  </w:tcBorders>
                  <w:vAlign w:val="center"/>
                </w:tcPr>
                <w:p w14:paraId="555EC45B">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mg/L</w:t>
                  </w:r>
                </w:p>
              </w:tc>
            </w:tr>
            <w:tr w14:paraId="7E65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939" w:type="pct"/>
                  <w:vAlign w:val="center"/>
                </w:tcPr>
                <w:p w14:paraId="1D952B5B">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锰</w:t>
                  </w:r>
                </w:p>
              </w:tc>
              <w:tc>
                <w:tcPr>
                  <w:tcW w:w="1171" w:type="pct"/>
                  <w:tcBorders>
                    <w:left w:val="single" w:color="auto" w:sz="4" w:space="0"/>
                  </w:tcBorders>
                  <w:vAlign w:val="center"/>
                </w:tcPr>
                <w:p w14:paraId="7BD12053">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0.01L</w:t>
                  </w:r>
                </w:p>
              </w:tc>
              <w:tc>
                <w:tcPr>
                  <w:tcW w:w="988" w:type="pct"/>
                  <w:tcBorders>
                    <w:left w:val="single" w:color="auto" w:sz="4" w:space="0"/>
                  </w:tcBorders>
                  <w:vAlign w:val="center"/>
                </w:tcPr>
                <w:p w14:paraId="4CA9C9BC">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0.01L</w:t>
                  </w:r>
                </w:p>
              </w:tc>
              <w:tc>
                <w:tcPr>
                  <w:tcW w:w="1043" w:type="pct"/>
                  <w:tcBorders>
                    <w:left w:val="single" w:color="auto" w:sz="4" w:space="0"/>
                  </w:tcBorders>
                  <w:vAlign w:val="center"/>
                </w:tcPr>
                <w:p w14:paraId="1CF6839A">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0.01L</w:t>
                  </w:r>
                </w:p>
              </w:tc>
              <w:tc>
                <w:tcPr>
                  <w:tcW w:w="856" w:type="pct"/>
                  <w:tcBorders>
                    <w:left w:val="single" w:color="auto" w:sz="4" w:space="0"/>
                  </w:tcBorders>
                  <w:vAlign w:val="center"/>
                </w:tcPr>
                <w:p w14:paraId="4CDC37D7">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mg/L</w:t>
                  </w:r>
                </w:p>
              </w:tc>
            </w:tr>
            <w:tr w14:paraId="0007C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939" w:type="pct"/>
                  <w:vAlign w:val="center"/>
                </w:tcPr>
                <w:p w14:paraId="5A8262EB">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钾</w:t>
                  </w:r>
                </w:p>
              </w:tc>
              <w:tc>
                <w:tcPr>
                  <w:tcW w:w="1171" w:type="pct"/>
                  <w:tcBorders>
                    <w:left w:val="single" w:color="auto" w:sz="4" w:space="0"/>
                  </w:tcBorders>
                  <w:vAlign w:val="center"/>
                </w:tcPr>
                <w:p w14:paraId="2AFECF4E">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1.16</w:t>
                  </w:r>
                </w:p>
              </w:tc>
              <w:tc>
                <w:tcPr>
                  <w:tcW w:w="988" w:type="pct"/>
                  <w:tcBorders>
                    <w:left w:val="single" w:color="auto" w:sz="4" w:space="0"/>
                  </w:tcBorders>
                  <w:vAlign w:val="center"/>
                </w:tcPr>
                <w:p w14:paraId="4FC361B0">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2.71</w:t>
                  </w:r>
                </w:p>
              </w:tc>
              <w:tc>
                <w:tcPr>
                  <w:tcW w:w="1043" w:type="pct"/>
                  <w:tcBorders>
                    <w:left w:val="single" w:color="auto" w:sz="4" w:space="0"/>
                  </w:tcBorders>
                  <w:vAlign w:val="center"/>
                </w:tcPr>
                <w:p w14:paraId="60351294">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1.09</w:t>
                  </w:r>
                </w:p>
              </w:tc>
              <w:tc>
                <w:tcPr>
                  <w:tcW w:w="856" w:type="pct"/>
                  <w:tcBorders>
                    <w:left w:val="single" w:color="auto" w:sz="4" w:space="0"/>
                  </w:tcBorders>
                  <w:vAlign w:val="center"/>
                </w:tcPr>
                <w:p w14:paraId="60F5EF89">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mg/L</w:t>
                  </w:r>
                </w:p>
              </w:tc>
            </w:tr>
            <w:tr w14:paraId="34347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 w:hRule="atLeast"/>
                <w:jc w:val="center"/>
              </w:trPr>
              <w:tc>
                <w:tcPr>
                  <w:tcW w:w="939" w:type="pct"/>
                  <w:vAlign w:val="center"/>
                </w:tcPr>
                <w:p w14:paraId="1146877A">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钠</w:t>
                  </w:r>
                </w:p>
              </w:tc>
              <w:tc>
                <w:tcPr>
                  <w:tcW w:w="1171" w:type="pct"/>
                  <w:tcBorders>
                    <w:left w:val="single" w:color="auto" w:sz="4" w:space="0"/>
                  </w:tcBorders>
                  <w:vAlign w:val="center"/>
                </w:tcPr>
                <w:p w14:paraId="011EB80B">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52.4</w:t>
                  </w:r>
                </w:p>
              </w:tc>
              <w:tc>
                <w:tcPr>
                  <w:tcW w:w="988" w:type="pct"/>
                  <w:tcBorders>
                    <w:left w:val="single" w:color="auto" w:sz="4" w:space="0"/>
                  </w:tcBorders>
                  <w:vAlign w:val="center"/>
                </w:tcPr>
                <w:p w14:paraId="71EB8C3A">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50.9</w:t>
                  </w:r>
                </w:p>
              </w:tc>
              <w:tc>
                <w:tcPr>
                  <w:tcW w:w="1043" w:type="pct"/>
                  <w:tcBorders>
                    <w:left w:val="single" w:color="auto" w:sz="4" w:space="0"/>
                  </w:tcBorders>
                  <w:vAlign w:val="center"/>
                </w:tcPr>
                <w:p w14:paraId="2DD25129">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49.4</w:t>
                  </w:r>
                </w:p>
              </w:tc>
              <w:tc>
                <w:tcPr>
                  <w:tcW w:w="1360" w:type="dxa"/>
                  <w:tcBorders>
                    <w:left w:val="single" w:color="auto" w:sz="4" w:space="0"/>
                  </w:tcBorders>
                  <w:vAlign w:val="center"/>
                </w:tcPr>
                <w:p w14:paraId="7601209F">
                  <w:pPr>
                    <w:widowControl/>
                    <w:jc w:val="center"/>
                    <w:textAlignment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mg/L</w:t>
                  </w:r>
                </w:p>
              </w:tc>
            </w:tr>
            <w:tr w14:paraId="1016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939" w:type="pct"/>
                  <w:vAlign w:val="center"/>
                </w:tcPr>
                <w:p w14:paraId="718593A0">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钙</w:t>
                  </w:r>
                </w:p>
              </w:tc>
              <w:tc>
                <w:tcPr>
                  <w:tcW w:w="1171" w:type="pct"/>
                  <w:tcBorders>
                    <w:left w:val="single" w:color="auto" w:sz="4" w:space="0"/>
                  </w:tcBorders>
                  <w:vAlign w:val="center"/>
                </w:tcPr>
                <w:p w14:paraId="36185E2C">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90.8</w:t>
                  </w:r>
                </w:p>
              </w:tc>
              <w:tc>
                <w:tcPr>
                  <w:tcW w:w="988" w:type="pct"/>
                  <w:tcBorders>
                    <w:left w:val="single" w:color="auto" w:sz="4" w:space="0"/>
                  </w:tcBorders>
                  <w:vAlign w:val="center"/>
                </w:tcPr>
                <w:p w14:paraId="0CE26625">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42.8</w:t>
                  </w:r>
                </w:p>
              </w:tc>
              <w:tc>
                <w:tcPr>
                  <w:tcW w:w="1043" w:type="pct"/>
                  <w:tcBorders>
                    <w:left w:val="single" w:color="auto" w:sz="4" w:space="0"/>
                  </w:tcBorders>
                  <w:vAlign w:val="center"/>
                </w:tcPr>
                <w:p w14:paraId="0C1140CB">
                  <w:pPr>
                    <w:widowControl/>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62.7</w:t>
                  </w:r>
                </w:p>
              </w:tc>
              <w:tc>
                <w:tcPr>
                  <w:tcW w:w="1360" w:type="dxa"/>
                  <w:tcBorders>
                    <w:left w:val="single" w:color="auto" w:sz="4" w:space="0"/>
                  </w:tcBorders>
                  <w:vAlign w:val="center"/>
                </w:tcPr>
                <w:p w14:paraId="0249AE23">
                  <w:pPr>
                    <w:widowControl/>
                    <w:jc w:val="center"/>
                    <w:textAlignment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mg/L</w:t>
                  </w:r>
                </w:p>
              </w:tc>
            </w:tr>
            <w:tr w14:paraId="3C189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939" w:type="pct"/>
                  <w:vAlign w:val="center"/>
                </w:tcPr>
                <w:p w14:paraId="28FC8B8C">
                  <w:pPr>
                    <w:jc w:val="center"/>
                    <w:rPr>
                      <w:rFonts w:hint="default" w:cs="Times New Roman"/>
                      <w:color w:val="auto"/>
                      <w:szCs w:val="21"/>
                      <w:lang w:val="en-US" w:eastAsia="zh-CN"/>
                    </w:rPr>
                  </w:pPr>
                  <w:r>
                    <w:rPr>
                      <w:rFonts w:hint="eastAsia" w:cs="Times New Roman"/>
                      <w:color w:val="auto"/>
                      <w:szCs w:val="21"/>
                      <w:lang w:val="en-US" w:eastAsia="zh-CN"/>
                    </w:rPr>
                    <w:t>镁</w:t>
                  </w:r>
                </w:p>
              </w:tc>
              <w:tc>
                <w:tcPr>
                  <w:tcW w:w="1171" w:type="pct"/>
                  <w:tcBorders>
                    <w:left w:val="single" w:color="auto" w:sz="4" w:space="0"/>
                  </w:tcBorders>
                  <w:vAlign w:val="center"/>
                </w:tcPr>
                <w:p w14:paraId="2DC5D46E">
                  <w:pPr>
                    <w:widowControl/>
                    <w:jc w:val="center"/>
                    <w:textAlignment w:val="center"/>
                    <w:rPr>
                      <w:rFonts w:hint="default" w:cs="Times New Roman"/>
                      <w:color w:val="auto"/>
                      <w:szCs w:val="21"/>
                      <w:lang w:val="en-US" w:eastAsia="zh-CN"/>
                    </w:rPr>
                  </w:pPr>
                  <w:r>
                    <w:rPr>
                      <w:rFonts w:hint="eastAsia" w:cs="Times New Roman"/>
                      <w:color w:val="auto"/>
                      <w:szCs w:val="21"/>
                      <w:lang w:val="en-US" w:eastAsia="zh-CN"/>
                    </w:rPr>
                    <w:t>18.6</w:t>
                  </w:r>
                </w:p>
              </w:tc>
              <w:tc>
                <w:tcPr>
                  <w:tcW w:w="988" w:type="pct"/>
                  <w:tcBorders>
                    <w:left w:val="single" w:color="auto" w:sz="4" w:space="0"/>
                  </w:tcBorders>
                  <w:vAlign w:val="center"/>
                </w:tcPr>
                <w:p w14:paraId="2A63B9AB">
                  <w:pPr>
                    <w:widowControl/>
                    <w:jc w:val="center"/>
                    <w:textAlignment w:val="center"/>
                    <w:rPr>
                      <w:rFonts w:hint="default" w:cs="Times New Roman"/>
                      <w:color w:val="auto"/>
                      <w:szCs w:val="21"/>
                      <w:lang w:val="en-US" w:eastAsia="zh-CN"/>
                    </w:rPr>
                  </w:pPr>
                  <w:r>
                    <w:rPr>
                      <w:rFonts w:hint="eastAsia" w:cs="Times New Roman"/>
                      <w:color w:val="auto"/>
                      <w:szCs w:val="21"/>
                      <w:lang w:val="en-US" w:eastAsia="zh-CN"/>
                    </w:rPr>
                    <w:t>12.0</w:t>
                  </w:r>
                </w:p>
              </w:tc>
              <w:tc>
                <w:tcPr>
                  <w:tcW w:w="1043" w:type="pct"/>
                  <w:tcBorders>
                    <w:left w:val="single" w:color="auto" w:sz="4" w:space="0"/>
                  </w:tcBorders>
                  <w:vAlign w:val="center"/>
                </w:tcPr>
                <w:p w14:paraId="4913C378">
                  <w:pPr>
                    <w:widowControl/>
                    <w:jc w:val="center"/>
                    <w:textAlignment w:val="center"/>
                    <w:rPr>
                      <w:rFonts w:hint="default" w:cs="Times New Roman"/>
                      <w:color w:val="auto"/>
                      <w:szCs w:val="21"/>
                      <w:lang w:val="en-US" w:eastAsia="zh-CN"/>
                    </w:rPr>
                  </w:pPr>
                  <w:r>
                    <w:rPr>
                      <w:rFonts w:hint="eastAsia" w:cs="Times New Roman"/>
                      <w:color w:val="auto"/>
                      <w:szCs w:val="21"/>
                      <w:lang w:val="en-US" w:eastAsia="zh-CN"/>
                    </w:rPr>
                    <w:t>22.6</w:t>
                  </w:r>
                </w:p>
              </w:tc>
              <w:tc>
                <w:tcPr>
                  <w:tcW w:w="1360" w:type="dxa"/>
                  <w:tcBorders>
                    <w:left w:val="single" w:color="auto" w:sz="4" w:space="0"/>
                  </w:tcBorders>
                  <w:vAlign w:val="center"/>
                </w:tcPr>
                <w:p w14:paraId="2540618A">
                  <w:pPr>
                    <w:widowControl/>
                    <w:jc w:val="center"/>
                    <w:textAlignment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mg/L</w:t>
                  </w:r>
                </w:p>
              </w:tc>
            </w:tr>
            <w:tr w14:paraId="4142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939" w:type="pct"/>
                  <w:vAlign w:val="center"/>
                </w:tcPr>
                <w:p w14:paraId="26B45555">
                  <w:pPr>
                    <w:jc w:val="center"/>
                    <w:rPr>
                      <w:rFonts w:hint="default" w:cs="Times New Roman"/>
                      <w:color w:val="auto"/>
                      <w:szCs w:val="21"/>
                      <w:lang w:val="en-US" w:eastAsia="zh-CN"/>
                    </w:rPr>
                  </w:pPr>
                  <w:r>
                    <w:rPr>
                      <w:rFonts w:hint="eastAsia" w:cs="Times New Roman"/>
                      <w:color w:val="auto"/>
                      <w:szCs w:val="21"/>
                      <w:lang w:val="en-US" w:eastAsia="zh-CN"/>
                    </w:rPr>
                    <w:t>汞</w:t>
                  </w:r>
                </w:p>
              </w:tc>
              <w:tc>
                <w:tcPr>
                  <w:tcW w:w="1171" w:type="pct"/>
                  <w:tcBorders>
                    <w:left w:val="single" w:color="auto" w:sz="4" w:space="0"/>
                  </w:tcBorders>
                  <w:vAlign w:val="center"/>
                </w:tcPr>
                <w:p w14:paraId="53A567CD">
                  <w:pPr>
                    <w:widowControl/>
                    <w:jc w:val="center"/>
                    <w:textAlignment w:val="center"/>
                    <w:rPr>
                      <w:rFonts w:hint="default" w:cs="Times New Roman"/>
                      <w:color w:val="auto"/>
                      <w:szCs w:val="21"/>
                      <w:lang w:val="en-US" w:eastAsia="zh-CN"/>
                    </w:rPr>
                  </w:pPr>
                  <w:r>
                    <w:rPr>
                      <w:rFonts w:hint="eastAsia" w:cs="Times New Roman"/>
                      <w:color w:val="auto"/>
                      <w:szCs w:val="21"/>
                      <w:lang w:val="en-US" w:eastAsia="zh-CN"/>
                    </w:rPr>
                    <w:t>0.04L</w:t>
                  </w:r>
                </w:p>
              </w:tc>
              <w:tc>
                <w:tcPr>
                  <w:tcW w:w="988" w:type="pct"/>
                  <w:tcBorders>
                    <w:left w:val="single" w:color="auto" w:sz="4" w:space="0"/>
                  </w:tcBorders>
                  <w:vAlign w:val="center"/>
                </w:tcPr>
                <w:p w14:paraId="6BC494EC">
                  <w:pPr>
                    <w:widowControl/>
                    <w:jc w:val="center"/>
                    <w:textAlignment w:val="center"/>
                    <w:rPr>
                      <w:rFonts w:hint="default" w:cs="Times New Roman"/>
                      <w:color w:val="auto"/>
                      <w:szCs w:val="21"/>
                      <w:lang w:val="en-US" w:eastAsia="zh-CN"/>
                    </w:rPr>
                  </w:pPr>
                  <w:r>
                    <w:rPr>
                      <w:rFonts w:hint="eastAsia" w:cs="Times New Roman"/>
                      <w:color w:val="auto"/>
                      <w:szCs w:val="21"/>
                      <w:lang w:val="en-US" w:eastAsia="zh-CN"/>
                    </w:rPr>
                    <w:t>0.04L</w:t>
                  </w:r>
                </w:p>
              </w:tc>
              <w:tc>
                <w:tcPr>
                  <w:tcW w:w="1043" w:type="pct"/>
                  <w:tcBorders>
                    <w:left w:val="single" w:color="auto" w:sz="4" w:space="0"/>
                  </w:tcBorders>
                  <w:vAlign w:val="center"/>
                </w:tcPr>
                <w:p w14:paraId="4D9FEC23">
                  <w:pPr>
                    <w:widowControl/>
                    <w:jc w:val="center"/>
                    <w:textAlignment w:val="center"/>
                    <w:rPr>
                      <w:rFonts w:hint="default" w:cs="Times New Roman"/>
                      <w:color w:val="auto"/>
                      <w:szCs w:val="21"/>
                      <w:lang w:val="en-US" w:eastAsia="zh-CN"/>
                    </w:rPr>
                  </w:pPr>
                  <w:r>
                    <w:rPr>
                      <w:rFonts w:hint="eastAsia" w:cs="Times New Roman"/>
                      <w:color w:val="auto"/>
                      <w:szCs w:val="21"/>
                      <w:lang w:val="en-US" w:eastAsia="zh-CN"/>
                    </w:rPr>
                    <w:t>0.04L</w:t>
                  </w:r>
                </w:p>
              </w:tc>
              <w:tc>
                <w:tcPr>
                  <w:tcW w:w="856" w:type="pct"/>
                  <w:tcBorders>
                    <w:left w:val="single" w:color="auto" w:sz="4" w:space="0"/>
                  </w:tcBorders>
                  <w:vAlign w:val="center"/>
                </w:tcPr>
                <w:p w14:paraId="6B9A9A2F">
                  <w:pPr>
                    <w:widowControl/>
                    <w:jc w:val="center"/>
                    <w:textAlignment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ug/L</w:t>
                  </w:r>
                </w:p>
              </w:tc>
            </w:tr>
            <w:tr w14:paraId="5C47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939" w:type="pct"/>
                  <w:vAlign w:val="center"/>
                </w:tcPr>
                <w:p w14:paraId="3DAF1178">
                  <w:pPr>
                    <w:jc w:val="center"/>
                    <w:rPr>
                      <w:rFonts w:hint="default" w:cs="Times New Roman"/>
                      <w:color w:val="auto"/>
                      <w:szCs w:val="21"/>
                      <w:lang w:val="en-US" w:eastAsia="zh-CN"/>
                    </w:rPr>
                  </w:pPr>
                  <w:r>
                    <w:rPr>
                      <w:rFonts w:hint="eastAsia" w:cs="Times New Roman"/>
                      <w:color w:val="auto"/>
                      <w:szCs w:val="21"/>
                      <w:lang w:val="en-US" w:eastAsia="zh-CN"/>
                    </w:rPr>
                    <w:t>砷</w:t>
                  </w:r>
                </w:p>
              </w:tc>
              <w:tc>
                <w:tcPr>
                  <w:tcW w:w="1171" w:type="pct"/>
                  <w:tcBorders>
                    <w:left w:val="single" w:color="auto" w:sz="4" w:space="0"/>
                  </w:tcBorders>
                  <w:vAlign w:val="center"/>
                </w:tcPr>
                <w:p w14:paraId="09C99CE1">
                  <w:pPr>
                    <w:widowControl/>
                    <w:jc w:val="center"/>
                    <w:textAlignment w:val="center"/>
                    <w:rPr>
                      <w:rFonts w:hint="default" w:cs="Times New Roman"/>
                      <w:color w:val="auto"/>
                      <w:szCs w:val="21"/>
                      <w:lang w:val="en-US" w:eastAsia="zh-CN"/>
                    </w:rPr>
                  </w:pPr>
                  <w:r>
                    <w:rPr>
                      <w:rFonts w:hint="eastAsia" w:cs="Times New Roman"/>
                      <w:color w:val="auto"/>
                      <w:szCs w:val="21"/>
                      <w:lang w:val="en-US" w:eastAsia="zh-CN"/>
                    </w:rPr>
                    <w:t>0.3L</w:t>
                  </w:r>
                </w:p>
              </w:tc>
              <w:tc>
                <w:tcPr>
                  <w:tcW w:w="988" w:type="pct"/>
                  <w:tcBorders>
                    <w:left w:val="single" w:color="auto" w:sz="4" w:space="0"/>
                  </w:tcBorders>
                  <w:vAlign w:val="center"/>
                </w:tcPr>
                <w:p w14:paraId="32E2C6FD">
                  <w:pPr>
                    <w:widowControl/>
                    <w:jc w:val="center"/>
                    <w:textAlignment w:val="center"/>
                    <w:rPr>
                      <w:rFonts w:hint="default" w:cs="Times New Roman"/>
                      <w:color w:val="auto"/>
                      <w:szCs w:val="21"/>
                      <w:lang w:val="en-US" w:eastAsia="zh-CN"/>
                    </w:rPr>
                  </w:pPr>
                  <w:r>
                    <w:rPr>
                      <w:rFonts w:hint="eastAsia" w:cs="Times New Roman"/>
                      <w:color w:val="auto"/>
                      <w:szCs w:val="21"/>
                      <w:lang w:val="en-US" w:eastAsia="zh-CN"/>
                    </w:rPr>
                    <w:t>0.3L</w:t>
                  </w:r>
                </w:p>
              </w:tc>
              <w:tc>
                <w:tcPr>
                  <w:tcW w:w="1043" w:type="pct"/>
                  <w:tcBorders>
                    <w:left w:val="single" w:color="auto" w:sz="4" w:space="0"/>
                  </w:tcBorders>
                  <w:vAlign w:val="center"/>
                </w:tcPr>
                <w:p w14:paraId="3B0EA139">
                  <w:pPr>
                    <w:widowControl/>
                    <w:jc w:val="center"/>
                    <w:textAlignment w:val="center"/>
                    <w:rPr>
                      <w:rFonts w:hint="default" w:cs="Times New Roman"/>
                      <w:color w:val="auto"/>
                      <w:szCs w:val="21"/>
                      <w:lang w:val="en-US" w:eastAsia="zh-CN"/>
                    </w:rPr>
                  </w:pPr>
                  <w:r>
                    <w:rPr>
                      <w:rFonts w:hint="eastAsia" w:cs="Times New Roman"/>
                      <w:color w:val="auto"/>
                      <w:szCs w:val="21"/>
                      <w:lang w:val="en-US" w:eastAsia="zh-CN"/>
                    </w:rPr>
                    <w:t>0.3L</w:t>
                  </w:r>
                </w:p>
              </w:tc>
              <w:tc>
                <w:tcPr>
                  <w:tcW w:w="856" w:type="pct"/>
                  <w:tcBorders>
                    <w:left w:val="single" w:color="auto" w:sz="4" w:space="0"/>
                  </w:tcBorders>
                  <w:vAlign w:val="center"/>
                </w:tcPr>
                <w:p w14:paraId="2429EE6A">
                  <w:pPr>
                    <w:widowControl/>
                    <w:jc w:val="center"/>
                    <w:textAlignment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ug/L</w:t>
                  </w:r>
                </w:p>
              </w:tc>
            </w:tr>
          </w:tbl>
          <w:p w14:paraId="2FD23917">
            <w:pPr>
              <w:spacing w:before="120" w:beforeLines="50" w:line="360" w:lineRule="auto"/>
              <w:ind w:firstLine="480" w:firstLineChars="200"/>
              <w:rPr>
                <w:rFonts w:hint="eastAsia" w:eastAsia="宋体"/>
                <w:kern w:val="0"/>
                <w:szCs w:val="21"/>
                <w:lang w:val="en-US" w:eastAsia="zh-CN"/>
              </w:rPr>
            </w:pPr>
            <w:r>
              <w:rPr>
                <w:rFonts w:hint="default" w:ascii="Times New Roman" w:hAnsi="Times New Roman" w:cs="Times New Roman"/>
                <w:sz w:val="24"/>
                <w:szCs w:val="32"/>
              </w:rPr>
              <w:t>监测结果表明，评价区域地下水质监测数据中各监测因子浓度均能满足《地下水质量标准》（GB/14848-2017）中Ⅲ类标准。</w:t>
            </w:r>
          </w:p>
        </w:tc>
      </w:tr>
      <w:tr w14:paraId="3FE91E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26" w:hRule="atLeast"/>
          <w:jc w:val="center"/>
        </w:trPr>
        <w:tc>
          <w:tcPr>
            <w:tcW w:w="800" w:type="dxa"/>
            <w:noWrap w:val="0"/>
            <w:vAlign w:val="center"/>
          </w:tcPr>
          <w:p w14:paraId="71D96B84">
            <w:pPr>
              <w:adjustRightInd w:val="0"/>
              <w:snapToGrid w:val="0"/>
              <w:jc w:val="center"/>
              <w:rPr>
                <w:kern w:val="0"/>
                <w:szCs w:val="21"/>
              </w:rPr>
            </w:pPr>
            <w:r>
              <w:rPr>
                <w:kern w:val="0"/>
                <w:szCs w:val="21"/>
              </w:rPr>
              <w:t>环境</w:t>
            </w:r>
          </w:p>
          <w:p w14:paraId="3C7D47DA">
            <w:pPr>
              <w:adjustRightInd w:val="0"/>
              <w:snapToGrid w:val="0"/>
              <w:jc w:val="center"/>
              <w:rPr>
                <w:kern w:val="0"/>
                <w:szCs w:val="21"/>
              </w:rPr>
            </w:pPr>
            <w:r>
              <w:rPr>
                <w:kern w:val="0"/>
                <w:szCs w:val="21"/>
              </w:rPr>
              <w:t>保护</w:t>
            </w:r>
          </w:p>
          <w:p w14:paraId="73137121">
            <w:pPr>
              <w:adjustRightInd w:val="0"/>
              <w:snapToGrid w:val="0"/>
              <w:jc w:val="center"/>
              <w:rPr>
                <w:kern w:val="0"/>
                <w:szCs w:val="21"/>
              </w:rPr>
            </w:pPr>
            <w:r>
              <w:rPr>
                <w:kern w:val="0"/>
                <w:szCs w:val="21"/>
              </w:rPr>
              <w:t>目标</w:t>
            </w:r>
          </w:p>
        </w:tc>
        <w:tc>
          <w:tcPr>
            <w:tcW w:w="8190" w:type="dxa"/>
            <w:noWrap w:val="0"/>
            <w:vAlign w:val="center"/>
          </w:tcPr>
          <w:p w14:paraId="4E81C8A3">
            <w:pPr>
              <w:keepNext w:val="0"/>
              <w:keepLines w:val="0"/>
              <w:pageBreakBefore w:val="0"/>
              <w:widowControl w:val="0"/>
              <w:kinsoku/>
              <w:wordWrap/>
              <w:overflowPunct/>
              <w:topLinePunct w:val="0"/>
              <w:autoSpaceDE/>
              <w:autoSpaceDN/>
              <w:bidi w:val="0"/>
              <w:adjustRightInd/>
              <w:snapToGrid/>
              <w:spacing w:line="360" w:lineRule="auto"/>
              <w:textAlignment w:val="auto"/>
              <w:rPr>
                <w:b/>
                <w:bCs/>
                <w:sz w:val="24"/>
                <w:szCs w:val="32"/>
              </w:rPr>
            </w:pPr>
            <w:r>
              <w:rPr>
                <w:b/>
                <w:bCs/>
                <w:sz w:val="24"/>
                <w:szCs w:val="32"/>
              </w:rPr>
              <w:t>3.2环境保护目标</w:t>
            </w:r>
          </w:p>
          <w:p w14:paraId="0CBDBE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lang w:val="en-US" w:eastAsia="zh-CN"/>
              </w:rPr>
            </w:pPr>
            <w:r>
              <w:rPr>
                <w:rFonts w:hint="eastAsia"/>
                <w:sz w:val="24"/>
                <w:szCs w:val="32"/>
              </w:rPr>
              <w:t>根据现场调查，项目</w:t>
            </w:r>
            <w:r>
              <w:rPr>
                <w:rFonts w:ascii="Times New Roman" w:cs="Times New Roman" w:hAnsiTheme="minorEastAsia"/>
                <w:bCs/>
                <w:color w:val="000000" w:themeColor="text1"/>
                <w:sz w:val="24"/>
                <w:szCs w:val="24"/>
                <w:lang w:eastAsia="zh-CN"/>
                <w14:textFill>
                  <w14:solidFill>
                    <w14:schemeClr w14:val="tx1"/>
                  </w14:solidFill>
                </w14:textFill>
              </w:rPr>
              <w:t>厂界外</w:t>
            </w:r>
            <w:r>
              <w:rPr>
                <w:rFonts w:ascii="Times New Roman" w:hAnsi="Times New Roman" w:cs="Times New Roman"/>
                <w:bCs/>
                <w:color w:val="000000" w:themeColor="text1"/>
                <w:sz w:val="24"/>
                <w:szCs w:val="24"/>
                <w:lang w:eastAsia="zh-CN"/>
                <w14:textFill>
                  <w14:solidFill>
                    <w14:schemeClr w14:val="tx1"/>
                  </w14:solidFill>
                </w14:textFill>
              </w:rPr>
              <w:t>50</w:t>
            </w:r>
            <w:r>
              <w:rPr>
                <w:rFonts w:hint="eastAsia" w:ascii="Times New Roman" w:cs="Times New Roman" w:hAnsiTheme="minorEastAsia"/>
                <w:bCs/>
                <w:color w:val="000000" w:themeColor="text1"/>
                <w:sz w:val="24"/>
                <w:szCs w:val="24"/>
                <w:lang w:val="en-US" w:eastAsia="zh-CN"/>
                <w14:textFill>
                  <w14:solidFill>
                    <w14:schemeClr w14:val="tx1"/>
                  </w14:solidFill>
                </w14:textFill>
              </w:rPr>
              <w:t>m</w:t>
            </w:r>
            <w:r>
              <w:rPr>
                <w:rFonts w:ascii="Times New Roman" w:cs="Times New Roman" w:hAnsiTheme="minorEastAsia"/>
                <w:bCs/>
                <w:color w:val="000000" w:themeColor="text1"/>
                <w:sz w:val="24"/>
                <w:szCs w:val="24"/>
                <w:lang w:eastAsia="zh-CN"/>
                <w14:textFill>
                  <w14:solidFill>
                    <w14:schemeClr w14:val="tx1"/>
                  </w14:solidFill>
                </w14:textFill>
              </w:rPr>
              <w:t>范围内无声环境保护目标</w:t>
            </w:r>
            <w:r>
              <w:rPr>
                <w:rFonts w:hint="eastAsia" w:ascii="Times New Roman" w:cs="Times New Roman" w:hAnsiTheme="minorEastAsia"/>
                <w:bCs/>
                <w:color w:val="000000" w:themeColor="text1"/>
                <w:sz w:val="24"/>
                <w:szCs w:val="24"/>
                <w:lang w:eastAsia="zh-CN"/>
                <w14:textFill>
                  <w14:solidFill>
                    <w14:schemeClr w14:val="tx1"/>
                  </w14:solidFill>
                </w14:textFill>
              </w:rPr>
              <w:t>，</w:t>
            </w:r>
            <w:r>
              <w:rPr>
                <w:rFonts w:hint="eastAsia"/>
                <w:sz w:val="24"/>
                <w:szCs w:val="32"/>
              </w:rPr>
              <w:t>厂界外5</w:t>
            </w:r>
            <w:r>
              <w:rPr>
                <w:sz w:val="24"/>
                <w:szCs w:val="32"/>
              </w:rPr>
              <w:t>00</w:t>
            </w:r>
            <w:r>
              <w:rPr>
                <w:rFonts w:hint="eastAsia"/>
                <w:sz w:val="24"/>
                <w:szCs w:val="32"/>
              </w:rPr>
              <w:t>m范围内无</w:t>
            </w:r>
            <w:r>
              <w:rPr>
                <w:sz w:val="24"/>
                <w:szCs w:val="32"/>
              </w:rPr>
              <w:t>自然保护区、风景名胜区、居住区、文化区和农村地区中人群较集中的区域等保护目标</w:t>
            </w:r>
            <w:r>
              <w:rPr>
                <w:rFonts w:hint="eastAsia"/>
                <w:sz w:val="24"/>
                <w:szCs w:val="32"/>
              </w:rPr>
              <w:t>。无</w:t>
            </w:r>
            <w:r>
              <w:rPr>
                <w:sz w:val="24"/>
                <w:szCs w:val="32"/>
              </w:rPr>
              <w:t>地下水集中式饮用水水源和热水、矿泉水、温泉等特殊地下水资源。</w:t>
            </w:r>
            <w:r>
              <w:rPr>
                <w:b w:val="0"/>
                <w:bCs w:val="0"/>
                <w:color w:val="auto"/>
                <w:sz w:val="24"/>
              </w:rPr>
              <w:t>建设项目</w:t>
            </w:r>
            <w:r>
              <w:rPr>
                <w:rFonts w:hint="eastAsia"/>
                <w:b w:val="0"/>
                <w:bCs w:val="0"/>
                <w:color w:val="auto"/>
                <w:sz w:val="24"/>
                <w:lang w:val="en-US" w:eastAsia="zh-CN"/>
              </w:rPr>
              <w:t>环境保护目标</w:t>
            </w:r>
            <w:r>
              <w:rPr>
                <w:b w:val="0"/>
                <w:bCs w:val="0"/>
                <w:color w:val="auto"/>
                <w:sz w:val="24"/>
              </w:rPr>
              <w:t>见</w:t>
            </w:r>
            <w:r>
              <w:rPr>
                <w:rFonts w:hint="eastAsia"/>
                <w:b w:val="0"/>
                <w:bCs w:val="0"/>
                <w:color w:val="auto"/>
                <w:sz w:val="24"/>
                <w:lang w:val="en-US" w:eastAsia="zh-CN"/>
              </w:rPr>
              <w:t>下表。</w:t>
            </w:r>
          </w:p>
          <w:p w14:paraId="3F35BA18">
            <w:pPr>
              <w:spacing w:line="240" w:lineRule="atLeast"/>
              <w:jc w:val="center"/>
              <w:rPr>
                <w:rFonts w:hint="eastAsia" w:ascii="Times New Roman" w:hAnsi="Times New Roman" w:eastAsia="宋体" w:cs="Times New Roman"/>
                <w:b/>
                <w:bCs/>
                <w:color w:val="000000"/>
                <w:lang w:val="en-US" w:eastAsia="zh-CN"/>
              </w:rPr>
            </w:pPr>
            <w:r>
              <w:rPr>
                <w:rFonts w:ascii="Times New Roman" w:hAnsi="Times New Roman" w:cs="Times New Roman"/>
                <w:b/>
                <w:bCs/>
                <w:color w:val="000000"/>
              </w:rPr>
              <w:t>表3-</w:t>
            </w:r>
            <w:r>
              <w:rPr>
                <w:rFonts w:hint="eastAsia" w:cs="Times New Roman"/>
                <w:b/>
                <w:bCs/>
                <w:color w:val="000000"/>
                <w:lang w:val="en-US" w:eastAsia="zh-CN"/>
              </w:rPr>
              <w:t>4</w:t>
            </w:r>
            <w:r>
              <w:rPr>
                <w:rFonts w:ascii="Times New Roman" w:hAnsi="Times New Roman" w:cs="Times New Roman"/>
                <w:b/>
                <w:bCs/>
                <w:color w:val="000000"/>
              </w:rPr>
              <w:t xml:space="preserve">  环境</w:t>
            </w:r>
            <w:r>
              <w:rPr>
                <w:rFonts w:hint="eastAsia" w:cs="Times New Roman"/>
                <w:b/>
                <w:bCs/>
                <w:color w:val="000000"/>
                <w:lang w:val="en-US" w:eastAsia="zh-CN"/>
              </w:rPr>
              <w:t>空气</w:t>
            </w:r>
            <w:r>
              <w:rPr>
                <w:rFonts w:ascii="Times New Roman" w:hAnsi="Times New Roman" w:cs="Times New Roman"/>
                <w:b/>
                <w:bCs/>
                <w:color w:val="000000"/>
              </w:rPr>
              <w:t>保护目标</w:t>
            </w:r>
            <w:r>
              <w:rPr>
                <w:rFonts w:hint="eastAsia" w:cs="Times New Roman"/>
                <w:b/>
                <w:bCs/>
                <w:color w:val="000000"/>
                <w:lang w:val="en-US" w:eastAsia="zh-CN"/>
              </w:rPr>
              <w:t>一览表</w:t>
            </w:r>
          </w:p>
          <w:tbl>
            <w:tblPr>
              <w:tblStyle w:val="24"/>
              <w:tblW w:w="79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906"/>
              <w:gridCol w:w="898"/>
              <w:gridCol w:w="840"/>
              <w:gridCol w:w="671"/>
              <w:gridCol w:w="1612"/>
              <w:gridCol w:w="1097"/>
              <w:gridCol w:w="720"/>
              <w:gridCol w:w="800"/>
            </w:tblGrid>
            <w:tr w14:paraId="14A6A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52" w:type="dxa"/>
                  <w:vMerge w:val="restart"/>
                  <w:noWrap w:val="0"/>
                  <w:vAlign w:val="center"/>
                </w:tcPr>
                <w:p w14:paraId="0919DE1E">
                  <w:pPr>
                    <w:pStyle w:val="29"/>
                    <w:spacing w:line="240" w:lineRule="auto"/>
                    <w:jc w:val="center"/>
                    <w:rPr>
                      <w:rFonts w:ascii="Times New Roman" w:eastAsia="宋体" w:cs="Times New Roman"/>
                      <w:b/>
                      <w:bCs/>
                      <w:sz w:val="21"/>
                      <w:szCs w:val="21"/>
                    </w:rPr>
                  </w:pPr>
                  <w:r>
                    <w:rPr>
                      <w:rFonts w:ascii="Times New Roman" w:eastAsia="宋体" w:cs="Times New Roman"/>
                      <w:b/>
                      <w:bCs/>
                      <w:sz w:val="21"/>
                      <w:szCs w:val="21"/>
                    </w:rPr>
                    <w:t>序号</w:t>
                  </w:r>
                </w:p>
              </w:tc>
              <w:tc>
                <w:tcPr>
                  <w:tcW w:w="906" w:type="dxa"/>
                  <w:vMerge w:val="restart"/>
                  <w:noWrap w:val="0"/>
                  <w:vAlign w:val="center"/>
                </w:tcPr>
                <w:p w14:paraId="2B09EFD4">
                  <w:pPr>
                    <w:pStyle w:val="29"/>
                    <w:spacing w:line="240" w:lineRule="auto"/>
                    <w:jc w:val="center"/>
                    <w:rPr>
                      <w:rFonts w:ascii="Times New Roman" w:eastAsia="宋体" w:cs="Times New Roman"/>
                      <w:b/>
                      <w:bCs/>
                      <w:sz w:val="21"/>
                      <w:szCs w:val="21"/>
                    </w:rPr>
                  </w:pPr>
                  <w:r>
                    <w:rPr>
                      <w:rFonts w:ascii="Times New Roman" w:eastAsia="宋体" w:cs="Times New Roman"/>
                      <w:b/>
                      <w:bCs/>
                      <w:sz w:val="21"/>
                      <w:szCs w:val="21"/>
                    </w:rPr>
                    <w:t>环境保护名称</w:t>
                  </w:r>
                </w:p>
              </w:tc>
              <w:tc>
                <w:tcPr>
                  <w:tcW w:w="1738" w:type="dxa"/>
                  <w:gridSpan w:val="2"/>
                  <w:noWrap w:val="0"/>
                  <w:vAlign w:val="center"/>
                </w:tcPr>
                <w:p w14:paraId="2CB27D77">
                  <w:pPr>
                    <w:pStyle w:val="29"/>
                    <w:spacing w:line="240" w:lineRule="auto"/>
                    <w:jc w:val="center"/>
                    <w:rPr>
                      <w:rFonts w:ascii="Times New Roman" w:eastAsia="宋体" w:cs="Times New Roman"/>
                      <w:b/>
                      <w:bCs/>
                      <w:sz w:val="21"/>
                      <w:szCs w:val="21"/>
                    </w:rPr>
                  </w:pPr>
                  <w:r>
                    <w:rPr>
                      <w:rFonts w:ascii="Times New Roman" w:eastAsia="宋体" w:cs="Times New Roman"/>
                      <w:b/>
                      <w:bCs/>
                      <w:sz w:val="21"/>
                      <w:szCs w:val="21"/>
                    </w:rPr>
                    <w:t>坐标/m</w:t>
                  </w:r>
                </w:p>
              </w:tc>
              <w:tc>
                <w:tcPr>
                  <w:tcW w:w="671" w:type="dxa"/>
                  <w:vMerge w:val="restart"/>
                  <w:noWrap w:val="0"/>
                  <w:vAlign w:val="center"/>
                </w:tcPr>
                <w:p w14:paraId="114A37DA">
                  <w:pPr>
                    <w:pStyle w:val="29"/>
                    <w:spacing w:line="240" w:lineRule="auto"/>
                    <w:jc w:val="center"/>
                    <w:rPr>
                      <w:rFonts w:ascii="Times New Roman" w:eastAsia="宋体" w:cs="Times New Roman"/>
                      <w:b/>
                      <w:bCs/>
                      <w:sz w:val="21"/>
                      <w:szCs w:val="21"/>
                    </w:rPr>
                  </w:pPr>
                  <w:r>
                    <w:rPr>
                      <w:rFonts w:ascii="Times New Roman" w:eastAsia="宋体" w:cs="Times New Roman"/>
                      <w:b/>
                      <w:bCs/>
                      <w:sz w:val="21"/>
                      <w:szCs w:val="21"/>
                    </w:rPr>
                    <w:t>保护对象</w:t>
                  </w:r>
                </w:p>
              </w:tc>
              <w:tc>
                <w:tcPr>
                  <w:tcW w:w="1612" w:type="dxa"/>
                  <w:vMerge w:val="restart"/>
                  <w:noWrap w:val="0"/>
                  <w:vAlign w:val="center"/>
                </w:tcPr>
                <w:p w14:paraId="110A1DFF">
                  <w:pPr>
                    <w:pStyle w:val="29"/>
                    <w:spacing w:line="240" w:lineRule="auto"/>
                    <w:jc w:val="center"/>
                    <w:rPr>
                      <w:rFonts w:ascii="Times New Roman" w:eastAsia="宋体" w:cs="Times New Roman"/>
                      <w:b/>
                      <w:bCs/>
                      <w:sz w:val="21"/>
                      <w:szCs w:val="21"/>
                    </w:rPr>
                  </w:pPr>
                  <w:r>
                    <w:rPr>
                      <w:rFonts w:ascii="Times New Roman" w:eastAsia="宋体" w:cs="Times New Roman"/>
                      <w:b/>
                      <w:bCs/>
                      <w:sz w:val="21"/>
                      <w:szCs w:val="21"/>
                    </w:rPr>
                    <w:t>保护内容</w:t>
                  </w:r>
                </w:p>
              </w:tc>
              <w:tc>
                <w:tcPr>
                  <w:tcW w:w="1097" w:type="dxa"/>
                  <w:vMerge w:val="restart"/>
                  <w:noWrap w:val="0"/>
                  <w:vAlign w:val="center"/>
                </w:tcPr>
                <w:p w14:paraId="1E021DE6">
                  <w:pPr>
                    <w:pStyle w:val="29"/>
                    <w:spacing w:line="240" w:lineRule="auto"/>
                    <w:jc w:val="center"/>
                    <w:rPr>
                      <w:rFonts w:ascii="Times New Roman" w:eastAsia="宋体" w:cs="Times New Roman"/>
                      <w:b/>
                      <w:bCs/>
                      <w:sz w:val="21"/>
                      <w:szCs w:val="21"/>
                    </w:rPr>
                  </w:pPr>
                  <w:r>
                    <w:rPr>
                      <w:rFonts w:ascii="Times New Roman" w:eastAsia="宋体" w:cs="Times New Roman"/>
                      <w:b/>
                      <w:bCs/>
                      <w:sz w:val="21"/>
                      <w:szCs w:val="21"/>
                    </w:rPr>
                    <w:t>环境功能区</w:t>
                  </w:r>
                </w:p>
              </w:tc>
              <w:tc>
                <w:tcPr>
                  <w:tcW w:w="720" w:type="dxa"/>
                  <w:vMerge w:val="restart"/>
                  <w:noWrap w:val="0"/>
                  <w:vAlign w:val="center"/>
                </w:tcPr>
                <w:p w14:paraId="134FB482">
                  <w:pPr>
                    <w:pStyle w:val="29"/>
                    <w:spacing w:line="240" w:lineRule="auto"/>
                    <w:jc w:val="center"/>
                    <w:rPr>
                      <w:rFonts w:ascii="Times New Roman" w:eastAsia="宋体" w:cs="Times New Roman"/>
                      <w:b/>
                      <w:bCs/>
                      <w:sz w:val="21"/>
                      <w:szCs w:val="21"/>
                    </w:rPr>
                  </w:pPr>
                  <w:r>
                    <w:rPr>
                      <w:rFonts w:ascii="Times New Roman" w:eastAsia="宋体" w:cs="Times New Roman"/>
                      <w:b/>
                      <w:bCs/>
                      <w:sz w:val="21"/>
                      <w:szCs w:val="21"/>
                    </w:rPr>
                    <w:t>相对厂址方位</w:t>
                  </w:r>
                </w:p>
              </w:tc>
              <w:tc>
                <w:tcPr>
                  <w:tcW w:w="800" w:type="dxa"/>
                  <w:vMerge w:val="restart"/>
                  <w:noWrap w:val="0"/>
                  <w:vAlign w:val="center"/>
                </w:tcPr>
                <w:p w14:paraId="63052149">
                  <w:pPr>
                    <w:pStyle w:val="29"/>
                    <w:spacing w:line="240" w:lineRule="auto"/>
                    <w:jc w:val="center"/>
                    <w:rPr>
                      <w:rFonts w:ascii="Times New Roman" w:eastAsia="宋体" w:cs="Times New Roman"/>
                      <w:b/>
                      <w:bCs/>
                      <w:sz w:val="21"/>
                      <w:szCs w:val="21"/>
                    </w:rPr>
                  </w:pPr>
                  <w:r>
                    <w:rPr>
                      <w:rFonts w:ascii="Times New Roman" w:eastAsia="宋体" w:cs="Times New Roman"/>
                      <w:b/>
                      <w:bCs/>
                      <w:sz w:val="21"/>
                      <w:szCs w:val="21"/>
                    </w:rPr>
                    <w:t>相对厂界距离/m</w:t>
                  </w:r>
                </w:p>
              </w:tc>
            </w:tr>
            <w:tr w14:paraId="47600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452" w:type="dxa"/>
                  <w:vMerge w:val="continue"/>
                  <w:noWrap w:val="0"/>
                  <w:vAlign w:val="center"/>
                </w:tcPr>
                <w:p w14:paraId="1CC343B8">
                  <w:pPr>
                    <w:pStyle w:val="29"/>
                    <w:spacing w:line="240" w:lineRule="auto"/>
                    <w:jc w:val="center"/>
                    <w:rPr>
                      <w:rFonts w:ascii="Times New Roman" w:eastAsia="宋体" w:cs="Times New Roman"/>
                      <w:b w:val="0"/>
                      <w:bCs w:val="0"/>
                      <w:sz w:val="21"/>
                      <w:szCs w:val="21"/>
                    </w:rPr>
                  </w:pPr>
                </w:p>
              </w:tc>
              <w:tc>
                <w:tcPr>
                  <w:tcW w:w="906" w:type="dxa"/>
                  <w:vMerge w:val="continue"/>
                  <w:noWrap w:val="0"/>
                  <w:vAlign w:val="center"/>
                </w:tcPr>
                <w:p w14:paraId="65FC0472">
                  <w:pPr>
                    <w:pStyle w:val="29"/>
                    <w:spacing w:line="240" w:lineRule="auto"/>
                    <w:jc w:val="center"/>
                    <w:rPr>
                      <w:rFonts w:ascii="Times New Roman" w:eastAsia="宋体" w:cs="Times New Roman"/>
                      <w:b w:val="0"/>
                      <w:bCs w:val="0"/>
                      <w:sz w:val="21"/>
                      <w:szCs w:val="21"/>
                    </w:rPr>
                  </w:pPr>
                </w:p>
              </w:tc>
              <w:tc>
                <w:tcPr>
                  <w:tcW w:w="898" w:type="dxa"/>
                  <w:noWrap w:val="0"/>
                  <w:vAlign w:val="center"/>
                </w:tcPr>
                <w:p w14:paraId="7355E0B4">
                  <w:pPr>
                    <w:pStyle w:val="29"/>
                    <w:spacing w:line="240" w:lineRule="auto"/>
                    <w:jc w:val="center"/>
                    <w:rPr>
                      <w:rFonts w:ascii="Times New Roman" w:eastAsia="宋体" w:cs="Times New Roman"/>
                      <w:b/>
                      <w:bCs/>
                      <w:sz w:val="21"/>
                      <w:szCs w:val="21"/>
                    </w:rPr>
                  </w:pPr>
                  <w:r>
                    <w:rPr>
                      <w:rFonts w:ascii="Times New Roman" w:eastAsia="宋体" w:cs="Times New Roman"/>
                      <w:b/>
                      <w:bCs/>
                      <w:sz w:val="21"/>
                      <w:szCs w:val="21"/>
                    </w:rPr>
                    <w:t>X</w:t>
                  </w:r>
                </w:p>
              </w:tc>
              <w:tc>
                <w:tcPr>
                  <w:tcW w:w="840" w:type="dxa"/>
                  <w:noWrap w:val="0"/>
                  <w:vAlign w:val="center"/>
                </w:tcPr>
                <w:p w14:paraId="343BAADD">
                  <w:pPr>
                    <w:pStyle w:val="29"/>
                    <w:spacing w:line="240" w:lineRule="auto"/>
                    <w:jc w:val="center"/>
                    <w:rPr>
                      <w:rFonts w:ascii="Times New Roman" w:eastAsia="宋体" w:cs="Times New Roman"/>
                      <w:b/>
                      <w:bCs/>
                      <w:sz w:val="21"/>
                      <w:szCs w:val="21"/>
                    </w:rPr>
                  </w:pPr>
                  <w:r>
                    <w:rPr>
                      <w:rFonts w:ascii="Times New Roman" w:eastAsia="宋体" w:cs="Times New Roman"/>
                      <w:b/>
                      <w:bCs/>
                      <w:sz w:val="21"/>
                      <w:szCs w:val="21"/>
                    </w:rPr>
                    <w:t>Y</w:t>
                  </w:r>
                </w:p>
              </w:tc>
              <w:tc>
                <w:tcPr>
                  <w:tcW w:w="671" w:type="dxa"/>
                  <w:vMerge w:val="continue"/>
                  <w:noWrap w:val="0"/>
                  <w:vAlign w:val="center"/>
                </w:tcPr>
                <w:p w14:paraId="4502FD7C">
                  <w:pPr>
                    <w:pStyle w:val="29"/>
                    <w:spacing w:line="240" w:lineRule="auto"/>
                    <w:jc w:val="center"/>
                    <w:rPr>
                      <w:rFonts w:ascii="Times New Roman" w:eastAsia="宋体" w:cs="Times New Roman"/>
                      <w:b w:val="0"/>
                      <w:bCs w:val="0"/>
                      <w:sz w:val="21"/>
                      <w:szCs w:val="21"/>
                    </w:rPr>
                  </w:pPr>
                </w:p>
              </w:tc>
              <w:tc>
                <w:tcPr>
                  <w:tcW w:w="1612" w:type="dxa"/>
                  <w:vMerge w:val="continue"/>
                  <w:noWrap w:val="0"/>
                  <w:vAlign w:val="center"/>
                </w:tcPr>
                <w:p w14:paraId="301C4E21">
                  <w:pPr>
                    <w:pStyle w:val="29"/>
                    <w:spacing w:line="240" w:lineRule="auto"/>
                    <w:jc w:val="center"/>
                    <w:rPr>
                      <w:rFonts w:ascii="Times New Roman" w:eastAsia="宋体" w:cs="Times New Roman"/>
                      <w:b w:val="0"/>
                      <w:bCs w:val="0"/>
                      <w:sz w:val="21"/>
                      <w:szCs w:val="21"/>
                    </w:rPr>
                  </w:pPr>
                </w:p>
              </w:tc>
              <w:tc>
                <w:tcPr>
                  <w:tcW w:w="1097" w:type="dxa"/>
                  <w:vMerge w:val="continue"/>
                  <w:noWrap w:val="0"/>
                  <w:vAlign w:val="center"/>
                </w:tcPr>
                <w:p w14:paraId="770CD674">
                  <w:pPr>
                    <w:pStyle w:val="29"/>
                    <w:spacing w:line="240" w:lineRule="auto"/>
                    <w:jc w:val="center"/>
                    <w:rPr>
                      <w:rFonts w:ascii="Times New Roman" w:eastAsia="宋体" w:cs="Times New Roman"/>
                      <w:b w:val="0"/>
                      <w:bCs w:val="0"/>
                      <w:sz w:val="21"/>
                      <w:szCs w:val="21"/>
                    </w:rPr>
                  </w:pPr>
                </w:p>
              </w:tc>
              <w:tc>
                <w:tcPr>
                  <w:tcW w:w="720" w:type="dxa"/>
                  <w:vMerge w:val="continue"/>
                  <w:noWrap w:val="0"/>
                  <w:vAlign w:val="center"/>
                </w:tcPr>
                <w:p w14:paraId="590C0A42">
                  <w:pPr>
                    <w:pStyle w:val="29"/>
                    <w:spacing w:line="240" w:lineRule="auto"/>
                    <w:jc w:val="center"/>
                    <w:rPr>
                      <w:rFonts w:ascii="Times New Roman" w:eastAsia="宋体" w:cs="Times New Roman"/>
                      <w:b w:val="0"/>
                      <w:bCs w:val="0"/>
                      <w:sz w:val="21"/>
                      <w:szCs w:val="21"/>
                    </w:rPr>
                  </w:pPr>
                </w:p>
              </w:tc>
              <w:tc>
                <w:tcPr>
                  <w:tcW w:w="800" w:type="dxa"/>
                  <w:vMerge w:val="continue"/>
                  <w:noWrap w:val="0"/>
                  <w:vAlign w:val="center"/>
                </w:tcPr>
                <w:p w14:paraId="4B327B51">
                  <w:pPr>
                    <w:pStyle w:val="29"/>
                    <w:spacing w:line="240" w:lineRule="auto"/>
                    <w:jc w:val="center"/>
                    <w:rPr>
                      <w:rFonts w:ascii="Times New Roman" w:eastAsia="宋体" w:cs="Times New Roman"/>
                      <w:b w:val="0"/>
                      <w:bCs w:val="0"/>
                      <w:sz w:val="21"/>
                      <w:szCs w:val="21"/>
                    </w:rPr>
                  </w:pPr>
                </w:p>
              </w:tc>
            </w:tr>
            <w:tr w14:paraId="3577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52" w:type="dxa"/>
                  <w:noWrap w:val="0"/>
                  <w:vAlign w:val="center"/>
                </w:tcPr>
                <w:p w14:paraId="20821C13">
                  <w:pPr>
                    <w:pStyle w:val="29"/>
                    <w:spacing w:line="240" w:lineRule="auto"/>
                    <w:jc w:val="center"/>
                    <w:rPr>
                      <w:rFonts w:hint="eastAsia" w:ascii="Times New Roman" w:eastAsia="宋体" w:cs="Times New Roman"/>
                      <w:b w:val="0"/>
                      <w:bCs w:val="0"/>
                      <w:sz w:val="21"/>
                      <w:szCs w:val="21"/>
                      <w:lang w:val="en-US" w:eastAsia="zh-CN"/>
                    </w:rPr>
                  </w:pPr>
                  <w:r>
                    <w:rPr>
                      <w:rFonts w:hint="eastAsia" w:ascii="Times New Roman" w:eastAsia="宋体" w:cs="Times New Roman"/>
                      <w:b w:val="0"/>
                      <w:bCs w:val="0"/>
                      <w:sz w:val="21"/>
                      <w:szCs w:val="21"/>
                      <w:lang w:val="en-US" w:eastAsia="zh-CN"/>
                    </w:rPr>
                    <w:t>1</w:t>
                  </w:r>
                </w:p>
              </w:tc>
              <w:tc>
                <w:tcPr>
                  <w:tcW w:w="906" w:type="dxa"/>
                  <w:noWrap w:val="0"/>
                  <w:vAlign w:val="center"/>
                </w:tcPr>
                <w:p w14:paraId="032544DD">
                  <w:pPr>
                    <w:pStyle w:val="29"/>
                    <w:spacing w:line="240" w:lineRule="auto"/>
                    <w:jc w:val="center"/>
                    <w:rPr>
                      <w:rFonts w:hint="default" w:ascii="Times New Roman" w:eastAsia="宋体" w:cs="Times New Roman"/>
                      <w:b w:val="0"/>
                      <w:bCs w:val="0"/>
                      <w:sz w:val="21"/>
                      <w:szCs w:val="21"/>
                      <w:lang w:val="en-US" w:eastAsia="zh-CN"/>
                    </w:rPr>
                  </w:pPr>
                  <w:r>
                    <w:rPr>
                      <w:rFonts w:hint="eastAsia" w:ascii="Times New Roman" w:eastAsia="宋体" w:cs="Times New Roman"/>
                      <w:b w:val="0"/>
                      <w:bCs w:val="0"/>
                      <w:sz w:val="21"/>
                      <w:szCs w:val="21"/>
                      <w:lang w:val="en-US" w:eastAsia="zh-CN"/>
                    </w:rPr>
                    <w:t>二铺村</w:t>
                  </w:r>
                </w:p>
              </w:tc>
              <w:tc>
                <w:tcPr>
                  <w:tcW w:w="898" w:type="dxa"/>
                  <w:noWrap w:val="0"/>
                  <w:vAlign w:val="center"/>
                </w:tcPr>
                <w:p w14:paraId="147665E3">
                  <w:pPr>
                    <w:pStyle w:val="29"/>
                    <w:spacing w:line="240" w:lineRule="auto"/>
                    <w:jc w:val="center"/>
                    <w:rPr>
                      <w:rFonts w:hint="default" w:ascii="Times New Roman" w:eastAsia="宋体" w:cs="Times New Roman"/>
                      <w:b w:val="0"/>
                      <w:bCs w:val="0"/>
                      <w:sz w:val="21"/>
                      <w:szCs w:val="21"/>
                      <w:lang w:val="en-US" w:eastAsia="zh-CN"/>
                    </w:rPr>
                  </w:pPr>
                  <w:r>
                    <w:rPr>
                      <w:rFonts w:hint="eastAsia" w:ascii="Times New Roman" w:eastAsia="宋体" w:cs="Times New Roman"/>
                      <w:b w:val="0"/>
                      <w:bCs w:val="0"/>
                      <w:sz w:val="21"/>
                      <w:szCs w:val="21"/>
                      <w:lang w:val="en-US" w:eastAsia="zh-CN"/>
                    </w:rPr>
                    <w:t>-119.8</w:t>
                  </w:r>
                </w:p>
              </w:tc>
              <w:tc>
                <w:tcPr>
                  <w:tcW w:w="840" w:type="dxa"/>
                  <w:noWrap w:val="0"/>
                  <w:vAlign w:val="center"/>
                </w:tcPr>
                <w:p w14:paraId="0C9A167A">
                  <w:pPr>
                    <w:pStyle w:val="29"/>
                    <w:spacing w:line="240" w:lineRule="auto"/>
                    <w:jc w:val="center"/>
                    <w:rPr>
                      <w:rFonts w:hint="default" w:ascii="Times New Roman" w:eastAsia="宋体" w:cs="Times New Roman"/>
                      <w:b w:val="0"/>
                      <w:bCs w:val="0"/>
                      <w:sz w:val="21"/>
                      <w:szCs w:val="21"/>
                      <w:lang w:val="en-US" w:eastAsia="zh-CN"/>
                    </w:rPr>
                  </w:pPr>
                  <w:r>
                    <w:rPr>
                      <w:rFonts w:hint="eastAsia" w:ascii="Times New Roman" w:eastAsia="宋体" w:cs="Times New Roman"/>
                      <w:b w:val="0"/>
                      <w:bCs w:val="0"/>
                      <w:sz w:val="21"/>
                      <w:szCs w:val="21"/>
                      <w:lang w:val="en-US" w:eastAsia="zh-CN"/>
                    </w:rPr>
                    <w:t>+153.8</w:t>
                  </w:r>
                </w:p>
              </w:tc>
              <w:tc>
                <w:tcPr>
                  <w:tcW w:w="671" w:type="dxa"/>
                  <w:noWrap w:val="0"/>
                  <w:vAlign w:val="center"/>
                </w:tcPr>
                <w:p w14:paraId="56D5FE23">
                  <w:pPr>
                    <w:spacing w:line="240" w:lineRule="auto"/>
                    <w:jc w:val="center"/>
                    <w:rPr>
                      <w:rFonts w:hint="default" w:ascii="Times New Roman" w:eastAsia="宋体" w:cs="Times New Roman"/>
                      <w:b w:val="0"/>
                      <w:bCs w:val="0"/>
                      <w:sz w:val="21"/>
                      <w:szCs w:val="21"/>
                      <w:lang w:val="en-US" w:eastAsia="zh-CN"/>
                    </w:rPr>
                  </w:pPr>
                  <w:r>
                    <w:rPr>
                      <w:rFonts w:hint="eastAsia" w:ascii="Times New Roman" w:eastAsia="宋体" w:cs="Times New Roman"/>
                      <w:b w:val="0"/>
                      <w:bCs w:val="0"/>
                      <w:sz w:val="21"/>
                      <w:szCs w:val="21"/>
                      <w:lang w:val="en-US" w:eastAsia="zh-CN"/>
                    </w:rPr>
                    <w:t>居民住宅</w:t>
                  </w:r>
                </w:p>
              </w:tc>
              <w:tc>
                <w:tcPr>
                  <w:tcW w:w="1612" w:type="dxa"/>
                  <w:noWrap w:val="0"/>
                  <w:vAlign w:val="center"/>
                </w:tcPr>
                <w:p w14:paraId="6D30A842">
                  <w:pPr>
                    <w:pStyle w:val="29"/>
                    <w:spacing w:line="240" w:lineRule="auto"/>
                    <w:jc w:val="center"/>
                    <w:rPr>
                      <w:rFonts w:hint="default" w:ascii="Times New Roman" w:eastAsia="宋体" w:cs="Times New Roman"/>
                      <w:b w:val="0"/>
                      <w:bCs w:val="0"/>
                      <w:sz w:val="21"/>
                      <w:szCs w:val="21"/>
                      <w:lang w:val="en-US" w:eastAsia="zh-CN"/>
                    </w:rPr>
                  </w:pPr>
                  <w:r>
                    <w:rPr>
                      <w:rFonts w:hint="eastAsia" w:ascii="Times New Roman" w:eastAsia="宋体" w:cs="Times New Roman"/>
                      <w:b w:val="0"/>
                      <w:bCs w:val="0"/>
                      <w:sz w:val="21"/>
                      <w:szCs w:val="21"/>
                      <w:lang w:val="en-US" w:eastAsia="zh-CN"/>
                    </w:rPr>
                    <w:t>200户/约800人</w:t>
                  </w:r>
                </w:p>
              </w:tc>
              <w:tc>
                <w:tcPr>
                  <w:tcW w:w="1097" w:type="dxa"/>
                  <w:vMerge w:val="restart"/>
                  <w:noWrap w:val="0"/>
                  <w:vAlign w:val="center"/>
                </w:tcPr>
                <w:p w14:paraId="6719769D">
                  <w:pPr>
                    <w:spacing w:line="240" w:lineRule="auto"/>
                    <w:jc w:val="center"/>
                    <w:rPr>
                      <w:rFonts w:hint="default" w:ascii="Times New Roman" w:hAnsi="Times New Roman" w:eastAsia="宋体" w:cs="Times New Roman"/>
                      <w:b w:val="0"/>
                      <w:bCs w:val="0"/>
                      <w:szCs w:val="21"/>
                      <w:lang w:val="en-US" w:eastAsia="zh-CN"/>
                    </w:rPr>
                  </w:pPr>
                  <w:r>
                    <w:rPr>
                      <w:rFonts w:hint="eastAsia" w:ascii="Times New Roman" w:hAnsi="Times New Roman" w:eastAsia="宋体" w:cs="Times New Roman"/>
                      <w:b w:val="0"/>
                      <w:bCs w:val="0"/>
                      <w:szCs w:val="21"/>
                      <w:lang w:eastAsia="zh-CN"/>
                    </w:rPr>
                    <w:t>《</w:t>
                  </w:r>
                  <w:r>
                    <w:rPr>
                      <w:rFonts w:hint="eastAsia" w:ascii="Times New Roman" w:hAnsi="Times New Roman" w:eastAsia="宋体" w:cs="Times New Roman"/>
                      <w:b w:val="0"/>
                      <w:bCs w:val="0"/>
                      <w:szCs w:val="21"/>
                      <w:lang w:val="en-US" w:eastAsia="zh-CN"/>
                    </w:rPr>
                    <w:t>环境空气质量标准</w:t>
                  </w:r>
                  <w:r>
                    <w:rPr>
                      <w:rFonts w:hint="eastAsia" w:ascii="Times New Roman" w:hAnsi="Times New Roman" w:eastAsia="宋体" w:cs="Times New Roman"/>
                      <w:b w:val="0"/>
                      <w:bCs w:val="0"/>
                      <w:szCs w:val="21"/>
                      <w:lang w:eastAsia="zh-CN"/>
                    </w:rPr>
                    <w:t>》</w:t>
                  </w:r>
                  <w:r>
                    <w:rPr>
                      <w:rFonts w:hint="eastAsia" w:ascii="Times New Roman" w:hAnsi="Times New Roman" w:eastAsia="宋体" w:cs="Times New Roman"/>
                      <w:b w:val="0"/>
                      <w:bCs w:val="0"/>
                      <w:szCs w:val="21"/>
                      <w:lang w:val="en-US" w:eastAsia="zh-CN"/>
                    </w:rPr>
                    <w:t>二级标准</w:t>
                  </w:r>
                </w:p>
              </w:tc>
              <w:tc>
                <w:tcPr>
                  <w:tcW w:w="720" w:type="dxa"/>
                  <w:noWrap w:val="0"/>
                  <w:vAlign w:val="center"/>
                </w:tcPr>
                <w:p w14:paraId="2D44806F">
                  <w:pPr>
                    <w:pStyle w:val="29"/>
                    <w:spacing w:line="240" w:lineRule="auto"/>
                    <w:jc w:val="center"/>
                    <w:rPr>
                      <w:rFonts w:hint="default" w:ascii="Times New Roman" w:eastAsia="宋体" w:cs="Times New Roman"/>
                      <w:b w:val="0"/>
                      <w:bCs w:val="0"/>
                      <w:color w:val="auto"/>
                      <w:sz w:val="21"/>
                      <w:szCs w:val="21"/>
                      <w:lang w:val="en-US" w:eastAsia="zh-CN"/>
                    </w:rPr>
                  </w:pPr>
                  <w:r>
                    <w:rPr>
                      <w:rFonts w:hint="eastAsia" w:ascii="Times New Roman" w:eastAsia="宋体" w:cs="Times New Roman"/>
                      <w:b w:val="0"/>
                      <w:bCs w:val="0"/>
                      <w:sz w:val="21"/>
                      <w:szCs w:val="21"/>
                      <w:lang w:val="en-US" w:eastAsia="zh-CN"/>
                    </w:rPr>
                    <w:t>WN</w:t>
                  </w:r>
                </w:p>
              </w:tc>
              <w:tc>
                <w:tcPr>
                  <w:tcW w:w="800" w:type="dxa"/>
                  <w:noWrap w:val="0"/>
                  <w:vAlign w:val="center"/>
                </w:tcPr>
                <w:p w14:paraId="72731CD2">
                  <w:pPr>
                    <w:pStyle w:val="29"/>
                    <w:spacing w:line="240" w:lineRule="auto"/>
                    <w:jc w:val="center"/>
                    <w:rPr>
                      <w:rFonts w:hint="default" w:ascii="Times New Roman" w:eastAsia="宋体" w:cs="Times New Roman"/>
                      <w:b w:val="0"/>
                      <w:bCs w:val="0"/>
                      <w:sz w:val="21"/>
                      <w:szCs w:val="21"/>
                      <w:lang w:val="en-US" w:eastAsia="zh-CN"/>
                    </w:rPr>
                  </w:pPr>
                  <w:r>
                    <w:rPr>
                      <w:rFonts w:hint="eastAsia" w:ascii="Times New Roman" w:eastAsia="宋体" w:cs="Times New Roman"/>
                      <w:b w:val="0"/>
                      <w:bCs w:val="0"/>
                      <w:color w:val="auto"/>
                      <w:sz w:val="21"/>
                      <w:szCs w:val="21"/>
                      <w:lang w:val="en-US" w:eastAsia="zh-CN"/>
                    </w:rPr>
                    <w:t>202.1</w:t>
                  </w:r>
                </w:p>
              </w:tc>
            </w:tr>
            <w:tr w14:paraId="753B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52" w:type="dxa"/>
                  <w:noWrap w:val="0"/>
                  <w:vAlign w:val="center"/>
                </w:tcPr>
                <w:p w14:paraId="600AEB79">
                  <w:pPr>
                    <w:pStyle w:val="29"/>
                    <w:spacing w:line="240" w:lineRule="auto"/>
                    <w:jc w:val="center"/>
                    <w:rPr>
                      <w:rFonts w:hint="eastAsia" w:ascii="Times New Roman" w:eastAsia="宋体" w:cs="Times New Roman"/>
                      <w:b w:val="0"/>
                      <w:bCs w:val="0"/>
                      <w:sz w:val="21"/>
                      <w:szCs w:val="21"/>
                      <w:lang w:eastAsia="zh-CN"/>
                    </w:rPr>
                  </w:pPr>
                  <w:r>
                    <w:rPr>
                      <w:rFonts w:hint="eastAsia" w:ascii="Times New Roman" w:eastAsia="宋体" w:cs="Times New Roman"/>
                      <w:b w:val="0"/>
                      <w:bCs w:val="0"/>
                      <w:sz w:val="21"/>
                      <w:szCs w:val="21"/>
                      <w:lang w:val="en-US" w:eastAsia="zh-CN"/>
                    </w:rPr>
                    <w:t>2</w:t>
                  </w:r>
                </w:p>
              </w:tc>
              <w:tc>
                <w:tcPr>
                  <w:tcW w:w="906" w:type="dxa"/>
                  <w:noWrap w:val="0"/>
                  <w:vAlign w:val="center"/>
                </w:tcPr>
                <w:p w14:paraId="63A5F50A">
                  <w:pPr>
                    <w:pStyle w:val="29"/>
                    <w:spacing w:line="240" w:lineRule="auto"/>
                    <w:jc w:val="center"/>
                    <w:rPr>
                      <w:rFonts w:hint="default"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镇西村</w:t>
                  </w:r>
                </w:p>
              </w:tc>
              <w:tc>
                <w:tcPr>
                  <w:tcW w:w="898" w:type="dxa"/>
                  <w:noWrap w:val="0"/>
                  <w:vAlign w:val="center"/>
                </w:tcPr>
                <w:p w14:paraId="6B05C599">
                  <w:pPr>
                    <w:pStyle w:val="29"/>
                    <w:spacing w:line="240" w:lineRule="auto"/>
                    <w:jc w:val="center"/>
                    <w:rPr>
                      <w:rFonts w:hint="default"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+209.5</w:t>
                  </w:r>
                </w:p>
              </w:tc>
              <w:tc>
                <w:tcPr>
                  <w:tcW w:w="840" w:type="dxa"/>
                  <w:noWrap w:val="0"/>
                  <w:vAlign w:val="center"/>
                </w:tcPr>
                <w:p w14:paraId="50DF822C">
                  <w:pPr>
                    <w:pStyle w:val="29"/>
                    <w:spacing w:line="240" w:lineRule="auto"/>
                    <w:jc w:val="center"/>
                    <w:rPr>
                      <w:rFonts w:hint="default"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+27.1</w:t>
                  </w:r>
                </w:p>
              </w:tc>
              <w:tc>
                <w:tcPr>
                  <w:tcW w:w="671" w:type="dxa"/>
                  <w:noWrap w:val="0"/>
                  <w:vAlign w:val="center"/>
                </w:tcPr>
                <w:p w14:paraId="51E0B4A8">
                  <w:pPr>
                    <w:pStyle w:val="29"/>
                    <w:spacing w:line="240" w:lineRule="auto"/>
                    <w:jc w:val="center"/>
                    <w:rPr>
                      <w:rFonts w:hint="eastAsia" w:ascii="Times New Roman" w:eastAsia="宋体" w:cs="Times New Roman"/>
                      <w:b w:val="0"/>
                      <w:bCs w:val="0"/>
                      <w:sz w:val="21"/>
                      <w:szCs w:val="21"/>
                      <w:lang w:val="en-US" w:eastAsia="zh-CN"/>
                    </w:rPr>
                  </w:pPr>
                  <w:r>
                    <w:rPr>
                      <w:rFonts w:hint="eastAsia" w:ascii="Times New Roman" w:eastAsia="宋体" w:cs="Times New Roman"/>
                      <w:b w:val="0"/>
                      <w:bCs w:val="0"/>
                      <w:sz w:val="21"/>
                      <w:szCs w:val="21"/>
                      <w:lang w:val="en-US" w:eastAsia="zh-CN"/>
                    </w:rPr>
                    <w:t>居民</w:t>
                  </w:r>
                </w:p>
                <w:p w14:paraId="56CFEF46">
                  <w:pPr>
                    <w:pStyle w:val="29"/>
                    <w:spacing w:line="240" w:lineRule="auto"/>
                    <w:jc w:val="center"/>
                    <w:rPr>
                      <w:rFonts w:hint="eastAsia"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住宅</w:t>
                  </w:r>
                </w:p>
              </w:tc>
              <w:tc>
                <w:tcPr>
                  <w:tcW w:w="1612" w:type="dxa"/>
                  <w:noWrap w:val="0"/>
                  <w:vAlign w:val="center"/>
                </w:tcPr>
                <w:p w14:paraId="65F2C026">
                  <w:pPr>
                    <w:pStyle w:val="29"/>
                    <w:spacing w:line="240" w:lineRule="auto"/>
                    <w:jc w:val="center"/>
                    <w:rPr>
                      <w:rFonts w:hint="default"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30户/约120人</w:t>
                  </w:r>
                </w:p>
              </w:tc>
              <w:tc>
                <w:tcPr>
                  <w:tcW w:w="1097" w:type="dxa"/>
                  <w:vMerge w:val="continue"/>
                  <w:noWrap w:val="0"/>
                  <w:vAlign w:val="center"/>
                </w:tcPr>
                <w:p w14:paraId="51C7036D">
                  <w:pPr>
                    <w:spacing w:line="240" w:lineRule="auto"/>
                    <w:jc w:val="center"/>
                    <w:rPr>
                      <w:rFonts w:ascii="Times New Roman" w:hAnsi="Times New Roman" w:eastAsia="宋体" w:cs="Times New Roman"/>
                      <w:b w:val="0"/>
                      <w:bCs w:val="0"/>
                      <w:szCs w:val="21"/>
                    </w:rPr>
                  </w:pPr>
                </w:p>
              </w:tc>
              <w:tc>
                <w:tcPr>
                  <w:tcW w:w="720" w:type="dxa"/>
                  <w:noWrap w:val="0"/>
                  <w:vAlign w:val="center"/>
                </w:tcPr>
                <w:p w14:paraId="2DBBE559">
                  <w:pPr>
                    <w:pStyle w:val="29"/>
                    <w:spacing w:line="240" w:lineRule="auto"/>
                    <w:jc w:val="center"/>
                    <w:rPr>
                      <w:rFonts w:hint="default" w:ascii="Times New Roman" w:hAnsi="Calibri" w:eastAsia="宋体" w:cs="Times New Roman"/>
                      <w:b w:val="0"/>
                      <w:bCs w:val="0"/>
                      <w:color w:val="auto"/>
                      <w:kern w:val="2"/>
                      <w:sz w:val="21"/>
                      <w:szCs w:val="21"/>
                      <w:lang w:val="en-US" w:eastAsia="zh-CN" w:bidi="ar-SA"/>
                    </w:rPr>
                  </w:pPr>
                  <w:r>
                    <w:rPr>
                      <w:rFonts w:hint="eastAsia" w:ascii="Times New Roman" w:eastAsia="宋体" w:cs="Times New Roman"/>
                      <w:b w:val="0"/>
                      <w:bCs w:val="0"/>
                      <w:color w:val="auto"/>
                      <w:sz w:val="21"/>
                      <w:szCs w:val="21"/>
                      <w:lang w:val="en-US" w:eastAsia="zh-CN"/>
                    </w:rPr>
                    <w:t>EN</w:t>
                  </w:r>
                </w:p>
              </w:tc>
              <w:tc>
                <w:tcPr>
                  <w:tcW w:w="800" w:type="dxa"/>
                  <w:noWrap w:val="0"/>
                  <w:vAlign w:val="center"/>
                </w:tcPr>
                <w:p w14:paraId="300CE155">
                  <w:pPr>
                    <w:pStyle w:val="29"/>
                    <w:spacing w:line="240" w:lineRule="auto"/>
                    <w:jc w:val="center"/>
                    <w:rPr>
                      <w:rFonts w:hint="default"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212</w:t>
                  </w:r>
                </w:p>
              </w:tc>
            </w:tr>
            <w:tr w14:paraId="509A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52" w:type="dxa"/>
                  <w:noWrap w:val="0"/>
                  <w:vAlign w:val="center"/>
                </w:tcPr>
                <w:p w14:paraId="139CDD77">
                  <w:pPr>
                    <w:pStyle w:val="29"/>
                    <w:spacing w:line="240" w:lineRule="auto"/>
                    <w:jc w:val="center"/>
                    <w:rPr>
                      <w:rFonts w:hint="default" w:ascii="Times New Roman" w:eastAsia="宋体" w:cs="Times New Roman"/>
                      <w:b w:val="0"/>
                      <w:bCs w:val="0"/>
                      <w:sz w:val="21"/>
                      <w:szCs w:val="21"/>
                      <w:lang w:val="en-US" w:eastAsia="zh-CN"/>
                    </w:rPr>
                  </w:pPr>
                  <w:r>
                    <w:rPr>
                      <w:rFonts w:hint="eastAsia" w:ascii="Times New Roman" w:eastAsia="宋体" w:cs="Times New Roman"/>
                      <w:b w:val="0"/>
                      <w:bCs w:val="0"/>
                      <w:sz w:val="21"/>
                      <w:szCs w:val="21"/>
                      <w:lang w:val="en-US" w:eastAsia="zh-CN"/>
                    </w:rPr>
                    <w:t>3</w:t>
                  </w:r>
                </w:p>
              </w:tc>
              <w:tc>
                <w:tcPr>
                  <w:tcW w:w="906" w:type="dxa"/>
                  <w:noWrap w:val="0"/>
                  <w:vAlign w:val="center"/>
                </w:tcPr>
                <w:p w14:paraId="63FDE70E">
                  <w:pPr>
                    <w:pStyle w:val="29"/>
                    <w:spacing w:line="240" w:lineRule="auto"/>
                    <w:jc w:val="center"/>
                    <w:rPr>
                      <w:rFonts w:hint="default"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金凌</w:t>
                  </w:r>
                </w:p>
              </w:tc>
              <w:tc>
                <w:tcPr>
                  <w:tcW w:w="898" w:type="dxa"/>
                  <w:noWrap w:val="0"/>
                  <w:vAlign w:val="center"/>
                </w:tcPr>
                <w:p w14:paraId="26EC7803">
                  <w:pPr>
                    <w:pStyle w:val="29"/>
                    <w:spacing w:line="240" w:lineRule="auto"/>
                    <w:jc w:val="center"/>
                    <w:rPr>
                      <w:rFonts w:hint="default"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0</w:t>
                  </w:r>
                </w:p>
              </w:tc>
              <w:tc>
                <w:tcPr>
                  <w:tcW w:w="840" w:type="dxa"/>
                  <w:noWrap w:val="0"/>
                  <w:vAlign w:val="center"/>
                </w:tcPr>
                <w:p w14:paraId="661789E4">
                  <w:pPr>
                    <w:pStyle w:val="29"/>
                    <w:spacing w:line="240" w:lineRule="auto"/>
                    <w:jc w:val="center"/>
                    <w:rPr>
                      <w:rFonts w:hint="default"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-274.4</w:t>
                  </w:r>
                </w:p>
              </w:tc>
              <w:tc>
                <w:tcPr>
                  <w:tcW w:w="671" w:type="dxa"/>
                  <w:noWrap w:val="0"/>
                  <w:vAlign w:val="center"/>
                </w:tcPr>
                <w:p w14:paraId="77AAC566">
                  <w:pPr>
                    <w:pStyle w:val="29"/>
                    <w:spacing w:line="240" w:lineRule="auto"/>
                    <w:jc w:val="center"/>
                    <w:rPr>
                      <w:rFonts w:ascii="Times New Roman" w:eastAsia="宋体" w:cs="Times New Roman"/>
                      <w:b w:val="0"/>
                      <w:bCs w:val="0"/>
                      <w:sz w:val="21"/>
                      <w:szCs w:val="21"/>
                    </w:rPr>
                  </w:pPr>
                  <w:r>
                    <w:rPr>
                      <w:rFonts w:ascii="Times New Roman" w:eastAsia="宋体" w:cs="Times New Roman"/>
                      <w:b w:val="0"/>
                      <w:bCs w:val="0"/>
                      <w:sz w:val="21"/>
                      <w:szCs w:val="21"/>
                    </w:rPr>
                    <w:t>居民</w:t>
                  </w:r>
                </w:p>
                <w:p w14:paraId="2738C98D">
                  <w:pPr>
                    <w:pStyle w:val="29"/>
                    <w:spacing w:line="240" w:lineRule="auto"/>
                    <w:jc w:val="center"/>
                    <w:rPr>
                      <w:rFonts w:hint="default"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住宅</w:t>
                  </w:r>
                </w:p>
              </w:tc>
              <w:tc>
                <w:tcPr>
                  <w:tcW w:w="1612" w:type="dxa"/>
                  <w:noWrap w:val="0"/>
                  <w:vAlign w:val="center"/>
                </w:tcPr>
                <w:p w14:paraId="1FCE5F4B">
                  <w:pPr>
                    <w:pStyle w:val="29"/>
                    <w:spacing w:line="240" w:lineRule="auto"/>
                    <w:jc w:val="center"/>
                    <w:rPr>
                      <w:rFonts w:hint="default"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120</w:t>
                  </w:r>
                  <w:r>
                    <w:rPr>
                      <w:rFonts w:ascii="Times New Roman" w:eastAsia="宋体" w:cs="Times New Roman"/>
                      <w:b w:val="0"/>
                      <w:bCs w:val="0"/>
                      <w:sz w:val="21"/>
                      <w:szCs w:val="21"/>
                    </w:rPr>
                    <w:t>户/约</w:t>
                  </w:r>
                  <w:r>
                    <w:rPr>
                      <w:rFonts w:hint="eastAsia" w:ascii="Times New Roman" w:eastAsia="宋体" w:cs="Times New Roman"/>
                      <w:b w:val="0"/>
                      <w:bCs w:val="0"/>
                      <w:sz w:val="21"/>
                      <w:szCs w:val="21"/>
                      <w:lang w:val="en-US" w:eastAsia="zh-CN"/>
                    </w:rPr>
                    <w:t>480</w:t>
                  </w:r>
                  <w:r>
                    <w:rPr>
                      <w:rFonts w:ascii="Times New Roman" w:eastAsia="宋体" w:cs="Times New Roman"/>
                      <w:b w:val="0"/>
                      <w:bCs w:val="0"/>
                      <w:sz w:val="21"/>
                      <w:szCs w:val="21"/>
                    </w:rPr>
                    <w:t>人</w:t>
                  </w:r>
                </w:p>
              </w:tc>
              <w:tc>
                <w:tcPr>
                  <w:tcW w:w="1097" w:type="dxa"/>
                  <w:vMerge w:val="continue"/>
                  <w:noWrap w:val="0"/>
                  <w:vAlign w:val="center"/>
                </w:tcPr>
                <w:p w14:paraId="3E8D3C2C">
                  <w:pPr>
                    <w:spacing w:line="240" w:lineRule="auto"/>
                    <w:jc w:val="center"/>
                    <w:rPr>
                      <w:rFonts w:ascii="Times New Roman" w:hAnsi="Times New Roman" w:eastAsia="宋体" w:cs="Times New Roman"/>
                      <w:b w:val="0"/>
                      <w:bCs w:val="0"/>
                      <w:kern w:val="2"/>
                      <w:sz w:val="21"/>
                      <w:szCs w:val="21"/>
                      <w:lang w:val="en-US" w:eastAsia="zh-CN" w:bidi="ar-SA"/>
                    </w:rPr>
                  </w:pPr>
                </w:p>
              </w:tc>
              <w:tc>
                <w:tcPr>
                  <w:tcW w:w="720" w:type="dxa"/>
                  <w:noWrap w:val="0"/>
                  <w:vAlign w:val="center"/>
                </w:tcPr>
                <w:p w14:paraId="34D66FB9">
                  <w:pPr>
                    <w:pStyle w:val="29"/>
                    <w:spacing w:line="240" w:lineRule="auto"/>
                    <w:jc w:val="center"/>
                    <w:rPr>
                      <w:rFonts w:hint="default" w:ascii="Times New Roman" w:hAnsi="Calibri" w:eastAsia="宋体" w:cs="Times New Roman"/>
                      <w:b w:val="0"/>
                      <w:bCs w:val="0"/>
                      <w:color w:val="auto"/>
                      <w:kern w:val="2"/>
                      <w:sz w:val="21"/>
                      <w:szCs w:val="21"/>
                      <w:lang w:val="en-US" w:eastAsia="zh-CN" w:bidi="ar-SA"/>
                    </w:rPr>
                  </w:pPr>
                  <w:r>
                    <w:rPr>
                      <w:rFonts w:hint="eastAsia" w:ascii="Times New Roman" w:eastAsia="宋体" w:cs="Times New Roman"/>
                      <w:b w:val="0"/>
                      <w:bCs w:val="0"/>
                      <w:color w:val="auto"/>
                      <w:kern w:val="2"/>
                      <w:sz w:val="21"/>
                      <w:szCs w:val="21"/>
                      <w:lang w:val="en-US" w:eastAsia="zh-CN" w:bidi="ar-SA"/>
                    </w:rPr>
                    <w:t>S</w:t>
                  </w:r>
                </w:p>
              </w:tc>
              <w:tc>
                <w:tcPr>
                  <w:tcW w:w="800" w:type="dxa"/>
                  <w:noWrap w:val="0"/>
                  <w:vAlign w:val="center"/>
                </w:tcPr>
                <w:p w14:paraId="78558D33">
                  <w:pPr>
                    <w:pStyle w:val="29"/>
                    <w:spacing w:line="240" w:lineRule="auto"/>
                    <w:jc w:val="center"/>
                    <w:rPr>
                      <w:rFonts w:hint="default"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color w:val="auto"/>
                      <w:sz w:val="21"/>
                      <w:szCs w:val="21"/>
                      <w:lang w:val="en-US" w:eastAsia="zh-CN"/>
                    </w:rPr>
                    <w:t>274.4</w:t>
                  </w:r>
                </w:p>
              </w:tc>
            </w:tr>
            <w:tr w14:paraId="3EC60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52" w:type="dxa"/>
                  <w:noWrap w:val="0"/>
                  <w:vAlign w:val="center"/>
                </w:tcPr>
                <w:p w14:paraId="607D9F17">
                  <w:pPr>
                    <w:pStyle w:val="29"/>
                    <w:spacing w:line="240" w:lineRule="auto"/>
                    <w:jc w:val="center"/>
                    <w:rPr>
                      <w:rFonts w:hint="default" w:ascii="Times New Roman" w:eastAsia="宋体" w:cs="Times New Roman"/>
                      <w:b w:val="0"/>
                      <w:bCs w:val="0"/>
                      <w:sz w:val="21"/>
                      <w:szCs w:val="21"/>
                      <w:lang w:val="en-US" w:eastAsia="zh-CN"/>
                    </w:rPr>
                  </w:pPr>
                  <w:r>
                    <w:rPr>
                      <w:rFonts w:hint="eastAsia" w:ascii="Times New Roman" w:eastAsia="宋体" w:cs="Times New Roman"/>
                      <w:b w:val="0"/>
                      <w:bCs w:val="0"/>
                      <w:sz w:val="21"/>
                      <w:szCs w:val="21"/>
                      <w:lang w:val="en-US" w:eastAsia="zh-CN"/>
                    </w:rPr>
                    <w:t>4</w:t>
                  </w:r>
                </w:p>
              </w:tc>
              <w:tc>
                <w:tcPr>
                  <w:tcW w:w="906" w:type="dxa"/>
                  <w:noWrap w:val="0"/>
                  <w:vAlign w:val="center"/>
                </w:tcPr>
                <w:p w14:paraId="5EAADEC5">
                  <w:pPr>
                    <w:pStyle w:val="29"/>
                    <w:spacing w:line="240" w:lineRule="auto"/>
                    <w:jc w:val="center"/>
                    <w:rPr>
                      <w:rFonts w:hint="default"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李槽坊</w:t>
                  </w:r>
                </w:p>
              </w:tc>
              <w:tc>
                <w:tcPr>
                  <w:tcW w:w="898" w:type="dxa"/>
                  <w:noWrap w:val="0"/>
                  <w:vAlign w:val="center"/>
                </w:tcPr>
                <w:p w14:paraId="4EC8A078">
                  <w:pPr>
                    <w:pStyle w:val="29"/>
                    <w:spacing w:line="240" w:lineRule="auto"/>
                    <w:jc w:val="center"/>
                    <w:rPr>
                      <w:rFonts w:hint="default"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+32.1</w:t>
                  </w:r>
                </w:p>
              </w:tc>
              <w:tc>
                <w:tcPr>
                  <w:tcW w:w="840" w:type="dxa"/>
                  <w:noWrap w:val="0"/>
                  <w:vAlign w:val="center"/>
                </w:tcPr>
                <w:p w14:paraId="7EEABD15">
                  <w:pPr>
                    <w:pStyle w:val="29"/>
                    <w:spacing w:line="240" w:lineRule="auto"/>
                    <w:jc w:val="center"/>
                    <w:rPr>
                      <w:rFonts w:hint="default"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+309.3</w:t>
                  </w:r>
                </w:p>
              </w:tc>
              <w:tc>
                <w:tcPr>
                  <w:tcW w:w="671" w:type="dxa"/>
                  <w:noWrap w:val="0"/>
                  <w:vAlign w:val="center"/>
                </w:tcPr>
                <w:p w14:paraId="1DF1FBDA">
                  <w:pPr>
                    <w:spacing w:line="240" w:lineRule="auto"/>
                    <w:jc w:val="center"/>
                    <w:rPr>
                      <w:rFonts w:hint="eastAsia" w:ascii="Times New Roman" w:hAnsi="Times New Roman" w:eastAsia="宋体" w:cs="Times New Roman"/>
                      <w:b w:val="0"/>
                      <w:bCs w:val="0"/>
                      <w:kern w:val="2"/>
                      <w:sz w:val="21"/>
                      <w:szCs w:val="21"/>
                      <w:lang w:val="en-US" w:eastAsia="zh-CN" w:bidi="ar-SA"/>
                    </w:rPr>
                  </w:pPr>
                  <w:r>
                    <w:rPr>
                      <w:rFonts w:hint="eastAsia" w:ascii="Times New Roman" w:eastAsia="宋体" w:cs="Times New Roman"/>
                      <w:b w:val="0"/>
                      <w:bCs w:val="0"/>
                      <w:sz w:val="21"/>
                      <w:szCs w:val="21"/>
                      <w:lang w:val="en-US" w:eastAsia="zh-CN"/>
                    </w:rPr>
                    <w:t>居民住宅</w:t>
                  </w:r>
                </w:p>
              </w:tc>
              <w:tc>
                <w:tcPr>
                  <w:tcW w:w="1612" w:type="dxa"/>
                  <w:noWrap w:val="0"/>
                  <w:vAlign w:val="center"/>
                </w:tcPr>
                <w:p w14:paraId="1D9516FA">
                  <w:pPr>
                    <w:pStyle w:val="29"/>
                    <w:spacing w:line="240" w:lineRule="auto"/>
                    <w:jc w:val="center"/>
                    <w:rPr>
                      <w:rFonts w:hint="default"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15户/约60人</w:t>
                  </w:r>
                </w:p>
              </w:tc>
              <w:tc>
                <w:tcPr>
                  <w:tcW w:w="1097" w:type="dxa"/>
                  <w:vMerge w:val="continue"/>
                  <w:noWrap w:val="0"/>
                  <w:vAlign w:val="center"/>
                </w:tcPr>
                <w:p w14:paraId="4F7F8425">
                  <w:pPr>
                    <w:spacing w:line="240" w:lineRule="auto"/>
                    <w:jc w:val="center"/>
                    <w:rPr>
                      <w:rFonts w:ascii="Times New Roman" w:hAnsi="Times New Roman" w:eastAsia="宋体" w:cs="Times New Roman"/>
                      <w:b w:val="0"/>
                      <w:bCs w:val="0"/>
                      <w:kern w:val="2"/>
                      <w:sz w:val="21"/>
                      <w:szCs w:val="21"/>
                      <w:lang w:val="en-US" w:eastAsia="zh-CN" w:bidi="ar-SA"/>
                    </w:rPr>
                  </w:pPr>
                </w:p>
              </w:tc>
              <w:tc>
                <w:tcPr>
                  <w:tcW w:w="720" w:type="dxa"/>
                  <w:noWrap w:val="0"/>
                  <w:vAlign w:val="center"/>
                </w:tcPr>
                <w:p w14:paraId="1637BBAD">
                  <w:pPr>
                    <w:pStyle w:val="29"/>
                    <w:spacing w:line="240" w:lineRule="auto"/>
                    <w:jc w:val="center"/>
                    <w:rPr>
                      <w:rFonts w:hint="default"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EN</w:t>
                  </w:r>
                </w:p>
              </w:tc>
              <w:tc>
                <w:tcPr>
                  <w:tcW w:w="800" w:type="dxa"/>
                  <w:noWrap w:val="0"/>
                  <w:vAlign w:val="center"/>
                </w:tcPr>
                <w:p w14:paraId="43C438D4">
                  <w:pPr>
                    <w:pStyle w:val="29"/>
                    <w:spacing w:line="240" w:lineRule="auto"/>
                    <w:jc w:val="center"/>
                    <w:rPr>
                      <w:rFonts w:hint="default" w:ascii="Times New Roman" w:hAnsi="Calibri" w:eastAsia="宋体" w:cs="Times New Roman"/>
                      <w:b w:val="0"/>
                      <w:bCs w:val="0"/>
                      <w:color w:val="auto"/>
                      <w:kern w:val="2"/>
                      <w:sz w:val="21"/>
                      <w:szCs w:val="21"/>
                      <w:lang w:val="en-US" w:eastAsia="zh-CN" w:bidi="ar-SA"/>
                    </w:rPr>
                  </w:pPr>
                  <w:r>
                    <w:rPr>
                      <w:rFonts w:hint="eastAsia" w:ascii="Times New Roman" w:eastAsia="宋体" w:cs="Times New Roman"/>
                      <w:b w:val="0"/>
                      <w:bCs w:val="0"/>
                      <w:color w:val="auto"/>
                      <w:sz w:val="21"/>
                      <w:szCs w:val="21"/>
                      <w:lang w:val="en-US" w:eastAsia="zh-CN"/>
                    </w:rPr>
                    <w:t>318.3</w:t>
                  </w:r>
                </w:p>
              </w:tc>
            </w:tr>
            <w:tr w14:paraId="2FD7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52" w:type="dxa"/>
                  <w:noWrap w:val="0"/>
                  <w:vAlign w:val="center"/>
                </w:tcPr>
                <w:p w14:paraId="5CF40AE7">
                  <w:pPr>
                    <w:pStyle w:val="29"/>
                    <w:spacing w:line="240" w:lineRule="auto"/>
                    <w:jc w:val="center"/>
                    <w:rPr>
                      <w:rFonts w:hint="default" w:ascii="Times New Roman" w:eastAsia="宋体" w:cs="Times New Roman"/>
                      <w:b w:val="0"/>
                      <w:bCs w:val="0"/>
                      <w:sz w:val="21"/>
                      <w:szCs w:val="21"/>
                      <w:lang w:val="en-US" w:eastAsia="zh-CN"/>
                    </w:rPr>
                  </w:pPr>
                  <w:r>
                    <w:rPr>
                      <w:rFonts w:hint="eastAsia" w:ascii="Times New Roman" w:eastAsia="宋体" w:cs="Times New Roman"/>
                      <w:b w:val="0"/>
                      <w:bCs w:val="0"/>
                      <w:sz w:val="21"/>
                      <w:szCs w:val="21"/>
                      <w:lang w:val="en-US" w:eastAsia="zh-CN"/>
                    </w:rPr>
                    <w:t>5</w:t>
                  </w:r>
                </w:p>
              </w:tc>
              <w:tc>
                <w:tcPr>
                  <w:tcW w:w="906" w:type="dxa"/>
                  <w:noWrap w:val="0"/>
                  <w:vAlign w:val="center"/>
                </w:tcPr>
                <w:p w14:paraId="45F792DC">
                  <w:pPr>
                    <w:pStyle w:val="29"/>
                    <w:spacing w:line="240" w:lineRule="auto"/>
                    <w:jc w:val="center"/>
                    <w:rPr>
                      <w:rFonts w:hint="default"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阮家</w:t>
                  </w:r>
                </w:p>
              </w:tc>
              <w:tc>
                <w:tcPr>
                  <w:tcW w:w="898" w:type="dxa"/>
                  <w:noWrap w:val="0"/>
                  <w:vAlign w:val="center"/>
                </w:tcPr>
                <w:p w14:paraId="0CE900C3">
                  <w:pPr>
                    <w:pStyle w:val="29"/>
                    <w:spacing w:line="240" w:lineRule="auto"/>
                    <w:jc w:val="center"/>
                    <w:rPr>
                      <w:rFonts w:hint="default"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+250.9</w:t>
                  </w:r>
                </w:p>
              </w:tc>
              <w:tc>
                <w:tcPr>
                  <w:tcW w:w="840" w:type="dxa"/>
                  <w:noWrap w:val="0"/>
                  <w:vAlign w:val="center"/>
                </w:tcPr>
                <w:p w14:paraId="551FB64E">
                  <w:pPr>
                    <w:pStyle w:val="29"/>
                    <w:spacing w:line="240" w:lineRule="auto"/>
                    <w:jc w:val="center"/>
                    <w:rPr>
                      <w:rFonts w:hint="default"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-311.4</w:t>
                  </w:r>
                </w:p>
              </w:tc>
              <w:tc>
                <w:tcPr>
                  <w:tcW w:w="671" w:type="dxa"/>
                  <w:noWrap w:val="0"/>
                  <w:vAlign w:val="center"/>
                </w:tcPr>
                <w:p w14:paraId="6F6A844F">
                  <w:pPr>
                    <w:pStyle w:val="29"/>
                    <w:spacing w:line="240" w:lineRule="auto"/>
                    <w:jc w:val="center"/>
                    <w:rPr>
                      <w:rFonts w:hint="eastAsia"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居民住宅</w:t>
                  </w:r>
                </w:p>
              </w:tc>
              <w:tc>
                <w:tcPr>
                  <w:tcW w:w="1612" w:type="dxa"/>
                  <w:noWrap w:val="0"/>
                  <w:vAlign w:val="center"/>
                </w:tcPr>
                <w:p w14:paraId="6CBBAAA6">
                  <w:pPr>
                    <w:pStyle w:val="29"/>
                    <w:spacing w:line="240" w:lineRule="auto"/>
                    <w:jc w:val="center"/>
                    <w:rPr>
                      <w:rFonts w:hint="default"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90户/约300人</w:t>
                  </w:r>
                </w:p>
              </w:tc>
              <w:tc>
                <w:tcPr>
                  <w:tcW w:w="1097" w:type="dxa"/>
                  <w:vMerge w:val="continue"/>
                  <w:noWrap w:val="0"/>
                  <w:vAlign w:val="center"/>
                </w:tcPr>
                <w:p w14:paraId="214DCFB6">
                  <w:pPr>
                    <w:spacing w:line="240" w:lineRule="auto"/>
                    <w:jc w:val="center"/>
                    <w:rPr>
                      <w:rFonts w:ascii="Times New Roman" w:hAnsi="Times New Roman" w:eastAsia="宋体" w:cs="Times New Roman"/>
                      <w:b w:val="0"/>
                      <w:bCs w:val="0"/>
                      <w:kern w:val="2"/>
                      <w:sz w:val="21"/>
                      <w:szCs w:val="21"/>
                      <w:lang w:val="en-US" w:eastAsia="zh-CN" w:bidi="ar-SA"/>
                    </w:rPr>
                  </w:pPr>
                </w:p>
              </w:tc>
              <w:tc>
                <w:tcPr>
                  <w:tcW w:w="720" w:type="dxa"/>
                  <w:noWrap w:val="0"/>
                  <w:vAlign w:val="center"/>
                </w:tcPr>
                <w:p w14:paraId="7098ADDC">
                  <w:pPr>
                    <w:pStyle w:val="29"/>
                    <w:spacing w:line="240" w:lineRule="auto"/>
                    <w:jc w:val="center"/>
                    <w:rPr>
                      <w:rFonts w:hint="default" w:ascii="Times New Roman" w:hAnsi="Calibri" w:eastAsia="宋体" w:cs="Times New Roman"/>
                      <w:b w:val="0"/>
                      <w:bCs w:val="0"/>
                      <w:color w:val="000000"/>
                      <w:kern w:val="2"/>
                      <w:sz w:val="21"/>
                      <w:szCs w:val="21"/>
                      <w:lang w:val="en-US" w:eastAsia="zh-CN" w:bidi="ar-SA"/>
                    </w:rPr>
                  </w:pPr>
                  <w:r>
                    <w:rPr>
                      <w:rFonts w:hint="eastAsia" w:ascii="Times New Roman" w:eastAsia="宋体" w:cs="Times New Roman"/>
                      <w:b w:val="0"/>
                      <w:bCs w:val="0"/>
                      <w:sz w:val="21"/>
                      <w:szCs w:val="21"/>
                      <w:lang w:val="en-US" w:eastAsia="zh-CN"/>
                    </w:rPr>
                    <w:t>ES</w:t>
                  </w:r>
                </w:p>
              </w:tc>
              <w:tc>
                <w:tcPr>
                  <w:tcW w:w="800" w:type="dxa"/>
                  <w:noWrap w:val="0"/>
                  <w:vAlign w:val="center"/>
                </w:tcPr>
                <w:p w14:paraId="4C943FC4">
                  <w:pPr>
                    <w:pStyle w:val="29"/>
                    <w:spacing w:line="240" w:lineRule="auto"/>
                    <w:jc w:val="center"/>
                    <w:rPr>
                      <w:rFonts w:hint="default" w:ascii="Times New Roman" w:hAnsi="Calibri" w:eastAsia="宋体" w:cs="Times New Roman"/>
                      <w:b w:val="0"/>
                      <w:bCs w:val="0"/>
                      <w:color w:val="auto"/>
                      <w:kern w:val="2"/>
                      <w:sz w:val="21"/>
                      <w:szCs w:val="21"/>
                      <w:lang w:val="en-US" w:eastAsia="zh-CN" w:bidi="ar-SA"/>
                    </w:rPr>
                  </w:pPr>
                  <w:r>
                    <w:rPr>
                      <w:rFonts w:hint="eastAsia" w:ascii="Times New Roman" w:eastAsia="宋体" w:cs="Times New Roman"/>
                      <w:b w:val="0"/>
                      <w:bCs w:val="0"/>
                      <w:color w:val="auto"/>
                      <w:sz w:val="21"/>
                      <w:szCs w:val="21"/>
                      <w:lang w:val="en-US" w:eastAsia="zh-CN"/>
                    </w:rPr>
                    <w:t>435.3</w:t>
                  </w:r>
                </w:p>
              </w:tc>
            </w:tr>
          </w:tbl>
          <w:p w14:paraId="56D384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sz w:val="24"/>
                <w:szCs w:val="32"/>
                <w:lang w:val="en-US" w:eastAsia="zh-CN"/>
              </w:rPr>
            </w:pPr>
          </w:p>
          <w:p w14:paraId="1286D0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sz w:val="24"/>
                <w:szCs w:val="32"/>
                <w:lang w:val="en-US" w:eastAsia="zh-CN"/>
              </w:rPr>
            </w:pPr>
          </w:p>
          <w:p w14:paraId="66B6A8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sz w:val="24"/>
                <w:szCs w:val="32"/>
                <w:lang w:val="en-US" w:eastAsia="zh-CN"/>
              </w:rPr>
            </w:pPr>
          </w:p>
          <w:p w14:paraId="34A118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sz w:val="24"/>
                <w:szCs w:val="32"/>
                <w:lang w:val="en-US" w:eastAsia="zh-CN"/>
              </w:rPr>
            </w:pPr>
          </w:p>
          <w:p w14:paraId="76AE7A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sz w:val="24"/>
                <w:szCs w:val="32"/>
                <w:lang w:val="en-US" w:eastAsia="zh-CN"/>
              </w:rPr>
            </w:pPr>
          </w:p>
          <w:p w14:paraId="577FC3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4"/>
                <w:szCs w:val="32"/>
                <w:lang w:val="en-US" w:eastAsia="zh-CN"/>
              </w:rPr>
            </w:pPr>
          </w:p>
        </w:tc>
      </w:tr>
    </w:tbl>
    <w:p w14:paraId="7839BCA5">
      <w:pPr>
        <w:adjustRightInd w:val="0"/>
        <w:snapToGrid w:val="0"/>
        <w:jc w:val="center"/>
        <w:rPr>
          <w:kern w:val="0"/>
          <w:szCs w:val="21"/>
        </w:rPr>
        <w:sectPr>
          <w:pgSz w:w="11907" w:h="16840"/>
          <w:pgMar w:top="1701" w:right="1531" w:bottom="2127" w:left="1531" w:header="851" w:footer="851" w:gutter="0"/>
          <w:pgNumType w:fmt="decimal"/>
          <w:cols w:space="720" w:num="1"/>
          <w:docGrid w:linePitch="312" w:charSpace="0"/>
        </w:sectPr>
      </w:pPr>
    </w:p>
    <w:tbl>
      <w:tblPr>
        <w:tblStyle w:val="24"/>
        <w:tblW w:w="133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12190"/>
      </w:tblGrid>
      <w:tr w14:paraId="267413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189" w:type="dxa"/>
            <w:noWrap w:val="0"/>
            <w:vAlign w:val="center"/>
          </w:tcPr>
          <w:p w14:paraId="1E39F64F">
            <w:pPr>
              <w:pStyle w:val="29"/>
            </w:pPr>
          </w:p>
        </w:tc>
        <w:tc>
          <w:tcPr>
            <w:tcW w:w="12190" w:type="dxa"/>
            <w:noWrap w:val="0"/>
            <w:vAlign w:val="center"/>
          </w:tcPr>
          <w:p w14:paraId="737777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sz w:val="28"/>
                <w:lang w:val="en-US" w:eastAsia="zh-CN"/>
              </w:rPr>
            </w:pPr>
            <w:r>
              <w:rPr>
                <w:rFonts w:hint="default" w:ascii="Times New Roman" w:hAnsi="Times New Roman" w:cs="Times New Roman"/>
                <w:b/>
                <w:sz w:val="28"/>
                <w:lang w:val="en-US" w:eastAsia="zh-CN"/>
              </w:rPr>
              <w:drawing>
                <wp:inline distT="0" distB="0" distL="114300" distR="114300">
                  <wp:extent cx="7602855" cy="4826635"/>
                  <wp:effectExtent l="0" t="0" r="1905" b="4445"/>
                  <wp:docPr id="17" name="图片 17" descr="62f7665f7f333a374c4369c5a4285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2f7665f7f333a374c4369c5a428504b"/>
                          <pic:cNvPicPr>
                            <a:picLocks noChangeAspect="1"/>
                          </pic:cNvPicPr>
                        </pic:nvPicPr>
                        <pic:blipFill>
                          <a:blip r:embed="rId25"/>
                          <a:stretch>
                            <a:fillRect/>
                          </a:stretch>
                        </pic:blipFill>
                        <pic:spPr>
                          <a:xfrm>
                            <a:off x="0" y="0"/>
                            <a:ext cx="7602855" cy="4826635"/>
                          </a:xfrm>
                          <a:prstGeom prst="rect">
                            <a:avLst/>
                          </a:prstGeom>
                        </pic:spPr>
                      </pic:pic>
                    </a:graphicData>
                  </a:graphic>
                </wp:inline>
              </w:drawing>
            </w:r>
            <w:r>
              <w:rPr>
                <w:rFonts w:hint="default" w:ascii="Times New Roman" w:hAnsi="Times New Roman" w:cs="Times New Roman"/>
                <w:b/>
                <w:sz w:val="28"/>
                <w:lang w:val="en-US" w:eastAsia="zh-CN"/>
              </w:rPr>
              <w:t xml:space="preserve">图3-1 </w:t>
            </w:r>
            <w:r>
              <w:rPr>
                <w:rFonts w:hint="eastAsia" w:ascii="宋体" w:hAnsi="宋体" w:cs="宋体"/>
                <w:b/>
                <w:sz w:val="28"/>
                <w:lang w:val="en-US" w:eastAsia="zh-CN"/>
              </w:rPr>
              <w:t xml:space="preserve">  建设项目环境保护范围示意图</w:t>
            </w:r>
          </w:p>
          <w:p w14:paraId="27F2DC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4"/>
                <w:szCs w:val="32"/>
                <w:lang w:val="en-US"/>
              </w:rPr>
            </w:pPr>
          </w:p>
        </w:tc>
      </w:tr>
    </w:tbl>
    <w:p w14:paraId="530590D8">
      <w:pPr>
        <w:pStyle w:val="20"/>
        <w:jc w:val="both"/>
        <w:outlineLvl w:val="0"/>
        <w:rPr>
          <w:rFonts w:hint="eastAsia" w:ascii="Times New Roman" w:hAnsi="Times New Roman"/>
          <w:snapToGrid w:val="0"/>
          <w:sz w:val="36"/>
          <w:szCs w:val="36"/>
          <w:lang w:val="en-US" w:eastAsia="zh-CN"/>
        </w:rPr>
        <w:sectPr>
          <w:pgSz w:w="16840" w:h="11907" w:orient="landscape"/>
          <w:pgMar w:top="1531" w:right="1701" w:bottom="1531" w:left="2127" w:header="851" w:footer="850" w:gutter="0"/>
          <w:pgNumType w:fmt="decimal"/>
          <w:cols w:space="0" w:num="1"/>
          <w:rtlGutter w:val="0"/>
          <w:docGrid w:linePitch="312" w:charSpace="0"/>
        </w:sectPr>
      </w:pPr>
    </w:p>
    <w:tbl>
      <w:tblPr>
        <w:tblStyle w:val="24"/>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205E5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800" w:type="dxa"/>
            <w:noWrap w:val="0"/>
            <w:tcMar>
              <w:left w:w="28" w:type="dxa"/>
              <w:right w:w="28" w:type="dxa"/>
            </w:tcMar>
            <w:vAlign w:val="center"/>
          </w:tcPr>
          <w:p w14:paraId="71EB70B2">
            <w:pPr>
              <w:adjustRightInd w:val="0"/>
              <w:snapToGrid w:val="0"/>
              <w:jc w:val="center"/>
              <w:rPr>
                <w:kern w:val="0"/>
                <w:szCs w:val="21"/>
              </w:rPr>
            </w:pPr>
            <w:r>
              <w:rPr>
                <w:kern w:val="0"/>
                <w:szCs w:val="21"/>
              </w:rPr>
              <w:t>污染</w:t>
            </w:r>
          </w:p>
          <w:p w14:paraId="29C916A1">
            <w:pPr>
              <w:adjustRightInd w:val="0"/>
              <w:snapToGrid w:val="0"/>
              <w:jc w:val="center"/>
              <w:rPr>
                <w:kern w:val="0"/>
                <w:szCs w:val="21"/>
              </w:rPr>
            </w:pPr>
            <w:r>
              <w:rPr>
                <w:kern w:val="0"/>
                <w:szCs w:val="21"/>
              </w:rPr>
              <w:t>物排</w:t>
            </w:r>
          </w:p>
          <w:p w14:paraId="29606589">
            <w:pPr>
              <w:adjustRightInd w:val="0"/>
              <w:snapToGrid w:val="0"/>
              <w:jc w:val="center"/>
              <w:rPr>
                <w:kern w:val="0"/>
                <w:szCs w:val="21"/>
              </w:rPr>
            </w:pPr>
            <w:r>
              <w:rPr>
                <w:kern w:val="0"/>
                <w:szCs w:val="21"/>
              </w:rPr>
              <w:t>放控</w:t>
            </w:r>
          </w:p>
          <w:p w14:paraId="2A24997B">
            <w:pPr>
              <w:adjustRightInd w:val="0"/>
              <w:snapToGrid w:val="0"/>
              <w:jc w:val="center"/>
              <w:rPr>
                <w:kern w:val="0"/>
                <w:szCs w:val="21"/>
              </w:rPr>
            </w:pPr>
            <w:r>
              <w:rPr>
                <w:kern w:val="0"/>
                <w:szCs w:val="21"/>
              </w:rPr>
              <w:t>制标</w:t>
            </w:r>
          </w:p>
          <w:p w14:paraId="70CEC45C">
            <w:pPr>
              <w:adjustRightInd w:val="0"/>
              <w:snapToGrid w:val="0"/>
              <w:jc w:val="center"/>
              <w:rPr>
                <w:kern w:val="0"/>
                <w:szCs w:val="21"/>
              </w:rPr>
            </w:pPr>
            <w:r>
              <w:rPr>
                <w:kern w:val="0"/>
                <w:szCs w:val="21"/>
              </w:rPr>
              <w:t>准</w:t>
            </w:r>
          </w:p>
        </w:tc>
        <w:tc>
          <w:tcPr>
            <w:tcW w:w="8190" w:type="dxa"/>
            <w:noWrap w:val="0"/>
            <w:vAlign w:val="center"/>
          </w:tcPr>
          <w:p w14:paraId="360189A3">
            <w:pPr>
              <w:autoSpaceDE w:val="0"/>
              <w:autoSpaceDN w:val="0"/>
              <w:adjustRightInd w:val="0"/>
              <w:spacing w:before="120" w:beforeLines="50" w:line="360" w:lineRule="auto"/>
              <w:jc w:val="left"/>
              <w:rPr>
                <w:b/>
                <w:bCs/>
                <w:sz w:val="24"/>
              </w:rPr>
            </w:pPr>
            <w:r>
              <w:rPr>
                <w:b/>
                <w:bCs/>
                <w:sz w:val="24"/>
              </w:rPr>
              <w:t>3.3</w:t>
            </w:r>
            <w:r>
              <w:rPr>
                <w:rFonts w:hint="eastAsia"/>
                <w:b/>
                <w:bCs/>
                <w:sz w:val="24"/>
                <w:lang w:val="en-US" w:eastAsia="zh-CN"/>
              </w:rPr>
              <w:t xml:space="preserve"> </w:t>
            </w:r>
            <w:r>
              <w:rPr>
                <w:b/>
                <w:bCs/>
                <w:sz w:val="24"/>
              </w:rPr>
              <w:t>污染物排放标准</w:t>
            </w:r>
          </w:p>
          <w:p w14:paraId="758357BD">
            <w:pPr>
              <w:autoSpaceDE w:val="0"/>
              <w:autoSpaceDN w:val="0"/>
              <w:adjustRightInd w:val="0"/>
              <w:spacing w:line="360" w:lineRule="auto"/>
              <w:jc w:val="left"/>
              <w:rPr>
                <w:b/>
                <w:bCs/>
                <w:sz w:val="24"/>
              </w:rPr>
            </w:pPr>
            <w:r>
              <w:rPr>
                <w:b/>
                <w:bCs/>
                <w:sz w:val="24"/>
              </w:rPr>
              <w:t>3.3.1水污染物排放标准</w:t>
            </w:r>
          </w:p>
          <w:p w14:paraId="22323468">
            <w:pPr>
              <w:autoSpaceDE w:val="0"/>
              <w:autoSpaceDN w:val="0"/>
              <w:adjustRightInd w:val="0"/>
              <w:spacing w:line="360" w:lineRule="auto"/>
              <w:ind w:firstLine="480" w:firstLineChars="200"/>
              <w:rPr>
                <w:kern w:val="0"/>
                <w:sz w:val="24"/>
              </w:rPr>
            </w:pPr>
            <w:r>
              <w:rPr>
                <w:kern w:val="0"/>
                <w:sz w:val="24"/>
              </w:rPr>
              <w:t>营运期</w:t>
            </w:r>
            <w:r>
              <w:rPr>
                <w:rFonts w:hint="eastAsia"/>
                <w:kern w:val="0"/>
                <w:sz w:val="24"/>
                <w:lang w:val="en-US" w:eastAsia="zh-CN"/>
              </w:rPr>
              <w:t>地坪保洁废水、初期雨水经</w:t>
            </w:r>
            <w:r>
              <w:rPr>
                <w:rFonts w:hint="eastAsia"/>
                <w:kern w:val="0"/>
                <w:sz w:val="24"/>
              </w:rPr>
              <w:t>自建污水处理站预处理后</w:t>
            </w:r>
            <w:r>
              <w:rPr>
                <w:rFonts w:hint="eastAsia"/>
                <w:kern w:val="0"/>
                <w:sz w:val="24"/>
                <w:lang w:val="en-US" w:eastAsia="zh-CN"/>
              </w:rPr>
              <w:t>回用于车间保洁及厂区绿化，不外排；生活污水经化粪池预处理后，定期清掏用作农家肥，不外排</w:t>
            </w:r>
            <w:r>
              <w:rPr>
                <w:rFonts w:hint="eastAsia" w:cs="Times New Roman"/>
                <w:kern w:val="0"/>
                <w:sz w:val="24"/>
                <w:lang w:val="en-US" w:eastAsia="zh-CN"/>
              </w:rPr>
              <w:t>。</w:t>
            </w:r>
          </w:p>
          <w:p w14:paraId="2819F75E">
            <w:pPr>
              <w:keepNext w:val="0"/>
              <w:keepLines w:val="0"/>
              <w:pageBreakBefore w:val="0"/>
              <w:widowControl w:val="0"/>
              <w:suppressAutoHyphens/>
              <w:kinsoku/>
              <w:wordWrap/>
              <w:overflowPunct/>
              <w:topLinePunct w:val="0"/>
              <w:autoSpaceDE/>
              <w:autoSpaceDN/>
              <w:bidi w:val="0"/>
              <w:adjustRightInd/>
              <w:snapToGrid/>
              <w:spacing w:line="360" w:lineRule="auto"/>
              <w:textAlignment w:val="auto"/>
              <w:rPr>
                <w:b/>
                <w:bCs/>
                <w:sz w:val="24"/>
              </w:rPr>
            </w:pPr>
            <w:r>
              <w:rPr>
                <w:b/>
                <w:bCs/>
                <w:sz w:val="24"/>
              </w:rPr>
              <w:t>3.3.2大气污染物排放标准</w:t>
            </w:r>
          </w:p>
          <w:p w14:paraId="74E9C203">
            <w:pPr>
              <w:suppressAutoHyphens/>
              <w:spacing w:line="360" w:lineRule="auto"/>
              <w:ind w:firstLine="480" w:firstLineChars="200"/>
              <w:rPr>
                <w:rFonts w:ascii="Times New Roman" w:hAnsi="Times New Roman" w:eastAsia="宋体" w:cs="Times New Roman"/>
                <w:sz w:val="24"/>
              </w:rPr>
            </w:pPr>
            <w:r>
              <w:rPr>
                <w:rFonts w:hint="eastAsia" w:cs="Times New Roman"/>
                <w:sz w:val="24"/>
                <w:lang w:val="en-US" w:eastAsia="zh-CN"/>
              </w:rPr>
              <w:t>建设项目</w:t>
            </w:r>
            <w:r>
              <w:rPr>
                <w:rFonts w:ascii="Times New Roman" w:hAnsi="Times New Roman" w:eastAsia="宋体" w:cs="Times New Roman"/>
                <w:sz w:val="24"/>
              </w:rPr>
              <w:t>营运期</w:t>
            </w:r>
            <w:r>
              <w:rPr>
                <w:rFonts w:hint="eastAsia" w:ascii="Times New Roman" w:hAnsi="Times New Roman" w:eastAsia="宋体" w:cs="Times New Roman"/>
                <w:sz w:val="24"/>
                <w:lang w:val="en-US" w:eastAsia="zh-CN"/>
              </w:rPr>
              <w:t>颗粒物、</w:t>
            </w:r>
            <w:r>
              <w:rPr>
                <w:rFonts w:hint="eastAsia" w:cs="Times New Roman"/>
                <w:sz w:val="24"/>
                <w:lang w:val="en-US" w:eastAsia="zh-CN"/>
              </w:rPr>
              <w:t>非甲烷总烃</w:t>
            </w:r>
            <w:r>
              <w:rPr>
                <w:rFonts w:hint="eastAsia" w:ascii="Times New Roman" w:hAnsi="Times New Roman" w:eastAsia="宋体" w:cs="Times New Roman"/>
                <w:sz w:val="24"/>
              </w:rPr>
              <w:t>排放</w:t>
            </w:r>
            <w:r>
              <w:rPr>
                <w:rFonts w:ascii="Times New Roman" w:hAnsi="Times New Roman" w:eastAsia="宋体" w:cs="Times New Roman"/>
                <w:sz w:val="24"/>
              </w:rPr>
              <w:t>执行《</w:t>
            </w:r>
            <w:r>
              <w:rPr>
                <w:rFonts w:hint="eastAsia" w:ascii="Times New Roman" w:hAnsi="Times New Roman" w:eastAsia="宋体" w:cs="Times New Roman"/>
                <w:sz w:val="24"/>
                <w:lang w:val="en-US" w:eastAsia="zh-CN"/>
              </w:rPr>
              <w:t>大气污染物</w:t>
            </w:r>
            <w:r>
              <w:rPr>
                <w:rFonts w:hint="eastAsia" w:cs="Times New Roman"/>
                <w:sz w:val="24"/>
                <w:lang w:val="en-US" w:eastAsia="zh-CN"/>
              </w:rPr>
              <w:t>综合</w:t>
            </w:r>
            <w:r>
              <w:rPr>
                <w:rFonts w:ascii="Times New Roman" w:hAnsi="Times New Roman" w:eastAsia="宋体" w:cs="Times New Roman"/>
                <w:sz w:val="24"/>
              </w:rPr>
              <w:t>排放标准》（</w:t>
            </w:r>
            <w:r>
              <w:rPr>
                <w:rFonts w:hint="eastAsia" w:cs="Times New Roman"/>
                <w:sz w:val="24"/>
                <w:lang w:val="en-US" w:eastAsia="zh-CN"/>
              </w:rPr>
              <w:t>GB16297-1996</w:t>
            </w:r>
            <w:r>
              <w:rPr>
                <w:rFonts w:ascii="Times New Roman" w:hAnsi="Times New Roman" w:eastAsia="宋体" w:cs="Times New Roman"/>
                <w:sz w:val="24"/>
              </w:rPr>
              <w:t>）</w:t>
            </w:r>
            <w:r>
              <w:rPr>
                <w:rFonts w:hint="eastAsia" w:cs="Times New Roman"/>
                <w:sz w:val="24"/>
                <w:lang w:val="en-US" w:eastAsia="zh-CN"/>
              </w:rPr>
              <w:t>表2</w:t>
            </w:r>
            <w:r>
              <w:rPr>
                <w:rFonts w:ascii="Times New Roman" w:hAnsi="Times New Roman" w:eastAsia="宋体" w:cs="Times New Roman"/>
                <w:sz w:val="24"/>
              </w:rPr>
              <w:t>中</w:t>
            </w:r>
            <w:r>
              <w:rPr>
                <w:rFonts w:hint="eastAsia" w:cs="Times New Roman"/>
                <w:sz w:val="24"/>
                <w:lang w:val="en-US" w:eastAsia="zh-CN"/>
              </w:rPr>
              <w:t>二级标准及其</w:t>
            </w:r>
            <w:r>
              <w:rPr>
                <w:rFonts w:hint="eastAsia" w:ascii="Times New Roman" w:hAnsi="Times New Roman" w:eastAsia="宋体" w:cs="Times New Roman"/>
                <w:sz w:val="24"/>
                <w:lang w:val="en-US" w:eastAsia="zh-CN"/>
              </w:rPr>
              <w:t>无组织监控浓度限值要求；</w:t>
            </w:r>
            <w:r>
              <w:rPr>
                <w:sz w:val="24"/>
              </w:rPr>
              <w:t>挥发性有机物无组织排放控制措施</w:t>
            </w:r>
            <w:r>
              <w:rPr>
                <w:rFonts w:hint="eastAsia"/>
                <w:sz w:val="24"/>
                <w:lang w:val="en-US" w:eastAsia="zh-CN"/>
              </w:rPr>
              <w:t>及监控点浓度限值</w:t>
            </w:r>
            <w:r>
              <w:rPr>
                <w:sz w:val="24"/>
              </w:rPr>
              <w:t>执行</w:t>
            </w:r>
            <w:r>
              <w:rPr>
                <w:rFonts w:hint="default" w:ascii="Times New Roman" w:hAnsi="Times New Roman" w:eastAsia="宋体" w:cs="Times New Roman"/>
                <w:color w:val="auto"/>
                <w:sz w:val="24"/>
                <w:lang w:val="en-US" w:eastAsia="zh-CN"/>
              </w:rPr>
              <w:t>安徽省地方标准《固定源挥发性</w:t>
            </w:r>
            <w:r>
              <w:rPr>
                <w:rFonts w:hint="eastAsia" w:ascii="Times New Roman" w:hAnsi="Times New Roman" w:eastAsia="宋体" w:cs="Times New Roman"/>
                <w:color w:val="auto"/>
                <w:sz w:val="24"/>
                <w:lang w:val="en-US" w:eastAsia="zh-CN"/>
              </w:rPr>
              <w:t>有机物综合排放标准》（DB34/4812.6-2024）表4中限值要求</w:t>
            </w:r>
            <w:r>
              <w:rPr>
                <w:sz w:val="24"/>
              </w:rPr>
              <w:t>中相关要求</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其标准限值见下表</w:t>
            </w:r>
            <w:r>
              <w:rPr>
                <w:rFonts w:ascii="Times New Roman" w:hAnsi="Times New Roman" w:eastAsia="宋体" w:cs="Times New Roman"/>
                <w:sz w:val="24"/>
              </w:rPr>
              <w:t>。</w:t>
            </w:r>
          </w:p>
          <w:p w14:paraId="5818474A">
            <w:pPr>
              <w:keepNext w:val="0"/>
              <w:keepLines w:val="0"/>
              <w:pageBreakBefore w:val="0"/>
              <w:widowControl w:val="0"/>
              <w:suppressAutoHyphens/>
              <w:kinsoku/>
              <w:wordWrap/>
              <w:overflowPunct/>
              <w:topLinePunct w:val="0"/>
              <w:autoSpaceDE/>
              <w:autoSpaceDN/>
              <w:bidi w:val="0"/>
              <w:adjustRightInd/>
              <w:snapToGrid/>
              <w:spacing w:line="240" w:lineRule="atLeast"/>
              <w:ind w:firstLine="422" w:firstLineChars="200"/>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表3-</w:t>
            </w:r>
            <w:r>
              <w:rPr>
                <w:rFonts w:hint="eastAsia" w:cs="Times New Roman"/>
                <w:b/>
                <w:bCs/>
                <w:sz w:val="21"/>
                <w:szCs w:val="21"/>
                <w:lang w:val="en-US" w:eastAsia="zh-CN"/>
              </w:rPr>
              <w:t>5</w:t>
            </w:r>
            <w:r>
              <w:rPr>
                <w:rFonts w:hint="eastAsia" w:ascii="Times New Roman" w:hAnsi="Times New Roman" w:eastAsia="宋体" w:cs="Times New Roman"/>
                <w:b/>
                <w:bCs/>
                <w:sz w:val="21"/>
                <w:szCs w:val="21"/>
                <w:lang w:val="en-US" w:eastAsia="zh-CN"/>
              </w:rPr>
              <w:t xml:space="preserve">   </w:t>
            </w:r>
            <w:r>
              <w:rPr>
                <w:rFonts w:hint="eastAsia" w:cs="Times New Roman"/>
                <w:b/>
                <w:bCs/>
                <w:sz w:val="21"/>
                <w:szCs w:val="21"/>
                <w:lang w:val="en-US" w:eastAsia="zh-CN"/>
              </w:rPr>
              <w:t>大气污染物综合</w:t>
            </w:r>
            <w:r>
              <w:rPr>
                <w:rFonts w:hint="eastAsia" w:ascii="Times New Roman" w:hAnsi="Times New Roman" w:eastAsia="宋体" w:cs="Times New Roman"/>
                <w:b/>
                <w:bCs/>
                <w:sz w:val="21"/>
                <w:szCs w:val="21"/>
                <w:lang w:val="en-US" w:eastAsia="zh-CN"/>
              </w:rPr>
              <w:t>排放标准</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551"/>
              <w:gridCol w:w="1800"/>
              <w:gridCol w:w="733"/>
              <w:gridCol w:w="1031"/>
              <w:gridCol w:w="1524"/>
            </w:tblGrid>
            <w:tr w14:paraId="7DAC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31" w:type="pct"/>
                  <w:vMerge w:val="restart"/>
                  <w:noWrap w:val="0"/>
                  <w:vAlign w:val="center"/>
                </w:tcPr>
                <w:p w14:paraId="42E832D4">
                  <w:pPr>
                    <w:jc w:val="center"/>
                    <w:rPr>
                      <w:b/>
                      <w:bCs/>
                      <w:szCs w:val="21"/>
                    </w:rPr>
                  </w:pPr>
                  <w:r>
                    <w:rPr>
                      <w:b/>
                      <w:bCs/>
                      <w:szCs w:val="21"/>
                    </w:rPr>
                    <w:t>污染物</w:t>
                  </w:r>
                </w:p>
              </w:tc>
              <w:tc>
                <w:tcPr>
                  <w:tcW w:w="973" w:type="pct"/>
                  <w:vMerge w:val="restart"/>
                  <w:noWrap w:val="0"/>
                  <w:vAlign w:val="center"/>
                </w:tcPr>
                <w:p w14:paraId="08639A8C">
                  <w:pPr>
                    <w:jc w:val="center"/>
                    <w:rPr>
                      <w:b/>
                      <w:bCs/>
                      <w:szCs w:val="21"/>
                    </w:rPr>
                  </w:pPr>
                  <w:r>
                    <w:rPr>
                      <w:b/>
                      <w:bCs/>
                      <w:szCs w:val="21"/>
                    </w:rPr>
                    <w:t>最高允许排放浓度（mg/m</w:t>
                  </w:r>
                  <w:r>
                    <w:rPr>
                      <w:b/>
                      <w:bCs/>
                      <w:szCs w:val="21"/>
                      <w:vertAlign w:val="superscript"/>
                    </w:rPr>
                    <w:t>3</w:t>
                  </w:r>
                  <w:r>
                    <w:rPr>
                      <w:b/>
                      <w:bCs/>
                      <w:szCs w:val="21"/>
                    </w:rPr>
                    <w:t>）</w:t>
                  </w:r>
                </w:p>
              </w:tc>
              <w:tc>
                <w:tcPr>
                  <w:tcW w:w="1590" w:type="pct"/>
                  <w:gridSpan w:val="2"/>
                  <w:noWrap w:val="0"/>
                  <w:vAlign w:val="center"/>
                </w:tcPr>
                <w:p w14:paraId="5EB32369">
                  <w:pPr>
                    <w:jc w:val="center"/>
                    <w:rPr>
                      <w:b/>
                      <w:bCs/>
                      <w:szCs w:val="21"/>
                    </w:rPr>
                  </w:pPr>
                  <w:r>
                    <w:rPr>
                      <w:b/>
                      <w:bCs/>
                      <w:szCs w:val="21"/>
                    </w:rPr>
                    <w:t>最高允许排放速率，kg/h</w:t>
                  </w:r>
                </w:p>
              </w:tc>
              <w:tc>
                <w:tcPr>
                  <w:tcW w:w="1604" w:type="pct"/>
                  <w:gridSpan w:val="2"/>
                  <w:noWrap w:val="0"/>
                  <w:vAlign w:val="center"/>
                </w:tcPr>
                <w:p w14:paraId="73470810">
                  <w:pPr>
                    <w:jc w:val="center"/>
                    <w:rPr>
                      <w:b/>
                      <w:bCs/>
                      <w:szCs w:val="21"/>
                    </w:rPr>
                  </w:pPr>
                  <w:r>
                    <w:rPr>
                      <w:b/>
                      <w:bCs/>
                      <w:szCs w:val="21"/>
                    </w:rPr>
                    <w:t>无组织排放监控浓度限值</w:t>
                  </w:r>
                </w:p>
              </w:tc>
            </w:tr>
            <w:tr w14:paraId="09638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1" w:type="pct"/>
                  <w:vMerge w:val="continue"/>
                  <w:noWrap w:val="0"/>
                  <w:vAlign w:val="center"/>
                </w:tcPr>
                <w:p w14:paraId="60539519">
                  <w:pPr>
                    <w:jc w:val="center"/>
                    <w:rPr>
                      <w:b/>
                      <w:bCs/>
                      <w:szCs w:val="21"/>
                    </w:rPr>
                  </w:pPr>
                </w:p>
              </w:tc>
              <w:tc>
                <w:tcPr>
                  <w:tcW w:w="973" w:type="pct"/>
                  <w:vMerge w:val="continue"/>
                  <w:noWrap w:val="0"/>
                  <w:vAlign w:val="center"/>
                </w:tcPr>
                <w:p w14:paraId="2746107B">
                  <w:pPr>
                    <w:jc w:val="center"/>
                    <w:rPr>
                      <w:b/>
                      <w:bCs/>
                      <w:szCs w:val="21"/>
                    </w:rPr>
                  </w:pPr>
                </w:p>
              </w:tc>
              <w:tc>
                <w:tcPr>
                  <w:tcW w:w="1130" w:type="pct"/>
                  <w:noWrap w:val="0"/>
                  <w:vAlign w:val="center"/>
                </w:tcPr>
                <w:p w14:paraId="264602F8">
                  <w:pPr>
                    <w:jc w:val="center"/>
                    <w:rPr>
                      <w:b/>
                      <w:bCs/>
                      <w:szCs w:val="21"/>
                    </w:rPr>
                  </w:pPr>
                  <w:r>
                    <w:rPr>
                      <w:b/>
                      <w:bCs/>
                      <w:szCs w:val="21"/>
                    </w:rPr>
                    <w:t>排气筒高度（m）</w:t>
                  </w:r>
                </w:p>
              </w:tc>
              <w:tc>
                <w:tcPr>
                  <w:tcW w:w="460" w:type="pct"/>
                  <w:noWrap w:val="0"/>
                  <w:vAlign w:val="center"/>
                </w:tcPr>
                <w:p w14:paraId="3EE7B01A">
                  <w:pPr>
                    <w:jc w:val="center"/>
                    <w:rPr>
                      <w:b/>
                      <w:bCs/>
                      <w:szCs w:val="21"/>
                    </w:rPr>
                  </w:pPr>
                  <w:r>
                    <w:rPr>
                      <w:b/>
                      <w:bCs/>
                      <w:szCs w:val="21"/>
                    </w:rPr>
                    <w:t>二级</w:t>
                  </w:r>
                </w:p>
              </w:tc>
              <w:tc>
                <w:tcPr>
                  <w:tcW w:w="647" w:type="pct"/>
                  <w:noWrap w:val="0"/>
                  <w:vAlign w:val="center"/>
                </w:tcPr>
                <w:p w14:paraId="6D7FE474">
                  <w:pPr>
                    <w:jc w:val="center"/>
                    <w:rPr>
                      <w:b/>
                      <w:bCs/>
                      <w:szCs w:val="21"/>
                    </w:rPr>
                  </w:pPr>
                  <w:r>
                    <w:rPr>
                      <w:b/>
                      <w:bCs/>
                      <w:szCs w:val="21"/>
                    </w:rPr>
                    <w:t>监控点</w:t>
                  </w:r>
                </w:p>
              </w:tc>
              <w:tc>
                <w:tcPr>
                  <w:tcW w:w="956" w:type="pct"/>
                  <w:noWrap w:val="0"/>
                  <w:vAlign w:val="center"/>
                </w:tcPr>
                <w:p w14:paraId="02F321CE">
                  <w:pPr>
                    <w:jc w:val="center"/>
                    <w:rPr>
                      <w:b/>
                      <w:bCs/>
                      <w:szCs w:val="21"/>
                    </w:rPr>
                  </w:pPr>
                  <w:r>
                    <w:rPr>
                      <w:b/>
                      <w:bCs/>
                      <w:szCs w:val="21"/>
                    </w:rPr>
                    <w:t>浓度（mg/m</w:t>
                  </w:r>
                  <w:r>
                    <w:rPr>
                      <w:b/>
                      <w:bCs/>
                      <w:szCs w:val="21"/>
                      <w:vertAlign w:val="superscript"/>
                    </w:rPr>
                    <w:t>3</w:t>
                  </w:r>
                  <w:r>
                    <w:rPr>
                      <w:b/>
                      <w:bCs/>
                      <w:szCs w:val="21"/>
                    </w:rPr>
                    <w:t>）</w:t>
                  </w:r>
                </w:p>
              </w:tc>
            </w:tr>
            <w:tr w14:paraId="5F6B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831" w:type="pct"/>
                  <w:noWrap w:val="0"/>
                  <w:vAlign w:val="center"/>
                </w:tcPr>
                <w:p w14:paraId="7B2FE544">
                  <w:pPr>
                    <w:jc w:val="center"/>
                    <w:rPr>
                      <w:szCs w:val="21"/>
                    </w:rPr>
                  </w:pPr>
                  <w:r>
                    <w:rPr>
                      <w:szCs w:val="21"/>
                    </w:rPr>
                    <w:t>非甲烷总烃</w:t>
                  </w:r>
                </w:p>
              </w:tc>
              <w:tc>
                <w:tcPr>
                  <w:tcW w:w="973" w:type="pct"/>
                  <w:noWrap w:val="0"/>
                  <w:vAlign w:val="center"/>
                </w:tcPr>
                <w:p w14:paraId="5D69192F">
                  <w:pPr>
                    <w:jc w:val="center"/>
                    <w:rPr>
                      <w:szCs w:val="21"/>
                    </w:rPr>
                  </w:pPr>
                  <w:r>
                    <w:rPr>
                      <w:rFonts w:hint="eastAsia"/>
                      <w:szCs w:val="21"/>
                    </w:rPr>
                    <w:t>120</w:t>
                  </w:r>
                </w:p>
              </w:tc>
              <w:tc>
                <w:tcPr>
                  <w:tcW w:w="1130" w:type="pct"/>
                  <w:noWrap w:val="0"/>
                  <w:vAlign w:val="center"/>
                </w:tcPr>
                <w:p w14:paraId="52B050AF">
                  <w:pPr>
                    <w:jc w:val="center"/>
                    <w:rPr>
                      <w:szCs w:val="21"/>
                    </w:rPr>
                  </w:pPr>
                  <w:r>
                    <w:rPr>
                      <w:szCs w:val="21"/>
                    </w:rPr>
                    <w:t>15</w:t>
                  </w:r>
                </w:p>
              </w:tc>
              <w:tc>
                <w:tcPr>
                  <w:tcW w:w="460" w:type="pct"/>
                  <w:noWrap w:val="0"/>
                  <w:vAlign w:val="center"/>
                </w:tcPr>
                <w:p w14:paraId="0098F6E8">
                  <w:pPr>
                    <w:jc w:val="center"/>
                    <w:rPr>
                      <w:szCs w:val="21"/>
                    </w:rPr>
                  </w:pPr>
                  <w:r>
                    <w:rPr>
                      <w:rFonts w:hint="eastAsia"/>
                      <w:szCs w:val="21"/>
                    </w:rPr>
                    <w:t>10</w:t>
                  </w:r>
                </w:p>
              </w:tc>
              <w:tc>
                <w:tcPr>
                  <w:tcW w:w="647" w:type="pct"/>
                  <w:vMerge w:val="restart"/>
                  <w:noWrap w:val="0"/>
                  <w:vAlign w:val="center"/>
                </w:tcPr>
                <w:p w14:paraId="154D407F">
                  <w:pPr>
                    <w:jc w:val="center"/>
                    <w:rPr>
                      <w:szCs w:val="21"/>
                    </w:rPr>
                  </w:pPr>
                  <w:r>
                    <w:rPr>
                      <w:rFonts w:hint="eastAsia"/>
                      <w:szCs w:val="21"/>
                    </w:rPr>
                    <w:t>周界外浓度最高点</w:t>
                  </w:r>
                </w:p>
              </w:tc>
              <w:tc>
                <w:tcPr>
                  <w:tcW w:w="956" w:type="pct"/>
                  <w:noWrap w:val="0"/>
                  <w:vAlign w:val="center"/>
                </w:tcPr>
                <w:p w14:paraId="6F69FC72">
                  <w:pPr>
                    <w:jc w:val="center"/>
                    <w:rPr>
                      <w:szCs w:val="21"/>
                    </w:rPr>
                  </w:pPr>
                  <w:r>
                    <w:rPr>
                      <w:szCs w:val="21"/>
                    </w:rPr>
                    <w:t>4.0</w:t>
                  </w:r>
                </w:p>
              </w:tc>
            </w:tr>
            <w:tr w14:paraId="51B9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1" w:type="pct"/>
                  <w:noWrap w:val="0"/>
                  <w:vAlign w:val="center"/>
                </w:tcPr>
                <w:p w14:paraId="47397436">
                  <w:pPr>
                    <w:jc w:val="center"/>
                    <w:rPr>
                      <w:rFonts w:hint="eastAsia" w:eastAsia="宋体"/>
                      <w:szCs w:val="21"/>
                      <w:lang w:eastAsia="zh-CN"/>
                    </w:rPr>
                  </w:pPr>
                  <w:r>
                    <w:rPr>
                      <w:rFonts w:hint="eastAsia"/>
                      <w:szCs w:val="21"/>
                      <w:lang w:val="en-US" w:eastAsia="zh-CN"/>
                    </w:rPr>
                    <w:t>颗粒物</w:t>
                  </w:r>
                </w:p>
              </w:tc>
              <w:tc>
                <w:tcPr>
                  <w:tcW w:w="973" w:type="pct"/>
                  <w:noWrap w:val="0"/>
                  <w:vAlign w:val="center"/>
                </w:tcPr>
                <w:p w14:paraId="59D06BF2">
                  <w:pPr>
                    <w:jc w:val="center"/>
                    <w:rPr>
                      <w:rFonts w:hint="default" w:eastAsia="宋体"/>
                      <w:szCs w:val="21"/>
                      <w:lang w:val="en-US" w:eastAsia="zh-CN"/>
                    </w:rPr>
                  </w:pPr>
                  <w:r>
                    <w:rPr>
                      <w:rFonts w:hint="eastAsia"/>
                      <w:szCs w:val="21"/>
                      <w:lang w:val="en-US" w:eastAsia="zh-CN"/>
                    </w:rPr>
                    <w:t>120</w:t>
                  </w:r>
                </w:p>
              </w:tc>
              <w:tc>
                <w:tcPr>
                  <w:tcW w:w="1130" w:type="pct"/>
                  <w:noWrap w:val="0"/>
                  <w:vAlign w:val="center"/>
                </w:tcPr>
                <w:p w14:paraId="58CEABD7">
                  <w:pPr>
                    <w:jc w:val="center"/>
                    <w:rPr>
                      <w:szCs w:val="21"/>
                    </w:rPr>
                  </w:pPr>
                  <w:r>
                    <w:rPr>
                      <w:rFonts w:hint="eastAsia"/>
                      <w:szCs w:val="21"/>
                    </w:rPr>
                    <w:t>15</w:t>
                  </w:r>
                </w:p>
              </w:tc>
              <w:tc>
                <w:tcPr>
                  <w:tcW w:w="460" w:type="pct"/>
                  <w:noWrap w:val="0"/>
                  <w:vAlign w:val="center"/>
                </w:tcPr>
                <w:p w14:paraId="49243DAF">
                  <w:pPr>
                    <w:jc w:val="center"/>
                    <w:rPr>
                      <w:rFonts w:hint="default" w:eastAsia="宋体"/>
                      <w:szCs w:val="21"/>
                      <w:lang w:val="en-US" w:eastAsia="zh-CN"/>
                    </w:rPr>
                  </w:pPr>
                  <w:r>
                    <w:rPr>
                      <w:rFonts w:hint="eastAsia"/>
                      <w:szCs w:val="21"/>
                      <w:lang w:val="en-US" w:eastAsia="zh-CN"/>
                    </w:rPr>
                    <w:t>3.5</w:t>
                  </w:r>
                </w:p>
              </w:tc>
              <w:tc>
                <w:tcPr>
                  <w:tcW w:w="647" w:type="pct"/>
                  <w:vMerge w:val="continue"/>
                  <w:noWrap w:val="0"/>
                  <w:vAlign w:val="center"/>
                </w:tcPr>
                <w:p w14:paraId="4243D9A4">
                  <w:pPr>
                    <w:jc w:val="center"/>
                    <w:rPr>
                      <w:rFonts w:hint="eastAsia"/>
                      <w:szCs w:val="21"/>
                    </w:rPr>
                  </w:pPr>
                </w:p>
              </w:tc>
              <w:tc>
                <w:tcPr>
                  <w:tcW w:w="956" w:type="pct"/>
                  <w:noWrap w:val="0"/>
                  <w:vAlign w:val="center"/>
                </w:tcPr>
                <w:p w14:paraId="1EF942AF">
                  <w:pPr>
                    <w:jc w:val="center"/>
                    <w:rPr>
                      <w:rFonts w:hint="default" w:eastAsia="宋体"/>
                      <w:szCs w:val="21"/>
                      <w:lang w:val="en-US" w:eastAsia="zh-CN"/>
                    </w:rPr>
                  </w:pPr>
                  <w:r>
                    <w:rPr>
                      <w:rFonts w:hint="eastAsia"/>
                      <w:szCs w:val="21"/>
                      <w:lang w:val="en-US" w:eastAsia="zh-CN"/>
                    </w:rPr>
                    <w:t>1.0</w:t>
                  </w:r>
                </w:p>
              </w:tc>
            </w:tr>
          </w:tbl>
          <w:p w14:paraId="12DA0022">
            <w:pPr>
              <w:widowControl/>
              <w:spacing w:before="120" w:beforeLines="50"/>
              <w:ind w:firstLine="420"/>
              <w:jc w:val="center"/>
              <w:rPr>
                <w:b/>
                <w:bCs/>
                <w:szCs w:val="21"/>
              </w:rPr>
            </w:pPr>
          </w:p>
          <w:p w14:paraId="516B1367">
            <w:pPr>
              <w:widowControl/>
              <w:spacing w:before="120" w:beforeLines="50"/>
              <w:ind w:firstLine="420"/>
              <w:jc w:val="center"/>
              <w:rPr>
                <w:b/>
                <w:bCs/>
                <w:szCs w:val="21"/>
              </w:rPr>
            </w:pPr>
            <w:r>
              <w:rPr>
                <w:b/>
                <w:bCs/>
                <w:szCs w:val="21"/>
              </w:rPr>
              <w:t>表</w:t>
            </w:r>
            <w:r>
              <w:rPr>
                <w:rFonts w:hint="eastAsia"/>
                <w:b/>
                <w:bCs/>
                <w:szCs w:val="21"/>
              </w:rPr>
              <w:t>3-</w:t>
            </w:r>
            <w:r>
              <w:rPr>
                <w:rFonts w:hint="eastAsia"/>
                <w:b/>
                <w:bCs/>
                <w:szCs w:val="21"/>
                <w:lang w:val="en-US" w:eastAsia="zh-CN"/>
              </w:rPr>
              <w:t>6</w:t>
            </w:r>
            <w:r>
              <w:rPr>
                <w:b/>
                <w:bCs/>
                <w:szCs w:val="21"/>
              </w:rPr>
              <w:t xml:space="preserve">  </w:t>
            </w:r>
            <w:r>
              <w:rPr>
                <w:rFonts w:hint="eastAsia"/>
                <w:b/>
                <w:bCs/>
                <w:szCs w:val="21"/>
                <w:lang w:val="en-US" w:eastAsia="zh-CN"/>
              </w:rPr>
              <w:t>厂区内</w:t>
            </w:r>
            <w:r>
              <w:rPr>
                <w:b/>
                <w:bCs/>
                <w:szCs w:val="21"/>
              </w:rPr>
              <w:t>无组织排放控制标准</w:t>
            </w:r>
          </w:p>
          <w:tbl>
            <w:tblPr>
              <w:tblStyle w:val="24"/>
              <w:tblW w:w="80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1571"/>
              <w:gridCol w:w="2908"/>
              <w:gridCol w:w="2464"/>
            </w:tblGrid>
            <w:tr w14:paraId="1E0A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84" w:type="dxa"/>
                  <w:noWrap w:val="0"/>
                  <w:vAlign w:val="center"/>
                </w:tcPr>
                <w:p w14:paraId="28232565">
                  <w:pPr>
                    <w:pStyle w:val="54"/>
                    <w:widowControl w:val="0"/>
                    <w:spacing w:line="240" w:lineRule="auto"/>
                    <w:ind w:firstLine="0" w:firstLineChars="0"/>
                    <w:jc w:val="center"/>
                    <w:rPr>
                      <w:b/>
                      <w:bCs/>
                      <w:sz w:val="21"/>
                      <w:szCs w:val="21"/>
                    </w:rPr>
                  </w:pPr>
                  <w:r>
                    <w:rPr>
                      <w:b/>
                      <w:bCs/>
                      <w:sz w:val="21"/>
                      <w:szCs w:val="21"/>
                    </w:rPr>
                    <w:t>污染物</w:t>
                  </w:r>
                </w:p>
              </w:tc>
              <w:tc>
                <w:tcPr>
                  <w:tcW w:w="1571" w:type="dxa"/>
                  <w:noWrap w:val="0"/>
                  <w:vAlign w:val="center"/>
                </w:tcPr>
                <w:p w14:paraId="6447AA9F">
                  <w:pPr>
                    <w:pStyle w:val="54"/>
                    <w:widowControl w:val="0"/>
                    <w:spacing w:line="240" w:lineRule="auto"/>
                    <w:ind w:firstLine="0" w:firstLineChars="0"/>
                    <w:jc w:val="center"/>
                    <w:rPr>
                      <w:b/>
                      <w:bCs/>
                      <w:sz w:val="21"/>
                      <w:szCs w:val="21"/>
                    </w:rPr>
                  </w:pPr>
                  <w:r>
                    <w:rPr>
                      <w:b/>
                      <w:bCs/>
                      <w:sz w:val="21"/>
                      <w:szCs w:val="21"/>
                    </w:rPr>
                    <w:t>特别排放限值</w:t>
                  </w:r>
                </w:p>
              </w:tc>
              <w:tc>
                <w:tcPr>
                  <w:tcW w:w="2908" w:type="dxa"/>
                  <w:noWrap w:val="0"/>
                  <w:vAlign w:val="center"/>
                </w:tcPr>
                <w:p w14:paraId="7E68F939">
                  <w:pPr>
                    <w:pStyle w:val="54"/>
                    <w:widowControl w:val="0"/>
                    <w:spacing w:line="240" w:lineRule="auto"/>
                    <w:ind w:firstLine="0" w:firstLineChars="0"/>
                    <w:jc w:val="center"/>
                    <w:rPr>
                      <w:b/>
                      <w:bCs/>
                      <w:sz w:val="21"/>
                      <w:szCs w:val="21"/>
                    </w:rPr>
                  </w:pPr>
                  <w:r>
                    <w:rPr>
                      <w:b/>
                      <w:bCs/>
                      <w:sz w:val="21"/>
                      <w:szCs w:val="21"/>
                    </w:rPr>
                    <w:t>限值含义</w:t>
                  </w:r>
                </w:p>
              </w:tc>
              <w:tc>
                <w:tcPr>
                  <w:tcW w:w="2464" w:type="dxa"/>
                  <w:noWrap w:val="0"/>
                  <w:vAlign w:val="center"/>
                </w:tcPr>
                <w:p w14:paraId="302FF04D">
                  <w:pPr>
                    <w:pStyle w:val="54"/>
                    <w:widowControl w:val="0"/>
                    <w:spacing w:line="240" w:lineRule="auto"/>
                    <w:ind w:firstLine="0" w:firstLineChars="0"/>
                    <w:jc w:val="center"/>
                    <w:rPr>
                      <w:b/>
                      <w:bCs/>
                      <w:sz w:val="21"/>
                      <w:szCs w:val="21"/>
                    </w:rPr>
                  </w:pPr>
                  <w:r>
                    <w:rPr>
                      <w:b/>
                      <w:bCs/>
                      <w:sz w:val="21"/>
                      <w:szCs w:val="21"/>
                    </w:rPr>
                    <w:t>无组织排放监控位置</w:t>
                  </w:r>
                </w:p>
              </w:tc>
            </w:tr>
            <w:tr w14:paraId="1CDB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84" w:type="dxa"/>
                  <w:vMerge w:val="restart"/>
                  <w:noWrap w:val="0"/>
                  <w:vAlign w:val="center"/>
                </w:tcPr>
                <w:p w14:paraId="5AD4D698">
                  <w:pPr>
                    <w:pStyle w:val="54"/>
                    <w:widowControl w:val="0"/>
                    <w:spacing w:line="240" w:lineRule="auto"/>
                    <w:ind w:firstLine="0" w:firstLineChars="0"/>
                    <w:jc w:val="center"/>
                    <w:rPr>
                      <w:sz w:val="21"/>
                      <w:szCs w:val="21"/>
                    </w:rPr>
                  </w:pPr>
                  <w:r>
                    <w:rPr>
                      <w:sz w:val="21"/>
                      <w:szCs w:val="21"/>
                    </w:rPr>
                    <w:t>NMHC</w:t>
                  </w:r>
                </w:p>
              </w:tc>
              <w:tc>
                <w:tcPr>
                  <w:tcW w:w="1571" w:type="dxa"/>
                  <w:noWrap w:val="0"/>
                  <w:vAlign w:val="center"/>
                </w:tcPr>
                <w:p w14:paraId="2C18E4E7">
                  <w:pPr>
                    <w:pStyle w:val="54"/>
                    <w:widowControl w:val="0"/>
                    <w:spacing w:line="240" w:lineRule="auto"/>
                    <w:ind w:firstLine="0" w:firstLineChars="0"/>
                    <w:jc w:val="center"/>
                    <w:rPr>
                      <w:sz w:val="21"/>
                      <w:szCs w:val="21"/>
                    </w:rPr>
                  </w:pPr>
                  <w:r>
                    <w:rPr>
                      <w:sz w:val="21"/>
                      <w:szCs w:val="21"/>
                    </w:rPr>
                    <w:t>6</w:t>
                  </w:r>
                </w:p>
              </w:tc>
              <w:tc>
                <w:tcPr>
                  <w:tcW w:w="2908" w:type="dxa"/>
                  <w:noWrap w:val="0"/>
                  <w:vAlign w:val="center"/>
                </w:tcPr>
                <w:p w14:paraId="6552470D">
                  <w:pPr>
                    <w:pStyle w:val="54"/>
                    <w:widowControl w:val="0"/>
                    <w:spacing w:line="240" w:lineRule="auto"/>
                    <w:ind w:firstLine="0" w:firstLineChars="0"/>
                    <w:jc w:val="center"/>
                    <w:rPr>
                      <w:sz w:val="21"/>
                      <w:szCs w:val="21"/>
                    </w:rPr>
                  </w:pPr>
                  <w:r>
                    <w:rPr>
                      <w:sz w:val="21"/>
                      <w:szCs w:val="21"/>
                    </w:rPr>
                    <w:t>监控点处1h平均浓度值</w:t>
                  </w:r>
                </w:p>
              </w:tc>
              <w:tc>
                <w:tcPr>
                  <w:tcW w:w="2464" w:type="dxa"/>
                  <w:vMerge w:val="restart"/>
                  <w:noWrap w:val="0"/>
                  <w:vAlign w:val="center"/>
                </w:tcPr>
                <w:p w14:paraId="25A6DF07">
                  <w:pPr>
                    <w:pStyle w:val="54"/>
                    <w:widowControl w:val="0"/>
                    <w:spacing w:line="240" w:lineRule="auto"/>
                    <w:ind w:firstLine="0" w:firstLineChars="0"/>
                    <w:jc w:val="center"/>
                    <w:rPr>
                      <w:sz w:val="21"/>
                      <w:szCs w:val="21"/>
                    </w:rPr>
                  </w:pPr>
                  <w:r>
                    <w:rPr>
                      <w:sz w:val="21"/>
                      <w:szCs w:val="21"/>
                    </w:rPr>
                    <w:t>在厂房外设置监控点</w:t>
                  </w:r>
                </w:p>
              </w:tc>
            </w:tr>
            <w:tr w14:paraId="43D34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84" w:type="dxa"/>
                  <w:vMerge w:val="continue"/>
                  <w:noWrap w:val="0"/>
                  <w:vAlign w:val="center"/>
                </w:tcPr>
                <w:p w14:paraId="618DFACF">
                  <w:pPr>
                    <w:pStyle w:val="54"/>
                    <w:widowControl w:val="0"/>
                    <w:spacing w:line="240" w:lineRule="auto"/>
                    <w:ind w:firstLine="0" w:firstLineChars="0"/>
                    <w:jc w:val="center"/>
                    <w:rPr>
                      <w:sz w:val="21"/>
                      <w:szCs w:val="21"/>
                    </w:rPr>
                  </w:pPr>
                </w:p>
              </w:tc>
              <w:tc>
                <w:tcPr>
                  <w:tcW w:w="1571" w:type="dxa"/>
                  <w:noWrap w:val="0"/>
                  <w:vAlign w:val="center"/>
                </w:tcPr>
                <w:p w14:paraId="67A46342">
                  <w:pPr>
                    <w:pStyle w:val="54"/>
                    <w:widowControl w:val="0"/>
                    <w:spacing w:line="240" w:lineRule="auto"/>
                    <w:ind w:firstLine="0" w:firstLineChars="0"/>
                    <w:jc w:val="center"/>
                    <w:rPr>
                      <w:sz w:val="21"/>
                      <w:szCs w:val="21"/>
                    </w:rPr>
                  </w:pPr>
                  <w:r>
                    <w:rPr>
                      <w:sz w:val="21"/>
                      <w:szCs w:val="21"/>
                    </w:rPr>
                    <w:t>20</w:t>
                  </w:r>
                </w:p>
              </w:tc>
              <w:tc>
                <w:tcPr>
                  <w:tcW w:w="2908" w:type="dxa"/>
                  <w:noWrap w:val="0"/>
                  <w:vAlign w:val="center"/>
                </w:tcPr>
                <w:p w14:paraId="4BDF8883">
                  <w:pPr>
                    <w:pStyle w:val="54"/>
                    <w:widowControl w:val="0"/>
                    <w:spacing w:line="240" w:lineRule="auto"/>
                    <w:ind w:firstLine="0" w:firstLineChars="0"/>
                    <w:jc w:val="center"/>
                    <w:rPr>
                      <w:sz w:val="21"/>
                      <w:szCs w:val="21"/>
                    </w:rPr>
                  </w:pPr>
                  <w:r>
                    <w:rPr>
                      <w:sz w:val="21"/>
                      <w:szCs w:val="21"/>
                    </w:rPr>
                    <w:t>监控点处任意一次浓度值</w:t>
                  </w:r>
                </w:p>
              </w:tc>
              <w:tc>
                <w:tcPr>
                  <w:tcW w:w="2464" w:type="dxa"/>
                  <w:vMerge w:val="continue"/>
                  <w:noWrap w:val="0"/>
                  <w:vAlign w:val="center"/>
                </w:tcPr>
                <w:p w14:paraId="0A0CD078">
                  <w:pPr>
                    <w:pStyle w:val="54"/>
                    <w:widowControl w:val="0"/>
                    <w:spacing w:line="240" w:lineRule="auto"/>
                    <w:ind w:firstLine="0" w:firstLineChars="0"/>
                    <w:jc w:val="center"/>
                    <w:rPr>
                      <w:sz w:val="21"/>
                      <w:szCs w:val="21"/>
                    </w:rPr>
                  </w:pPr>
                </w:p>
              </w:tc>
            </w:tr>
          </w:tbl>
          <w:p w14:paraId="46E39639">
            <w:pPr>
              <w:snapToGrid w:val="0"/>
              <w:spacing w:line="240" w:lineRule="atLeast"/>
              <w:jc w:val="center"/>
              <w:rPr>
                <w:b/>
                <w:sz w:val="21"/>
                <w:szCs w:val="21"/>
              </w:rPr>
            </w:pPr>
          </w:p>
          <w:p w14:paraId="17309BA9">
            <w:pPr>
              <w:keepNext w:val="0"/>
              <w:keepLines w:val="0"/>
              <w:pageBreakBefore w:val="0"/>
              <w:widowControl w:val="0"/>
              <w:kinsoku/>
              <w:wordWrap/>
              <w:overflowPunct/>
              <w:topLinePunct w:val="0"/>
              <w:autoSpaceDE/>
              <w:autoSpaceDN/>
              <w:bidi w:val="0"/>
              <w:adjustRightInd/>
              <w:snapToGrid/>
              <w:spacing w:before="313" w:beforeLines="100" w:line="360" w:lineRule="auto"/>
              <w:textAlignment w:val="auto"/>
              <w:rPr>
                <w:b/>
                <w:bCs/>
                <w:sz w:val="24"/>
              </w:rPr>
            </w:pPr>
            <w:r>
              <w:rPr>
                <w:b/>
                <w:bCs/>
                <w:sz w:val="24"/>
              </w:rPr>
              <w:t>3.3.3噪声</w:t>
            </w:r>
          </w:p>
          <w:p w14:paraId="0F3223FF">
            <w:pPr>
              <w:spacing w:line="360" w:lineRule="auto"/>
              <w:ind w:firstLine="480" w:firstLineChars="200"/>
              <w:rPr>
                <w:sz w:val="24"/>
              </w:rPr>
            </w:pPr>
            <w:r>
              <w:rPr>
                <w:rFonts w:hint="eastAsia"/>
                <w:sz w:val="24"/>
                <w:lang w:val="en-US" w:eastAsia="zh-CN"/>
              </w:rPr>
              <w:t>建设项目</w:t>
            </w:r>
            <w:r>
              <w:rPr>
                <w:sz w:val="24"/>
              </w:rPr>
              <w:t>营运期</w:t>
            </w:r>
            <w:r>
              <w:rPr>
                <w:rFonts w:hint="eastAsia"/>
                <w:sz w:val="24"/>
                <w:lang w:val="en-US" w:eastAsia="zh-CN"/>
              </w:rPr>
              <w:t>厂界</w:t>
            </w:r>
            <w:r>
              <w:rPr>
                <w:sz w:val="24"/>
              </w:rPr>
              <w:t>噪声排放执行《工业企业厂界环境噪声排放标准》（GB12348－2008）中</w:t>
            </w:r>
            <w:r>
              <w:rPr>
                <w:rFonts w:hint="eastAsia"/>
                <w:sz w:val="24"/>
                <w:lang w:val="en-US" w:eastAsia="zh-CN"/>
              </w:rPr>
              <w:t>2</w:t>
            </w:r>
            <w:r>
              <w:rPr>
                <w:sz w:val="24"/>
              </w:rPr>
              <w:t>类标准</w:t>
            </w:r>
            <w:r>
              <w:rPr>
                <w:rFonts w:hint="eastAsia"/>
                <w:sz w:val="24"/>
                <w:lang w:eastAsia="zh-CN"/>
              </w:rPr>
              <w:t>，</w:t>
            </w:r>
            <w:r>
              <w:rPr>
                <w:rFonts w:hint="eastAsia"/>
                <w:sz w:val="24"/>
                <w:lang w:val="en-US" w:eastAsia="zh-CN"/>
              </w:rPr>
              <w:t>其标准限值见下表</w:t>
            </w:r>
            <w:r>
              <w:rPr>
                <w:sz w:val="24"/>
              </w:rPr>
              <w:t>。</w:t>
            </w:r>
          </w:p>
          <w:p w14:paraId="6F515537">
            <w:pPr>
              <w:snapToGrid w:val="0"/>
              <w:spacing w:line="240" w:lineRule="atLeast"/>
              <w:jc w:val="center"/>
              <w:rPr>
                <w:b/>
              </w:rPr>
            </w:pPr>
            <w:r>
              <w:rPr>
                <w:b/>
              </w:rPr>
              <w:t>表</w:t>
            </w:r>
            <w:r>
              <w:rPr>
                <w:rFonts w:hint="eastAsia"/>
                <w:b/>
              </w:rPr>
              <w:t>3-</w:t>
            </w:r>
            <w:r>
              <w:rPr>
                <w:rFonts w:hint="eastAsia"/>
                <w:b/>
                <w:lang w:val="en-US" w:eastAsia="zh-CN"/>
              </w:rPr>
              <w:t>7</w:t>
            </w:r>
            <w:r>
              <w:rPr>
                <w:b/>
              </w:rPr>
              <w:t xml:space="preserve">  噪声排放标准  单位：dB(A)</w:t>
            </w:r>
          </w:p>
          <w:tbl>
            <w:tblPr>
              <w:tblStyle w:val="24"/>
              <w:tblW w:w="5002"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646"/>
              <w:gridCol w:w="2530"/>
              <w:gridCol w:w="2802"/>
            </w:tblGrid>
            <w:tr w14:paraId="0D18F21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8" w:hRule="atLeast"/>
                <w:jc w:val="center"/>
              </w:trPr>
              <w:tc>
                <w:tcPr>
                  <w:tcW w:w="1658" w:type="pct"/>
                  <w:tcBorders>
                    <w:top w:val="single" w:color="auto" w:sz="4" w:space="0"/>
                    <w:left w:val="single" w:color="auto" w:sz="4" w:space="0"/>
                    <w:bottom w:val="single" w:color="auto" w:sz="4" w:space="0"/>
                    <w:right w:val="single" w:color="auto" w:sz="4" w:space="0"/>
                  </w:tcBorders>
                  <w:noWrap w:val="0"/>
                  <w:vAlign w:val="center"/>
                </w:tcPr>
                <w:p w14:paraId="2B1EAC33">
                  <w:pPr>
                    <w:autoSpaceDE w:val="0"/>
                    <w:autoSpaceDN w:val="0"/>
                    <w:adjustRightInd w:val="0"/>
                    <w:jc w:val="center"/>
                    <w:rPr>
                      <w:rFonts w:hint="default" w:eastAsia="宋体"/>
                      <w:b/>
                      <w:color w:val="auto"/>
                      <w:lang w:val="en-US" w:eastAsia="zh-CN"/>
                    </w:rPr>
                  </w:pPr>
                  <w:r>
                    <w:rPr>
                      <w:rFonts w:hint="eastAsia"/>
                      <w:b/>
                      <w:color w:val="auto"/>
                      <w:lang w:val="en-US" w:eastAsia="zh-CN"/>
                    </w:rPr>
                    <w:t>评价时段</w:t>
                  </w:r>
                </w:p>
              </w:tc>
              <w:tc>
                <w:tcPr>
                  <w:tcW w:w="1585" w:type="pct"/>
                  <w:tcBorders>
                    <w:top w:val="single" w:color="auto" w:sz="4" w:space="0"/>
                    <w:left w:val="single" w:color="auto" w:sz="4" w:space="0"/>
                    <w:bottom w:val="single" w:color="auto" w:sz="4" w:space="0"/>
                    <w:right w:val="single" w:color="auto" w:sz="4" w:space="0"/>
                  </w:tcBorders>
                  <w:noWrap w:val="0"/>
                  <w:vAlign w:val="center"/>
                </w:tcPr>
                <w:p w14:paraId="65486C64">
                  <w:pPr>
                    <w:autoSpaceDE w:val="0"/>
                    <w:autoSpaceDN w:val="0"/>
                    <w:adjustRightInd w:val="0"/>
                    <w:jc w:val="center"/>
                    <w:rPr>
                      <w:b/>
                      <w:color w:val="auto"/>
                      <w:lang w:val="zh-CN"/>
                    </w:rPr>
                  </w:pPr>
                  <w:r>
                    <w:rPr>
                      <w:b/>
                      <w:color w:val="auto"/>
                      <w:lang w:val="zh-CN"/>
                    </w:rPr>
                    <w:t>昼间</w:t>
                  </w:r>
                </w:p>
              </w:tc>
              <w:tc>
                <w:tcPr>
                  <w:tcW w:w="1756" w:type="pct"/>
                  <w:tcBorders>
                    <w:top w:val="single" w:color="auto" w:sz="4" w:space="0"/>
                    <w:left w:val="single" w:color="auto" w:sz="4" w:space="0"/>
                    <w:bottom w:val="single" w:color="auto" w:sz="4" w:space="0"/>
                    <w:right w:val="single" w:color="auto" w:sz="4" w:space="0"/>
                  </w:tcBorders>
                  <w:noWrap w:val="0"/>
                  <w:vAlign w:val="center"/>
                </w:tcPr>
                <w:p w14:paraId="335B5F08">
                  <w:pPr>
                    <w:autoSpaceDE w:val="0"/>
                    <w:autoSpaceDN w:val="0"/>
                    <w:adjustRightInd w:val="0"/>
                    <w:jc w:val="center"/>
                    <w:rPr>
                      <w:b/>
                      <w:color w:val="auto"/>
                      <w:lang w:val="zh-CN"/>
                    </w:rPr>
                  </w:pPr>
                  <w:r>
                    <w:rPr>
                      <w:b/>
                      <w:color w:val="auto"/>
                      <w:lang w:val="zh-CN"/>
                    </w:rPr>
                    <w:t>夜间</w:t>
                  </w:r>
                </w:p>
              </w:tc>
            </w:tr>
            <w:tr w14:paraId="71F023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658" w:type="pct"/>
                  <w:tcBorders>
                    <w:top w:val="single" w:color="auto" w:sz="4" w:space="0"/>
                    <w:left w:val="single" w:color="auto" w:sz="4" w:space="0"/>
                    <w:bottom w:val="single" w:color="auto" w:sz="4" w:space="0"/>
                    <w:right w:val="single" w:color="auto" w:sz="4" w:space="0"/>
                  </w:tcBorders>
                  <w:noWrap w:val="0"/>
                  <w:vAlign w:val="center"/>
                </w:tcPr>
                <w:p w14:paraId="2B5CB772">
                  <w:pPr>
                    <w:autoSpaceDE w:val="0"/>
                    <w:autoSpaceDN w:val="0"/>
                    <w:adjustRightInd w:val="0"/>
                    <w:jc w:val="center"/>
                    <w:rPr>
                      <w:rFonts w:hint="eastAsia" w:eastAsia="宋体"/>
                      <w:bCs/>
                      <w:lang w:val="en-US" w:eastAsia="zh-CN"/>
                    </w:rPr>
                  </w:pPr>
                  <w:r>
                    <w:rPr>
                      <w:rFonts w:hint="eastAsia"/>
                      <w:bCs/>
                      <w:lang w:val="en-US" w:eastAsia="zh-CN"/>
                    </w:rPr>
                    <w:t>营运期</w:t>
                  </w:r>
                </w:p>
              </w:tc>
              <w:tc>
                <w:tcPr>
                  <w:tcW w:w="1585" w:type="pct"/>
                  <w:tcBorders>
                    <w:top w:val="single" w:color="auto" w:sz="4" w:space="0"/>
                    <w:left w:val="single" w:color="auto" w:sz="4" w:space="0"/>
                    <w:bottom w:val="single" w:color="auto" w:sz="4" w:space="0"/>
                    <w:right w:val="single" w:color="auto" w:sz="4" w:space="0"/>
                  </w:tcBorders>
                  <w:noWrap w:val="0"/>
                  <w:vAlign w:val="center"/>
                </w:tcPr>
                <w:p w14:paraId="0A3CBE86">
                  <w:pPr>
                    <w:autoSpaceDE w:val="0"/>
                    <w:autoSpaceDN w:val="0"/>
                    <w:adjustRightInd w:val="0"/>
                    <w:jc w:val="center"/>
                    <w:rPr>
                      <w:rFonts w:hint="default" w:eastAsia="宋体"/>
                      <w:bCs/>
                      <w:lang w:val="en-US" w:eastAsia="zh-CN"/>
                    </w:rPr>
                  </w:pPr>
                  <w:r>
                    <w:rPr>
                      <w:rFonts w:hint="eastAsia"/>
                      <w:bCs/>
                      <w:lang w:val="en-US" w:eastAsia="zh-CN"/>
                    </w:rPr>
                    <w:t>60</w:t>
                  </w:r>
                </w:p>
              </w:tc>
              <w:tc>
                <w:tcPr>
                  <w:tcW w:w="1756" w:type="pct"/>
                  <w:tcBorders>
                    <w:top w:val="single" w:color="auto" w:sz="4" w:space="0"/>
                    <w:left w:val="single" w:color="auto" w:sz="4" w:space="0"/>
                    <w:bottom w:val="single" w:color="auto" w:sz="4" w:space="0"/>
                    <w:right w:val="single" w:color="auto" w:sz="4" w:space="0"/>
                  </w:tcBorders>
                  <w:noWrap w:val="0"/>
                  <w:vAlign w:val="center"/>
                </w:tcPr>
                <w:p w14:paraId="1167431A">
                  <w:pPr>
                    <w:autoSpaceDE w:val="0"/>
                    <w:autoSpaceDN w:val="0"/>
                    <w:adjustRightInd w:val="0"/>
                    <w:jc w:val="center"/>
                    <w:rPr>
                      <w:rFonts w:hint="default" w:eastAsia="宋体"/>
                      <w:bCs/>
                      <w:lang w:val="en-US" w:eastAsia="zh-CN"/>
                    </w:rPr>
                  </w:pPr>
                  <w:r>
                    <w:rPr>
                      <w:rFonts w:hint="eastAsia"/>
                      <w:bCs/>
                      <w:lang w:val="en-US" w:eastAsia="zh-CN"/>
                    </w:rPr>
                    <w:t>50</w:t>
                  </w:r>
                </w:p>
              </w:tc>
            </w:tr>
          </w:tbl>
          <w:p w14:paraId="64BE4E16">
            <w:pPr>
              <w:widowControl/>
              <w:spacing w:before="120" w:beforeLines="50" w:line="360" w:lineRule="auto"/>
              <w:rPr>
                <w:b/>
                <w:bCs/>
                <w:sz w:val="24"/>
              </w:rPr>
            </w:pPr>
          </w:p>
          <w:p w14:paraId="4CB38F74">
            <w:pPr>
              <w:widowControl/>
              <w:spacing w:before="120" w:beforeLines="50" w:line="360" w:lineRule="auto"/>
              <w:rPr>
                <w:b/>
                <w:bCs/>
                <w:sz w:val="24"/>
              </w:rPr>
            </w:pPr>
          </w:p>
          <w:p w14:paraId="4CFB7992">
            <w:pPr>
              <w:keepNext w:val="0"/>
              <w:keepLines w:val="0"/>
              <w:pageBreakBefore w:val="0"/>
              <w:widowControl/>
              <w:kinsoku/>
              <w:wordWrap/>
              <w:overflowPunct/>
              <w:topLinePunct w:val="0"/>
              <w:autoSpaceDE/>
              <w:autoSpaceDN/>
              <w:bidi w:val="0"/>
              <w:adjustRightInd/>
              <w:snapToGrid/>
              <w:spacing w:line="360" w:lineRule="auto"/>
              <w:textAlignment w:val="auto"/>
              <w:rPr>
                <w:b/>
                <w:bCs/>
                <w:sz w:val="24"/>
              </w:rPr>
            </w:pPr>
            <w:r>
              <w:rPr>
                <w:b/>
                <w:bCs/>
                <w:sz w:val="24"/>
              </w:rPr>
              <w:t>3.3.4固废</w:t>
            </w:r>
          </w:p>
          <w:p w14:paraId="2EF1D7EC">
            <w:pPr>
              <w:adjustRightInd w:val="0"/>
              <w:snapToGrid w:val="0"/>
              <w:spacing w:line="360" w:lineRule="auto"/>
              <w:ind w:firstLine="480" w:firstLineChars="200"/>
              <w:rPr>
                <w:kern w:val="0"/>
                <w:szCs w:val="21"/>
              </w:rPr>
            </w:pPr>
            <w:r>
              <w:rPr>
                <w:rFonts w:hint="eastAsia"/>
                <w:sz w:val="24"/>
                <w:lang w:val="en-US" w:eastAsia="zh-CN"/>
              </w:rPr>
              <w:t>建设项目</w:t>
            </w:r>
            <w:r>
              <w:rPr>
                <w:sz w:val="24"/>
              </w:rPr>
              <w:t>营运期一般固废暂存及处置执行</w:t>
            </w:r>
            <w:r>
              <w:rPr>
                <w:rFonts w:hint="eastAsia"/>
                <w:sz w:val="24"/>
                <w:lang w:eastAsia="zh-CN"/>
              </w:rPr>
              <w:t>《</w:t>
            </w:r>
            <w:r>
              <w:rPr>
                <w:rFonts w:hint="eastAsia"/>
                <w:sz w:val="24"/>
                <w:lang w:val="en-US" w:eastAsia="zh-CN"/>
              </w:rPr>
              <w:t>中华人民共和国固体废物污染环境防治法</w:t>
            </w:r>
            <w:r>
              <w:rPr>
                <w:rFonts w:hint="eastAsia"/>
                <w:sz w:val="24"/>
                <w:lang w:eastAsia="zh-CN"/>
              </w:rPr>
              <w:t>》（</w:t>
            </w:r>
            <w:r>
              <w:rPr>
                <w:rFonts w:hint="eastAsia"/>
                <w:sz w:val="24"/>
                <w:lang w:val="en-US" w:eastAsia="zh-CN"/>
              </w:rPr>
              <w:t>2020年</w:t>
            </w:r>
            <w:r>
              <w:rPr>
                <w:rFonts w:hint="eastAsia"/>
                <w:sz w:val="24"/>
                <w:lang w:eastAsia="zh-CN"/>
              </w:rPr>
              <w:t>）</w:t>
            </w:r>
            <w:r>
              <w:rPr>
                <w:rFonts w:hint="eastAsia"/>
                <w:sz w:val="24"/>
                <w:lang w:val="en-US" w:eastAsia="zh-CN"/>
              </w:rPr>
              <w:t>等相关标准及规范要求，参照执行</w:t>
            </w:r>
            <w:r>
              <w:rPr>
                <w:sz w:val="24"/>
              </w:rPr>
              <w:t>《一般工业固体废物贮存和填埋污染控制标准》（GB18599-2020）中相关规定。危险废物厂区</w:t>
            </w:r>
            <w:r>
              <w:rPr>
                <w:rFonts w:hint="eastAsia"/>
                <w:sz w:val="24"/>
                <w:lang w:val="en-US" w:eastAsia="zh-CN"/>
              </w:rPr>
              <w:t>贮存</w:t>
            </w:r>
            <w:r>
              <w:rPr>
                <w:sz w:val="24"/>
              </w:rPr>
              <w:t>执行《危险废物贮存污染控制标准》（GB18597-20</w:t>
            </w:r>
            <w:r>
              <w:rPr>
                <w:rFonts w:hint="eastAsia"/>
                <w:sz w:val="24"/>
                <w:lang w:val="en-US" w:eastAsia="zh-CN"/>
              </w:rPr>
              <w:t>23</w:t>
            </w:r>
            <w:r>
              <w:rPr>
                <w:sz w:val="24"/>
              </w:rPr>
              <w:t>）</w:t>
            </w:r>
            <w:r>
              <w:rPr>
                <w:rFonts w:hint="eastAsia"/>
                <w:sz w:val="24"/>
                <w:lang w:val="en-US" w:eastAsia="zh-CN"/>
              </w:rPr>
              <w:t>中</w:t>
            </w:r>
            <w:r>
              <w:rPr>
                <w:sz w:val="24"/>
              </w:rPr>
              <w:t>相关规定。</w:t>
            </w:r>
          </w:p>
        </w:tc>
      </w:tr>
      <w:tr w14:paraId="0CAD43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4" w:hRule="atLeast"/>
          <w:jc w:val="center"/>
        </w:trPr>
        <w:tc>
          <w:tcPr>
            <w:tcW w:w="800" w:type="dxa"/>
            <w:noWrap w:val="0"/>
            <w:vAlign w:val="center"/>
          </w:tcPr>
          <w:p w14:paraId="11AFD158">
            <w:pPr>
              <w:adjustRightInd w:val="0"/>
              <w:snapToGrid w:val="0"/>
              <w:jc w:val="center"/>
              <w:rPr>
                <w:kern w:val="0"/>
                <w:szCs w:val="21"/>
              </w:rPr>
            </w:pPr>
            <w:r>
              <w:rPr>
                <w:kern w:val="0"/>
                <w:szCs w:val="21"/>
              </w:rPr>
              <w:t>总量</w:t>
            </w:r>
          </w:p>
          <w:p w14:paraId="1A421504">
            <w:pPr>
              <w:adjustRightInd w:val="0"/>
              <w:snapToGrid w:val="0"/>
              <w:jc w:val="center"/>
              <w:rPr>
                <w:kern w:val="0"/>
                <w:szCs w:val="21"/>
              </w:rPr>
            </w:pPr>
            <w:r>
              <w:rPr>
                <w:kern w:val="0"/>
                <w:szCs w:val="21"/>
              </w:rPr>
              <w:t>控制</w:t>
            </w:r>
          </w:p>
          <w:p w14:paraId="09B03EA1">
            <w:pPr>
              <w:adjustRightInd w:val="0"/>
              <w:snapToGrid w:val="0"/>
              <w:jc w:val="center"/>
              <w:rPr>
                <w:kern w:val="0"/>
                <w:szCs w:val="21"/>
              </w:rPr>
            </w:pPr>
            <w:r>
              <w:rPr>
                <w:kern w:val="0"/>
                <w:szCs w:val="21"/>
              </w:rPr>
              <w:t>指标</w:t>
            </w:r>
          </w:p>
        </w:tc>
        <w:tc>
          <w:tcPr>
            <w:tcW w:w="8190" w:type="dxa"/>
            <w:noWrap w:val="0"/>
            <w:vAlign w:val="center"/>
          </w:tcPr>
          <w:p w14:paraId="7471691F">
            <w:pPr>
              <w:widowControl/>
              <w:spacing w:before="120" w:beforeLines="50" w:line="360" w:lineRule="auto"/>
              <w:ind w:firstLine="480" w:firstLineChars="200"/>
              <w:rPr>
                <w:sz w:val="24"/>
              </w:rPr>
            </w:pPr>
            <w:r>
              <w:rPr>
                <w:sz w:val="24"/>
              </w:rPr>
              <w:t>本项目污染物总量控制因子为废水中COD、NH</w:t>
            </w:r>
            <w:r>
              <w:rPr>
                <w:sz w:val="24"/>
                <w:vertAlign w:val="subscript"/>
              </w:rPr>
              <w:t>3</w:t>
            </w:r>
            <w:r>
              <w:rPr>
                <w:sz w:val="24"/>
              </w:rPr>
              <w:t>-N，废气中</w:t>
            </w:r>
            <w:r>
              <w:rPr>
                <w:rFonts w:hint="eastAsia"/>
                <w:sz w:val="24"/>
                <w:lang w:val="en-US" w:eastAsia="zh-CN"/>
              </w:rPr>
              <w:t>烟（粉）尘、VOCs</w:t>
            </w:r>
            <w:r>
              <w:rPr>
                <w:sz w:val="24"/>
              </w:rPr>
              <w:t>。</w:t>
            </w:r>
          </w:p>
          <w:p w14:paraId="4E9A8BDC">
            <w:pPr>
              <w:widowControl/>
              <w:spacing w:line="360" w:lineRule="auto"/>
              <w:ind w:firstLine="480" w:firstLineChars="200"/>
              <w:rPr>
                <w:sz w:val="24"/>
              </w:rPr>
            </w:pPr>
            <w:r>
              <w:rPr>
                <w:rFonts w:hint="eastAsia"/>
                <w:kern w:val="0"/>
                <w:sz w:val="24"/>
              </w:rPr>
              <w:t>项目废水经预处理后</w:t>
            </w:r>
            <w:r>
              <w:rPr>
                <w:rFonts w:hint="eastAsia"/>
                <w:kern w:val="0"/>
                <w:sz w:val="24"/>
                <w:lang w:val="en-US" w:eastAsia="zh-CN"/>
              </w:rPr>
              <w:t>回用于地坪保洁及厂区绿化</w:t>
            </w:r>
            <w:r>
              <w:rPr>
                <w:rFonts w:hint="eastAsia"/>
                <w:sz w:val="24"/>
              </w:rPr>
              <w:t>，</w:t>
            </w:r>
            <w:r>
              <w:rPr>
                <w:rFonts w:hint="eastAsia"/>
                <w:sz w:val="24"/>
                <w:lang w:val="en-US" w:eastAsia="zh-CN"/>
              </w:rPr>
              <w:t>不外排。</w:t>
            </w:r>
            <w:r>
              <w:rPr>
                <w:sz w:val="24"/>
              </w:rPr>
              <w:t>因此本项目不需申请COD、NH</w:t>
            </w:r>
            <w:r>
              <w:rPr>
                <w:sz w:val="24"/>
                <w:vertAlign w:val="subscript"/>
              </w:rPr>
              <w:t>3</w:t>
            </w:r>
            <w:r>
              <w:rPr>
                <w:sz w:val="24"/>
              </w:rPr>
              <w:t>-N总量指标。</w:t>
            </w:r>
          </w:p>
          <w:p w14:paraId="0A38B784">
            <w:pPr>
              <w:widowControl/>
              <w:spacing w:line="360" w:lineRule="auto"/>
              <w:ind w:firstLine="480" w:firstLineChars="200"/>
              <w:rPr>
                <w:rFonts w:hint="eastAsia"/>
                <w:sz w:val="24"/>
              </w:rPr>
            </w:pPr>
            <w:r>
              <w:rPr>
                <w:rFonts w:hint="eastAsia" w:ascii="Times New Roman" w:hAnsi="Times New Roman" w:cs="Times New Roman"/>
                <w:kern w:val="0"/>
                <w:sz w:val="24"/>
              </w:rPr>
              <w:t>项目</w:t>
            </w:r>
            <w:r>
              <w:rPr>
                <w:rFonts w:hint="eastAsia" w:ascii="Times New Roman" w:hAnsi="Times New Roman" w:cs="Times New Roman"/>
                <w:kern w:val="0"/>
                <w:sz w:val="24"/>
                <w:lang w:val="en-US" w:eastAsia="zh-CN"/>
              </w:rPr>
              <w:t>切割</w:t>
            </w:r>
            <w:r>
              <w:rPr>
                <w:rFonts w:hint="eastAsia" w:ascii="Times New Roman" w:hAnsi="Times New Roman" w:cs="Times New Roman"/>
                <w:kern w:val="0"/>
                <w:sz w:val="24"/>
              </w:rPr>
              <w:t>工段有组织</w:t>
            </w:r>
            <w:r>
              <w:rPr>
                <w:rFonts w:hint="eastAsia" w:ascii="Times New Roman" w:hAnsi="Times New Roman" w:cs="Times New Roman"/>
                <w:kern w:val="0"/>
                <w:sz w:val="24"/>
                <w:lang w:val="en-US" w:eastAsia="zh-CN"/>
              </w:rPr>
              <w:t>颗粒物</w:t>
            </w:r>
            <w:r>
              <w:rPr>
                <w:rFonts w:hint="eastAsia" w:ascii="Times New Roman" w:hAnsi="Times New Roman" w:cs="Times New Roman"/>
                <w:kern w:val="0"/>
                <w:sz w:val="24"/>
              </w:rPr>
              <w:t>排放量为0.0</w:t>
            </w:r>
            <w:r>
              <w:rPr>
                <w:rFonts w:hint="eastAsia" w:cs="Times New Roman"/>
                <w:kern w:val="0"/>
                <w:sz w:val="24"/>
                <w:lang w:val="en-US" w:eastAsia="zh-CN"/>
              </w:rPr>
              <w:t>21</w:t>
            </w:r>
            <w:r>
              <w:rPr>
                <w:rFonts w:hint="eastAsia" w:ascii="Times New Roman" w:hAnsi="Times New Roman" w:cs="Times New Roman"/>
                <w:kern w:val="0"/>
                <w:sz w:val="24"/>
              </w:rPr>
              <w:t>t/a</w:t>
            </w:r>
            <w:r>
              <w:rPr>
                <w:rFonts w:hint="eastAsia" w:ascii="Times New Roman" w:hAnsi="Times New Roman" w:cs="Times New Roman"/>
                <w:kern w:val="0"/>
                <w:sz w:val="24"/>
                <w:lang w:eastAsia="zh-CN"/>
              </w:rPr>
              <w:t>，</w:t>
            </w:r>
            <w:r>
              <w:rPr>
                <w:rFonts w:hint="eastAsia" w:ascii="Times New Roman" w:hAnsi="Times New Roman" w:cs="Times New Roman"/>
                <w:kern w:val="0"/>
                <w:sz w:val="24"/>
                <w:lang w:val="en-US" w:eastAsia="zh-CN"/>
              </w:rPr>
              <w:t>废油</w:t>
            </w:r>
            <w:r>
              <w:rPr>
                <w:rFonts w:hint="eastAsia" w:cs="Times New Roman"/>
                <w:kern w:val="0"/>
                <w:sz w:val="24"/>
                <w:lang w:val="en-US" w:eastAsia="zh-CN"/>
              </w:rPr>
              <w:t>液</w:t>
            </w:r>
            <w:r>
              <w:rPr>
                <w:rFonts w:hint="eastAsia" w:ascii="Times New Roman" w:hAnsi="Times New Roman" w:cs="Times New Roman"/>
                <w:kern w:val="0"/>
                <w:sz w:val="24"/>
                <w:lang w:val="en-US" w:eastAsia="zh-CN"/>
              </w:rPr>
              <w:t>抽取及贮存工段有组织VOCs（非甲烷总烃）排放量为0.0</w:t>
            </w:r>
            <w:r>
              <w:rPr>
                <w:rFonts w:hint="eastAsia" w:cs="Times New Roman"/>
                <w:kern w:val="0"/>
                <w:sz w:val="24"/>
                <w:lang w:val="en-US" w:eastAsia="zh-CN"/>
              </w:rPr>
              <w:t>2</w:t>
            </w:r>
            <w:r>
              <w:rPr>
                <w:rFonts w:hint="eastAsia" w:ascii="Times New Roman" w:hAnsi="Times New Roman" w:cs="Times New Roman"/>
                <w:kern w:val="0"/>
                <w:sz w:val="24"/>
                <w:lang w:val="en-US" w:eastAsia="zh-CN"/>
              </w:rPr>
              <w:t>9t/a</w:t>
            </w:r>
            <w:r>
              <w:rPr>
                <w:rFonts w:hint="eastAsia" w:ascii="Times New Roman" w:hAnsi="Times New Roman" w:cs="Times New Roman"/>
                <w:kern w:val="0"/>
                <w:sz w:val="24"/>
              </w:rPr>
              <w:t>。因此本项目</w:t>
            </w:r>
            <w:r>
              <w:rPr>
                <w:rFonts w:hint="eastAsia"/>
                <w:sz w:val="24"/>
              </w:rPr>
              <w:t>大气总量指标</w:t>
            </w:r>
            <w:r>
              <w:rPr>
                <w:rFonts w:hint="eastAsia"/>
                <w:sz w:val="24"/>
                <w:lang w:val="en-US" w:eastAsia="zh-CN"/>
              </w:rPr>
              <w:t>烟（粉）尘</w:t>
            </w:r>
            <w:r>
              <w:rPr>
                <w:rFonts w:hint="eastAsia"/>
                <w:sz w:val="24"/>
              </w:rPr>
              <w:t>：0.</w:t>
            </w:r>
            <w:r>
              <w:rPr>
                <w:rFonts w:hint="eastAsia"/>
                <w:sz w:val="24"/>
                <w:lang w:val="en-US" w:eastAsia="zh-CN"/>
              </w:rPr>
              <w:t>021</w:t>
            </w:r>
            <w:r>
              <w:rPr>
                <w:rFonts w:hint="eastAsia"/>
                <w:sz w:val="24"/>
              </w:rPr>
              <w:t>t/a</w:t>
            </w:r>
            <w:r>
              <w:rPr>
                <w:rFonts w:hint="eastAsia"/>
                <w:sz w:val="24"/>
                <w:lang w:eastAsia="zh-CN"/>
              </w:rPr>
              <w:t>，</w:t>
            </w:r>
            <w:r>
              <w:rPr>
                <w:rFonts w:hint="eastAsia"/>
                <w:sz w:val="24"/>
                <w:lang w:val="en-US" w:eastAsia="zh-CN"/>
              </w:rPr>
              <w:t>VOCs：0.029t/a</w:t>
            </w:r>
            <w:r>
              <w:rPr>
                <w:rFonts w:hint="eastAsia"/>
                <w:sz w:val="24"/>
              </w:rPr>
              <w:t>。</w:t>
            </w:r>
          </w:p>
          <w:p w14:paraId="56271636">
            <w:pPr>
              <w:pStyle w:val="29"/>
              <w:rPr>
                <w:rFonts w:hint="eastAsia"/>
                <w:sz w:val="24"/>
                <w:lang w:val="en-US" w:eastAsia="zh-CN"/>
              </w:rPr>
            </w:pPr>
          </w:p>
          <w:p w14:paraId="637D0489">
            <w:pPr>
              <w:pStyle w:val="29"/>
              <w:rPr>
                <w:rFonts w:hint="eastAsia" w:eastAsia="黑体"/>
                <w:sz w:val="24"/>
                <w:lang w:val="en-US" w:eastAsia="zh-CN"/>
              </w:rPr>
            </w:pPr>
          </w:p>
          <w:p w14:paraId="231E8C4B">
            <w:pPr>
              <w:widowControl/>
              <w:spacing w:line="360" w:lineRule="auto"/>
              <w:rPr>
                <w:rFonts w:hint="eastAsia"/>
                <w:kern w:val="0"/>
                <w:szCs w:val="21"/>
                <w:lang w:val="en-US" w:eastAsia="zh-CN"/>
              </w:rPr>
            </w:pPr>
          </w:p>
          <w:p w14:paraId="32C8D251">
            <w:pPr>
              <w:widowControl/>
              <w:spacing w:line="360" w:lineRule="auto"/>
              <w:rPr>
                <w:rFonts w:hint="eastAsia"/>
                <w:kern w:val="0"/>
                <w:szCs w:val="21"/>
                <w:lang w:val="en-US" w:eastAsia="zh-CN"/>
              </w:rPr>
            </w:pPr>
          </w:p>
          <w:p w14:paraId="619FC72A">
            <w:pPr>
              <w:widowControl/>
              <w:spacing w:line="360" w:lineRule="auto"/>
              <w:rPr>
                <w:rFonts w:hint="eastAsia"/>
                <w:kern w:val="0"/>
                <w:szCs w:val="21"/>
                <w:lang w:val="en-US" w:eastAsia="zh-CN"/>
              </w:rPr>
            </w:pPr>
          </w:p>
          <w:p w14:paraId="28BDF250">
            <w:pPr>
              <w:widowControl/>
              <w:spacing w:line="360" w:lineRule="auto"/>
              <w:rPr>
                <w:rFonts w:hint="eastAsia"/>
                <w:kern w:val="0"/>
                <w:szCs w:val="21"/>
                <w:lang w:val="en-US" w:eastAsia="zh-CN"/>
              </w:rPr>
            </w:pPr>
          </w:p>
          <w:p w14:paraId="06583C99">
            <w:pPr>
              <w:widowControl/>
              <w:spacing w:line="360" w:lineRule="auto"/>
              <w:rPr>
                <w:rFonts w:hint="eastAsia"/>
                <w:kern w:val="0"/>
                <w:szCs w:val="21"/>
                <w:lang w:val="en-US" w:eastAsia="zh-CN"/>
              </w:rPr>
            </w:pPr>
          </w:p>
          <w:p w14:paraId="6B1A0690">
            <w:pPr>
              <w:widowControl/>
              <w:spacing w:line="360" w:lineRule="auto"/>
              <w:rPr>
                <w:rFonts w:hint="eastAsia"/>
                <w:kern w:val="0"/>
                <w:szCs w:val="21"/>
                <w:lang w:val="en-US" w:eastAsia="zh-CN"/>
              </w:rPr>
            </w:pPr>
          </w:p>
          <w:p w14:paraId="65D380BF">
            <w:pPr>
              <w:widowControl/>
              <w:spacing w:line="360" w:lineRule="auto"/>
              <w:rPr>
                <w:rFonts w:hint="eastAsia"/>
                <w:kern w:val="0"/>
                <w:szCs w:val="21"/>
                <w:lang w:val="en-US" w:eastAsia="zh-CN"/>
              </w:rPr>
            </w:pPr>
          </w:p>
          <w:p w14:paraId="219403C2">
            <w:pPr>
              <w:widowControl/>
              <w:spacing w:line="360" w:lineRule="auto"/>
              <w:rPr>
                <w:rFonts w:hint="eastAsia"/>
                <w:kern w:val="0"/>
                <w:szCs w:val="21"/>
                <w:lang w:val="en-US" w:eastAsia="zh-CN"/>
              </w:rPr>
            </w:pPr>
          </w:p>
          <w:p w14:paraId="6A896FB1">
            <w:pPr>
              <w:widowControl/>
              <w:spacing w:line="360" w:lineRule="auto"/>
              <w:rPr>
                <w:rFonts w:hint="eastAsia"/>
                <w:kern w:val="0"/>
                <w:szCs w:val="21"/>
                <w:lang w:val="en-US" w:eastAsia="zh-CN"/>
              </w:rPr>
            </w:pPr>
          </w:p>
          <w:p w14:paraId="08275390">
            <w:pPr>
              <w:widowControl/>
              <w:spacing w:line="360" w:lineRule="auto"/>
              <w:rPr>
                <w:rFonts w:hint="eastAsia"/>
                <w:kern w:val="0"/>
                <w:szCs w:val="21"/>
                <w:lang w:val="en-US" w:eastAsia="zh-CN"/>
              </w:rPr>
            </w:pPr>
          </w:p>
          <w:p w14:paraId="5100477A">
            <w:pPr>
              <w:widowControl/>
              <w:spacing w:line="360" w:lineRule="auto"/>
              <w:rPr>
                <w:rFonts w:hint="eastAsia"/>
                <w:kern w:val="0"/>
                <w:szCs w:val="21"/>
                <w:lang w:val="en-US" w:eastAsia="zh-CN"/>
              </w:rPr>
            </w:pPr>
          </w:p>
          <w:p w14:paraId="36AEC533">
            <w:pPr>
              <w:widowControl/>
              <w:spacing w:line="360" w:lineRule="auto"/>
              <w:rPr>
                <w:rFonts w:hint="eastAsia"/>
                <w:kern w:val="0"/>
                <w:szCs w:val="21"/>
                <w:lang w:val="en-US" w:eastAsia="zh-CN"/>
              </w:rPr>
            </w:pPr>
          </w:p>
          <w:p w14:paraId="1B268EDB">
            <w:pPr>
              <w:widowControl/>
              <w:spacing w:line="360" w:lineRule="auto"/>
              <w:rPr>
                <w:rFonts w:hint="eastAsia"/>
                <w:kern w:val="0"/>
                <w:szCs w:val="21"/>
                <w:lang w:val="en-US" w:eastAsia="zh-CN"/>
              </w:rPr>
            </w:pPr>
          </w:p>
          <w:p w14:paraId="305C6B2C">
            <w:pPr>
              <w:widowControl/>
              <w:spacing w:line="360" w:lineRule="auto"/>
              <w:rPr>
                <w:rFonts w:hint="default"/>
                <w:kern w:val="0"/>
                <w:szCs w:val="21"/>
                <w:lang w:val="en-US" w:eastAsia="zh-CN"/>
              </w:rPr>
            </w:pPr>
          </w:p>
          <w:p w14:paraId="2D1D7D2E">
            <w:pPr>
              <w:widowControl/>
              <w:spacing w:line="360" w:lineRule="auto"/>
              <w:rPr>
                <w:rFonts w:hint="eastAsia"/>
                <w:kern w:val="0"/>
                <w:szCs w:val="21"/>
                <w:lang w:val="en-US" w:eastAsia="zh-CN"/>
              </w:rPr>
            </w:pPr>
          </w:p>
          <w:p w14:paraId="7C987899">
            <w:pPr>
              <w:widowControl/>
              <w:spacing w:line="360" w:lineRule="auto"/>
              <w:rPr>
                <w:rFonts w:hint="eastAsia"/>
                <w:kern w:val="0"/>
                <w:szCs w:val="21"/>
                <w:lang w:val="en-US" w:eastAsia="zh-CN"/>
              </w:rPr>
            </w:pPr>
          </w:p>
          <w:p w14:paraId="48287A8D">
            <w:pPr>
              <w:widowControl/>
              <w:spacing w:line="360" w:lineRule="auto"/>
              <w:rPr>
                <w:rFonts w:hint="default" w:eastAsia="宋体"/>
                <w:kern w:val="0"/>
                <w:szCs w:val="21"/>
                <w:lang w:val="en-US" w:eastAsia="zh-CN"/>
              </w:rPr>
            </w:pPr>
          </w:p>
        </w:tc>
      </w:tr>
    </w:tbl>
    <w:p w14:paraId="5C485A80">
      <w:pPr>
        <w:pStyle w:val="20"/>
        <w:spacing w:before="0" w:beforeAutospacing="0" w:after="0" w:afterAutospacing="0" w:line="360" w:lineRule="auto"/>
        <w:jc w:val="center"/>
        <w:outlineLvl w:val="0"/>
        <w:rPr>
          <w:rFonts w:ascii="Times New Roman" w:hAnsi="Times New Roman"/>
          <w:snapToGrid w:val="0"/>
          <w:sz w:val="30"/>
          <w:szCs w:val="30"/>
        </w:rPr>
      </w:pPr>
      <w:r>
        <w:rPr>
          <w:rFonts w:hint="eastAsia" w:ascii="Times New Roman" w:hAnsi="Times New Roman"/>
          <w:snapToGrid w:val="0"/>
          <w:sz w:val="30"/>
          <w:szCs w:val="30"/>
        </w:rPr>
        <w:t>四、主要环境影响和保护措施</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18B130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60" w:hRule="atLeast"/>
          <w:jc w:val="center"/>
        </w:trPr>
        <w:tc>
          <w:tcPr>
            <w:tcW w:w="746" w:type="dxa"/>
            <w:noWrap w:val="0"/>
            <w:tcMar>
              <w:left w:w="28" w:type="dxa"/>
              <w:right w:w="28" w:type="dxa"/>
            </w:tcMar>
            <w:vAlign w:val="center"/>
          </w:tcPr>
          <w:p w14:paraId="71E98F55">
            <w:pPr>
              <w:pStyle w:val="20"/>
              <w:adjustRightInd w:val="0"/>
              <w:snapToGrid w:val="0"/>
              <w:spacing w:before="0" w:beforeAutospacing="0" w:after="0" w:afterAutospacing="0"/>
              <w:jc w:val="center"/>
              <w:rPr>
                <w:rFonts w:hint="eastAsia" w:ascii="Times New Roman" w:hAnsi="Times New Roman" w:cs="宋体"/>
                <w:kern w:val="2"/>
                <w:szCs w:val="24"/>
              </w:rPr>
            </w:pPr>
            <w:r>
              <w:rPr>
                <w:rFonts w:hint="eastAsia" w:ascii="Times New Roman" w:hAnsi="Times New Roman" w:cs="宋体"/>
                <w:kern w:val="2"/>
                <w:szCs w:val="24"/>
              </w:rPr>
              <w:t>施工</w:t>
            </w:r>
          </w:p>
          <w:p w14:paraId="6F703E50">
            <w:pPr>
              <w:pStyle w:val="20"/>
              <w:adjustRightInd w:val="0"/>
              <w:snapToGrid w:val="0"/>
              <w:spacing w:before="0" w:beforeAutospacing="0" w:after="0" w:afterAutospacing="0"/>
              <w:jc w:val="center"/>
              <w:rPr>
                <w:rFonts w:hint="eastAsia" w:ascii="Times New Roman" w:hAnsi="Times New Roman" w:cs="宋体"/>
                <w:kern w:val="2"/>
                <w:szCs w:val="24"/>
              </w:rPr>
            </w:pPr>
            <w:r>
              <w:rPr>
                <w:rFonts w:hint="eastAsia" w:ascii="Times New Roman" w:hAnsi="Times New Roman" w:cs="宋体"/>
                <w:kern w:val="2"/>
                <w:szCs w:val="24"/>
              </w:rPr>
              <w:t>期环</w:t>
            </w:r>
          </w:p>
          <w:p w14:paraId="4DFEBFD4">
            <w:pPr>
              <w:pStyle w:val="20"/>
              <w:adjustRightInd w:val="0"/>
              <w:snapToGrid w:val="0"/>
              <w:spacing w:before="0" w:beforeAutospacing="0" w:after="0" w:afterAutospacing="0"/>
              <w:jc w:val="center"/>
              <w:rPr>
                <w:rFonts w:hint="eastAsia" w:ascii="Times New Roman" w:hAnsi="Times New Roman" w:cs="宋体"/>
                <w:kern w:val="2"/>
                <w:szCs w:val="24"/>
              </w:rPr>
            </w:pPr>
            <w:r>
              <w:rPr>
                <w:rFonts w:hint="eastAsia" w:ascii="Times New Roman" w:hAnsi="Times New Roman" w:cs="宋体"/>
                <w:kern w:val="2"/>
                <w:szCs w:val="24"/>
              </w:rPr>
              <w:t>境保</w:t>
            </w:r>
          </w:p>
          <w:p w14:paraId="77F7C194">
            <w:pPr>
              <w:pStyle w:val="20"/>
              <w:adjustRightInd w:val="0"/>
              <w:snapToGrid w:val="0"/>
              <w:spacing w:before="0" w:beforeAutospacing="0" w:after="0" w:afterAutospacing="0"/>
              <w:jc w:val="center"/>
              <w:rPr>
                <w:rFonts w:hint="eastAsia" w:ascii="Times New Roman" w:hAnsi="Times New Roman" w:cs="宋体"/>
                <w:kern w:val="2"/>
                <w:szCs w:val="24"/>
              </w:rPr>
            </w:pPr>
            <w:r>
              <w:rPr>
                <w:rFonts w:hint="eastAsia" w:ascii="Times New Roman" w:hAnsi="Times New Roman" w:cs="宋体"/>
                <w:kern w:val="2"/>
                <w:szCs w:val="24"/>
              </w:rPr>
              <w:t>护措</w:t>
            </w:r>
          </w:p>
          <w:p w14:paraId="58398036">
            <w:pPr>
              <w:pStyle w:val="20"/>
              <w:adjustRightInd w:val="0"/>
              <w:snapToGrid w:val="0"/>
              <w:spacing w:before="0" w:beforeAutospacing="0" w:after="0" w:afterAutospacing="0"/>
              <w:jc w:val="center"/>
              <w:rPr>
                <w:rFonts w:hint="eastAsia" w:ascii="Times New Roman" w:hAnsi="Times New Roman" w:cs="宋体"/>
                <w:bCs/>
                <w:kern w:val="2"/>
                <w:sz w:val="21"/>
                <w:szCs w:val="21"/>
              </w:rPr>
            </w:pPr>
            <w:r>
              <w:rPr>
                <w:rFonts w:hint="eastAsia" w:ascii="Times New Roman" w:hAnsi="Times New Roman" w:cs="宋体"/>
                <w:kern w:val="2"/>
                <w:szCs w:val="24"/>
              </w:rPr>
              <w:t>施</w:t>
            </w:r>
          </w:p>
        </w:tc>
        <w:tc>
          <w:tcPr>
            <w:tcW w:w="8162" w:type="dxa"/>
            <w:noWrap w:val="0"/>
            <w:vAlign w:val="top"/>
          </w:tcPr>
          <w:p w14:paraId="74CFD8BC">
            <w:pPr>
              <w:spacing w:line="360" w:lineRule="auto"/>
              <w:ind w:firstLine="480"/>
              <w:rPr>
                <w:rFonts w:hint="eastAsia" w:eastAsia="宋体"/>
                <w:lang w:val="en-US" w:eastAsia="zh-CN"/>
              </w:rPr>
            </w:pPr>
            <w:r>
              <w:rPr>
                <w:rFonts w:hint="default" w:ascii="Times New Roman" w:hAnsi="Times New Roman" w:eastAsia="宋体" w:cs="Times New Roman"/>
                <w:color w:val="auto"/>
                <w:spacing w:val="0"/>
                <w:sz w:val="24"/>
                <w:highlight w:val="none"/>
              </w:rPr>
              <w:t>项目租赁现有闲置</w:t>
            </w:r>
            <w:r>
              <w:rPr>
                <w:rFonts w:hint="eastAsia" w:eastAsia="宋体" w:cs="Times New Roman"/>
                <w:color w:val="auto"/>
                <w:spacing w:val="0"/>
                <w:sz w:val="24"/>
                <w:highlight w:val="none"/>
                <w:lang w:val="en-US" w:eastAsia="zh-CN"/>
              </w:rPr>
              <w:t>场地及配套</w:t>
            </w:r>
            <w:r>
              <w:rPr>
                <w:rFonts w:hint="default" w:ascii="Times New Roman" w:hAnsi="Times New Roman" w:eastAsia="宋体" w:cs="Times New Roman"/>
                <w:color w:val="auto"/>
                <w:spacing w:val="0"/>
                <w:sz w:val="24"/>
                <w:highlight w:val="none"/>
              </w:rPr>
              <w:t>厂房进行建设，不涉及大型土建施工，仅需对</w:t>
            </w:r>
            <w:r>
              <w:rPr>
                <w:rFonts w:hint="eastAsia" w:ascii="Times New Roman" w:hAnsi="Times New Roman" w:eastAsia="宋体" w:cs="Times New Roman"/>
                <w:color w:val="auto"/>
                <w:spacing w:val="0"/>
                <w:sz w:val="24"/>
                <w:highlight w:val="none"/>
                <w:lang w:val="en-US" w:eastAsia="zh-CN"/>
              </w:rPr>
              <w:t>车间</w:t>
            </w:r>
            <w:r>
              <w:rPr>
                <w:rFonts w:hint="default" w:ascii="Times New Roman" w:hAnsi="Times New Roman" w:eastAsia="宋体" w:cs="Times New Roman"/>
                <w:color w:val="auto"/>
                <w:spacing w:val="0"/>
                <w:sz w:val="24"/>
                <w:highlight w:val="none"/>
              </w:rPr>
              <w:t>分区防渗、防腐措施、围堰等小规模施工，不涉及主体厂房的扩建施工。施工周期短，施工期污染物产生量较小，</w:t>
            </w:r>
            <w:r>
              <w:rPr>
                <w:rFonts w:hint="eastAsia" w:ascii="Times New Roman" w:hAnsi="Times New Roman" w:eastAsia="宋体" w:cs="Times New Roman"/>
                <w:color w:val="000000"/>
                <w:sz w:val="24"/>
                <w:szCs w:val="24"/>
                <w:lang w:val="en-US" w:eastAsia="zh-CN"/>
              </w:rPr>
              <w:t>故本次环评不对施工期环境影响进行分析。</w:t>
            </w:r>
          </w:p>
        </w:tc>
      </w:tr>
      <w:tr w14:paraId="4D8811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noWrap w:val="0"/>
            <w:tcMar>
              <w:left w:w="28" w:type="dxa"/>
              <w:right w:w="28" w:type="dxa"/>
            </w:tcMar>
            <w:vAlign w:val="center"/>
          </w:tcPr>
          <w:p w14:paraId="13E6C2CA">
            <w:pPr>
              <w:adjustRightInd w:val="0"/>
              <w:snapToGrid w:val="0"/>
              <w:jc w:val="center"/>
              <w:rPr>
                <w:rFonts w:hint="eastAsia" w:cs="宋体"/>
                <w:bCs/>
                <w:sz w:val="24"/>
              </w:rPr>
            </w:pPr>
            <w:r>
              <w:rPr>
                <w:rFonts w:hint="eastAsia" w:cs="宋体"/>
                <w:bCs/>
                <w:sz w:val="24"/>
              </w:rPr>
              <w:t>运营</w:t>
            </w:r>
          </w:p>
          <w:p w14:paraId="2B33582B">
            <w:pPr>
              <w:adjustRightInd w:val="0"/>
              <w:snapToGrid w:val="0"/>
              <w:jc w:val="center"/>
              <w:rPr>
                <w:rFonts w:hint="eastAsia" w:cs="宋体"/>
                <w:bCs/>
                <w:sz w:val="24"/>
              </w:rPr>
            </w:pPr>
            <w:r>
              <w:rPr>
                <w:rFonts w:hint="eastAsia" w:cs="宋体"/>
                <w:bCs/>
                <w:sz w:val="24"/>
              </w:rPr>
              <w:t>期环</w:t>
            </w:r>
          </w:p>
          <w:p w14:paraId="5A079D16">
            <w:pPr>
              <w:adjustRightInd w:val="0"/>
              <w:snapToGrid w:val="0"/>
              <w:jc w:val="center"/>
              <w:rPr>
                <w:rFonts w:hint="eastAsia" w:cs="宋体"/>
                <w:bCs/>
                <w:sz w:val="24"/>
              </w:rPr>
            </w:pPr>
            <w:r>
              <w:rPr>
                <w:rFonts w:hint="eastAsia" w:cs="宋体"/>
                <w:bCs/>
                <w:sz w:val="24"/>
              </w:rPr>
              <w:t>境影</w:t>
            </w:r>
          </w:p>
          <w:p w14:paraId="7240B2A1">
            <w:pPr>
              <w:adjustRightInd w:val="0"/>
              <w:snapToGrid w:val="0"/>
              <w:jc w:val="center"/>
              <w:rPr>
                <w:rFonts w:hint="eastAsia" w:cs="宋体"/>
                <w:bCs/>
                <w:sz w:val="24"/>
              </w:rPr>
            </w:pPr>
            <w:r>
              <w:rPr>
                <w:rFonts w:hint="eastAsia" w:cs="宋体"/>
                <w:bCs/>
                <w:sz w:val="24"/>
              </w:rPr>
              <w:t>响和</w:t>
            </w:r>
          </w:p>
          <w:p w14:paraId="2A4C8114">
            <w:pPr>
              <w:adjustRightInd w:val="0"/>
              <w:snapToGrid w:val="0"/>
              <w:jc w:val="center"/>
              <w:rPr>
                <w:rFonts w:hint="eastAsia" w:cs="宋体"/>
                <w:bCs/>
                <w:sz w:val="24"/>
              </w:rPr>
            </w:pPr>
            <w:r>
              <w:rPr>
                <w:rFonts w:hint="eastAsia" w:cs="宋体"/>
                <w:bCs/>
                <w:sz w:val="24"/>
              </w:rPr>
              <w:t>保护</w:t>
            </w:r>
          </w:p>
          <w:p w14:paraId="6F006E0E">
            <w:pPr>
              <w:adjustRightInd w:val="0"/>
              <w:snapToGrid w:val="0"/>
              <w:jc w:val="center"/>
              <w:rPr>
                <w:rFonts w:cs="宋体"/>
                <w:bCs/>
                <w:szCs w:val="21"/>
              </w:rPr>
            </w:pPr>
            <w:r>
              <w:rPr>
                <w:rFonts w:hint="eastAsia" w:cs="宋体"/>
                <w:bCs/>
                <w:sz w:val="24"/>
              </w:rPr>
              <w:t>措施</w:t>
            </w:r>
          </w:p>
        </w:tc>
        <w:tc>
          <w:tcPr>
            <w:tcW w:w="8162" w:type="dxa"/>
            <w:noWrap w:val="0"/>
            <w:vAlign w:val="top"/>
          </w:tcPr>
          <w:p w14:paraId="440A071E">
            <w:pPr>
              <w:adjustRightInd w:val="0"/>
              <w:snapToGrid w:val="0"/>
              <w:spacing w:line="360" w:lineRule="auto"/>
              <w:rPr>
                <w:b/>
                <w:bCs/>
                <w:color w:val="000000"/>
                <w:kern w:val="0"/>
                <w:sz w:val="24"/>
              </w:rPr>
            </w:pPr>
            <w:r>
              <w:rPr>
                <w:b/>
                <w:bCs/>
                <w:color w:val="000000"/>
                <w:kern w:val="0"/>
                <w:sz w:val="24"/>
              </w:rPr>
              <w:t>4.</w:t>
            </w:r>
            <w:r>
              <w:rPr>
                <w:rFonts w:hint="eastAsia"/>
                <w:b/>
                <w:bCs/>
                <w:color w:val="000000"/>
                <w:kern w:val="0"/>
                <w:sz w:val="24"/>
                <w:lang w:val="en-US" w:eastAsia="zh-CN"/>
              </w:rPr>
              <w:t>1</w:t>
            </w:r>
            <w:r>
              <w:rPr>
                <w:b/>
                <w:bCs/>
                <w:color w:val="000000"/>
                <w:kern w:val="0"/>
                <w:sz w:val="24"/>
              </w:rPr>
              <w:t>营运期大气环境影响分析</w:t>
            </w:r>
          </w:p>
          <w:p w14:paraId="269A7609">
            <w:pPr>
              <w:adjustRightInd w:val="0"/>
              <w:snapToGrid w:val="0"/>
              <w:spacing w:line="360" w:lineRule="auto"/>
              <w:rPr>
                <w:b/>
                <w:sz w:val="24"/>
                <w:szCs w:val="22"/>
              </w:rPr>
            </w:pPr>
            <w:r>
              <w:rPr>
                <w:b/>
                <w:sz w:val="24"/>
                <w:szCs w:val="22"/>
              </w:rPr>
              <w:t>4.</w:t>
            </w:r>
            <w:r>
              <w:rPr>
                <w:rFonts w:hint="eastAsia"/>
                <w:b/>
                <w:sz w:val="24"/>
                <w:szCs w:val="22"/>
                <w:lang w:val="en-US" w:eastAsia="zh-CN"/>
              </w:rPr>
              <w:t>1</w:t>
            </w:r>
            <w:r>
              <w:rPr>
                <w:b/>
                <w:sz w:val="24"/>
                <w:szCs w:val="22"/>
              </w:rPr>
              <w:t>.1</w:t>
            </w:r>
            <w:r>
              <w:rPr>
                <w:rFonts w:hint="eastAsia"/>
                <w:b/>
                <w:sz w:val="24"/>
                <w:szCs w:val="22"/>
              </w:rPr>
              <w:t>污染源强分析</w:t>
            </w:r>
          </w:p>
          <w:p w14:paraId="31BD1D5A">
            <w:pPr>
              <w:spacing w:line="360" w:lineRule="auto"/>
              <w:ind w:firstLine="480" w:firstLineChars="200"/>
              <w:rPr>
                <w:rFonts w:hint="default" w:ascii="Times New Roman" w:hAnsi="Times New Roman" w:cs="Times New Roman"/>
                <w:sz w:val="24"/>
                <w:szCs w:val="32"/>
              </w:rPr>
            </w:pPr>
            <w:r>
              <w:rPr>
                <w:rFonts w:hint="default" w:ascii="Times New Roman" w:hAnsi="Times New Roman" w:cs="Times New Roman"/>
                <w:sz w:val="24"/>
                <w:szCs w:val="32"/>
              </w:rPr>
              <w:t>项目营运期废气主要为废油液抽取</w:t>
            </w:r>
            <w:r>
              <w:rPr>
                <w:rFonts w:hint="eastAsia" w:ascii="Times New Roman" w:hAnsi="Times New Roman" w:cs="Times New Roman"/>
                <w:sz w:val="24"/>
                <w:szCs w:val="32"/>
                <w:lang w:val="en-US" w:eastAsia="zh-CN"/>
              </w:rPr>
              <w:t>、</w:t>
            </w:r>
            <w:r>
              <w:rPr>
                <w:rFonts w:hint="default" w:ascii="Times New Roman" w:hAnsi="Times New Roman" w:cs="Times New Roman"/>
                <w:sz w:val="24"/>
                <w:szCs w:val="32"/>
              </w:rPr>
              <w:t>贮存工段挥发产生的有机废气</w:t>
            </w:r>
            <w:r>
              <w:rPr>
                <w:rFonts w:hint="eastAsia" w:cs="Times New Roman"/>
                <w:sz w:val="24"/>
                <w:szCs w:val="32"/>
                <w:lang w:eastAsia="zh-CN"/>
              </w:rPr>
              <w:t>、</w:t>
            </w:r>
            <w:r>
              <w:rPr>
                <w:rFonts w:hint="eastAsia" w:cs="Times New Roman"/>
                <w:sz w:val="24"/>
                <w:szCs w:val="32"/>
                <w:lang w:val="en-US" w:eastAsia="zh-CN"/>
              </w:rPr>
              <w:t>制冷剂抽取废气、安全气囊引爆粉尘以及拆解、</w:t>
            </w:r>
            <w:r>
              <w:rPr>
                <w:rFonts w:hint="default" w:ascii="Times New Roman" w:hAnsi="Times New Roman" w:cs="Times New Roman"/>
                <w:sz w:val="24"/>
                <w:szCs w:val="32"/>
              </w:rPr>
              <w:t>切割工段产生的粉尘。</w:t>
            </w:r>
          </w:p>
          <w:p w14:paraId="771EE902">
            <w:pPr>
              <w:spacing w:line="360" w:lineRule="auto"/>
              <w:ind w:firstLine="480" w:firstLineChars="200"/>
              <w:rPr>
                <w:rFonts w:hint="default" w:ascii="Times New Roman" w:hAnsi="Times New Roman" w:eastAsia="宋体" w:cs="Times New Roman"/>
                <w:sz w:val="24"/>
                <w:szCs w:val="32"/>
                <w:lang w:val="en-US" w:eastAsia="zh-CN"/>
              </w:rPr>
            </w:pPr>
            <w:r>
              <w:rPr>
                <w:rFonts w:hint="eastAsia" w:cs="Times New Roman"/>
                <w:sz w:val="24"/>
                <w:szCs w:val="32"/>
                <w:lang w:val="en-US" w:eastAsia="zh-CN"/>
              </w:rPr>
              <w:t>（1）</w:t>
            </w:r>
            <w:r>
              <w:rPr>
                <w:rFonts w:hint="eastAsia" w:ascii="Times New Roman" w:hAnsi="Times New Roman" w:cs="Times New Roman"/>
                <w:sz w:val="24"/>
                <w:szCs w:val="32"/>
                <w:lang w:val="en-US" w:eastAsia="zh-CN"/>
              </w:rPr>
              <w:t>废油液抽取废气</w:t>
            </w:r>
          </w:p>
          <w:p w14:paraId="26C3EE25">
            <w:pPr>
              <w:spacing w:line="360" w:lineRule="auto"/>
              <w:ind w:firstLine="480" w:firstLineChars="200"/>
              <w:rPr>
                <w:rFonts w:hint="eastAsia" w:cs="Times New Roman"/>
                <w:sz w:val="24"/>
                <w:szCs w:val="32"/>
                <w:lang w:val="en-US" w:eastAsia="zh-CN"/>
              </w:rPr>
            </w:pPr>
            <w:r>
              <w:rPr>
                <w:rFonts w:hint="eastAsia" w:cs="Times New Roman"/>
                <w:sz w:val="24"/>
                <w:szCs w:val="32"/>
                <w:lang w:val="en-US" w:eastAsia="zh-CN"/>
              </w:rPr>
              <w:t>拟建项目报废机动车拆解过程中产生的有机废气主要源于废油液抽取过程中挥发产生的油气（以非甲烷总烃计），根据物料平衡可知，本项目营运期废油液合计收集量为54.75t/a，采用真空吸油机对废油液进行封闭抽取，利用压缩空气将储油罐内抽真空，产生一定程度的真空度，在外界空气压力的作用下，通过抽油管将废油抽进储油罐内。参照《散装液态石油类产品损耗》（GB11085-89）可知，废油抽取工段油气损耗率按灌桶损耗率（汽油0.18%，其他油0.01%）和零售损耗率（汽油0.29%，柴油0.08%）两部分进行核算，合计损耗率约0.5%，则本项目废油液抽取工段有机废气产生量约为0.274t/a。</w:t>
            </w:r>
          </w:p>
          <w:p w14:paraId="30981569">
            <w:pPr>
              <w:spacing w:line="360" w:lineRule="auto"/>
              <w:ind w:firstLine="480" w:firstLineChars="200"/>
              <w:rPr>
                <w:rFonts w:hint="default"/>
                <w:lang w:val="en-US" w:eastAsia="zh-CN"/>
              </w:rPr>
            </w:pPr>
            <w:r>
              <w:rPr>
                <w:rFonts w:hint="eastAsia" w:cs="Times New Roman"/>
                <w:sz w:val="24"/>
                <w:szCs w:val="32"/>
                <w:lang w:val="en-US" w:eastAsia="zh-CN"/>
              </w:rPr>
              <w:t>本项目废油液抽取区域设计尺寸为长1.5m×宽1.5m×高2m，建设单位拟对废油液抽取区域上方安装集气罩（长1.5m×宽1.5m），废气经集气罩收集后，引至二级活性炭吸附装置净化处理后，通过15m高排气筒（DA001）排放。</w:t>
            </w:r>
          </w:p>
          <w:p w14:paraId="45FE16EA">
            <w:pPr>
              <w:spacing w:line="360" w:lineRule="auto"/>
              <w:ind w:firstLine="482" w:firstLineChars="200"/>
              <w:rPr>
                <w:rFonts w:hint="default" w:cs="Times New Roman"/>
                <w:b/>
                <w:bCs/>
                <w:sz w:val="24"/>
                <w:szCs w:val="32"/>
                <w:lang w:val="en-US" w:eastAsia="zh-CN"/>
              </w:rPr>
            </w:pPr>
            <w:r>
              <w:rPr>
                <w:rFonts w:hint="eastAsia" w:cs="Times New Roman"/>
                <w:b/>
                <w:bCs/>
                <w:sz w:val="24"/>
                <w:szCs w:val="32"/>
                <w:lang w:val="en-US" w:eastAsia="zh-CN"/>
              </w:rPr>
              <w:t>废油抽取工段废气量核算：</w:t>
            </w:r>
          </w:p>
          <w:p w14:paraId="2D0C8C46">
            <w:pPr>
              <w:pageBreakBefore w:val="0"/>
              <w:widowControl w:val="0"/>
              <w:topLinePunct w:val="0"/>
              <w:bidi w:val="0"/>
              <w:spacing w:line="360" w:lineRule="auto"/>
              <w:ind w:firstLine="480" w:firstLineChars="200"/>
              <w:jc w:val="both"/>
              <w:rPr>
                <w:rFonts w:ascii="Times New Roman" w:hAnsi="Times New Roman" w:eastAsia="宋体" w:cs="Times New Roman"/>
                <w:sz w:val="24"/>
              </w:rPr>
            </w:pPr>
            <w:r>
              <w:rPr>
                <w:rFonts w:ascii="Times New Roman" w:hAnsi="Times New Roman" w:eastAsia="宋体" w:cs="Times New Roman"/>
                <w:sz w:val="24"/>
              </w:rPr>
              <w:t>根据《大气污染控制工程》中的控制风速法计算。</w:t>
            </w:r>
            <w:r>
              <w:rPr>
                <w:rFonts w:hint="eastAsia" w:ascii="Times New Roman" w:hAnsi="Times New Roman" w:eastAsia="宋体" w:cs="Times New Roman"/>
                <w:sz w:val="24"/>
                <w:lang w:val="en-US" w:eastAsia="zh-CN"/>
              </w:rPr>
              <w:t>废气量</w:t>
            </w:r>
            <w:r>
              <w:rPr>
                <w:rFonts w:ascii="Times New Roman" w:hAnsi="Times New Roman" w:eastAsia="宋体" w:cs="Times New Roman"/>
                <w:sz w:val="24"/>
              </w:rPr>
              <w:t>计算公式如下：</w:t>
            </w:r>
          </w:p>
          <w:p w14:paraId="05C08100">
            <w:pPr>
              <w:pageBreakBefore w:val="0"/>
              <w:widowControl w:val="0"/>
              <w:topLinePunct w:val="0"/>
              <w:bidi w:val="0"/>
              <w:spacing w:line="360" w:lineRule="auto"/>
              <w:ind w:firstLine="480" w:firstLineChars="200"/>
              <w:jc w:val="center"/>
              <w:rPr>
                <w:rFonts w:ascii="Times New Roman" w:hAnsi="Times New Roman" w:eastAsia="宋体" w:cs="Times New Roman"/>
                <w:sz w:val="24"/>
              </w:rPr>
            </w:pPr>
            <w:r>
              <w:rPr>
                <w:rFonts w:ascii="Times New Roman" w:hAnsi="Times New Roman" w:eastAsia="宋体" w:cs="Times New Roman"/>
                <w:i/>
                <w:iCs/>
                <w:sz w:val="24"/>
              </w:rPr>
              <w:t>Q=3600×KPHV</w:t>
            </w:r>
          </w:p>
          <w:p w14:paraId="7934FA4A">
            <w:pPr>
              <w:pageBreakBefore w:val="0"/>
              <w:widowControl w:val="0"/>
              <w:topLinePunct w:val="0"/>
              <w:bidi w:val="0"/>
              <w:spacing w:line="360" w:lineRule="auto"/>
              <w:ind w:firstLine="480" w:firstLineChars="200"/>
              <w:jc w:val="both"/>
              <w:rPr>
                <w:rFonts w:ascii="Times New Roman" w:hAnsi="Times New Roman" w:eastAsia="宋体" w:cs="Times New Roman"/>
                <w:sz w:val="24"/>
              </w:rPr>
            </w:pPr>
            <w:r>
              <w:rPr>
                <w:rFonts w:ascii="Times New Roman" w:hAnsi="Times New Roman" w:eastAsia="宋体" w:cs="Times New Roman"/>
                <w:sz w:val="24"/>
              </w:rPr>
              <w:t>其中：Q为风量，m</w:t>
            </w:r>
            <w:r>
              <w:rPr>
                <w:rFonts w:hint="eastAsia" w:ascii="Times New Roman" w:hAnsi="Times New Roman" w:eastAsia="宋体" w:cs="Times New Roman"/>
                <w:sz w:val="24"/>
                <w:vertAlign w:val="superscript"/>
                <w:lang w:val="en-US" w:eastAsia="zh-CN"/>
              </w:rPr>
              <w:t>3</w:t>
            </w:r>
            <w:r>
              <w:rPr>
                <w:rFonts w:ascii="Times New Roman" w:hAnsi="Times New Roman" w:eastAsia="宋体" w:cs="Times New Roman"/>
                <w:sz w:val="24"/>
              </w:rPr>
              <w:t>/h；</w:t>
            </w:r>
          </w:p>
          <w:p w14:paraId="787F36AA">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ascii="Times New Roman" w:hAnsi="Times New Roman" w:eastAsia="宋体" w:cs="Times New Roman"/>
                <w:sz w:val="24"/>
              </w:rPr>
            </w:pPr>
            <w:r>
              <w:rPr>
                <w:rFonts w:ascii="Times New Roman" w:hAnsi="Times New Roman" w:eastAsia="宋体" w:cs="Times New Roman"/>
                <w:sz w:val="24"/>
              </w:rPr>
              <w:t>K：考虑沿高度速度不均匀的安全系数，通常取1.4；</w:t>
            </w:r>
          </w:p>
          <w:p w14:paraId="5BE0428A">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eastAsia" w:ascii="Times New Roman" w:hAnsi="Times New Roman" w:eastAsia="宋体" w:cs="Times New Roman"/>
                <w:sz w:val="24"/>
                <w:lang w:eastAsia="zh-CN"/>
              </w:rPr>
            </w:pPr>
            <w:r>
              <w:rPr>
                <w:rFonts w:ascii="Times New Roman" w:hAnsi="Times New Roman" w:eastAsia="宋体" w:cs="Times New Roman"/>
                <w:sz w:val="24"/>
              </w:rPr>
              <w:t>P：罩口周长，m；</w:t>
            </w:r>
            <w:r>
              <w:rPr>
                <w:rFonts w:hint="eastAsia" w:ascii="Times New Roman" w:hAnsi="Times New Roman" w:eastAsia="宋体" w:cs="Times New Roman"/>
                <w:b w:val="0"/>
                <w:bCs/>
                <w:sz w:val="24"/>
              </w:rPr>
              <w:t>P=</w:t>
            </w:r>
            <w:r>
              <w:rPr>
                <w:rFonts w:hint="eastAsia" w:ascii="Times New Roman" w:hAnsi="Times New Roman" w:eastAsia="宋体" w:cs="Times New Roman"/>
                <w:b w:val="0"/>
                <w:bCs/>
                <w:sz w:val="24"/>
                <w:lang w:val="en-US" w:eastAsia="zh-CN"/>
              </w:rPr>
              <w:t>6</w:t>
            </w:r>
            <w:r>
              <w:rPr>
                <w:rFonts w:hint="eastAsia" w:ascii="Times New Roman" w:hAnsi="Times New Roman" w:eastAsia="宋体" w:cs="Times New Roman"/>
                <w:b w:val="0"/>
                <w:bCs/>
                <w:sz w:val="24"/>
              </w:rPr>
              <w:t>m</w:t>
            </w:r>
            <w:r>
              <w:rPr>
                <w:rFonts w:hint="eastAsia" w:ascii="Times New Roman" w:hAnsi="Times New Roman" w:eastAsia="宋体" w:cs="Times New Roman"/>
                <w:b w:val="0"/>
                <w:bCs/>
                <w:sz w:val="24"/>
                <w:lang w:eastAsia="zh-CN"/>
              </w:rPr>
              <w:t>。</w:t>
            </w:r>
          </w:p>
          <w:p w14:paraId="27B60C60">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eastAsia" w:ascii="Times New Roman" w:hAnsi="Times New Roman" w:eastAsia="宋体" w:cs="Times New Roman"/>
                <w:sz w:val="24"/>
                <w:lang w:eastAsia="zh-CN"/>
              </w:rPr>
            </w:pPr>
            <w:r>
              <w:rPr>
                <w:rFonts w:ascii="Times New Roman" w:hAnsi="Times New Roman" w:eastAsia="宋体" w:cs="Times New Roman"/>
                <w:sz w:val="24"/>
              </w:rPr>
              <w:t>H：罩口至污染源的距离，m；</w:t>
            </w:r>
            <w:r>
              <w:rPr>
                <w:rFonts w:ascii="Times New Roman" w:hAnsi="Times New Roman" w:eastAsia="宋体" w:cs="Times New Roman"/>
                <w:b w:val="0"/>
                <w:bCs/>
                <w:sz w:val="24"/>
              </w:rPr>
              <w:t>为避免横向气流的干扰，项目设计罩口至污染源的距离为0.</w:t>
            </w:r>
            <w:r>
              <w:rPr>
                <w:rFonts w:hint="eastAsia" w:ascii="Times New Roman" w:hAnsi="Times New Roman" w:eastAsia="宋体" w:cs="Times New Roman"/>
                <w:b w:val="0"/>
                <w:bCs/>
                <w:sz w:val="24"/>
                <w:lang w:val="en-US" w:eastAsia="zh-CN"/>
              </w:rPr>
              <w:t>5</w:t>
            </w:r>
            <w:r>
              <w:rPr>
                <w:rFonts w:ascii="Times New Roman" w:hAnsi="Times New Roman" w:eastAsia="宋体" w:cs="Times New Roman"/>
                <w:b w:val="0"/>
                <w:bCs/>
                <w:sz w:val="24"/>
              </w:rPr>
              <w:t>m</w:t>
            </w:r>
            <w:r>
              <w:rPr>
                <w:rFonts w:hint="eastAsia" w:ascii="Times New Roman" w:hAnsi="Times New Roman" w:eastAsia="宋体" w:cs="Times New Roman"/>
                <w:b w:val="0"/>
                <w:bCs/>
                <w:sz w:val="24"/>
                <w:lang w:eastAsia="zh-CN"/>
              </w:rPr>
              <w:t>。</w:t>
            </w:r>
          </w:p>
          <w:p w14:paraId="63607658">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eastAsia" w:ascii="Times New Roman" w:hAnsi="Times New Roman" w:eastAsia="宋体" w:cs="Times New Roman"/>
                <w:sz w:val="24"/>
                <w:lang w:eastAsia="zh-CN"/>
              </w:rPr>
            </w:pPr>
            <w:r>
              <w:rPr>
                <w:rFonts w:ascii="Times New Roman" w:hAnsi="Times New Roman" w:eastAsia="宋体" w:cs="Times New Roman"/>
                <w:sz w:val="24"/>
              </w:rPr>
              <w:t>V：污染源控制速度，m/s；</w:t>
            </w:r>
            <w:r>
              <w:rPr>
                <w:rFonts w:ascii="Times New Roman" w:hAnsi="Times New Roman" w:eastAsia="宋体" w:cs="Times New Roman"/>
                <w:b w:val="0"/>
                <w:bCs/>
                <w:sz w:val="24"/>
              </w:rPr>
              <w:t>根据《大气污染控制工程》中可得，当污染源从轻微速度发散到相对平静的空气中时，污染源控制速度在0.25~0.5m/s，同时废气收集设施控制点风速不低于0.3m/s，</w:t>
            </w:r>
            <w:r>
              <w:rPr>
                <w:rFonts w:hint="eastAsia" w:ascii="Times New Roman" w:hAnsi="Times New Roman" w:eastAsia="宋体" w:cs="Times New Roman"/>
                <w:b w:val="0"/>
                <w:bCs/>
                <w:sz w:val="24"/>
                <w:lang w:eastAsia="zh-CN"/>
              </w:rPr>
              <w:t>项目</w:t>
            </w:r>
            <w:r>
              <w:rPr>
                <w:rFonts w:ascii="Times New Roman" w:hAnsi="Times New Roman" w:eastAsia="宋体" w:cs="Times New Roman"/>
                <w:b w:val="0"/>
                <w:bCs/>
                <w:sz w:val="24"/>
              </w:rPr>
              <w:t>取0.</w:t>
            </w:r>
            <w:r>
              <w:rPr>
                <w:rFonts w:hint="eastAsia" w:ascii="Times New Roman" w:hAnsi="Times New Roman" w:eastAsia="宋体" w:cs="Times New Roman"/>
                <w:b w:val="0"/>
                <w:bCs/>
                <w:sz w:val="24"/>
                <w:lang w:val="en-US" w:eastAsia="zh-CN"/>
              </w:rPr>
              <w:t>4</w:t>
            </w:r>
            <w:r>
              <w:rPr>
                <w:rFonts w:ascii="Times New Roman" w:hAnsi="Times New Roman" w:eastAsia="宋体" w:cs="Times New Roman"/>
                <w:b w:val="0"/>
                <w:bCs/>
                <w:sz w:val="24"/>
              </w:rPr>
              <w:t>m/s</w:t>
            </w:r>
            <w:r>
              <w:rPr>
                <w:rFonts w:hint="eastAsia" w:ascii="Times New Roman" w:hAnsi="Times New Roman" w:eastAsia="宋体" w:cs="Times New Roman"/>
                <w:b w:val="0"/>
                <w:bCs/>
                <w:sz w:val="24"/>
                <w:lang w:eastAsia="zh-CN"/>
              </w:rPr>
              <w:t>。</w:t>
            </w:r>
          </w:p>
          <w:p w14:paraId="6886711B">
            <w:pPr>
              <w:spacing w:line="360" w:lineRule="auto"/>
              <w:ind w:firstLine="480" w:firstLineChars="200"/>
              <w:rPr>
                <w:rFonts w:hint="default" w:ascii="Times New Roman" w:hAnsi="Times New Roman" w:cs="Times New Roman"/>
                <w:sz w:val="24"/>
                <w:szCs w:val="32"/>
              </w:rPr>
            </w:pPr>
            <w:r>
              <w:rPr>
                <w:rFonts w:hint="eastAsia" w:ascii="Times New Roman" w:hAnsi="Times New Roman" w:eastAsia="宋体" w:cs="Times New Roman"/>
                <w:b w:val="0"/>
                <w:bCs/>
                <w:sz w:val="24"/>
                <w:lang w:val="en-US" w:eastAsia="zh-CN"/>
              </w:rPr>
              <w:t>经计算，项目废油液抽取区域所需风量为6048m</w:t>
            </w:r>
            <w:r>
              <w:rPr>
                <w:rFonts w:hint="eastAsia" w:ascii="Times New Roman" w:hAnsi="Times New Roman" w:eastAsia="宋体" w:cs="Times New Roman"/>
                <w:b w:val="0"/>
                <w:bCs/>
                <w:sz w:val="24"/>
                <w:vertAlign w:val="superscript"/>
                <w:lang w:val="en-US" w:eastAsia="zh-CN"/>
              </w:rPr>
              <w:t>3</w:t>
            </w:r>
            <w:r>
              <w:rPr>
                <w:rFonts w:hint="eastAsia" w:ascii="Times New Roman" w:hAnsi="Times New Roman" w:eastAsia="宋体" w:cs="Times New Roman"/>
                <w:b w:val="0"/>
                <w:bCs/>
                <w:sz w:val="24"/>
                <w:lang w:val="en-US" w:eastAsia="zh-CN"/>
              </w:rPr>
              <w:t>/h，</w:t>
            </w:r>
            <w:r>
              <w:rPr>
                <w:rFonts w:ascii="Times New Roman" w:hAnsi="Times New Roman" w:eastAsia="宋体"/>
                <w:b w:val="0"/>
                <w:bCs w:val="0"/>
                <w:color w:val="000000"/>
                <w:sz w:val="24"/>
                <w:highlight w:val="none"/>
              </w:rPr>
              <w:t>考虑到风力损失等，项目</w:t>
            </w:r>
            <w:r>
              <w:rPr>
                <w:rFonts w:hint="eastAsia" w:ascii="Times New Roman" w:hAnsi="Times New Roman" w:eastAsia="宋体"/>
                <w:b w:val="0"/>
                <w:bCs w:val="0"/>
                <w:color w:val="000000"/>
                <w:sz w:val="24"/>
                <w:highlight w:val="none"/>
                <w:lang w:val="en-US" w:eastAsia="zh-CN"/>
              </w:rPr>
              <w:t>设计风量按7000</w:t>
            </w:r>
            <w:r>
              <w:rPr>
                <w:rFonts w:ascii="Times New Roman" w:hAnsi="Times New Roman" w:eastAsia="宋体"/>
                <w:b w:val="0"/>
                <w:bCs w:val="0"/>
                <w:color w:val="000000"/>
                <w:sz w:val="24"/>
                <w:highlight w:val="none"/>
              </w:rPr>
              <w:t>m</w:t>
            </w:r>
            <w:r>
              <w:rPr>
                <w:rFonts w:ascii="Times New Roman" w:hAnsi="Times New Roman" w:eastAsia="宋体"/>
                <w:b w:val="0"/>
                <w:bCs w:val="0"/>
                <w:color w:val="000000"/>
                <w:sz w:val="24"/>
                <w:highlight w:val="none"/>
                <w:vertAlign w:val="superscript"/>
              </w:rPr>
              <w:t>3</w:t>
            </w:r>
            <w:r>
              <w:rPr>
                <w:rFonts w:ascii="Times New Roman" w:hAnsi="Times New Roman" w:eastAsia="宋体"/>
                <w:b w:val="0"/>
                <w:bCs w:val="0"/>
                <w:color w:val="000000"/>
                <w:sz w:val="24"/>
                <w:highlight w:val="none"/>
              </w:rPr>
              <w:t>/h</w:t>
            </w:r>
            <w:r>
              <w:rPr>
                <w:rFonts w:hint="eastAsia" w:ascii="Times New Roman" w:hAnsi="Times New Roman" w:eastAsia="宋体"/>
                <w:b w:val="0"/>
                <w:bCs w:val="0"/>
                <w:color w:val="000000"/>
                <w:sz w:val="24"/>
                <w:highlight w:val="none"/>
                <w:lang w:val="en-US" w:eastAsia="zh-CN"/>
              </w:rPr>
              <w:t>计。</w:t>
            </w:r>
            <w:r>
              <w:rPr>
                <w:rFonts w:hint="eastAsia" w:ascii="Times New Roman" w:hAnsi="Times New Roman" w:eastAsia="宋体" w:cs="Times New Roman"/>
                <w:color w:val="000000"/>
                <w:sz w:val="24"/>
                <w:lang w:val="en-US" w:eastAsia="zh-CN"/>
              </w:rPr>
              <w:t>废气收集效率按90%计，净化效率按90%计，</w:t>
            </w:r>
            <w:r>
              <w:rPr>
                <w:rFonts w:hint="eastAsia" w:cs="Times New Roman"/>
                <w:sz w:val="24"/>
                <w:szCs w:val="32"/>
                <w:lang w:val="en-US" w:eastAsia="zh-CN"/>
              </w:rPr>
              <w:t>废油抽取工段年工作300天，每天工作按2小时计，年运行600小时。则</w:t>
            </w:r>
            <w:r>
              <w:rPr>
                <w:rFonts w:hint="default" w:ascii="Times New Roman" w:hAnsi="Times New Roman" w:cs="Times New Roman"/>
                <w:sz w:val="24"/>
                <w:szCs w:val="32"/>
              </w:rPr>
              <w:t>项目营运期</w:t>
            </w:r>
            <w:r>
              <w:rPr>
                <w:rFonts w:hint="eastAsia" w:ascii="Times New Roman" w:hAnsi="Times New Roman" w:cs="Times New Roman"/>
                <w:sz w:val="24"/>
                <w:szCs w:val="32"/>
                <w:lang w:val="en-US" w:eastAsia="zh-CN"/>
              </w:rPr>
              <w:t>废油液抽取工段</w:t>
            </w:r>
            <w:r>
              <w:rPr>
                <w:rFonts w:hint="default" w:ascii="Times New Roman" w:hAnsi="Times New Roman" w:cs="Times New Roman"/>
                <w:sz w:val="24"/>
                <w:szCs w:val="32"/>
              </w:rPr>
              <w:t>有机废气产生及排放情况见下表。</w:t>
            </w:r>
          </w:p>
          <w:p w14:paraId="576C8D78">
            <w:pPr>
              <w:tabs>
                <w:tab w:val="left" w:pos="180"/>
              </w:tabs>
              <w:snapToGrid w:val="0"/>
              <w:spacing w:line="240" w:lineRule="atLeast"/>
              <w:jc w:val="center"/>
              <w:rPr>
                <w:rFonts w:hint="default" w:ascii="Times New Roman" w:hAnsi="Times New Roman" w:cs="Times New Roman"/>
                <w:b/>
                <w:bCs/>
              </w:rPr>
            </w:pPr>
            <w:r>
              <w:rPr>
                <w:rFonts w:hint="default" w:ascii="Times New Roman" w:hAnsi="Times New Roman" w:cs="Times New Roman"/>
                <w:b/>
                <w:bCs/>
              </w:rPr>
              <w:t>表</w:t>
            </w:r>
            <w:r>
              <w:rPr>
                <w:rFonts w:hint="eastAsia" w:ascii="Times New Roman" w:hAnsi="Times New Roman" w:cs="Times New Roman"/>
                <w:b/>
                <w:bCs/>
                <w:lang w:val="en-US" w:eastAsia="zh-CN"/>
              </w:rPr>
              <w:t>4-1</w:t>
            </w:r>
            <w:r>
              <w:rPr>
                <w:rFonts w:hint="default" w:ascii="Times New Roman" w:hAnsi="Times New Roman" w:cs="Times New Roman"/>
                <w:b/>
                <w:bCs/>
              </w:rPr>
              <w:t xml:space="preserve">  </w:t>
            </w:r>
            <w:r>
              <w:rPr>
                <w:rFonts w:hint="eastAsia" w:ascii="Times New Roman" w:hAnsi="Times New Roman" w:cs="Times New Roman"/>
                <w:b/>
                <w:bCs/>
                <w:lang w:val="en-US" w:eastAsia="zh-CN"/>
              </w:rPr>
              <w:t>废油液抽取工段</w:t>
            </w:r>
            <w:r>
              <w:rPr>
                <w:rFonts w:hint="default" w:ascii="Times New Roman" w:hAnsi="Times New Roman" w:cs="Times New Roman"/>
                <w:b/>
                <w:bCs/>
              </w:rPr>
              <w:t>有机废气产生及排放情况一览表</w:t>
            </w:r>
          </w:p>
          <w:tbl>
            <w:tblPr>
              <w:tblStyle w:val="25"/>
              <w:tblW w:w="7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846"/>
              <w:gridCol w:w="804"/>
              <w:gridCol w:w="819"/>
              <w:gridCol w:w="750"/>
              <w:gridCol w:w="1677"/>
              <w:gridCol w:w="818"/>
              <w:gridCol w:w="805"/>
              <w:gridCol w:w="720"/>
            </w:tblGrid>
            <w:tr w14:paraId="34F0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738" w:type="dxa"/>
                  <w:vMerge w:val="restart"/>
                  <w:vAlign w:val="center"/>
                </w:tcPr>
                <w:p w14:paraId="1BE2075A">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排放方式</w:t>
                  </w:r>
                </w:p>
              </w:tc>
              <w:tc>
                <w:tcPr>
                  <w:tcW w:w="846" w:type="dxa"/>
                  <w:vMerge w:val="restart"/>
                  <w:vAlign w:val="center"/>
                </w:tcPr>
                <w:p w14:paraId="76B1DE21">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2373" w:type="dxa"/>
                  <w:gridSpan w:val="3"/>
                  <w:vAlign w:val="center"/>
                </w:tcPr>
                <w:p w14:paraId="5018451D">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产生源强</w:t>
                  </w:r>
                </w:p>
              </w:tc>
              <w:tc>
                <w:tcPr>
                  <w:tcW w:w="1677" w:type="dxa"/>
                  <w:vMerge w:val="restart"/>
                  <w:vAlign w:val="center"/>
                </w:tcPr>
                <w:p w14:paraId="718142E4">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处理措施</w:t>
                  </w:r>
                </w:p>
              </w:tc>
              <w:tc>
                <w:tcPr>
                  <w:tcW w:w="2343" w:type="dxa"/>
                  <w:gridSpan w:val="3"/>
                  <w:vAlign w:val="center"/>
                </w:tcPr>
                <w:p w14:paraId="567244F9">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排放源强</w:t>
                  </w:r>
                </w:p>
              </w:tc>
            </w:tr>
            <w:tr w14:paraId="5105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738" w:type="dxa"/>
                  <w:vMerge w:val="continue"/>
                  <w:vAlign w:val="center"/>
                </w:tcPr>
                <w:p w14:paraId="7BD2E989">
                  <w:pPr>
                    <w:pStyle w:val="29"/>
                    <w:spacing w:line="240" w:lineRule="auto"/>
                    <w:jc w:val="center"/>
                    <w:rPr>
                      <w:rFonts w:hint="default" w:ascii="Times New Roman" w:hAnsi="Times New Roman" w:eastAsia="宋体" w:cs="Times New Roman"/>
                      <w:b/>
                      <w:bCs/>
                      <w:sz w:val="21"/>
                      <w:szCs w:val="21"/>
                    </w:rPr>
                  </w:pPr>
                </w:p>
              </w:tc>
              <w:tc>
                <w:tcPr>
                  <w:tcW w:w="846" w:type="dxa"/>
                  <w:vMerge w:val="continue"/>
                  <w:vAlign w:val="center"/>
                </w:tcPr>
                <w:p w14:paraId="081A26F3">
                  <w:pPr>
                    <w:pStyle w:val="29"/>
                    <w:spacing w:line="240" w:lineRule="auto"/>
                    <w:jc w:val="center"/>
                    <w:rPr>
                      <w:rFonts w:hint="default" w:ascii="Times New Roman" w:hAnsi="Times New Roman" w:eastAsia="宋体" w:cs="Times New Roman"/>
                      <w:b/>
                      <w:bCs/>
                      <w:sz w:val="21"/>
                      <w:szCs w:val="21"/>
                    </w:rPr>
                  </w:pPr>
                </w:p>
              </w:tc>
              <w:tc>
                <w:tcPr>
                  <w:tcW w:w="804" w:type="dxa"/>
                  <w:vAlign w:val="center"/>
                </w:tcPr>
                <w:p w14:paraId="5FF249F3">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产生浓度mg/m</w:t>
                  </w:r>
                  <w:r>
                    <w:rPr>
                      <w:rFonts w:hint="default" w:ascii="Times New Roman" w:hAnsi="Times New Roman" w:eastAsia="宋体" w:cs="Times New Roman"/>
                      <w:b/>
                      <w:bCs/>
                      <w:sz w:val="21"/>
                      <w:szCs w:val="21"/>
                      <w:vertAlign w:val="superscript"/>
                    </w:rPr>
                    <w:t>3</w:t>
                  </w:r>
                </w:p>
              </w:tc>
              <w:tc>
                <w:tcPr>
                  <w:tcW w:w="819" w:type="dxa"/>
                  <w:vAlign w:val="center"/>
                </w:tcPr>
                <w:p w14:paraId="019C89D4">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产生速率kg/h</w:t>
                  </w:r>
                </w:p>
              </w:tc>
              <w:tc>
                <w:tcPr>
                  <w:tcW w:w="750" w:type="dxa"/>
                  <w:vAlign w:val="center"/>
                </w:tcPr>
                <w:p w14:paraId="2228861E">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产生量t/a</w:t>
                  </w:r>
                </w:p>
              </w:tc>
              <w:tc>
                <w:tcPr>
                  <w:tcW w:w="1677" w:type="dxa"/>
                  <w:vMerge w:val="continue"/>
                  <w:vAlign w:val="center"/>
                </w:tcPr>
                <w:p w14:paraId="3D3167AA">
                  <w:pPr>
                    <w:pStyle w:val="29"/>
                    <w:spacing w:line="240" w:lineRule="auto"/>
                    <w:jc w:val="center"/>
                    <w:rPr>
                      <w:rFonts w:hint="default" w:ascii="Times New Roman" w:hAnsi="Times New Roman" w:eastAsia="宋体" w:cs="Times New Roman"/>
                      <w:b/>
                      <w:bCs/>
                      <w:sz w:val="21"/>
                      <w:szCs w:val="21"/>
                    </w:rPr>
                  </w:pPr>
                </w:p>
              </w:tc>
              <w:tc>
                <w:tcPr>
                  <w:tcW w:w="818" w:type="dxa"/>
                  <w:vAlign w:val="center"/>
                </w:tcPr>
                <w:p w14:paraId="1E721BB8">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排放浓度mg/m</w:t>
                  </w:r>
                  <w:r>
                    <w:rPr>
                      <w:rFonts w:hint="default" w:ascii="Times New Roman" w:hAnsi="Times New Roman" w:eastAsia="宋体" w:cs="Times New Roman"/>
                      <w:b/>
                      <w:bCs/>
                      <w:sz w:val="21"/>
                      <w:szCs w:val="21"/>
                      <w:vertAlign w:val="superscript"/>
                    </w:rPr>
                    <w:t>3</w:t>
                  </w:r>
                </w:p>
              </w:tc>
              <w:tc>
                <w:tcPr>
                  <w:tcW w:w="805" w:type="dxa"/>
                  <w:vAlign w:val="center"/>
                </w:tcPr>
                <w:p w14:paraId="23FE41D0">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排放速率kg/h</w:t>
                  </w:r>
                </w:p>
              </w:tc>
              <w:tc>
                <w:tcPr>
                  <w:tcW w:w="720" w:type="dxa"/>
                  <w:vAlign w:val="center"/>
                </w:tcPr>
                <w:p w14:paraId="7B0034D5">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排放量t/a</w:t>
                  </w:r>
                </w:p>
              </w:tc>
            </w:tr>
            <w:tr w14:paraId="341B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38" w:type="dxa"/>
                  <w:vAlign w:val="center"/>
                </w:tcPr>
                <w:p w14:paraId="43144DF9">
                  <w:pPr>
                    <w:pStyle w:val="29"/>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有组织</w:t>
                  </w:r>
                </w:p>
              </w:tc>
              <w:tc>
                <w:tcPr>
                  <w:tcW w:w="846" w:type="dxa"/>
                  <w:vAlign w:val="center"/>
                </w:tcPr>
                <w:p w14:paraId="5AEC296F">
                  <w:pPr>
                    <w:pStyle w:val="29"/>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非甲烷总烃</w:t>
                  </w:r>
                </w:p>
              </w:tc>
              <w:tc>
                <w:tcPr>
                  <w:tcW w:w="804" w:type="dxa"/>
                  <w:vAlign w:val="center"/>
                </w:tcPr>
                <w:p w14:paraId="77270E16">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58.8</w:t>
                  </w:r>
                </w:p>
              </w:tc>
              <w:tc>
                <w:tcPr>
                  <w:tcW w:w="819" w:type="dxa"/>
                  <w:vAlign w:val="center"/>
                </w:tcPr>
                <w:p w14:paraId="642FAF7A">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0.412</w:t>
                  </w:r>
                </w:p>
              </w:tc>
              <w:tc>
                <w:tcPr>
                  <w:tcW w:w="750" w:type="dxa"/>
                  <w:vAlign w:val="center"/>
                </w:tcPr>
                <w:p w14:paraId="6A657758">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0.247</w:t>
                  </w:r>
                </w:p>
              </w:tc>
              <w:tc>
                <w:tcPr>
                  <w:tcW w:w="1677" w:type="dxa"/>
                  <w:vAlign w:val="center"/>
                </w:tcPr>
                <w:p w14:paraId="5403B287">
                  <w:pPr>
                    <w:spacing w:line="240" w:lineRule="auto"/>
                    <w:jc w:val="center"/>
                    <w:rPr>
                      <w:rFonts w:hint="eastAsia" w:ascii="Times New Roman" w:hAnsi="Times New Roman" w:eastAsia="宋体" w:cs="Times New Roman"/>
                      <w:b w:val="0"/>
                      <w:bCs w:val="0"/>
                      <w:sz w:val="21"/>
                      <w:szCs w:val="21"/>
                      <w:lang w:eastAsia="zh-CN"/>
                    </w:rPr>
                  </w:pPr>
                  <w:r>
                    <w:rPr>
                      <w:rFonts w:hint="eastAsia" w:cs="Times New Roman"/>
                      <w:b w:val="0"/>
                      <w:bCs w:val="0"/>
                      <w:sz w:val="21"/>
                      <w:szCs w:val="21"/>
                      <w:lang w:val="en-US" w:eastAsia="zh-CN"/>
                    </w:rPr>
                    <w:t>二级</w:t>
                  </w:r>
                  <w:r>
                    <w:rPr>
                      <w:rFonts w:hint="default" w:ascii="Times New Roman" w:hAnsi="Times New Roman" w:cs="Times New Roman"/>
                      <w:b w:val="0"/>
                      <w:bCs w:val="0"/>
                      <w:sz w:val="21"/>
                      <w:szCs w:val="21"/>
                    </w:rPr>
                    <w:t>活性炭吸附+15m高排气筒</w:t>
                  </w:r>
                  <w:r>
                    <w:rPr>
                      <w:rFonts w:hint="eastAsia" w:ascii="Times New Roman" w:hAnsi="Times New Roman" w:cs="Times New Roman"/>
                      <w:b w:val="0"/>
                      <w:bCs w:val="0"/>
                      <w:sz w:val="21"/>
                      <w:szCs w:val="21"/>
                      <w:lang w:eastAsia="zh-CN"/>
                    </w:rPr>
                    <w:t>（</w:t>
                  </w:r>
                  <w:r>
                    <w:rPr>
                      <w:rFonts w:hint="eastAsia" w:ascii="Times New Roman" w:hAnsi="Times New Roman" w:cs="Times New Roman"/>
                      <w:b w:val="0"/>
                      <w:bCs w:val="0"/>
                      <w:sz w:val="21"/>
                      <w:szCs w:val="21"/>
                      <w:lang w:val="en-US" w:eastAsia="zh-CN"/>
                    </w:rPr>
                    <w:t>DA001</w:t>
                  </w:r>
                  <w:r>
                    <w:rPr>
                      <w:rFonts w:hint="eastAsia" w:ascii="Times New Roman" w:hAnsi="Times New Roman" w:cs="Times New Roman"/>
                      <w:b w:val="0"/>
                      <w:bCs w:val="0"/>
                      <w:sz w:val="21"/>
                      <w:szCs w:val="21"/>
                      <w:lang w:eastAsia="zh-CN"/>
                    </w:rPr>
                    <w:t>）</w:t>
                  </w:r>
                </w:p>
              </w:tc>
              <w:tc>
                <w:tcPr>
                  <w:tcW w:w="818" w:type="dxa"/>
                  <w:vAlign w:val="center"/>
                </w:tcPr>
                <w:p w14:paraId="26C17949">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5.88</w:t>
                  </w:r>
                </w:p>
              </w:tc>
              <w:tc>
                <w:tcPr>
                  <w:tcW w:w="805" w:type="dxa"/>
                  <w:vAlign w:val="center"/>
                </w:tcPr>
                <w:p w14:paraId="4C0CFC1F">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0.041</w:t>
                  </w:r>
                </w:p>
              </w:tc>
              <w:tc>
                <w:tcPr>
                  <w:tcW w:w="720" w:type="dxa"/>
                  <w:vAlign w:val="center"/>
                </w:tcPr>
                <w:p w14:paraId="0E83BF00">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0.025</w:t>
                  </w:r>
                </w:p>
              </w:tc>
            </w:tr>
            <w:tr w14:paraId="4D7C8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38" w:type="dxa"/>
                  <w:vAlign w:val="center"/>
                </w:tcPr>
                <w:p w14:paraId="15611C1D">
                  <w:pPr>
                    <w:pStyle w:val="29"/>
                    <w:spacing w:line="240" w:lineRule="auto"/>
                    <w:jc w:val="center"/>
                    <w:rPr>
                      <w:rFonts w:hint="default" w:ascii="Times New Roman" w:hAnsi="Times New Roman" w:cs="Times New Roman"/>
                      <w:b w:val="0"/>
                      <w:bCs w:val="0"/>
                      <w:sz w:val="21"/>
                      <w:szCs w:val="21"/>
                    </w:rPr>
                  </w:pPr>
                  <w:r>
                    <w:rPr>
                      <w:rFonts w:hint="default" w:ascii="Times New Roman" w:hAnsi="Times New Roman" w:eastAsia="宋体" w:cs="Times New Roman"/>
                      <w:b w:val="0"/>
                      <w:bCs w:val="0"/>
                      <w:sz w:val="21"/>
                      <w:szCs w:val="21"/>
                    </w:rPr>
                    <w:t>无组织</w:t>
                  </w:r>
                </w:p>
              </w:tc>
              <w:tc>
                <w:tcPr>
                  <w:tcW w:w="846" w:type="dxa"/>
                  <w:vAlign w:val="center"/>
                </w:tcPr>
                <w:p w14:paraId="62ED4E0D">
                  <w:pPr>
                    <w:pStyle w:val="29"/>
                    <w:spacing w:line="240" w:lineRule="auto"/>
                    <w:jc w:val="center"/>
                    <w:rPr>
                      <w:rFonts w:hint="default" w:ascii="Times New Roman" w:hAnsi="Times New Roman" w:cs="Times New Roman"/>
                      <w:b w:val="0"/>
                      <w:bCs w:val="0"/>
                      <w:sz w:val="21"/>
                      <w:szCs w:val="21"/>
                    </w:rPr>
                  </w:pPr>
                  <w:r>
                    <w:rPr>
                      <w:rFonts w:hint="default" w:ascii="Times New Roman" w:hAnsi="Times New Roman" w:eastAsia="宋体" w:cs="Times New Roman"/>
                      <w:b w:val="0"/>
                      <w:bCs w:val="0"/>
                      <w:sz w:val="21"/>
                      <w:szCs w:val="21"/>
                    </w:rPr>
                    <w:t>非甲烷总烃</w:t>
                  </w:r>
                </w:p>
              </w:tc>
              <w:tc>
                <w:tcPr>
                  <w:tcW w:w="804" w:type="dxa"/>
                  <w:vAlign w:val="center"/>
                </w:tcPr>
                <w:p w14:paraId="7011C10D">
                  <w:pPr>
                    <w:pStyle w:val="29"/>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w:t>
                  </w:r>
                </w:p>
              </w:tc>
              <w:tc>
                <w:tcPr>
                  <w:tcW w:w="819" w:type="dxa"/>
                  <w:vAlign w:val="center"/>
                </w:tcPr>
                <w:p w14:paraId="6869B737">
                  <w:pPr>
                    <w:pStyle w:val="29"/>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0.0</w:t>
                  </w:r>
                  <w:r>
                    <w:rPr>
                      <w:rFonts w:hint="eastAsia" w:ascii="Times New Roman" w:hAnsi="Times New Roman" w:eastAsia="宋体" w:cs="Times New Roman"/>
                      <w:b w:val="0"/>
                      <w:bCs w:val="0"/>
                      <w:sz w:val="21"/>
                      <w:szCs w:val="21"/>
                      <w:lang w:val="en-US" w:eastAsia="zh-CN"/>
                    </w:rPr>
                    <w:t>45</w:t>
                  </w:r>
                </w:p>
              </w:tc>
              <w:tc>
                <w:tcPr>
                  <w:tcW w:w="750" w:type="dxa"/>
                  <w:vAlign w:val="center"/>
                </w:tcPr>
                <w:p w14:paraId="797FFD7E">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0.027</w:t>
                  </w:r>
                </w:p>
              </w:tc>
              <w:tc>
                <w:tcPr>
                  <w:tcW w:w="1677" w:type="dxa"/>
                  <w:vAlign w:val="center"/>
                </w:tcPr>
                <w:p w14:paraId="26880714">
                  <w:pPr>
                    <w:pStyle w:val="29"/>
                    <w:spacing w:line="240" w:lineRule="auto"/>
                    <w:jc w:val="center"/>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val="en-US" w:eastAsia="zh-CN"/>
                    </w:rPr>
                    <w:t>/</w:t>
                  </w:r>
                </w:p>
              </w:tc>
              <w:tc>
                <w:tcPr>
                  <w:tcW w:w="818" w:type="dxa"/>
                  <w:vAlign w:val="center"/>
                </w:tcPr>
                <w:p w14:paraId="57826585">
                  <w:pPr>
                    <w:pStyle w:val="29"/>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w:t>
                  </w:r>
                </w:p>
              </w:tc>
              <w:tc>
                <w:tcPr>
                  <w:tcW w:w="805" w:type="dxa"/>
                  <w:vAlign w:val="center"/>
                </w:tcPr>
                <w:p w14:paraId="29769655">
                  <w:pPr>
                    <w:pStyle w:val="29"/>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0.0</w:t>
                  </w:r>
                  <w:r>
                    <w:rPr>
                      <w:rFonts w:hint="eastAsia" w:ascii="Times New Roman" w:hAnsi="Times New Roman" w:eastAsia="宋体" w:cs="Times New Roman"/>
                      <w:b w:val="0"/>
                      <w:bCs w:val="0"/>
                      <w:sz w:val="21"/>
                      <w:szCs w:val="21"/>
                      <w:lang w:val="en-US" w:eastAsia="zh-CN"/>
                    </w:rPr>
                    <w:t>45</w:t>
                  </w:r>
                </w:p>
              </w:tc>
              <w:tc>
                <w:tcPr>
                  <w:tcW w:w="720" w:type="dxa"/>
                  <w:vAlign w:val="center"/>
                </w:tcPr>
                <w:p w14:paraId="19E0DA11">
                  <w:pPr>
                    <w:pStyle w:val="29"/>
                    <w:spacing w:line="240" w:lineRule="auto"/>
                    <w:jc w:val="center"/>
                    <w:rPr>
                      <w:rFonts w:hint="default" w:ascii="Times New Roman" w:hAnsi="Times New Roman" w:eastAsia="宋体" w:cs="Times New Roman"/>
                      <w:b w:val="0"/>
                      <w:bCs w:val="0"/>
                      <w:sz w:val="21"/>
                      <w:szCs w:val="21"/>
                      <w:lang w:val="en-US"/>
                    </w:rPr>
                  </w:pPr>
                  <w:r>
                    <w:rPr>
                      <w:rFonts w:hint="eastAsia" w:ascii="Times New Roman" w:hAnsi="Times New Roman" w:eastAsia="宋体" w:cs="Times New Roman"/>
                      <w:b w:val="0"/>
                      <w:bCs w:val="0"/>
                      <w:sz w:val="21"/>
                      <w:szCs w:val="21"/>
                      <w:lang w:val="en-US" w:eastAsia="zh-CN"/>
                    </w:rPr>
                    <w:t>0.027</w:t>
                  </w:r>
                </w:p>
              </w:tc>
            </w:tr>
          </w:tbl>
          <w:p w14:paraId="09AAD82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bCs/>
                <w:sz w:val="24"/>
                <w:szCs w:val="22"/>
              </w:rPr>
            </w:pPr>
            <w:r>
              <w:rPr>
                <w:rFonts w:hint="eastAsia"/>
                <w:sz w:val="24"/>
                <w:szCs w:val="32"/>
                <w:lang w:val="en-US" w:eastAsia="zh-CN"/>
              </w:rPr>
              <w:t>由上表可知，本项目废油液抽取工段有组织非甲烷总烃排放浓度满足</w:t>
            </w:r>
            <w:r>
              <w:rPr>
                <w:rFonts w:ascii="Times New Roman" w:hAnsi="Times New Roman" w:eastAsia="宋体" w:cs="Times New Roman"/>
                <w:sz w:val="24"/>
              </w:rPr>
              <w:t>《</w:t>
            </w:r>
            <w:r>
              <w:rPr>
                <w:rFonts w:hint="eastAsia" w:ascii="Times New Roman" w:hAnsi="Times New Roman" w:eastAsia="宋体" w:cs="Times New Roman"/>
                <w:sz w:val="24"/>
                <w:lang w:val="en-US" w:eastAsia="zh-CN"/>
              </w:rPr>
              <w:t>大气污染物</w:t>
            </w:r>
            <w:r>
              <w:rPr>
                <w:rFonts w:hint="eastAsia" w:cs="Times New Roman"/>
                <w:sz w:val="24"/>
                <w:lang w:val="en-US" w:eastAsia="zh-CN"/>
              </w:rPr>
              <w:t>综合</w:t>
            </w:r>
            <w:r>
              <w:rPr>
                <w:rFonts w:ascii="Times New Roman" w:hAnsi="Times New Roman" w:eastAsia="宋体" w:cs="Times New Roman"/>
                <w:sz w:val="24"/>
              </w:rPr>
              <w:t>排放标准》（</w:t>
            </w:r>
            <w:r>
              <w:rPr>
                <w:rFonts w:hint="eastAsia" w:cs="Times New Roman"/>
                <w:sz w:val="24"/>
                <w:lang w:val="en-US" w:eastAsia="zh-CN"/>
              </w:rPr>
              <w:t>GB16297-1996</w:t>
            </w:r>
            <w:r>
              <w:rPr>
                <w:rFonts w:ascii="Times New Roman" w:hAnsi="Times New Roman" w:eastAsia="宋体" w:cs="Times New Roman"/>
                <w:sz w:val="24"/>
              </w:rPr>
              <w:t>）</w:t>
            </w:r>
            <w:r>
              <w:rPr>
                <w:rFonts w:hint="eastAsia" w:cs="Times New Roman"/>
                <w:sz w:val="24"/>
                <w:lang w:val="en-US" w:eastAsia="zh-CN"/>
              </w:rPr>
              <w:t>表2</w:t>
            </w:r>
            <w:r>
              <w:rPr>
                <w:rFonts w:ascii="Times New Roman" w:hAnsi="Times New Roman" w:eastAsia="宋体" w:cs="Times New Roman"/>
                <w:sz w:val="24"/>
              </w:rPr>
              <w:t>中</w:t>
            </w:r>
            <w:r>
              <w:rPr>
                <w:rFonts w:hint="eastAsia" w:cs="Times New Roman"/>
                <w:sz w:val="24"/>
                <w:lang w:val="en-US" w:eastAsia="zh-CN"/>
              </w:rPr>
              <w:t>二级标准</w:t>
            </w:r>
            <w:r>
              <w:rPr>
                <w:rFonts w:hint="eastAsia"/>
                <w:bCs/>
                <w:sz w:val="24"/>
                <w:szCs w:val="22"/>
              </w:rPr>
              <w:t>。</w:t>
            </w:r>
          </w:p>
          <w:p w14:paraId="7390AB24">
            <w:pPr>
              <w:spacing w:line="360" w:lineRule="auto"/>
              <w:ind w:firstLine="480" w:firstLineChars="200"/>
              <w:rPr>
                <w:rFonts w:hint="default" w:ascii="Times New Roman" w:hAnsi="Times New Roman" w:cs="Times New Roman"/>
                <w:sz w:val="24"/>
                <w:szCs w:val="32"/>
                <w:lang w:val="en-US" w:eastAsia="zh-CN"/>
              </w:rPr>
            </w:pPr>
            <w:r>
              <w:rPr>
                <w:rFonts w:hint="eastAsia" w:cs="Times New Roman"/>
                <w:sz w:val="24"/>
                <w:szCs w:val="32"/>
                <w:lang w:val="en-US" w:eastAsia="zh-CN"/>
              </w:rPr>
              <w:t>（2）</w:t>
            </w:r>
            <w:r>
              <w:rPr>
                <w:rFonts w:hint="eastAsia" w:ascii="Times New Roman" w:hAnsi="Times New Roman" w:cs="Times New Roman"/>
                <w:sz w:val="24"/>
                <w:szCs w:val="32"/>
                <w:lang w:val="en-US" w:eastAsia="zh-CN"/>
              </w:rPr>
              <w:t>废油液贮存废气</w:t>
            </w:r>
          </w:p>
          <w:p w14:paraId="1C238081">
            <w:pPr>
              <w:spacing w:line="360" w:lineRule="auto"/>
              <w:ind w:firstLine="480" w:firstLineChars="200"/>
              <w:rPr>
                <w:rFonts w:hint="default" w:ascii="Times New Roman" w:hAnsi="Times New Roman" w:cs="Times New Roman"/>
                <w:sz w:val="24"/>
                <w:szCs w:val="32"/>
              </w:rPr>
            </w:pPr>
            <w:r>
              <w:rPr>
                <w:rFonts w:hint="eastAsia" w:ascii="Times New Roman" w:hAnsi="Times New Roman" w:cs="Times New Roman"/>
                <w:sz w:val="24"/>
                <w:szCs w:val="32"/>
                <w:lang w:val="en-US" w:eastAsia="zh-CN"/>
              </w:rPr>
              <w:t>项目</w:t>
            </w:r>
            <w:r>
              <w:rPr>
                <w:rFonts w:hint="default" w:ascii="Times New Roman" w:hAnsi="Times New Roman" w:cs="Times New Roman"/>
                <w:sz w:val="24"/>
                <w:szCs w:val="32"/>
              </w:rPr>
              <w:t>抽取后</w:t>
            </w:r>
            <w:r>
              <w:rPr>
                <w:rFonts w:hint="eastAsia" w:ascii="Times New Roman" w:hAnsi="Times New Roman" w:cs="Times New Roman"/>
                <w:sz w:val="24"/>
                <w:szCs w:val="32"/>
                <w:lang w:val="en-US" w:eastAsia="zh-CN"/>
              </w:rPr>
              <w:t>的废油液</w:t>
            </w:r>
            <w:r>
              <w:rPr>
                <w:rFonts w:hint="default" w:ascii="Times New Roman" w:hAnsi="Times New Roman" w:cs="Times New Roman"/>
                <w:sz w:val="24"/>
                <w:szCs w:val="32"/>
              </w:rPr>
              <w:t>采用密闭</w:t>
            </w:r>
            <w:r>
              <w:rPr>
                <w:rFonts w:hint="eastAsia" w:ascii="Times New Roman" w:hAnsi="Times New Roman" w:cs="Times New Roman"/>
                <w:sz w:val="24"/>
                <w:szCs w:val="32"/>
                <w:lang w:val="en-US" w:eastAsia="zh-CN"/>
              </w:rPr>
              <w:t>容器</w:t>
            </w:r>
            <w:r>
              <w:rPr>
                <w:rFonts w:hint="default" w:ascii="Times New Roman" w:hAnsi="Times New Roman" w:cs="Times New Roman"/>
                <w:sz w:val="24"/>
                <w:szCs w:val="32"/>
              </w:rPr>
              <w:t>收集后分类暂存危废暂存间</w:t>
            </w:r>
            <w:r>
              <w:rPr>
                <w:rFonts w:hint="eastAsia" w:cs="Times New Roman"/>
                <w:sz w:val="24"/>
                <w:szCs w:val="32"/>
                <w:lang w:eastAsia="zh-CN"/>
              </w:rPr>
              <w:t>，</w:t>
            </w:r>
            <w:r>
              <w:rPr>
                <w:rFonts w:hint="default" w:ascii="Times New Roman" w:hAnsi="Times New Roman" w:cs="Times New Roman"/>
                <w:sz w:val="24"/>
                <w:szCs w:val="32"/>
              </w:rPr>
              <w:t>油液储存过程中，会有少量的有机废气挥发</w:t>
            </w:r>
            <w:r>
              <w:rPr>
                <w:rFonts w:hint="eastAsia" w:ascii="Times New Roman" w:hAnsi="Times New Roman" w:cs="Times New Roman"/>
                <w:sz w:val="24"/>
                <w:szCs w:val="32"/>
                <w:lang w:eastAsia="zh-CN"/>
              </w:rPr>
              <w:t>，</w:t>
            </w:r>
            <w:r>
              <w:rPr>
                <w:rFonts w:hint="eastAsia" w:ascii="Times New Roman" w:hAnsi="Times New Roman" w:cs="Times New Roman"/>
                <w:sz w:val="24"/>
                <w:szCs w:val="32"/>
                <w:lang w:val="en-US" w:eastAsia="zh-CN"/>
              </w:rPr>
              <w:t>以非甲烷总烃计</w:t>
            </w:r>
            <w:r>
              <w:rPr>
                <w:rFonts w:hint="default" w:ascii="Times New Roman" w:hAnsi="Times New Roman" w:cs="Times New Roman"/>
                <w:sz w:val="24"/>
                <w:szCs w:val="32"/>
              </w:rPr>
              <w:t>。本项目营运期废油液收集量为</w:t>
            </w:r>
            <w:r>
              <w:rPr>
                <w:rFonts w:hint="eastAsia" w:cs="Times New Roman"/>
                <w:sz w:val="24"/>
                <w:szCs w:val="32"/>
                <w:lang w:val="en-US" w:eastAsia="zh-CN"/>
              </w:rPr>
              <w:t>54.75</w:t>
            </w:r>
            <w:r>
              <w:rPr>
                <w:rFonts w:hint="default" w:ascii="Times New Roman" w:hAnsi="Times New Roman" w:cs="Times New Roman"/>
                <w:sz w:val="24"/>
                <w:szCs w:val="32"/>
              </w:rPr>
              <w:t>t/a</w:t>
            </w:r>
            <w:r>
              <w:rPr>
                <w:rFonts w:hint="eastAsia" w:ascii="Times New Roman" w:hAnsi="Times New Roman" w:cs="Times New Roman"/>
                <w:sz w:val="24"/>
                <w:szCs w:val="32"/>
                <w:lang w:eastAsia="zh-CN"/>
              </w:rPr>
              <w:t>，</w:t>
            </w:r>
            <w:r>
              <w:rPr>
                <w:rFonts w:hint="default" w:ascii="Times New Roman" w:hAnsi="Times New Roman" w:cs="Times New Roman"/>
                <w:sz w:val="24"/>
                <w:szCs w:val="32"/>
              </w:rPr>
              <w:t>根据《抑制汽油挥发技术进展》（2002年油气储运，作者浮东宝），石油及其产品在储运过程中的损耗率高达0.4‰～0.8‰，本评价取0.8‰，则废油液贮存工段有机废气产生量约为0.</w:t>
            </w:r>
            <w:r>
              <w:rPr>
                <w:rFonts w:hint="eastAsia" w:ascii="Times New Roman" w:hAnsi="Times New Roman" w:cs="Times New Roman"/>
                <w:sz w:val="24"/>
                <w:szCs w:val="32"/>
                <w:lang w:val="en-US" w:eastAsia="zh-CN"/>
              </w:rPr>
              <w:t>0</w:t>
            </w:r>
            <w:r>
              <w:rPr>
                <w:rFonts w:hint="eastAsia" w:cs="Times New Roman"/>
                <w:sz w:val="24"/>
                <w:szCs w:val="32"/>
                <w:lang w:val="en-US" w:eastAsia="zh-CN"/>
              </w:rPr>
              <w:t>44</w:t>
            </w:r>
            <w:r>
              <w:rPr>
                <w:rFonts w:hint="default" w:ascii="Times New Roman" w:hAnsi="Times New Roman" w:cs="Times New Roman"/>
                <w:sz w:val="24"/>
                <w:szCs w:val="32"/>
              </w:rPr>
              <w:t>t/a。</w:t>
            </w:r>
          </w:p>
          <w:p w14:paraId="29DF6DE9">
            <w:pPr>
              <w:spacing w:line="360" w:lineRule="auto"/>
              <w:ind w:firstLine="480" w:firstLineChars="200"/>
              <w:rPr>
                <w:rFonts w:hint="default" w:ascii="Times New Roman" w:hAnsi="Times New Roman" w:cs="Times New Roman"/>
                <w:sz w:val="24"/>
                <w:szCs w:val="32"/>
              </w:rPr>
            </w:pPr>
            <w:r>
              <w:rPr>
                <w:rFonts w:hint="eastAsia" w:ascii="Times New Roman" w:hAnsi="Times New Roman" w:cs="Times New Roman"/>
                <w:sz w:val="24"/>
                <w:szCs w:val="32"/>
                <w:lang w:val="en-US" w:eastAsia="zh-CN"/>
              </w:rPr>
              <w:t>建设单位对废油液暂存区域实行封闭处理，废油液贮存工段挥发产生的有机废气经负压收集后</w:t>
            </w:r>
            <w:r>
              <w:rPr>
                <w:rFonts w:hint="default" w:ascii="Times New Roman" w:hAnsi="Times New Roman" w:cs="Times New Roman"/>
                <w:sz w:val="24"/>
                <w:szCs w:val="32"/>
              </w:rPr>
              <w:t>，引至</w:t>
            </w:r>
            <w:r>
              <w:rPr>
                <w:rFonts w:hint="eastAsia" w:cs="Times New Roman"/>
                <w:sz w:val="24"/>
                <w:szCs w:val="32"/>
                <w:lang w:val="en-US" w:eastAsia="zh-CN"/>
              </w:rPr>
              <w:t>二级</w:t>
            </w:r>
            <w:r>
              <w:rPr>
                <w:rFonts w:hint="default" w:ascii="Times New Roman" w:hAnsi="Times New Roman" w:cs="Times New Roman"/>
                <w:sz w:val="24"/>
                <w:szCs w:val="32"/>
              </w:rPr>
              <w:t>活性炭吸附装置</w:t>
            </w:r>
            <w:r>
              <w:rPr>
                <w:rFonts w:hint="eastAsia" w:cs="Times New Roman"/>
                <w:sz w:val="24"/>
                <w:szCs w:val="32"/>
                <w:lang w:val="en-US" w:eastAsia="zh-CN"/>
              </w:rPr>
              <w:t>净化</w:t>
            </w:r>
            <w:r>
              <w:rPr>
                <w:rFonts w:hint="default" w:ascii="Times New Roman" w:hAnsi="Times New Roman" w:cs="Times New Roman"/>
                <w:sz w:val="24"/>
                <w:szCs w:val="32"/>
              </w:rPr>
              <w:t>处理</w:t>
            </w:r>
            <w:r>
              <w:rPr>
                <w:rFonts w:hint="eastAsia" w:cs="Times New Roman"/>
                <w:sz w:val="24"/>
                <w:szCs w:val="32"/>
                <w:lang w:val="en-US" w:eastAsia="zh-CN"/>
              </w:rPr>
              <w:t>后</w:t>
            </w:r>
            <w:r>
              <w:rPr>
                <w:rFonts w:hint="default" w:ascii="Times New Roman" w:hAnsi="Times New Roman" w:cs="Times New Roman"/>
                <w:sz w:val="24"/>
                <w:szCs w:val="32"/>
              </w:rPr>
              <w:t>，</w:t>
            </w:r>
            <w:r>
              <w:rPr>
                <w:rFonts w:hint="eastAsia" w:cs="Times New Roman"/>
                <w:sz w:val="24"/>
                <w:szCs w:val="32"/>
                <w:lang w:val="en-US" w:eastAsia="zh-CN"/>
              </w:rPr>
              <w:t>通过</w:t>
            </w:r>
            <w:r>
              <w:rPr>
                <w:rFonts w:hint="default" w:ascii="Times New Roman" w:hAnsi="Times New Roman" w:cs="Times New Roman"/>
                <w:sz w:val="24"/>
                <w:szCs w:val="32"/>
              </w:rPr>
              <w:t>15m高排气筒</w:t>
            </w:r>
            <w:r>
              <w:rPr>
                <w:rFonts w:hint="eastAsia" w:ascii="Times New Roman" w:hAnsi="Times New Roman" w:cs="Times New Roman"/>
                <w:sz w:val="24"/>
                <w:szCs w:val="32"/>
                <w:lang w:eastAsia="zh-CN"/>
              </w:rPr>
              <w:t>（</w:t>
            </w:r>
            <w:r>
              <w:rPr>
                <w:rFonts w:hint="eastAsia" w:ascii="Times New Roman" w:hAnsi="Times New Roman" w:cs="Times New Roman"/>
                <w:sz w:val="24"/>
                <w:szCs w:val="32"/>
                <w:lang w:val="en-US" w:eastAsia="zh-CN"/>
              </w:rPr>
              <w:t>DA00</w:t>
            </w:r>
            <w:r>
              <w:rPr>
                <w:rFonts w:hint="eastAsia" w:cs="Times New Roman"/>
                <w:sz w:val="24"/>
                <w:szCs w:val="32"/>
                <w:lang w:val="en-US" w:eastAsia="zh-CN"/>
              </w:rPr>
              <w:t>2</w:t>
            </w:r>
            <w:r>
              <w:rPr>
                <w:rFonts w:hint="eastAsia" w:ascii="Times New Roman" w:hAnsi="Times New Roman" w:cs="Times New Roman"/>
                <w:sz w:val="24"/>
                <w:szCs w:val="32"/>
                <w:lang w:eastAsia="zh-CN"/>
              </w:rPr>
              <w:t>）</w:t>
            </w:r>
            <w:r>
              <w:rPr>
                <w:rFonts w:hint="default" w:ascii="Times New Roman" w:hAnsi="Times New Roman" w:cs="Times New Roman"/>
                <w:sz w:val="24"/>
                <w:szCs w:val="32"/>
              </w:rPr>
              <w:t>排放。</w:t>
            </w:r>
          </w:p>
          <w:p w14:paraId="50BB123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
                <w:bCs w:val="0"/>
                <w:sz w:val="24"/>
                <w:szCs w:val="22"/>
                <w:lang w:val="en-US" w:eastAsia="zh-CN"/>
              </w:rPr>
            </w:pPr>
            <w:r>
              <w:rPr>
                <w:rFonts w:hint="eastAsia"/>
                <w:b/>
                <w:bCs w:val="0"/>
                <w:sz w:val="24"/>
                <w:szCs w:val="22"/>
                <w:lang w:val="en-US" w:eastAsia="zh-CN"/>
              </w:rPr>
              <w:t>废油液贮存工段风量核算：</w:t>
            </w:r>
          </w:p>
          <w:p w14:paraId="5C6AEFC6">
            <w:pPr>
              <w:spacing w:line="360" w:lineRule="auto"/>
              <w:ind w:firstLine="480" w:firstLineChars="200"/>
              <w:rPr>
                <w:rFonts w:hint="eastAsia" w:ascii="Times New Roman" w:hAnsi="Times New Roman" w:eastAsia="宋体"/>
                <w:b w:val="0"/>
                <w:bCs w:val="0"/>
                <w:color w:val="000000"/>
                <w:sz w:val="24"/>
                <w:highlight w:val="none"/>
                <w:lang w:val="en-US" w:eastAsia="zh-CN"/>
              </w:rPr>
            </w:pPr>
            <w:r>
              <w:rPr>
                <w:rFonts w:hint="eastAsia"/>
                <w:color w:val="000000"/>
                <w:sz w:val="24"/>
                <w:lang w:val="en-US" w:eastAsia="zh-CN"/>
              </w:rPr>
              <w:t>本项目废油液暂存区总建筑面积50m</w:t>
            </w:r>
            <w:r>
              <w:rPr>
                <w:rFonts w:hint="eastAsia"/>
                <w:color w:val="000000"/>
                <w:sz w:val="24"/>
                <w:vertAlign w:val="superscript"/>
                <w:lang w:val="en-US" w:eastAsia="zh-CN"/>
              </w:rPr>
              <w:t>2</w:t>
            </w:r>
            <w:r>
              <w:rPr>
                <w:rFonts w:hint="eastAsia"/>
                <w:color w:val="000000"/>
                <w:sz w:val="24"/>
                <w:lang w:val="en-US" w:eastAsia="zh-CN"/>
              </w:rPr>
              <w:t>，实行封闭处理。</w:t>
            </w:r>
            <w:r>
              <w:rPr>
                <w:rFonts w:hint="eastAsia"/>
                <w:color w:val="000000"/>
                <w:sz w:val="24"/>
              </w:rPr>
              <w:t>参考《浅谈各类化工厂房通风量的确定》（《工程建设标准化》，2015年7月）中设计要求，</w:t>
            </w:r>
            <w:r>
              <w:rPr>
                <w:rFonts w:hint="eastAsia"/>
                <w:color w:val="000000"/>
                <w:sz w:val="24"/>
                <w:lang w:val="en-US" w:eastAsia="zh-CN"/>
              </w:rPr>
              <w:t>废油液贮存区</w:t>
            </w:r>
            <w:r>
              <w:rPr>
                <w:rFonts w:hint="eastAsia"/>
                <w:color w:val="000000"/>
                <w:sz w:val="24"/>
              </w:rPr>
              <w:t>换气次数选取</w:t>
            </w:r>
            <w:r>
              <w:rPr>
                <w:rFonts w:hint="eastAsia"/>
                <w:color w:val="000000"/>
                <w:sz w:val="24"/>
                <w:lang w:val="en-US" w:eastAsia="zh-CN"/>
              </w:rPr>
              <w:t>15</w:t>
            </w:r>
            <w:r>
              <w:rPr>
                <w:rFonts w:hint="eastAsia"/>
                <w:color w:val="000000"/>
                <w:sz w:val="24"/>
              </w:rPr>
              <w:t>次/h，则</w:t>
            </w:r>
            <w:r>
              <w:rPr>
                <w:rFonts w:hint="eastAsia"/>
                <w:color w:val="000000"/>
                <w:sz w:val="24"/>
                <w:lang w:val="en-US" w:eastAsia="zh-CN"/>
              </w:rPr>
              <w:t>废油液贮存工段</w:t>
            </w:r>
            <w:r>
              <w:rPr>
                <w:rFonts w:hint="eastAsia"/>
                <w:color w:val="000000"/>
                <w:sz w:val="24"/>
              </w:rPr>
              <w:t>送风量约为</w:t>
            </w:r>
            <w:r>
              <w:rPr>
                <w:rFonts w:hint="eastAsia"/>
                <w:color w:val="000000"/>
                <w:sz w:val="24"/>
                <w:lang w:val="en-US" w:eastAsia="zh-CN"/>
              </w:rPr>
              <w:t>750</w:t>
            </w:r>
            <w:r>
              <w:rPr>
                <w:rFonts w:hint="eastAsia"/>
                <w:color w:val="000000"/>
                <w:sz w:val="24"/>
              </w:rPr>
              <w:t>m</w:t>
            </w:r>
            <w:r>
              <w:rPr>
                <w:rFonts w:hint="eastAsia"/>
                <w:color w:val="000000"/>
                <w:sz w:val="24"/>
                <w:vertAlign w:val="superscript"/>
              </w:rPr>
              <w:t>3</w:t>
            </w:r>
            <w:r>
              <w:rPr>
                <w:rFonts w:hint="eastAsia"/>
                <w:color w:val="000000"/>
                <w:sz w:val="24"/>
              </w:rPr>
              <w:t>/h，根据《简明通风设计手册》（孙一坚主编，中国建筑工业出版社，1997），密闭区域保持微负压，一般送风量为排放量的80%-90%，本项目取90%，则整体抽风量为</w:t>
            </w:r>
            <w:r>
              <w:rPr>
                <w:rFonts w:hint="eastAsia"/>
                <w:color w:val="000000"/>
                <w:sz w:val="24"/>
                <w:lang w:val="en-US" w:eastAsia="zh-CN"/>
              </w:rPr>
              <w:t>833</w:t>
            </w:r>
            <w:r>
              <w:rPr>
                <w:rFonts w:hint="eastAsia"/>
                <w:color w:val="000000"/>
                <w:sz w:val="24"/>
              </w:rPr>
              <w:t>m</w:t>
            </w:r>
            <w:r>
              <w:rPr>
                <w:rFonts w:hint="eastAsia"/>
                <w:color w:val="000000"/>
                <w:sz w:val="24"/>
                <w:vertAlign w:val="superscript"/>
              </w:rPr>
              <w:t>3</w:t>
            </w:r>
            <w:r>
              <w:rPr>
                <w:rFonts w:hint="eastAsia"/>
                <w:color w:val="000000"/>
                <w:sz w:val="24"/>
              </w:rPr>
              <w:t>/h</w:t>
            </w:r>
            <w:r>
              <w:rPr>
                <w:rFonts w:hint="eastAsia"/>
                <w:color w:val="000000"/>
                <w:sz w:val="24"/>
                <w:lang w:eastAsia="zh-CN"/>
              </w:rPr>
              <w:t>。</w:t>
            </w:r>
            <w:r>
              <w:rPr>
                <w:rFonts w:ascii="Times New Roman" w:hAnsi="Times New Roman" w:eastAsia="宋体"/>
                <w:b w:val="0"/>
                <w:bCs w:val="0"/>
                <w:color w:val="000000"/>
                <w:sz w:val="24"/>
                <w:highlight w:val="none"/>
              </w:rPr>
              <w:t>考虑到风力损失等，项目</w:t>
            </w:r>
            <w:r>
              <w:rPr>
                <w:rFonts w:hint="eastAsia" w:ascii="Times New Roman" w:hAnsi="Times New Roman" w:eastAsia="宋体"/>
                <w:b w:val="0"/>
                <w:bCs w:val="0"/>
                <w:color w:val="000000"/>
                <w:sz w:val="24"/>
                <w:highlight w:val="none"/>
                <w:lang w:val="en-US" w:eastAsia="zh-CN"/>
              </w:rPr>
              <w:t>设计风量按1000</w:t>
            </w:r>
            <w:r>
              <w:rPr>
                <w:rFonts w:ascii="Times New Roman" w:hAnsi="Times New Roman" w:eastAsia="宋体"/>
                <w:b w:val="0"/>
                <w:bCs w:val="0"/>
                <w:color w:val="000000"/>
                <w:sz w:val="24"/>
                <w:highlight w:val="none"/>
              </w:rPr>
              <w:t>m</w:t>
            </w:r>
            <w:r>
              <w:rPr>
                <w:rFonts w:ascii="Times New Roman" w:hAnsi="Times New Roman" w:eastAsia="宋体"/>
                <w:b w:val="0"/>
                <w:bCs w:val="0"/>
                <w:color w:val="000000"/>
                <w:sz w:val="24"/>
                <w:highlight w:val="none"/>
                <w:vertAlign w:val="superscript"/>
              </w:rPr>
              <w:t>3</w:t>
            </w:r>
            <w:r>
              <w:rPr>
                <w:rFonts w:ascii="Times New Roman" w:hAnsi="Times New Roman" w:eastAsia="宋体"/>
                <w:b w:val="0"/>
                <w:bCs w:val="0"/>
                <w:color w:val="000000"/>
                <w:sz w:val="24"/>
                <w:highlight w:val="none"/>
              </w:rPr>
              <w:t>/h</w:t>
            </w:r>
            <w:r>
              <w:rPr>
                <w:rFonts w:hint="eastAsia" w:ascii="Times New Roman" w:hAnsi="Times New Roman" w:eastAsia="宋体"/>
                <w:b w:val="0"/>
                <w:bCs w:val="0"/>
                <w:color w:val="000000"/>
                <w:sz w:val="24"/>
                <w:highlight w:val="none"/>
                <w:lang w:val="en-US" w:eastAsia="zh-CN"/>
              </w:rPr>
              <w:t>计。</w:t>
            </w:r>
          </w:p>
          <w:p w14:paraId="358A4A87">
            <w:pPr>
              <w:spacing w:line="360" w:lineRule="auto"/>
              <w:ind w:firstLine="480" w:firstLineChars="200"/>
              <w:rPr>
                <w:rFonts w:hint="default" w:ascii="Times New Roman" w:hAnsi="Times New Roman" w:cs="Times New Roman"/>
                <w:sz w:val="24"/>
                <w:szCs w:val="32"/>
              </w:rPr>
            </w:pPr>
            <w:r>
              <w:rPr>
                <w:rFonts w:hint="eastAsia" w:ascii="Times New Roman" w:hAnsi="Times New Roman" w:eastAsia="宋体" w:cs="Times New Roman"/>
                <w:color w:val="000000"/>
                <w:sz w:val="24"/>
                <w:lang w:val="en-US" w:eastAsia="zh-CN"/>
              </w:rPr>
              <w:t>废油液贮存工段废气收集效率按95%计，净化效率按90%计</w:t>
            </w:r>
            <w:r>
              <w:rPr>
                <w:rFonts w:hint="eastAsia" w:cs="Times New Roman"/>
                <w:sz w:val="24"/>
                <w:szCs w:val="32"/>
                <w:lang w:val="en-US" w:eastAsia="zh-CN"/>
              </w:rPr>
              <w:t>。则</w:t>
            </w:r>
            <w:r>
              <w:rPr>
                <w:rFonts w:hint="default" w:ascii="Times New Roman" w:hAnsi="Times New Roman" w:cs="Times New Roman"/>
                <w:sz w:val="24"/>
                <w:szCs w:val="32"/>
              </w:rPr>
              <w:t>项目营运期</w:t>
            </w:r>
            <w:r>
              <w:rPr>
                <w:rFonts w:hint="eastAsia" w:ascii="Times New Roman" w:hAnsi="Times New Roman" w:cs="Times New Roman"/>
                <w:sz w:val="24"/>
                <w:szCs w:val="32"/>
                <w:lang w:val="en-US" w:eastAsia="zh-CN"/>
              </w:rPr>
              <w:t>废油液贮存工段</w:t>
            </w:r>
            <w:r>
              <w:rPr>
                <w:rFonts w:hint="default" w:ascii="Times New Roman" w:hAnsi="Times New Roman" w:cs="Times New Roman"/>
                <w:sz w:val="24"/>
                <w:szCs w:val="32"/>
              </w:rPr>
              <w:t>废气产生及排放情况见下表。</w:t>
            </w:r>
          </w:p>
          <w:p w14:paraId="2C66C09B">
            <w:pPr>
              <w:tabs>
                <w:tab w:val="left" w:pos="180"/>
              </w:tabs>
              <w:snapToGrid w:val="0"/>
              <w:spacing w:line="240" w:lineRule="atLeast"/>
              <w:jc w:val="center"/>
              <w:rPr>
                <w:rFonts w:hint="default" w:ascii="Times New Roman" w:hAnsi="Times New Roman" w:cs="Times New Roman"/>
                <w:b/>
                <w:bCs/>
              </w:rPr>
            </w:pPr>
            <w:r>
              <w:rPr>
                <w:rFonts w:hint="default" w:ascii="Times New Roman" w:hAnsi="Times New Roman" w:cs="Times New Roman"/>
                <w:b/>
                <w:bCs/>
              </w:rPr>
              <w:t>表</w:t>
            </w:r>
            <w:r>
              <w:rPr>
                <w:rFonts w:hint="eastAsia" w:ascii="Times New Roman" w:hAnsi="Times New Roman" w:cs="Times New Roman"/>
                <w:b/>
                <w:bCs/>
                <w:lang w:val="en-US" w:eastAsia="zh-CN"/>
              </w:rPr>
              <w:t>4-2</w:t>
            </w:r>
            <w:r>
              <w:rPr>
                <w:rFonts w:hint="default" w:ascii="Times New Roman" w:hAnsi="Times New Roman" w:cs="Times New Roman"/>
                <w:b/>
                <w:bCs/>
              </w:rPr>
              <w:t xml:space="preserve">  </w:t>
            </w:r>
            <w:r>
              <w:rPr>
                <w:rFonts w:hint="eastAsia" w:ascii="Times New Roman" w:hAnsi="Times New Roman" w:cs="Times New Roman"/>
                <w:b/>
                <w:bCs/>
                <w:lang w:val="en-US" w:eastAsia="zh-CN"/>
              </w:rPr>
              <w:t>废油液贮存工段</w:t>
            </w:r>
            <w:r>
              <w:rPr>
                <w:rFonts w:hint="default" w:ascii="Times New Roman" w:hAnsi="Times New Roman" w:cs="Times New Roman"/>
                <w:b/>
                <w:bCs/>
              </w:rPr>
              <w:t>有机废气产生及排放情况一览表</w:t>
            </w:r>
          </w:p>
          <w:tbl>
            <w:tblPr>
              <w:tblStyle w:val="25"/>
              <w:tblW w:w="7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898"/>
              <w:gridCol w:w="835"/>
              <w:gridCol w:w="920"/>
              <w:gridCol w:w="765"/>
              <w:gridCol w:w="1356"/>
              <w:gridCol w:w="872"/>
              <w:gridCol w:w="814"/>
              <w:gridCol w:w="815"/>
            </w:tblGrid>
            <w:tr w14:paraId="0D57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683" w:type="dxa"/>
                  <w:vMerge w:val="restart"/>
                  <w:vAlign w:val="center"/>
                </w:tcPr>
                <w:p w14:paraId="73FF2954">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排放方式</w:t>
                  </w:r>
                </w:p>
              </w:tc>
              <w:tc>
                <w:tcPr>
                  <w:tcW w:w="898" w:type="dxa"/>
                  <w:vMerge w:val="restart"/>
                  <w:vAlign w:val="center"/>
                </w:tcPr>
                <w:p w14:paraId="20B6A6B3">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2520" w:type="dxa"/>
                  <w:gridSpan w:val="3"/>
                  <w:vAlign w:val="center"/>
                </w:tcPr>
                <w:p w14:paraId="65DEF1B1">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产生源强</w:t>
                  </w:r>
                </w:p>
              </w:tc>
              <w:tc>
                <w:tcPr>
                  <w:tcW w:w="1356" w:type="dxa"/>
                  <w:vMerge w:val="restart"/>
                  <w:vAlign w:val="center"/>
                </w:tcPr>
                <w:p w14:paraId="5E651619">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处理措施</w:t>
                  </w:r>
                </w:p>
              </w:tc>
              <w:tc>
                <w:tcPr>
                  <w:tcW w:w="2501" w:type="dxa"/>
                  <w:gridSpan w:val="3"/>
                  <w:vAlign w:val="center"/>
                </w:tcPr>
                <w:p w14:paraId="76934659">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排放源强</w:t>
                  </w:r>
                </w:p>
              </w:tc>
            </w:tr>
            <w:tr w14:paraId="297D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683" w:type="dxa"/>
                  <w:vMerge w:val="continue"/>
                  <w:vAlign w:val="center"/>
                </w:tcPr>
                <w:p w14:paraId="0638BDB3">
                  <w:pPr>
                    <w:pStyle w:val="29"/>
                    <w:spacing w:line="240" w:lineRule="auto"/>
                    <w:jc w:val="center"/>
                    <w:rPr>
                      <w:rFonts w:hint="default" w:ascii="Times New Roman" w:hAnsi="Times New Roman" w:eastAsia="宋体" w:cs="Times New Roman"/>
                      <w:b/>
                      <w:bCs/>
                      <w:sz w:val="21"/>
                      <w:szCs w:val="21"/>
                    </w:rPr>
                  </w:pPr>
                </w:p>
              </w:tc>
              <w:tc>
                <w:tcPr>
                  <w:tcW w:w="898" w:type="dxa"/>
                  <w:vMerge w:val="continue"/>
                  <w:vAlign w:val="center"/>
                </w:tcPr>
                <w:p w14:paraId="4B54B16A">
                  <w:pPr>
                    <w:pStyle w:val="29"/>
                    <w:spacing w:line="240" w:lineRule="auto"/>
                    <w:jc w:val="center"/>
                    <w:rPr>
                      <w:rFonts w:hint="default" w:ascii="Times New Roman" w:hAnsi="Times New Roman" w:eastAsia="宋体" w:cs="Times New Roman"/>
                      <w:b/>
                      <w:bCs/>
                      <w:sz w:val="21"/>
                      <w:szCs w:val="21"/>
                    </w:rPr>
                  </w:pPr>
                </w:p>
              </w:tc>
              <w:tc>
                <w:tcPr>
                  <w:tcW w:w="835" w:type="dxa"/>
                  <w:vAlign w:val="center"/>
                </w:tcPr>
                <w:p w14:paraId="0CE166D6">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产生浓度mg/m</w:t>
                  </w:r>
                  <w:r>
                    <w:rPr>
                      <w:rFonts w:hint="default" w:ascii="Times New Roman" w:hAnsi="Times New Roman" w:eastAsia="宋体" w:cs="Times New Roman"/>
                      <w:b/>
                      <w:bCs/>
                      <w:sz w:val="21"/>
                      <w:szCs w:val="21"/>
                      <w:vertAlign w:val="superscript"/>
                    </w:rPr>
                    <w:t>3</w:t>
                  </w:r>
                </w:p>
              </w:tc>
              <w:tc>
                <w:tcPr>
                  <w:tcW w:w="920" w:type="dxa"/>
                  <w:vAlign w:val="center"/>
                </w:tcPr>
                <w:p w14:paraId="70DC1FDE">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产生速率kg/h</w:t>
                  </w:r>
                </w:p>
              </w:tc>
              <w:tc>
                <w:tcPr>
                  <w:tcW w:w="765" w:type="dxa"/>
                  <w:vAlign w:val="center"/>
                </w:tcPr>
                <w:p w14:paraId="1D146683">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产生量t/a</w:t>
                  </w:r>
                </w:p>
              </w:tc>
              <w:tc>
                <w:tcPr>
                  <w:tcW w:w="1356" w:type="dxa"/>
                  <w:vMerge w:val="continue"/>
                  <w:vAlign w:val="center"/>
                </w:tcPr>
                <w:p w14:paraId="56EBE753">
                  <w:pPr>
                    <w:pStyle w:val="29"/>
                    <w:spacing w:line="240" w:lineRule="auto"/>
                    <w:jc w:val="center"/>
                    <w:rPr>
                      <w:rFonts w:hint="default" w:ascii="Times New Roman" w:hAnsi="Times New Roman" w:eastAsia="宋体" w:cs="Times New Roman"/>
                      <w:b/>
                      <w:bCs/>
                      <w:sz w:val="21"/>
                      <w:szCs w:val="21"/>
                    </w:rPr>
                  </w:pPr>
                </w:p>
              </w:tc>
              <w:tc>
                <w:tcPr>
                  <w:tcW w:w="872" w:type="dxa"/>
                  <w:vAlign w:val="center"/>
                </w:tcPr>
                <w:p w14:paraId="3762535B">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排放浓度mg/m</w:t>
                  </w:r>
                  <w:r>
                    <w:rPr>
                      <w:rFonts w:hint="default" w:ascii="Times New Roman" w:hAnsi="Times New Roman" w:eastAsia="宋体" w:cs="Times New Roman"/>
                      <w:b/>
                      <w:bCs/>
                      <w:sz w:val="21"/>
                      <w:szCs w:val="21"/>
                      <w:vertAlign w:val="superscript"/>
                    </w:rPr>
                    <w:t>3</w:t>
                  </w:r>
                </w:p>
              </w:tc>
              <w:tc>
                <w:tcPr>
                  <w:tcW w:w="814" w:type="dxa"/>
                  <w:vAlign w:val="center"/>
                </w:tcPr>
                <w:p w14:paraId="0D186186">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排放速率kg/h</w:t>
                  </w:r>
                </w:p>
              </w:tc>
              <w:tc>
                <w:tcPr>
                  <w:tcW w:w="815" w:type="dxa"/>
                  <w:vAlign w:val="center"/>
                </w:tcPr>
                <w:p w14:paraId="62129B01">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排放量t/a</w:t>
                  </w:r>
                </w:p>
              </w:tc>
            </w:tr>
            <w:tr w14:paraId="294C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683" w:type="dxa"/>
                  <w:vAlign w:val="center"/>
                </w:tcPr>
                <w:p w14:paraId="4EBF0083">
                  <w:pPr>
                    <w:pStyle w:val="29"/>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有组织</w:t>
                  </w:r>
                </w:p>
              </w:tc>
              <w:tc>
                <w:tcPr>
                  <w:tcW w:w="898" w:type="dxa"/>
                  <w:vAlign w:val="center"/>
                </w:tcPr>
                <w:p w14:paraId="7EF7E77B">
                  <w:pPr>
                    <w:pStyle w:val="29"/>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非甲烷总烃</w:t>
                  </w:r>
                </w:p>
              </w:tc>
              <w:tc>
                <w:tcPr>
                  <w:tcW w:w="835" w:type="dxa"/>
                  <w:vAlign w:val="center"/>
                </w:tcPr>
                <w:p w14:paraId="7A903E01">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17.5</w:t>
                  </w:r>
                </w:p>
              </w:tc>
              <w:tc>
                <w:tcPr>
                  <w:tcW w:w="920" w:type="dxa"/>
                  <w:vAlign w:val="center"/>
                </w:tcPr>
                <w:p w14:paraId="6263D80E">
                  <w:pPr>
                    <w:pStyle w:val="29"/>
                    <w:spacing w:line="240" w:lineRule="auto"/>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0.</w:t>
                  </w:r>
                  <w:r>
                    <w:rPr>
                      <w:rFonts w:hint="eastAsia" w:ascii="Times New Roman" w:hAnsi="Times New Roman" w:eastAsia="宋体" w:cs="Times New Roman"/>
                      <w:b w:val="0"/>
                      <w:bCs/>
                      <w:sz w:val="21"/>
                      <w:szCs w:val="21"/>
                      <w:lang w:val="en-US" w:eastAsia="zh-CN"/>
                    </w:rPr>
                    <w:t>018</w:t>
                  </w:r>
                </w:p>
              </w:tc>
              <w:tc>
                <w:tcPr>
                  <w:tcW w:w="765" w:type="dxa"/>
                  <w:vAlign w:val="center"/>
                </w:tcPr>
                <w:p w14:paraId="391BB04E">
                  <w:pPr>
                    <w:pStyle w:val="29"/>
                    <w:spacing w:line="240" w:lineRule="auto"/>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0.</w:t>
                  </w:r>
                  <w:r>
                    <w:rPr>
                      <w:rFonts w:hint="eastAsia" w:ascii="Times New Roman" w:hAnsi="Times New Roman" w:eastAsia="宋体" w:cs="Times New Roman"/>
                      <w:b w:val="0"/>
                      <w:bCs/>
                      <w:sz w:val="21"/>
                      <w:szCs w:val="21"/>
                      <w:lang w:val="en-US" w:eastAsia="zh-CN"/>
                    </w:rPr>
                    <w:t>042</w:t>
                  </w:r>
                </w:p>
              </w:tc>
              <w:tc>
                <w:tcPr>
                  <w:tcW w:w="1356" w:type="dxa"/>
                  <w:vAlign w:val="center"/>
                </w:tcPr>
                <w:p w14:paraId="1DF8D864">
                  <w:pPr>
                    <w:spacing w:line="240" w:lineRule="auto"/>
                    <w:jc w:val="center"/>
                    <w:rPr>
                      <w:rFonts w:hint="eastAsia" w:ascii="Times New Roman" w:hAnsi="Times New Roman" w:eastAsia="宋体" w:cs="Times New Roman"/>
                      <w:b w:val="0"/>
                      <w:bCs/>
                      <w:sz w:val="21"/>
                      <w:szCs w:val="21"/>
                      <w:lang w:eastAsia="zh-CN"/>
                    </w:rPr>
                  </w:pPr>
                  <w:r>
                    <w:rPr>
                      <w:rFonts w:hint="eastAsia" w:cs="Times New Roman"/>
                      <w:b w:val="0"/>
                      <w:bCs/>
                      <w:sz w:val="21"/>
                      <w:szCs w:val="21"/>
                      <w:lang w:val="en-US" w:eastAsia="zh-CN"/>
                    </w:rPr>
                    <w:t>二级</w:t>
                  </w:r>
                  <w:r>
                    <w:rPr>
                      <w:rFonts w:hint="default" w:ascii="Times New Roman" w:hAnsi="Times New Roman" w:cs="Times New Roman"/>
                      <w:b w:val="0"/>
                      <w:bCs/>
                      <w:sz w:val="21"/>
                      <w:szCs w:val="21"/>
                    </w:rPr>
                    <w:t>活性炭吸附+15m高排气筒</w:t>
                  </w:r>
                  <w:r>
                    <w:rPr>
                      <w:rFonts w:hint="eastAsia" w:ascii="Times New Roman" w:hAnsi="Times New Roman" w:cs="Times New Roman"/>
                      <w:b w:val="0"/>
                      <w:bCs/>
                      <w:sz w:val="21"/>
                      <w:szCs w:val="21"/>
                      <w:lang w:eastAsia="zh-CN"/>
                    </w:rPr>
                    <w:t>（</w:t>
                  </w:r>
                  <w:r>
                    <w:rPr>
                      <w:rFonts w:hint="eastAsia" w:ascii="Times New Roman" w:hAnsi="Times New Roman" w:cs="Times New Roman"/>
                      <w:b w:val="0"/>
                      <w:bCs/>
                      <w:sz w:val="21"/>
                      <w:szCs w:val="21"/>
                      <w:lang w:val="en-US" w:eastAsia="zh-CN"/>
                    </w:rPr>
                    <w:t>DA00</w:t>
                  </w:r>
                  <w:r>
                    <w:rPr>
                      <w:rFonts w:hint="eastAsia" w:cs="Times New Roman"/>
                      <w:b w:val="0"/>
                      <w:bCs/>
                      <w:sz w:val="21"/>
                      <w:szCs w:val="21"/>
                      <w:lang w:val="en-US" w:eastAsia="zh-CN"/>
                    </w:rPr>
                    <w:t>2</w:t>
                  </w:r>
                  <w:r>
                    <w:rPr>
                      <w:rFonts w:hint="eastAsia" w:ascii="Times New Roman" w:hAnsi="Times New Roman" w:cs="Times New Roman"/>
                      <w:b w:val="0"/>
                      <w:bCs/>
                      <w:sz w:val="21"/>
                      <w:szCs w:val="21"/>
                      <w:lang w:eastAsia="zh-CN"/>
                    </w:rPr>
                    <w:t>）</w:t>
                  </w:r>
                </w:p>
              </w:tc>
              <w:tc>
                <w:tcPr>
                  <w:tcW w:w="872" w:type="dxa"/>
                  <w:vAlign w:val="center"/>
                </w:tcPr>
                <w:p w14:paraId="13F6323F">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1.75</w:t>
                  </w:r>
                </w:p>
              </w:tc>
              <w:tc>
                <w:tcPr>
                  <w:tcW w:w="814" w:type="dxa"/>
                  <w:vAlign w:val="center"/>
                </w:tcPr>
                <w:p w14:paraId="71CCB7B8">
                  <w:pPr>
                    <w:pStyle w:val="29"/>
                    <w:spacing w:line="240" w:lineRule="auto"/>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0.</w:t>
                  </w:r>
                  <w:r>
                    <w:rPr>
                      <w:rFonts w:hint="eastAsia" w:ascii="Times New Roman" w:hAnsi="Times New Roman" w:eastAsia="宋体" w:cs="Times New Roman"/>
                      <w:b w:val="0"/>
                      <w:bCs/>
                      <w:sz w:val="21"/>
                      <w:szCs w:val="21"/>
                      <w:lang w:val="en-US" w:eastAsia="zh-CN"/>
                    </w:rPr>
                    <w:t>002</w:t>
                  </w:r>
                </w:p>
              </w:tc>
              <w:tc>
                <w:tcPr>
                  <w:tcW w:w="815" w:type="dxa"/>
                  <w:vAlign w:val="center"/>
                </w:tcPr>
                <w:p w14:paraId="67996CED">
                  <w:pPr>
                    <w:pStyle w:val="29"/>
                    <w:spacing w:line="240" w:lineRule="auto"/>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0.0</w:t>
                  </w:r>
                  <w:r>
                    <w:rPr>
                      <w:rFonts w:hint="eastAsia" w:ascii="Times New Roman" w:hAnsi="Times New Roman" w:eastAsia="宋体" w:cs="Times New Roman"/>
                      <w:b w:val="0"/>
                      <w:bCs/>
                      <w:sz w:val="21"/>
                      <w:szCs w:val="21"/>
                      <w:lang w:val="en-US" w:eastAsia="zh-CN"/>
                    </w:rPr>
                    <w:t>04</w:t>
                  </w:r>
                </w:p>
              </w:tc>
            </w:tr>
            <w:tr w14:paraId="38FC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683" w:type="dxa"/>
                  <w:vAlign w:val="center"/>
                </w:tcPr>
                <w:p w14:paraId="2C48AEAB">
                  <w:pPr>
                    <w:pStyle w:val="29"/>
                    <w:spacing w:line="240" w:lineRule="auto"/>
                    <w:jc w:val="center"/>
                    <w:rPr>
                      <w:rFonts w:hint="default" w:ascii="Times New Roman" w:hAnsi="Times New Roman" w:cs="Times New Roman"/>
                      <w:b w:val="0"/>
                      <w:bCs/>
                      <w:sz w:val="21"/>
                      <w:szCs w:val="21"/>
                    </w:rPr>
                  </w:pPr>
                  <w:r>
                    <w:rPr>
                      <w:rFonts w:hint="default" w:ascii="Times New Roman" w:hAnsi="Times New Roman" w:eastAsia="宋体" w:cs="Times New Roman"/>
                      <w:b w:val="0"/>
                      <w:bCs/>
                      <w:sz w:val="21"/>
                      <w:szCs w:val="21"/>
                    </w:rPr>
                    <w:t>无组织</w:t>
                  </w:r>
                </w:p>
              </w:tc>
              <w:tc>
                <w:tcPr>
                  <w:tcW w:w="898" w:type="dxa"/>
                  <w:vAlign w:val="center"/>
                </w:tcPr>
                <w:p w14:paraId="7A18E5D1">
                  <w:pPr>
                    <w:pStyle w:val="29"/>
                    <w:spacing w:line="240" w:lineRule="auto"/>
                    <w:jc w:val="center"/>
                    <w:rPr>
                      <w:rFonts w:hint="default" w:ascii="Times New Roman" w:hAnsi="Times New Roman" w:cs="Times New Roman"/>
                      <w:b w:val="0"/>
                      <w:bCs/>
                      <w:sz w:val="21"/>
                      <w:szCs w:val="21"/>
                    </w:rPr>
                  </w:pPr>
                  <w:r>
                    <w:rPr>
                      <w:rFonts w:hint="default" w:ascii="Times New Roman" w:hAnsi="Times New Roman" w:eastAsia="宋体" w:cs="Times New Roman"/>
                      <w:b w:val="0"/>
                      <w:bCs/>
                      <w:sz w:val="21"/>
                      <w:szCs w:val="21"/>
                    </w:rPr>
                    <w:t>非甲烷总烃</w:t>
                  </w:r>
                </w:p>
              </w:tc>
              <w:tc>
                <w:tcPr>
                  <w:tcW w:w="835" w:type="dxa"/>
                  <w:vAlign w:val="center"/>
                </w:tcPr>
                <w:p w14:paraId="07442021">
                  <w:pPr>
                    <w:pStyle w:val="29"/>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w:t>
                  </w:r>
                </w:p>
              </w:tc>
              <w:tc>
                <w:tcPr>
                  <w:tcW w:w="920" w:type="dxa"/>
                  <w:vAlign w:val="center"/>
                </w:tcPr>
                <w:p w14:paraId="58C373F0">
                  <w:pPr>
                    <w:pStyle w:val="29"/>
                    <w:spacing w:line="240" w:lineRule="auto"/>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0.0</w:t>
                  </w:r>
                  <w:r>
                    <w:rPr>
                      <w:rFonts w:hint="eastAsia" w:ascii="Times New Roman" w:hAnsi="Times New Roman" w:eastAsia="宋体" w:cs="Times New Roman"/>
                      <w:b w:val="0"/>
                      <w:bCs/>
                      <w:sz w:val="21"/>
                      <w:szCs w:val="21"/>
                      <w:lang w:val="en-US" w:eastAsia="zh-CN"/>
                    </w:rPr>
                    <w:t>008</w:t>
                  </w:r>
                </w:p>
              </w:tc>
              <w:tc>
                <w:tcPr>
                  <w:tcW w:w="765" w:type="dxa"/>
                  <w:vAlign w:val="center"/>
                </w:tcPr>
                <w:p w14:paraId="406E9574">
                  <w:pPr>
                    <w:pStyle w:val="29"/>
                    <w:spacing w:line="240" w:lineRule="auto"/>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0.0</w:t>
                  </w:r>
                  <w:r>
                    <w:rPr>
                      <w:rFonts w:hint="eastAsia" w:ascii="Times New Roman" w:hAnsi="Times New Roman" w:eastAsia="宋体" w:cs="Times New Roman"/>
                      <w:b w:val="0"/>
                      <w:bCs/>
                      <w:sz w:val="21"/>
                      <w:szCs w:val="21"/>
                      <w:lang w:val="en-US" w:eastAsia="zh-CN"/>
                    </w:rPr>
                    <w:t>02</w:t>
                  </w:r>
                </w:p>
              </w:tc>
              <w:tc>
                <w:tcPr>
                  <w:tcW w:w="1356" w:type="dxa"/>
                  <w:vAlign w:val="center"/>
                </w:tcPr>
                <w:p w14:paraId="661DECC6">
                  <w:pPr>
                    <w:pStyle w:val="29"/>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w:t>
                  </w:r>
                </w:p>
              </w:tc>
              <w:tc>
                <w:tcPr>
                  <w:tcW w:w="872" w:type="dxa"/>
                  <w:vAlign w:val="center"/>
                </w:tcPr>
                <w:p w14:paraId="5E214D3A">
                  <w:pPr>
                    <w:pStyle w:val="29"/>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w:t>
                  </w:r>
                </w:p>
              </w:tc>
              <w:tc>
                <w:tcPr>
                  <w:tcW w:w="814" w:type="dxa"/>
                  <w:vAlign w:val="center"/>
                </w:tcPr>
                <w:p w14:paraId="553B5A4E">
                  <w:pPr>
                    <w:pStyle w:val="29"/>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0.0</w:t>
                  </w:r>
                  <w:r>
                    <w:rPr>
                      <w:rFonts w:hint="eastAsia" w:ascii="Times New Roman" w:hAnsi="Times New Roman" w:eastAsia="宋体" w:cs="Times New Roman"/>
                      <w:b w:val="0"/>
                      <w:bCs/>
                      <w:sz w:val="21"/>
                      <w:szCs w:val="21"/>
                      <w:lang w:val="en-US" w:eastAsia="zh-CN"/>
                    </w:rPr>
                    <w:t>008</w:t>
                  </w:r>
                </w:p>
              </w:tc>
              <w:tc>
                <w:tcPr>
                  <w:tcW w:w="815" w:type="dxa"/>
                  <w:vAlign w:val="center"/>
                </w:tcPr>
                <w:p w14:paraId="45DB2E8E">
                  <w:pPr>
                    <w:pStyle w:val="29"/>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0.0</w:t>
                  </w:r>
                  <w:r>
                    <w:rPr>
                      <w:rFonts w:hint="eastAsia" w:ascii="Times New Roman" w:hAnsi="Times New Roman" w:eastAsia="宋体" w:cs="Times New Roman"/>
                      <w:b w:val="0"/>
                      <w:bCs/>
                      <w:sz w:val="21"/>
                      <w:szCs w:val="21"/>
                      <w:lang w:val="en-US" w:eastAsia="zh-CN"/>
                    </w:rPr>
                    <w:t>02</w:t>
                  </w:r>
                </w:p>
              </w:tc>
            </w:tr>
          </w:tbl>
          <w:p w14:paraId="637D4887">
            <w:pPr>
              <w:spacing w:line="360" w:lineRule="auto"/>
              <w:ind w:firstLine="480" w:firstLineChars="200"/>
              <w:rPr>
                <w:rFonts w:hint="eastAsia" w:cs="Times New Roman"/>
                <w:sz w:val="24"/>
                <w:szCs w:val="32"/>
                <w:lang w:val="en-US" w:eastAsia="zh-CN"/>
              </w:rPr>
            </w:pPr>
            <w:r>
              <w:rPr>
                <w:rFonts w:hint="eastAsia"/>
                <w:sz w:val="24"/>
                <w:szCs w:val="32"/>
                <w:lang w:val="en-US" w:eastAsia="zh-CN"/>
              </w:rPr>
              <w:t>由上表可知，本项目废油液贮存工段有组织非甲烷总烃排放浓度满足</w:t>
            </w:r>
            <w:r>
              <w:rPr>
                <w:rFonts w:ascii="Times New Roman" w:hAnsi="Times New Roman" w:eastAsia="宋体" w:cs="Times New Roman"/>
                <w:sz w:val="24"/>
              </w:rPr>
              <w:t>《</w:t>
            </w:r>
            <w:r>
              <w:rPr>
                <w:rFonts w:hint="eastAsia" w:ascii="Times New Roman" w:hAnsi="Times New Roman" w:eastAsia="宋体" w:cs="Times New Roman"/>
                <w:sz w:val="24"/>
                <w:lang w:val="en-US" w:eastAsia="zh-CN"/>
              </w:rPr>
              <w:t>大气污染物</w:t>
            </w:r>
            <w:r>
              <w:rPr>
                <w:rFonts w:hint="eastAsia" w:cs="Times New Roman"/>
                <w:sz w:val="24"/>
                <w:lang w:val="en-US" w:eastAsia="zh-CN"/>
              </w:rPr>
              <w:t>综合</w:t>
            </w:r>
            <w:r>
              <w:rPr>
                <w:rFonts w:ascii="Times New Roman" w:hAnsi="Times New Roman" w:eastAsia="宋体" w:cs="Times New Roman"/>
                <w:sz w:val="24"/>
              </w:rPr>
              <w:t>排放标准》（</w:t>
            </w:r>
            <w:r>
              <w:rPr>
                <w:rFonts w:hint="eastAsia" w:cs="Times New Roman"/>
                <w:sz w:val="24"/>
                <w:lang w:val="en-US" w:eastAsia="zh-CN"/>
              </w:rPr>
              <w:t>GB16297-1996</w:t>
            </w:r>
            <w:r>
              <w:rPr>
                <w:rFonts w:ascii="Times New Roman" w:hAnsi="Times New Roman" w:eastAsia="宋体" w:cs="Times New Roman"/>
                <w:sz w:val="24"/>
              </w:rPr>
              <w:t>）</w:t>
            </w:r>
            <w:r>
              <w:rPr>
                <w:rFonts w:hint="eastAsia" w:cs="Times New Roman"/>
                <w:sz w:val="24"/>
                <w:lang w:val="en-US" w:eastAsia="zh-CN"/>
              </w:rPr>
              <w:t>表2</w:t>
            </w:r>
            <w:r>
              <w:rPr>
                <w:rFonts w:ascii="Times New Roman" w:hAnsi="Times New Roman" w:eastAsia="宋体" w:cs="Times New Roman"/>
                <w:sz w:val="24"/>
              </w:rPr>
              <w:t>中</w:t>
            </w:r>
            <w:r>
              <w:rPr>
                <w:rFonts w:hint="eastAsia" w:cs="Times New Roman"/>
                <w:sz w:val="24"/>
                <w:lang w:val="en-US" w:eastAsia="zh-CN"/>
              </w:rPr>
              <w:t>二级标准</w:t>
            </w:r>
            <w:r>
              <w:rPr>
                <w:rFonts w:hint="eastAsia"/>
                <w:bCs/>
                <w:sz w:val="24"/>
                <w:szCs w:val="22"/>
              </w:rPr>
              <w:t>。</w:t>
            </w:r>
          </w:p>
          <w:p w14:paraId="641801EB">
            <w:pPr>
              <w:spacing w:line="360" w:lineRule="auto"/>
              <w:ind w:firstLine="480" w:firstLineChars="200"/>
              <w:rPr>
                <w:rFonts w:hint="eastAsia" w:cs="Times New Roman"/>
                <w:sz w:val="24"/>
                <w:szCs w:val="32"/>
                <w:lang w:val="en-US" w:eastAsia="zh-CN"/>
              </w:rPr>
            </w:pPr>
            <w:r>
              <w:rPr>
                <w:rFonts w:hint="eastAsia" w:cs="Times New Roman"/>
                <w:sz w:val="24"/>
                <w:szCs w:val="32"/>
                <w:lang w:val="en-US" w:eastAsia="zh-CN"/>
              </w:rPr>
              <w:t>（3）制冷剂抽取废气</w:t>
            </w:r>
          </w:p>
          <w:p w14:paraId="2104967F">
            <w:pPr>
              <w:spacing w:line="360" w:lineRule="auto"/>
              <w:ind w:firstLine="480" w:firstLineChars="200"/>
              <w:rPr>
                <w:rFonts w:hint="eastAsia" w:cs="Times New Roman"/>
                <w:sz w:val="24"/>
                <w:szCs w:val="32"/>
                <w:lang w:val="en-US" w:eastAsia="zh-CN"/>
              </w:rPr>
            </w:pPr>
            <w:r>
              <w:rPr>
                <w:rFonts w:hint="eastAsia" w:cs="Times New Roman"/>
                <w:sz w:val="24"/>
                <w:szCs w:val="32"/>
                <w:lang w:val="en-US" w:eastAsia="zh-CN"/>
              </w:rPr>
              <w:t>目前我国汽车制冷剂主要使用R134a，属于对臭氧层不起破坏作用，具有良好的安全性能（不易燃、不爆炸、无毒、无刺激性、无腐蚀性）的制冷剂。项目在拆解预处理阶段对制冷剂进行抽取存放，抽取过程是将制冷剂先由液态转化为气态抽出，再压缩为液态储存于回收罐中。制冷剂收集过程中，仅在连接、储存过程中会有少量制冷剂通过管线、阀门等释放到环境空气中，泄漏的制冷剂量较小，故对环境影响较小，本次评价不作定量分析。</w:t>
            </w:r>
          </w:p>
          <w:p w14:paraId="2492B0F3">
            <w:pPr>
              <w:spacing w:line="360" w:lineRule="auto"/>
              <w:ind w:firstLine="480" w:firstLineChars="200"/>
              <w:rPr>
                <w:rFonts w:hint="eastAsia" w:cs="Times New Roman"/>
                <w:sz w:val="24"/>
                <w:szCs w:val="32"/>
                <w:lang w:val="en-US" w:eastAsia="zh-CN"/>
              </w:rPr>
            </w:pPr>
            <w:r>
              <w:rPr>
                <w:rFonts w:hint="eastAsia" w:cs="Times New Roman"/>
                <w:sz w:val="24"/>
                <w:szCs w:val="32"/>
                <w:lang w:val="en-US" w:eastAsia="zh-CN"/>
              </w:rPr>
              <w:t>（4）安全气囊引爆粉尘</w:t>
            </w:r>
          </w:p>
          <w:p w14:paraId="43E14317">
            <w:pPr>
              <w:spacing w:line="360" w:lineRule="auto"/>
              <w:ind w:firstLine="480" w:firstLineChars="200"/>
              <w:rPr>
                <w:rFonts w:hint="eastAsia" w:cs="Times New Roman"/>
                <w:sz w:val="24"/>
                <w:szCs w:val="32"/>
                <w:lang w:val="en-US" w:eastAsia="zh-CN"/>
              </w:rPr>
            </w:pPr>
            <w:r>
              <w:rPr>
                <w:rFonts w:hint="eastAsia" w:cs="Times New Roman"/>
                <w:sz w:val="24"/>
                <w:szCs w:val="32"/>
                <w:lang w:val="en-US" w:eastAsia="zh-CN"/>
              </w:rPr>
              <w:t>项目采取将未引爆的安全气囊拆除后再引爆的方式处理安全气囊，拆除后的安全气囊在引爆箱内进行引爆。</w:t>
            </w:r>
          </w:p>
          <w:p w14:paraId="110A71CE">
            <w:pPr>
              <w:spacing w:line="360" w:lineRule="auto"/>
              <w:ind w:firstLine="480" w:firstLineChars="200"/>
              <w:rPr>
                <w:rFonts w:hint="eastAsia" w:cs="Times New Roman"/>
                <w:sz w:val="24"/>
                <w:szCs w:val="32"/>
                <w:lang w:val="en-US" w:eastAsia="zh-CN"/>
              </w:rPr>
            </w:pPr>
            <w:r>
              <w:rPr>
                <w:rFonts w:hint="eastAsia" w:cs="Times New Roman"/>
                <w:sz w:val="24"/>
                <w:szCs w:val="32"/>
                <w:lang w:val="en-US" w:eastAsia="zh-CN"/>
              </w:rPr>
              <w:t>安全气囊主要化学成分包括：叠氮化钠、硝酸钾和二氧化硅。引爆时，寿县叠氮化钠分解为钠和氮气的混合成分。然后，金属钠和硝酸钾反应释放更多的氮气并形成氧化钾和氧化钠。这些氧化物会立即与二氧化硅结合，并形成无害的硅酸钠，氮气则充进气囊。主要反应方程式如下：</w:t>
            </w:r>
          </w:p>
          <w:p w14:paraId="32ED08EA">
            <w:pPr>
              <w:spacing w:line="360" w:lineRule="auto"/>
              <w:ind w:firstLine="480" w:firstLineChars="200"/>
              <w:jc w:val="center"/>
              <w:rPr>
                <w:rFonts w:hint="eastAsia" w:cs="Times New Roman"/>
                <w:sz w:val="24"/>
                <w:szCs w:val="32"/>
                <w:lang w:val="en-US" w:eastAsia="zh-CN"/>
              </w:rPr>
            </w:pPr>
            <w:r>
              <w:rPr>
                <w:rFonts w:hint="eastAsia" w:cs="Times New Roman"/>
                <w:sz w:val="24"/>
                <w:szCs w:val="32"/>
                <w:lang w:val="en-US" w:eastAsia="zh-CN"/>
              </w:rPr>
              <w:t>2NaN</w:t>
            </w:r>
            <w:r>
              <w:rPr>
                <w:rFonts w:hint="eastAsia" w:cs="Times New Roman"/>
                <w:sz w:val="24"/>
                <w:szCs w:val="32"/>
                <w:vertAlign w:val="subscript"/>
                <w:lang w:val="en-US" w:eastAsia="zh-CN"/>
              </w:rPr>
              <w:t>3</w:t>
            </w:r>
            <w:r>
              <w:rPr>
                <w:rFonts w:hint="eastAsia" w:cs="Times New Roman"/>
                <w:sz w:val="24"/>
                <w:szCs w:val="32"/>
                <w:lang w:val="en-US" w:eastAsia="zh-CN"/>
              </w:rPr>
              <w:t>→2Na+3N</w:t>
            </w:r>
            <w:r>
              <w:rPr>
                <w:rFonts w:hint="eastAsia" w:cs="Times New Roman"/>
                <w:sz w:val="24"/>
                <w:szCs w:val="32"/>
                <w:vertAlign w:val="subscript"/>
                <w:lang w:val="en-US" w:eastAsia="zh-CN"/>
              </w:rPr>
              <w:t>2</w:t>
            </w:r>
            <w:r>
              <w:rPr>
                <w:rFonts w:hint="eastAsia" w:cs="Times New Roman"/>
                <w:sz w:val="24"/>
                <w:szCs w:val="32"/>
                <w:lang w:val="en-US" w:eastAsia="zh-CN"/>
              </w:rPr>
              <w:t>(↑)</w:t>
            </w:r>
          </w:p>
          <w:p w14:paraId="4467DED9">
            <w:pPr>
              <w:spacing w:line="360" w:lineRule="auto"/>
              <w:ind w:firstLine="480" w:firstLineChars="200"/>
              <w:jc w:val="center"/>
              <w:rPr>
                <w:rFonts w:hint="eastAsia" w:cs="Times New Roman"/>
                <w:sz w:val="24"/>
                <w:szCs w:val="32"/>
                <w:lang w:val="en-US" w:eastAsia="zh-CN"/>
              </w:rPr>
            </w:pPr>
            <w:r>
              <w:rPr>
                <w:rFonts w:hint="eastAsia" w:cs="Times New Roman"/>
                <w:sz w:val="24"/>
                <w:szCs w:val="32"/>
                <w:lang w:val="en-US" w:eastAsia="zh-CN"/>
              </w:rPr>
              <w:t>10Na+2KNO</w:t>
            </w:r>
            <w:r>
              <w:rPr>
                <w:rFonts w:hint="eastAsia" w:cs="Times New Roman"/>
                <w:sz w:val="24"/>
                <w:szCs w:val="32"/>
                <w:vertAlign w:val="subscript"/>
                <w:lang w:val="en-US" w:eastAsia="zh-CN"/>
              </w:rPr>
              <w:t>3</w:t>
            </w:r>
            <w:r>
              <w:rPr>
                <w:rFonts w:hint="eastAsia" w:cs="Times New Roman"/>
                <w:sz w:val="24"/>
                <w:szCs w:val="32"/>
                <w:lang w:val="en-US" w:eastAsia="zh-CN"/>
              </w:rPr>
              <w:t>+6SiO</w:t>
            </w:r>
            <w:r>
              <w:rPr>
                <w:rFonts w:hint="eastAsia" w:cs="Times New Roman"/>
                <w:sz w:val="24"/>
                <w:szCs w:val="32"/>
                <w:vertAlign w:val="subscript"/>
                <w:lang w:val="en-US" w:eastAsia="zh-CN"/>
              </w:rPr>
              <w:t>2</w:t>
            </w:r>
            <w:r>
              <w:rPr>
                <w:rFonts w:hint="eastAsia" w:cs="Times New Roman"/>
                <w:sz w:val="24"/>
                <w:szCs w:val="32"/>
                <w:lang w:val="en-US" w:eastAsia="zh-CN"/>
              </w:rPr>
              <w:t>→5Na</w:t>
            </w:r>
            <w:r>
              <w:rPr>
                <w:rFonts w:hint="eastAsia" w:cs="Times New Roman"/>
                <w:sz w:val="24"/>
                <w:szCs w:val="32"/>
                <w:vertAlign w:val="subscript"/>
                <w:lang w:val="en-US" w:eastAsia="zh-CN"/>
              </w:rPr>
              <w:t>2</w:t>
            </w:r>
            <w:r>
              <w:rPr>
                <w:rFonts w:hint="eastAsia" w:cs="Times New Roman"/>
                <w:sz w:val="24"/>
                <w:szCs w:val="32"/>
                <w:lang w:val="en-US" w:eastAsia="zh-CN"/>
              </w:rPr>
              <w:t>SiO</w:t>
            </w:r>
            <w:r>
              <w:rPr>
                <w:rFonts w:hint="eastAsia" w:cs="Times New Roman"/>
                <w:sz w:val="24"/>
                <w:szCs w:val="32"/>
                <w:vertAlign w:val="subscript"/>
                <w:lang w:val="en-US" w:eastAsia="zh-CN"/>
              </w:rPr>
              <w:t>3</w:t>
            </w:r>
            <w:r>
              <w:rPr>
                <w:rFonts w:hint="eastAsia" w:cs="Times New Roman"/>
                <w:sz w:val="24"/>
                <w:szCs w:val="32"/>
                <w:lang w:val="en-US" w:eastAsia="zh-CN"/>
              </w:rPr>
              <w:t>+K</w:t>
            </w:r>
            <w:r>
              <w:rPr>
                <w:rFonts w:hint="eastAsia" w:cs="Times New Roman"/>
                <w:sz w:val="24"/>
                <w:szCs w:val="32"/>
                <w:vertAlign w:val="subscript"/>
                <w:lang w:val="en-US" w:eastAsia="zh-CN"/>
              </w:rPr>
              <w:t>2</w:t>
            </w:r>
            <w:r>
              <w:rPr>
                <w:rFonts w:hint="eastAsia" w:cs="Times New Roman"/>
                <w:sz w:val="24"/>
                <w:szCs w:val="32"/>
                <w:lang w:val="en-US" w:eastAsia="zh-CN"/>
              </w:rPr>
              <w:t>SiO</w:t>
            </w:r>
            <w:r>
              <w:rPr>
                <w:rFonts w:hint="eastAsia" w:cs="Times New Roman"/>
                <w:sz w:val="24"/>
                <w:szCs w:val="32"/>
                <w:vertAlign w:val="subscript"/>
                <w:lang w:val="en-US" w:eastAsia="zh-CN"/>
              </w:rPr>
              <w:t>3</w:t>
            </w:r>
            <w:r>
              <w:rPr>
                <w:rFonts w:hint="eastAsia" w:cs="Times New Roman"/>
                <w:sz w:val="24"/>
                <w:szCs w:val="32"/>
                <w:lang w:val="en-US" w:eastAsia="zh-CN"/>
              </w:rPr>
              <w:t>+N</w:t>
            </w:r>
            <w:r>
              <w:rPr>
                <w:rFonts w:hint="eastAsia" w:cs="Times New Roman"/>
                <w:sz w:val="24"/>
                <w:szCs w:val="32"/>
                <w:vertAlign w:val="subscript"/>
                <w:lang w:val="en-US" w:eastAsia="zh-CN"/>
              </w:rPr>
              <w:t>2</w:t>
            </w:r>
            <w:r>
              <w:rPr>
                <w:rFonts w:hint="eastAsia" w:cs="Times New Roman"/>
                <w:sz w:val="24"/>
                <w:szCs w:val="32"/>
                <w:lang w:val="en-US" w:eastAsia="zh-CN"/>
              </w:rPr>
              <w:t>(↑)</w:t>
            </w:r>
          </w:p>
          <w:p w14:paraId="2A660021">
            <w:pPr>
              <w:spacing w:line="360" w:lineRule="auto"/>
              <w:ind w:firstLine="480" w:firstLineChars="200"/>
              <w:jc w:val="both"/>
              <w:rPr>
                <w:rFonts w:hint="eastAsia"/>
                <w:sz w:val="24"/>
                <w:szCs w:val="32"/>
                <w:lang w:val="en-US" w:eastAsia="zh-CN"/>
              </w:rPr>
            </w:pPr>
            <w:r>
              <w:rPr>
                <w:rFonts w:hint="eastAsia"/>
                <w:sz w:val="24"/>
                <w:szCs w:val="32"/>
                <w:lang w:val="en-US" w:eastAsia="zh-CN"/>
              </w:rPr>
              <w:t>由上述分析可知，安全气囊爆破过程中会产生氮气，此外气囊引爆过程会释放出少量的粉尘，引爆过程在封闭的引爆装置内进行，产生的粉尘在引爆装置内沉降，对周边环境影响较小，本次评价不作定量分析。</w:t>
            </w:r>
          </w:p>
          <w:p w14:paraId="3BA19AD9">
            <w:pPr>
              <w:spacing w:line="360" w:lineRule="auto"/>
              <w:ind w:firstLine="480" w:firstLineChars="200"/>
              <w:jc w:val="both"/>
              <w:rPr>
                <w:rFonts w:hint="eastAsia"/>
                <w:sz w:val="24"/>
                <w:szCs w:val="32"/>
                <w:lang w:val="en-US" w:eastAsia="zh-CN"/>
              </w:rPr>
            </w:pPr>
            <w:r>
              <w:rPr>
                <w:rFonts w:hint="eastAsia"/>
                <w:sz w:val="24"/>
                <w:szCs w:val="32"/>
                <w:lang w:val="en-US" w:eastAsia="zh-CN"/>
              </w:rPr>
              <w:t>（5）拆解粉尘</w:t>
            </w:r>
          </w:p>
          <w:p w14:paraId="3512D67C">
            <w:pPr>
              <w:spacing w:line="360" w:lineRule="auto"/>
              <w:ind w:firstLine="480" w:firstLineChars="200"/>
              <w:jc w:val="both"/>
              <w:rPr>
                <w:rFonts w:hint="eastAsia"/>
                <w:sz w:val="24"/>
                <w:szCs w:val="32"/>
                <w:lang w:val="en-US" w:eastAsia="zh-CN"/>
              </w:rPr>
            </w:pPr>
            <w:r>
              <w:rPr>
                <w:rFonts w:hint="eastAsia"/>
                <w:sz w:val="24"/>
                <w:szCs w:val="32"/>
                <w:lang w:val="en-US" w:eastAsia="zh-CN"/>
              </w:rPr>
              <w:t>由于报废车辆底盘、车轮等部位粘附着泥沙，在拆解作业过程中，因切割、敲打、装卸等操作，会使泥沙脱落，经风力作用形成粉尘。类比同类型企业可知，小型车辆携带泥沙量为0.5kg/辆，大、中型车辆携带泥沙量为1.5kg/辆，摩托车携带泥沙量为0.2kg/辆，则泥沙总量约7.9t/a，其中约有5%的泥沙在拆解过程中脱落形成粉尘，则粉尘产生量约为0.395t/a。</w:t>
            </w:r>
          </w:p>
          <w:p w14:paraId="618A8DAC">
            <w:pPr>
              <w:spacing w:line="360" w:lineRule="auto"/>
              <w:ind w:firstLine="480" w:firstLineChars="200"/>
              <w:jc w:val="both"/>
              <w:rPr>
                <w:rFonts w:hint="eastAsia"/>
                <w:sz w:val="24"/>
                <w:szCs w:val="32"/>
                <w:lang w:val="en-US" w:eastAsia="zh-CN"/>
              </w:rPr>
            </w:pPr>
            <w:r>
              <w:rPr>
                <w:rFonts w:hint="eastAsia"/>
                <w:sz w:val="24"/>
                <w:szCs w:val="32"/>
                <w:lang w:val="en-US" w:eastAsia="zh-CN"/>
              </w:rPr>
              <w:t>由于拆解工段粉尘产生量小，拆解区域面积大，不易收集，呈无组织排放。项目拆解工段均在车间内进行，车间安装喷雾降尘装置，粉尘经喷雾降尘与车间阻隔后，约有10%呈无组织排放，则拆解工段无组织粉尘排放量为0.0395t/a，0.016kg/h。</w:t>
            </w:r>
          </w:p>
          <w:p w14:paraId="004E8790">
            <w:pPr>
              <w:spacing w:line="360" w:lineRule="auto"/>
              <w:ind w:firstLine="480" w:firstLineChars="200"/>
              <w:jc w:val="both"/>
              <w:rPr>
                <w:rFonts w:hint="default"/>
                <w:sz w:val="24"/>
                <w:szCs w:val="32"/>
                <w:lang w:val="en-US" w:eastAsia="zh-CN"/>
              </w:rPr>
            </w:pPr>
            <w:r>
              <w:rPr>
                <w:rFonts w:hint="eastAsia"/>
                <w:sz w:val="24"/>
                <w:szCs w:val="32"/>
                <w:lang w:val="en-US" w:eastAsia="zh-CN"/>
              </w:rPr>
              <w:t>（6）切割粉尘</w:t>
            </w:r>
          </w:p>
          <w:p w14:paraId="3ED0F945">
            <w:pPr>
              <w:spacing w:line="360" w:lineRule="auto"/>
              <w:ind w:firstLine="480" w:firstLineChars="200"/>
              <w:jc w:val="both"/>
              <w:rPr>
                <w:rFonts w:hint="default"/>
                <w:sz w:val="24"/>
                <w:szCs w:val="32"/>
                <w:lang w:val="en-US" w:eastAsia="zh-CN"/>
              </w:rPr>
            </w:pPr>
            <w:r>
              <w:rPr>
                <w:rFonts w:hint="eastAsia"/>
                <w:sz w:val="24"/>
                <w:szCs w:val="32"/>
                <w:lang w:val="en-US" w:eastAsia="zh-CN"/>
              </w:rPr>
              <w:t>本项目车厢及大型部件拆除过程中，需使用等离子切割机对车身及车厢进行切割，在切割过程中会产生切割粉尘。根据物料平衡可知，本项目废钢铁产生量为20775t/a，其中约10%的废钢铁需进行切割，则需切割的钢铁量为2077.5t/a。参照《排放源统计调查产排污核算方法和系数手册—33金属制品业系数表》可知，等离子切割工段颗粒物产污系数1.1kg/t原料，则切割工段粉尘产生量约为2.28t/a。</w:t>
            </w:r>
          </w:p>
          <w:p w14:paraId="33A650E1">
            <w:pPr>
              <w:spacing w:line="360" w:lineRule="auto"/>
              <w:ind w:firstLine="480" w:firstLineChars="200"/>
              <w:jc w:val="both"/>
              <w:rPr>
                <w:rFonts w:hint="default"/>
                <w:sz w:val="24"/>
                <w:szCs w:val="32"/>
                <w:lang w:val="en-US" w:eastAsia="zh-CN"/>
              </w:rPr>
            </w:pPr>
            <w:r>
              <w:rPr>
                <w:rFonts w:hint="eastAsia"/>
                <w:sz w:val="24"/>
                <w:szCs w:val="32"/>
                <w:lang w:val="en-US" w:eastAsia="zh-CN"/>
              </w:rPr>
              <w:t>为降低切割工段粉尘对周边大气环境的影响，建设单位拟对等离子切割机上方配套安装集气罩（长2m×2m），切割粉尘经集气罩收集后，引至布袋除尘器净化处理后，通过15m高排气筒（DA003）高空排放。</w:t>
            </w:r>
          </w:p>
          <w:p w14:paraId="78313E7E">
            <w:pPr>
              <w:spacing w:line="360" w:lineRule="auto"/>
              <w:ind w:firstLine="482" w:firstLineChars="200"/>
              <w:rPr>
                <w:rFonts w:hint="default" w:cs="Times New Roman"/>
                <w:b/>
                <w:bCs/>
                <w:sz w:val="24"/>
                <w:szCs w:val="32"/>
                <w:lang w:val="en-US" w:eastAsia="zh-CN"/>
              </w:rPr>
            </w:pPr>
            <w:r>
              <w:rPr>
                <w:rFonts w:hint="eastAsia" w:cs="Times New Roman"/>
                <w:b/>
                <w:bCs/>
                <w:sz w:val="24"/>
                <w:szCs w:val="32"/>
                <w:lang w:val="en-US" w:eastAsia="zh-CN"/>
              </w:rPr>
              <w:t>切割工段废气量核算：</w:t>
            </w:r>
          </w:p>
          <w:p w14:paraId="7AB04C73">
            <w:pPr>
              <w:pageBreakBefore w:val="0"/>
              <w:widowControl w:val="0"/>
              <w:topLinePunct w:val="0"/>
              <w:bidi w:val="0"/>
              <w:spacing w:line="360" w:lineRule="auto"/>
              <w:ind w:firstLine="480" w:firstLineChars="200"/>
              <w:jc w:val="both"/>
              <w:rPr>
                <w:rFonts w:ascii="Times New Roman" w:hAnsi="Times New Roman" w:eastAsia="宋体" w:cs="Times New Roman"/>
                <w:sz w:val="24"/>
              </w:rPr>
            </w:pPr>
            <w:r>
              <w:rPr>
                <w:rFonts w:ascii="Times New Roman" w:hAnsi="Times New Roman" w:eastAsia="宋体" w:cs="Times New Roman"/>
                <w:sz w:val="24"/>
              </w:rPr>
              <w:t>根据《大气污染控制工程》中的控制风速法计算。</w:t>
            </w:r>
            <w:r>
              <w:rPr>
                <w:rFonts w:hint="eastAsia" w:ascii="Times New Roman" w:hAnsi="Times New Roman" w:eastAsia="宋体" w:cs="Times New Roman"/>
                <w:sz w:val="24"/>
                <w:lang w:val="en-US" w:eastAsia="zh-CN"/>
              </w:rPr>
              <w:t>废气量</w:t>
            </w:r>
            <w:r>
              <w:rPr>
                <w:rFonts w:ascii="Times New Roman" w:hAnsi="Times New Roman" w:eastAsia="宋体" w:cs="Times New Roman"/>
                <w:sz w:val="24"/>
              </w:rPr>
              <w:t>计算公式如下：</w:t>
            </w:r>
          </w:p>
          <w:p w14:paraId="01A33FA2">
            <w:pPr>
              <w:pageBreakBefore w:val="0"/>
              <w:widowControl w:val="0"/>
              <w:topLinePunct w:val="0"/>
              <w:bidi w:val="0"/>
              <w:spacing w:line="360" w:lineRule="auto"/>
              <w:ind w:firstLine="480" w:firstLineChars="200"/>
              <w:jc w:val="center"/>
              <w:rPr>
                <w:rFonts w:ascii="Times New Roman" w:hAnsi="Times New Roman" w:eastAsia="宋体" w:cs="Times New Roman"/>
                <w:sz w:val="24"/>
              </w:rPr>
            </w:pPr>
            <w:r>
              <w:rPr>
                <w:rFonts w:ascii="Times New Roman" w:hAnsi="Times New Roman" w:eastAsia="宋体" w:cs="Times New Roman"/>
                <w:i/>
                <w:iCs/>
                <w:sz w:val="24"/>
              </w:rPr>
              <w:t>Q=3600×KPHV</w:t>
            </w:r>
          </w:p>
          <w:p w14:paraId="6991DC9E">
            <w:pPr>
              <w:pageBreakBefore w:val="0"/>
              <w:widowControl w:val="0"/>
              <w:topLinePunct w:val="0"/>
              <w:bidi w:val="0"/>
              <w:spacing w:line="360" w:lineRule="auto"/>
              <w:ind w:firstLine="480" w:firstLineChars="200"/>
              <w:jc w:val="both"/>
              <w:rPr>
                <w:rFonts w:ascii="Times New Roman" w:hAnsi="Times New Roman" w:eastAsia="宋体" w:cs="Times New Roman"/>
                <w:sz w:val="24"/>
              </w:rPr>
            </w:pPr>
            <w:r>
              <w:rPr>
                <w:rFonts w:ascii="Times New Roman" w:hAnsi="Times New Roman" w:eastAsia="宋体" w:cs="Times New Roman"/>
                <w:sz w:val="24"/>
              </w:rPr>
              <w:t>其中：Q为风量，m</w:t>
            </w:r>
            <w:r>
              <w:rPr>
                <w:rFonts w:hint="eastAsia" w:ascii="Times New Roman" w:hAnsi="Times New Roman" w:eastAsia="宋体" w:cs="Times New Roman"/>
                <w:sz w:val="24"/>
                <w:vertAlign w:val="superscript"/>
                <w:lang w:val="en-US" w:eastAsia="zh-CN"/>
              </w:rPr>
              <w:t>3</w:t>
            </w:r>
            <w:r>
              <w:rPr>
                <w:rFonts w:ascii="Times New Roman" w:hAnsi="Times New Roman" w:eastAsia="宋体" w:cs="Times New Roman"/>
                <w:sz w:val="24"/>
              </w:rPr>
              <w:t>/h；</w:t>
            </w:r>
          </w:p>
          <w:p w14:paraId="2DF8EE99">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ascii="Times New Roman" w:hAnsi="Times New Roman" w:eastAsia="宋体" w:cs="Times New Roman"/>
                <w:sz w:val="24"/>
              </w:rPr>
            </w:pPr>
            <w:r>
              <w:rPr>
                <w:rFonts w:ascii="Times New Roman" w:hAnsi="Times New Roman" w:eastAsia="宋体" w:cs="Times New Roman"/>
                <w:sz w:val="24"/>
              </w:rPr>
              <w:t>K：考虑沿高度速度不均匀的安全系数，通常取1.4；</w:t>
            </w:r>
          </w:p>
          <w:p w14:paraId="3A70859C">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eastAsia" w:ascii="Times New Roman" w:hAnsi="Times New Roman" w:eastAsia="宋体" w:cs="Times New Roman"/>
                <w:sz w:val="24"/>
                <w:lang w:eastAsia="zh-CN"/>
              </w:rPr>
            </w:pPr>
            <w:r>
              <w:rPr>
                <w:rFonts w:ascii="Times New Roman" w:hAnsi="Times New Roman" w:eastAsia="宋体" w:cs="Times New Roman"/>
                <w:sz w:val="24"/>
              </w:rPr>
              <w:t>P：罩口周长，m；</w:t>
            </w:r>
            <w:r>
              <w:rPr>
                <w:rFonts w:hint="eastAsia" w:ascii="Times New Roman" w:hAnsi="Times New Roman" w:eastAsia="宋体" w:cs="Times New Roman"/>
                <w:b w:val="0"/>
                <w:bCs/>
                <w:sz w:val="24"/>
              </w:rPr>
              <w:t>P=</w:t>
            </w:r>
            <w:r>
              <w:rPr>
                <w:rFonts w:hint="eastAsia" w:ascii="Times New Roman" w:hAnsi="Times New Roman" w:eastAsia="宋体" w:cs="Times New Roman"/>
                <w:b w:val="0"/>
                <w:bCs/>
                <w:sz w:val="24"/>
                <w:lang w:val="en-US" w:eastAsia="zh-CN"/>
              </w:rPr>
              <w:t>8</w:t>
            </w:r>
            <w:r>
              <w:rPr>
                <w:rFonts w:hint="eastAsia" w:ascii="Times New Roman" w:hAnsi="Times New Roman" w:eastAsia="宋体" w:cs="Times New Roman"/>
                <w:b w:val="0"/>
                <w:bCs/>
                <w:sz w:val="24"/>
              </w:rPr>
              <w:t>m</w:t>
            </w:r>
            <w:r>
              <w:rPr>
                <w:rFonts w:hint="eastAsia" w:ascii="Times New Roman" w:hAnsi="Times New Roman" w:eastAsia="宋体" w:cs="Times New Roman"/>
                <w:b w:val="0"/>
                <w:bCs/>
                <w:sz w:val="24"/>
                <w:lang w:eastAsia="zh-CN"/>
              </w:rPr>
              <w:t>。</w:t>
            </w:r>
          </w:p>
          <w:p w14:paraId="0B76BBFA">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eastAsia" w:ascii="Times New Roman" w:hAnsi="Times New Roman" w:eastAsia="宋体" w:cs="Times New Roman"/>
                <w:sz w:val="24"/>
                <w:lang w:eastAsia="zh-CN"/>
              </w:rPr>
            </w:pPr>
            <w:r>
              <w:rPr>
                <w:rFonts w:ascii="Times New Roman" w:hAnsi="Times New Roman" w:eastAsia="宋体" w:cs="Times New Roman"/>
                <w:sz w:val="24"/>
              </w:rPr>
              <w:t>H：罩口至污染源的距离，m；</w:t>
            </w:r>
            <w:r>
              <w:rPr>
                <w:rFonts w:ascii="Times New Roman" w:hAnsi="Times New Roman" w:eastAsia="宋体" w:cs="Times New Roman"/>
                <w:b w:val="0"/>
                <w:bCs/>
                <w:sz w:val="24"/>
              </w:rPr>
              <w:t>为避免横向气流的干扰，项目设计罩口至污染源的距离为0.</w:t>
            </w:r>
            <w:r>
              <w:rPr>
                <w:rFonts w:hint="eastAsia" w:ascii="Times New Roman" w:hAnsi="Times New Roman" w:eastAsia="宋体" w:cs="Times New Roman"/>
                <w:b w:val="0"/>
                <w:bCs/>
                <w:sz w:val="24"/>
                <w:lang w:val="en-US" w:eastAsia="zh-CN"/>
              </w:rPr>
              <w:t>5</w:t>
            </w:r>
            <w:r>
              <w:rPr>
                <w:rFonts w:ascii="Times New Roman" w:hAnsi="Times New Roman" w:eastAsia="宋体" w:cs="Times New Roman"/>
                <w:b w:val="0"/>
                <w:bCs/>
                <w:sz w:val="24"/>
              </w:rPr>
              <w:t>m</w:t>
            </w:r>
            <w:r>
              <w:rPr>
                <w:rFonts w:hint="eastAsia" w:ascii="Times New Roman" w:hAnsi="Times New Roman" w:eastAsia="宋体" w:cs="Times New Roman"/>
                <w:b w:val="0"/>
                <w:bCs/>
                <w:sz w:val="24"/>
                <w:lang w:eastAsia="zh-CN"/>
              </w:rPr>
              <w:t>。</w:t>
            </w:r>
          </w:p>
          <w:p w14:paraId="64B5DEC2">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eastAsia" w:ascii="Times New Roman" w:hAnsi="Times New Roman" w:eastAsia="宋体" w:cs="Times New Roman"/>
                <w:sz w:val="24"/>
                <w:lang w:eastAsia="zh-CN"/>
              </w:rPr>
            </w:pPr>
            <w:r>
              <w:rPr>
                <w:rFonts w:ascii="Times New Roman" w:hAnsi="Times New Roman" w:eastAsia="宋体" w:cs="Times New Roman"/>
                <w:sz w:val="24"/>
              </w:rPr>
              <w:t>V：污染源控制速度，m/s；</w:t>
            </w:r>
            <w:r>
              <w:rPr>
                <w:rFonts w:ascii="Times New Roman" w:hAnsi="Times New Roman" w:eastAsia="宋体" w:cs="Times New Roman"/>
                <w:b w:val="0"/>
                <w:bCs/>
                <w:sz w:val="24"/>
              </w:rPr>
              <w:t>根据《大气污染控制工程》中可得，当污染源从轻微速度发散到相对平静的空气中时，污染源控制速度在0.25~0.5m/s，同时废气收集设施控制点风速不低于0.3m/s，</w:t>
            </w:r>
            <w:r>
              <w:rPr>
                <w:rFonts w:hint="eastAsia" w:ascii="Times New Roman" w:hAnsi="Times New Roman" w:eastAsia="宋体" w:cs="Times New Roman"/>
                <w:b w:val="0"/>
                <w:bCs/>
                <w:sz w:val="24"/>
                <w:lang w:eastAsia="zh-CN"/>
              </w:rPr>
              <w:t>项目</w:t>
            </w:r>
            <w:r>
              <w:rPr>
                <w:rFonts w:ascii="Times New Roman" w:hAnsi="Times New Roman" w:eastAsia="宋体" w:cs="Times New Roman"/>
                <w:b w:val="0"/>
                <w:bCs/>
                <w:sz w:val="24"/>
              </w:rPr>
              <w:t>取0.</w:t>
            </w:r>
            <w:r>
              <w:rPr>
                <w:rFonts w:hint="eastAsia" w:ascii="Times New Roman" w:hAnsi="Times New Roman" w:eastAsia="宋体" w:cs="Times New Roman"/>
                <w:b w:val="0"/>
                <w:bCs/>
                <w:sz w:val="24"/>
                <w:lang w:val="en-US" w:eastAsia="zh-CN"/>
              </w:rPr>
              <w:t>4</w:t>
            </w:r>
            <w:r>
              <w:rPr>
                <w:rFonts w:ascii="Times New Roman" w:hAnsi="Times New Roman" w:eastAsia="宋体" w:cs="Times New Roman"/>
                <w:b w:val="0"/>
                <w:bCs/>
                <w:sz w:val="24"/>
              </w:rPr>
              <w:t>m/s</w:t>
            </w:r>
            <w:r>
              <w:rPr>
                <w:rFonts w:hint="eastAsia" w:ascii="Times New Roman" w:hAnsi="Times New Roman" w:eastAsia="宋体" w:cs="Times New Roman"/>
                <w:b w:val="0"/>
                <w:bCs/>
                <w:sz w:val="24"/>
                <w:lang w:eastAsia="zh-CN"/>
              </w:rPr>
              <w:t>。</w:t>
            </w:r>
          </w:p>
          <w:p w14:paraId="08574537">
            <w:pPr>
              <w:spacing w:line="360" w:lineRule="auto"/>
              <w:ind w:firstLine="480" w:firstLineChars="200"/>
              <w:rPr>
                <w:rFonts w:hint="default" w:ascii="Times New Roman" w:hAnsi="Times New Roman" w:cs="Times New Roman"/>
                <w:sz w:val="24"/>
                <w:szCs w:val="32"/>
              </w:rPr>
            </w:pPr>
            <w:r>
              <w:rPr>
                <w:rFonts w:hint="eastAsia" w:ascii="Times New Roman" w:hAnsi="Times New Roman" w:eastAsia="宋体" w:cs="Times New Roman"/>
                <w:b w:val="0"/>
                <w:bCs/>
                <w:sz w:val="24"/>
                <w:lang w:val="en-US" w:eastAsia="zh-CN"/>
              </w:rPr>
              <w:t>经计算，项目废油液抽取区域所需风量为8064m</w:t>
            </w:r>
            <w:r>
              <w:rPr>
                <w:rFonts w:hint="eastAsia" w:ascii="Times New Roman" w:hAnsi="Times New Roman" w:eastAsia="宋体" w:cs="Times New Roman"/>
                <w:b w:val="0"/>
                <w:bCs/>
                <w:sz w:val="24"/>
                <w:vertAlign w:val="superscript"/>
                <w:lang w:val="en-US" w:eastAsia="zh-CN"/>
              </w:rPr>
              <w:t>3</w:t>
            </w:r>
            <w:r>
              <w:rPr>
                <w:rFonts w:hint="eastAsia" w:ascii="Times New Roman" w:hAnsi="Times New Roman" w:eastAsia="宋体" w:cs="Times New Roman"/>
                <w:b w:val="0"/>
                <w:bCs/>
                <w:sz w:val="24"/>
                <w:lang w:val="en-US" w:eastAsia="zh-CN"/>
              </w:rPr>
              <w:t>/h，</w:t>
            </w:r>
            <w:r>
              <w:rPr>
                <w:rFonts w:ascii="Times New Roman" w:hAnsi="Times New Roman" w:eastAsia="宋体"/>
                <w:b w:val="0"/>
                <w:bCs w:val="0"/>
                <w:color w:val="000000"/>
                <w:sz w:val="24"/>
                <w:highlight w:val="none"/>
              </w:rPr>
              <w:t>考虑到风力损失等，项目</w:t>
            </w:r>
            <w:r>
              <w:rPr>
                <w:rFonts w:hint="eastAsia" w:ascii="Times New Roman" w:hAnsi="Times New Roman" w:eastAsia="宋体"/>
                <w:b w:val="0"/>
                <w:bCs w:val="0"/>
                <w:color w:val="000000"/>
                <w:sz w:val="24"/>
                <w:highlight w:val="none"/>
                <w:lang w:val="en-US" w:eastAsia="zh-CN"/>
              </w:rPr>
              <w:t>设计风量按8500</w:t>
            </w:r>
            <w:r>
              <w:rPr>
                <w:rFonts w:ascii="Times New Roman" w:hAnsi="Times New Roman" w:eastAsia="宋体"/>
                <w:b w:val="0"/>
                <w:bCs w:val="0"/>
                <w:color w:val="000000"/>
                <w:sz w:val="24"/>
                <w:highlight w:val="none"/>
              </w:rPr>
              <w:t>m</w:t>
            </w:r>
            <w:r>
              <w:rPr>
                <w:rFonts w:ascii="Times New Roman" w:hAnsi="Times New Roman" w:eastAsia="宋体"/>
                <w:b w:val="0"/>
                <w:bCs w:val="0"/>
                <w:color w:val="000000"/>
                <w:sz w:val="24"/>
                <w:highlight w:val="none"/>
                <w:vertAlign w:val="superscript"/>
              </w:rPr>
              <w:t>3</w:t>
            </w:r>
            <w:r>
              <w:rPr>
                <w:rFonts w:ascii="Times New Roman" w:hAnsi="Times New Roman" w:eastAsia="宋体"/>
                <w:b w:val="0"/>
                <w:bCs w:val="0"/>
                <w:color w:val="000000"/>
                <w:sz w:val="24"/>
                <w:highlight w:val="none"/>
              </w:rPr>
              <w:t>/h</w:t>
            </w:r>
            <w:r>
              <w:rPr>
                <w:rFonts w:hint="eastAsia" w:ascii="Times New Roman" w:hAnsi="Times New Roman" w:eastAsia="宋体"/>
                <w:b w:val="0"/>
                <w:bCs w:val="0"/>
                <w:color w:val="000000"/>
                <w:sz w:val="24"/>
                <w:highlight w:val="none"/>
                <w:lang w:val="en-US" w:eastAsia="zh-CN"/>
              </w:rPr>
              <w:t>计。</w:t>
            </w:r>
            <w:r>
              <w:rPr>
                <w:rFonts w:hint="eastAsia" w:ascii="Times New Roman" w:hAnsi="Times New Roman" w:eastAsia="宋体" w:cs="Times New Roman"/>
                <w:color w:val="000000"/>
                <w:sz w:val="24"/>
                <w:lang w:val="en-US" w:eastAsia="zh-CN"/>
              </w:rPr>
              <w:t>废气收集效率按90%计，净化效率按99%计，</w:t>
            </w:r>
            <w:r>
              <w:rPr>
                <w:rFonts w:hint="eastAsia" w:cs="Times New Roman"/>
                <w:sz w:val="24"/>
                <w:szCs w:val="32"/>
                <w:lang w:val="en-US" w:eastAsia="zh-CN"/>
              </w:rPr>
              <w:t>切割工段年工作300天，每天工作8小时，年运行2400小时。则</w:t>
            </w:r>
            <w:r>
              <w:rPr>
                <w:rFonts w:hint="default" w:ascii="Times New Roman" w:hAnsi="Times New Roman" w:cs="Times New Roman"/>
                <w:sz w:val="24"/>
                <w:szCs w:val="32"/>
              </w:rPr>
              <w:t>项目营运期</w:t>
            </w:r>
            <w:r>
              <w:rPr>
                <w:rFonts w:hint="eastAsia" w:ascii="Times New Roman" w:hAnsi="Times New Roman" w:cs="Times New Roman"/>
                <w:sz w:val="24"/>
                <w:szCs w:val="32"/>
                <w:lang w:val="en-US" w:eastAsia="zh-CN"/>
              </w:rPr>
              <w:t>切割工段</w:t>
            </w:r>
            <w:r>
              <w:rPr>
                <w:rFonts w:hint="default" w:ascii="Times New Roman" w:hAnsi="Times New Roman" w:cs="Times New Roman"/>
                <w:sz w:val="24"/>
                <w:szCs w:val="32"/>
              </w:rPr>
              <w:t>废气产生及排放情况见下表。</w:t>
            </w:r>
          </w:p>
          <w:p w14:paraId="72AB365A">
            <w:pPr>
              <w:tabs>
                <w:tab w:val="left" w:pos="180"/>
              </w:tabs>
              <w:snapToGrid w:val="0"/>
              <w:spacing w:line="240" w:lineRule="atLeast"/>
              <w:jc w:val="center"/>
              <w:rPr>
                <w:rFonts w:hint="default" w:ascii="Times New Roman" w:hAnsi="Times New Roman" w:cs="Times New Roman"/>
                <w:b/>
                <w:bCs/>
              </w:rPr>
            </w:pPr>
            <w:r>
              <w:rPr>
                <w:rFonts w:hint="default" w:ascii="Times New Roman" w:hAnsi="Times New Roman" w:cs="Times New Roman"/>
                <w:b/>
                <w:bCs/>
              </w:rPr>
              <w:t>表</w:t>
            </w:r>
            <w:r>
              <w:rPr>
                <w:rFonts w:hint="eastAsia" w:ascii="Times New Roman" w:hAnsi="Times New Roman" w:cs="Times New Roman"/>
                <w:b/>
                <w:bCs/>
                <w:lang w:val="en-US" w:eastAsia="zh-CN"/>
              </w:rPr>
              <w:t>4-</w:t>
            </w:r>
            <w:r>
              <w:rPr>
                <w:rFonts w:hint="eastAsia" w:cs="Times New Roman"/>
                <w:b/>
                <w:bCs/>
                <w:lang w:val="en-US" w:eastAsia="zh-CN"/>
              </w:rPr>
              <w:t>3</w:t>
            </w:r>
            <w:r>
              <w:rPr>
                <w:rFonts w:hint="default" w:ascii="Times New Roman" w:hAnsi="Times New Roman" w:cs="Times New Roman"/>
                <w:b/>
                <w:bCs/>
              </w:rPr>
              <w:t xml:space="preserve">  切割烟尘产生及排放情况一览表</w:t>
            </w:r>
          </w:p>
          <w:tbl>
            <w:tblPr>
              <w:tblStyle w:val="25"/>
              <w:tblW w:w="7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692"/>
              <w:gridCol w:w="1039"/>
              <w:gridCol w:w="738"/>
              <w:gridCol w:w="796"/>
              <w:gridCol w:w="1246"/>
              <w:gridCol w:w="1050"/>
              <w:gridCol w:w="762"/>
              <w:gridCol w:w="962"/>
            </w:tblGrid>
            <w:tr w14:paraId="142C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672" w:type="dxa"/>
                  <w:vMerge w:val="restart"/>
                  <w:vAlign w:val="center"/>
                </w:tcPr>
                <w:p w14:paraId="100572D5">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排放方式</w:t>
                  </w:r>
                </w:p>
              </w:tc>
              <w:tc>
                <w:tcPr>
                  <w:tcW w:w="692" w:type="dxa"/>
                  <w:vMerge w:val="restart"/>
                  <w:vAlign w:val="center"/>
                </w:tcPr>
                <w:p w14:paraId="758014E6">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2573" w:type="dxa"/>
                  <w:gridSpan w:val="3"/>
                  <w:vAlign w:val="center"/>
                </w:tcPr>
                <w:p w14:paraId="579ACF27">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产生源强</w:t>
                  </w:r>
                </w:p>
              </w:tc>
              <w:tc>
                <w:tcPr>
                  <w:tcW w:w="1246" w:type="dxa"/>
                  <w:vMerge w:val="restart"/>
                  <w:vAlign w:val="center"/>
                </w:tcPr>
                <w:p w14:paraId="2725D3CF">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处理措施</w:t>
                  </w:r>
                </w:p>
              </w:tc>
              <w:tc>
                <w:tcPr>
                  <w:tcW w:w="2774" w:type="dxa"/>
                  <w:gridSpan w:val="3"/>
                  <w:vAlign w:val="center"/>
                </w:tcPr>
                <w:p w14:paraId="49A1D2C4">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排放源强</w:t>
                  </w:r>
                </w:p>
              </w:tc>
            </w:tr>
            <w:tr w14:paraId="6778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dxa"/>
                  <w:vMerge w:val="continue"/>
                  <w:vAlign w:val="center"/>
                </w:tcPr>
                <w:p w14:paraId="2045E18E">
                  <w:pPr>
                    <w:pStyle w:val="29"/>
                    <w:spacing w:line="240" w:lineRule="auto"/>
                    <w:jc w:val="center"/>
                    <w:rPr>
                      <w:rFonts w:hint="default" w:ascii="Times New Roman" w:hAnsi="Times New Roman" w:eastAsia="宋体" w:cs="Times New Roman"/>
                      <w:b/>
                      <w:bCs/>
                      <w:sz w:val="21"/>
                      <w:szCs w:val="21"/>
                    </w:rPr>
                  </w:pPr>
                </w:p>
              </w:tc>
              <w:tc>
                <w:tcPr>
                  <w:tcW w:w="692" w:type="dxa"/>
                  <w:vMerge w:val="continue"/>
                  <w:vAlign w:val="center"/>
                </w:tcPr>
                <w:p w14:paraId="02BD61AB">
                  <w:pPr>
                    <w:pStyle w:val="29"/>
                    <w:spacing w:line="240" w:lineRule="auto"/>
                    <w:jc w:val="center"/>
                    <w:rPr>
                      <w:rFonts w:hint="default" w:ascii="Times New Roman" w:hAnsi="Times New Roman" w:eastAsia="宋体" w:cs="Times New Roman"/>
                      <w:b/>
                      <w:bCs/>
                      <w:sz w:val="21"/>
                      <w:szCs w:val="21"/>
                    </w:rPr>
                  </w:pPr>
                </w:p>
              </w:tc>
              <w:tc>
                <w:tcPr>
                  <w:tcW w:w="1039" w:type="dxa"/>
                  <w:vAlign w:val="center"/>
                </w:tcPr>
                <w:p w14:paraId="548481FA">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产生浓度mg/m</w:t>
                  </w:r>
                  <w:r>
                    <w:rPr>
                      <w:rFonts w:hint="default" w:ascii="Times New Roman" w:hAnsi="Times New Roman" w:eastAsia="宋体" w:cs="Times New Roman"/>
                      <w:b/>
                      <w:bCs/>
                      <w:sz w:val="21"/>
                      <w:szCs w:val="21"/>
                      <w:vertAlign w:val="superscript"/>
                    </w:rPr>
                    <w:t>3</w:t>
                  </w:r>
                </w:p>
              </w:tc>
              <w:tc>
                <w:tcPr>
                  <w:tcW w:w="738" w:type="dxa"/>
                  <w:vAlign w:val="center"/>
                </w:tcPr>
                <w:p w14:paraId="74559803">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产生速率kg/h</w:t>
                  </w:r>
                </w:p>
              </w:tc>
              <w:tc>
                <w:tcPr>
                  <w:tcW w:w="796" w:type="dxa"/>
                  <w:vAlign w:val="center"/>
                </w:tcPr>
                <w:p w14:paraId="75CD4D14">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产生量t/a</w:t>
                  </w:r>
                </w:p>
              </w:tc>
              <w:tc>
                <w:tcPr>
                  <w:tcW w:w="1246" w:type="dxa"/>
                  <w:vMerge w:val="continue"/>
                  <w:vAlign w:val="center"/>
                </w:tcPr>
                <w:p w14:paraId="46EE7F49">
                  <w:pPr>
                    <w:pStyle w:val="29"/>
                    <w:spacing w:line="240" w:lineRule="auto"/>
                    <w:jc w:val="center"/>
                    <w:rPr>
                      <w:rFonts w:hint="default" w:ascii="Times New Roman" w:hAnsi="Times New Roman" w:eastAsia="宋体" w:cs="Times New Roman"/>
                      <w:b/>
                      <w:bCs/>
                      <w:sz w:val="21"/>
                      <w:szCs w:val="21"/>
                    </w:rPr>
                  </w:pPr>
                </w:p>
              </w:tc>
              <w:tc>
                <w:tcPr>
                  <w:tcW w:w="1050" w:type="dxa"/>
                  <w:vAlign w:val="center"/>
                </w:tcPr>
                <w:p w14:paraId="7D86BA90">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排放浓度mg/m</w:t>
                  </w:r>
                  <w:r>
                    <w:rPr>
                      <w:rFonts w:hint="default" w:ascii="Times New Roman" w:hAnsi="Times New Roman" w:eastAsia="宋体" w:cs="Times New Roman"/>
                      <w:b/>
                      <w:bCs/>
                      <w:sz w:val="21"/>
                      <w:szCs w:val="21"/>
                      <w:vertAlign w:val="superscript"/>
                    </w:rPr>
                    <w:t>3</w:t>
                  </w:r>
                </w:p>
              </w:tc>
              <w:tc>
                <w:tcPr>
                  <w:tcW w:w="762" w:type="dxa"/>
                  <w:vAlign w:val="center"/>
                </w:tcPr>
                <w:p w14:paraId="103F9266">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排放速率kg/h</w:t>
                  </w:r>
                </w:p>
              </w:tc>
              <w:tc>
                <w:tcPr>
                  <w:tcW w:w="962" w:type="dxa"/>
                  <w:vAlign w:val="center"/>
                </w:tcPr>
                <w:p w14:paraId="003323A2">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排放量t/a</w:t>
                  </w:r>
                </w:p>
              </w:tc>
            </w:tr>
            <w:tr w14:paraId="1964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dxa"/>
                  <w:vAlign w:val="center"/>
                </w:tcPr>
                <w:p w14:paraId="5012ACCB">
                  <w:pPr>
                    <w:pStyle w:val="29"/>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有组织</w:t>
                  </w:r>
                </w:p>
              </w:tc>
              <w:tc>
                <w:tcPr>
                  <w:tcW w:w="692" w:type="dxa"/>
                  <w:vAlign w:val="center"/>
                </w:tcPr>
                <w:p w14:paraId="7D0B1F11">
                  <w:pPr>
                    <w:pStyle w:val="29"/>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颗粒物</w:t>
                  </w:r>
                </w:p>
              </w:tc>
              <w:tc>
                <w:tcPr>
                  <w:tcW w:w="1039" w:type="dxa"/>
                  <w:vAlign w:val="center"/>
                </w:tcPr>
                <w:p w14:paraId="1C588643">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100.5</w:t>
                  </w:r>
                </w:p>
              </w:tc>
              <w:tc>
                <w:tcPr>
                  <w:tcW w:w="738" w:type="dxa"/>
                  <w:vAlign w:val="center"/>
                </w:tcPr>
                <w:p w14:paraId="4F009A12">
                  <w:pPr>
                    <w:pStyle w:val="29"/>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0</w:t>
                  </w:r>
                  <w:r>
                    <w:rPr>
                      <w:rFonts w:hint="eastAsia" w:ascii="Times New Roman" w:hAnsi="Times New Roman" w:eastAsia="宋体" w:cs="Times New Roman"/>
                      <w:b w:val="0"/>
                      <w:bCs w:val="0"/>
                      <w:sz w:val="21"/>
                      <w:szCs w:val="21"/>
                      <w:lang w:val="en-US" w:eastAsia="zh-CN"/>
                    </w:rPr>
                    <w:t>.85</w:t>
                  </w:r>
                </w:p>
              </w:tc>
              <w:tc>
                <w:tcPr>
                  <w:tcW w:w="796" w:type="dxa"/>
                  <w:vAlign w:val="center"/>
                </w:tcPr>
                <w:p w14:paraId="36B3637F">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2.05</w:t>
                  </w:r>
                </w:p>
              </w:tc>
              <w:tc>
                <w:tcPr>
                  <w:tcW w:w="1246" w:type="dxa"/>
                  <w:vAlign w:val="center"/>
                </w:tcPr>
                <w:p w14:paraId="6ADAE4ED">
                  <w:pPr>
                    <w:spacing w:line="240" w:lineRule="auto"/>
                    <w:jc w:val="center"/>
                    <w:rPr>
                      <w:rFonts w:hint="eastAsia" w:ascii="Times New Roman" w:hAnsi="Times New Roman" w:eastAsia="宋体" w:cs="Times New Roman"/>
                      <w:b w:val="0"/>
                      <w:bCs w:val="0"/>
                      <w:sz w:val="21"/>
                      <w:szCs w:val="21"/>
                      <w:lang w:eastAsia="zh-CN"/>
                    </w:rPr>
                  </w:pPr>
                  <w:r>
                    <w:rPr>
                      <w:rFonts w:hint="default" w:ascii="Times New Roman" w:hAnsi="Times New Roman" w:cs="Times New Roman"/>
                      <w:b w:val="0"/>
                      <w:bCs w:val="0"/>
                      <w:sz w:val="21"/>
                      <w:szCs w:val="21"/>
                    </w:rPr>
                    <w:t>布袋除尘器+15m高排气筒</w:t>
                  </w:r>
                  <w:r>
                    <w:rPr>
                      <w:rFonts w:hint="eastAsia" w:ascii="Times New Roman" w:hAnsi="Times New Roman" w:cs="Times New Roman"/>
                      <w:b w:val="0"/>
                      <w:bCs w:val="0"/>
                      <w:sz w:val="21"/>
                      <w:szCs w:val="21"/>
                      <w:lang w:eastAsia="zh-CN"/>
                    </w:rPr>
                    <w:t>（</w:t>
                  </w:r>
                  <w:r>
                    <w:rPr>
                      <w:rFonts w:hint="eastAsia" w:ascii="Times New Roman" w:hAnsi="Times New Roman" w:cs="Times New Roman"/>
                      <w:b w:val="0"/>
                      <w:bCs w:val="0"/>
                      <w:sz w:val="21"/>
                      <w:szCs w:val="21"/>
                      <w:lang w:val="en-US" w:eastAsia="zh-CN"/>
                    </w:rPr>
                    <w:t>DA003</w:t>
                  </w:r>
                  <w:r>
                    <w:rPr>
                      <w:rFonts w:hint="eastAsia" w:ascii="Times New Roman" w:hAnsi="Times New Roman" w:cs="Times New Roman"/>
                      <w:b w:val="0"/>
                      <w:bCs w:val="0"/>
                      <w:sz w:val="21"/>
                      <w:szCs w:val="21"/>
                      <w:lang w:eastAsia="zh-CN"/>
                    </w:rPr>
                    <w:t>）</w:t>
                  </w:r>
                </w:p>
              </w:tc>
              <w:tc>
                <w:tcPr>
                  <w:tcW w:w="1050" w:type="dxa"/>
                  <w:vAlign w:val="center"/>
                </w:tcPr>
                <w:p w14:paraId="4B063920">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1.03</w:t>
                  </w:r>
                </w:p>
              </w:tc>
              <w:tc>
                <w:tcPr>
                  <w:tcW w:w="762" w:type="dxa"/>
                  <w:vAlign w:val="center"/>
                </w:tcPr>
                <w:p w14:paraId="763B20DC">
                  <w:pPr>
                    <w:pStyle w:val="29"/>
                    <w:spacing w:line="240" w:lineRule="auto"/>
                    <w:jc w:val="center"/>
                    <w:rPr>
                      <w:rFonts w:hint="eastAsia"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0.00</w:t>
                  </w:r>
                  <w:r>
                    <w:rPr>
                      <w:rFonts w:hint="eastAsia" w:ascii="Times New Roman" w:hAnsi="Times New Roman" w:eastAsia="宋体" w:cs="Times New Roman"/>
                      <w:b w:val="0"/>
                      <w:bCs w:val="0"/>
                      <w:sz w:val="21"/>
                      <w:szCs w:val="21"/>
                      <w:lang w:val="en-US" w:eastAsia="zh-CN"/>
                    </w:rPr>
                    <w:t>9</w:t>
                  </w:r>
                </w:p>
              </w:tc>
              <w:tc>
                <w:tcPr>
                  <w:tcW w:w="962" w:type="dxa"/>
                  <w:vAlign w:val="center"/>
                </w:tcPr>
                <w:p w14:paraId="41FEB081">
                  <w:pPr>
                    <w:pStyle w:val="29"/>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0.0</w:t>
                  </w:r>
                  <w:r>
                    <w:rPr>
                      <w:rFonts w:hint="eastAsia" w:ascii="Times New Roman" w:hAnsi="Times New Roman" w:eastAsia="宋体" w:cs="Times New Roman"/>
                      <w:b w:val="0"/>
                      <w:bCs w:val="0"/>
                      <w:sz w:val="21"/>
                      <w:szCs w:val="21"/>
                      <w:lang w:val="en-US" w:eastAsia="zh-CN"/>
                    </w:rPr>
                    <w:t>21</w:t>
                  </w:r>
                </w:p>
              </w:tc>
            </w:tr>
            <w:tr w14:paraId="5306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2" w:type="dxa"/>
                  <w:vAlign w:val="center"/>
                </w:tcPr>
                <w:p w14:paraId="624BEC9C">
                  <w:pPr>
                    <w:pStyle w:val="29"/>
                    <w:spacing w:line="240" w:lineRule="auto"/>
                    <w:jc w:val="center"/>
                    <w:rPr>
                      <w:rFonts w:hint="default" w:ascii="Times New Roman" w:hAnsi="Times New Roman" w:cs="Times New Roman"/>
                      <w:b w:val="0"/>
                      <w:bCs w:val="0"/>
                      <w:sz w:val="21"/>
                      <w:szCs w:val="21"/>
                    </w:rPr>
                  </w:pPr>
                  <w:r>
                    <w:rPr>
                      <w:rFonts w:hint="default" w:ascii="Times New Roman" w:hAnsi="Times New Roman" w:eastAsia="宋体" w:cs="Times New Roman"/>
                      <w:b w:val="0"/>
                      <w:bCs w:val="0"/>
                      <w:sz w:val="21"/>
                      <w:szCs w:val="21"/>
                    </w:rPr>
                    <w:t>无组织</w:t>
                  </w:r>
                </w:p>
              </w:tc>
              <w:tc>
                <w:tcPr>
                  <w:tcW w:w="692" w:type="dxa"/>
                  <w:vAlign w:val="center"/>
                </w:tcPr>
                <w:p w14:paraId="33886B8F">
                  <w:pPr>
                    <w:pStyle w:val="29"/>
                    <w:spacing w:line="240" w:lineRule="auto"/>
                    <w:jc w:val="center"/>
                    <w:rPr>
                      <w:rFonts w:hint="default" w:ascii="Times New Roman" w:hAnsi="Times New Roman" w:cs="Times New Roman"/>
                      <w:b w:val="0"/>
                      <w:bCs w:val="0"/>
                      <w:sz w:val="21"/>
                      <w:szCs w:val="21"/>
                    </w:rPr>
                  </w:pPr>
                  <w:r>
                    <w:rPr>
                      <w:rFonts w:hint="default" w:ascii="Times New Roman" w:hAnsi="Times New Roman" w:eastAsia="宋体" w:cs="Times New Roman"/>
                      <w:b w:val="0"/>
                      <w:bCs w:val="0"/>
                      <w:sz w:val="21"/>
                      <w:szCs w:val="21"/>
                    </w:rPr>
                    <w:t>颗粒物</w:t>
                  </w:r>
                </w:p>
              </w:tc>
              <w:tc>
                <w:tcPr>
                  <w:tcW w:w="1039" w:type="dxa"/>
                  <w:vAlign w:val="center"/>
                </w:tcPr>
                <w:p w14:paraId="703602CF">
                  <w:pPr>
                    <w:pStyle w:val="29"/>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w:t>
                  </w:r>
                </w:p>
              </w:tc>
              <w:tc>
                <w:tcPr>
                  <w:tcW w:w="738" w:type="dxa"/>
                  <w:vAlign w:val="center"/>
                </w:tcPr>
                <w:p w14:paraId="782B1FD7">
                  <w:pPr>
                    <w:pStyle w:val="29"/>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0.</w:t>
                  </w:r>
                  <w:r>
                    <w:rPr>
                      <w:rFonts w:hint="eastAsia" w:ascii="Times New Roman" w:hAnsi="Times New Roman" w:eastAsia="宋体" w:cs="Times New Roman"/>
                      <w:b w:val="0"/>
                      <w:bCs w:val="0"/>
                      <w:sz w:val="21"/>
                      <w:szCs w:val="21"/>
                      <w:lang w:val="en-US" w:eastAsia="zh-CN"/>
                    </w:rPr>
                    <w:t>095</w:t>
                  </w:r>
                </w:p>
              </w:tc>
              <w:tc>
                <w:tcPr>
                  <w:tcW w:w="796" w:type="dxa"/>
                  <w:vAlign w:val="center"/>
                </w:tcPr>
                <w:p w14:paraId="4AF5D864">
                  <w:pPr>
                    <w:pStyle w:val="29"/>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0.</w:t>
                  </w:r>
                  <w:r>
                    <w:rPr>
                      <w:rFonts w:hint="eastAsia" w:ascii="Times New Roman" w:hAnsi="Times New Roman" w:eastAsia="宋体" w:cs="Times New Roman"/>
                      <w:b w:val="0"/>
                      <w:bCs w:val="0"/>
                      <w:sz w:val="21"/>
                      <w:szCs w:val="21"/>
                      <w:lang w:val="en-US" w:eastAsia="zh-CN"/>
                    </w:rPr>
                    <w:t>23</w:t>
                  </w:r>
                </w:p>
              </w:tc>
              <w:tc>
                <w:tcPr>
                  <w:tcW w:w="1246" w:type="dxa"/>
                  <w:vAlign w:val="center"/>
                </w:tcPr>
                <w:p w14:paraId="273B8C48">
                  <w:pPr>
                    <w:pStyle w:val="29"/>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w:t>
                  </w:r>
                </w:p>
              </w:tc>
              <w:tc>
                <w:tcPr>
                  <w:tcW w:w="1050" w:type="dxa"/>
                  <w:vAlign w:val="center"/>
                </w:tcPr>
                <w:p w14:paraId="269CAF9D">
                  <w:pPr>
                    <w:pStyle w:val="29"/>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w:t>
                  </w:r>
                </w:p>
              </w:tc>
              <w:tc>
                <w:tcPr>
                  <w:tcW w:w="762" w:type="dxa"/>
                  <w:vAlign w:val="center"/>
                </w:tcPr>
                <w:p w14:paraId="45900281">
                  <w:pPr>
                    <w:pStyle w:val="29"/>
                    <w:spacing w:line="240" w:lineRule="auto"/>
                    <w:jc w:val="center"/>
                    <w:rPr>
                      <w:rFonts w:hint="default" w:ascii="Times New Roman" w:hAnsi="Times New Roman" w:eastAsia="宋体" w:cs="Times New Roman"/>
                      <w:b w:val="0"/>
                      <w:bCs w:val="0"/>
                      <w:sz w:val="21"/>
                      <w:szCs w:val="21"/>
                      <w:lang w:val="en-US"/>
                    </w:rPr>
                  </w:pPr>
                  <w:r>
                    <w:rPr>
                      <w:rFonts w:hint="default" w:ascii="Times New Roman" w:hAnsi="Times New Roman" w:eastAsia="宋体" w:cs="Times New Roman"/>
                      <w:b w:val="0"/>
                      <w:bCs w:val="0"/>
                      <w:sz w:val="21"/>
                      <w:szCs w:val="21"/>
                    </w:rPr>
                    <w:t>0.</w:t>
                  </w:r>
                  <w:r>
                    <w:rPr>
                      <w:rFonts w:hint="eastAsia" w:ascii="Times New Roman" w:hAnsi="Times New Roman" w:eastAsia="宋体" w:cs="Times New Roman"/>
                      <w:b w:val="0"/>
                      <w:bCs w:val="0"/>
                      <w:sz w:val="21"/>
                      <w:szCs w:val="21"/>
                      <w:lang w:val="en-US" w:eastAsia="zh-CN"/>
                    </w:rPr>
                    <w:t>095</w:t>
                  </w:r>
                </w:p>
              </w:tc>
              <w:tc>
                <w:tcPr>
                  <w:tcW w:w="962" w:type="dxa"/>
                  <w:vAlign w:val="center"/>
                </w:tcPr>
                <w:p w14:paraId="0720F63E">
                  <w:pPr>
                    <w:pStyle w:val="29"/>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0.</w:t>
                  </w:r>
                  <w:r>
                    <w:rPr>
                      <w:rFonts w:hint="eastAsia" w:ascii="Times New Roman" w:hAnsi="Times New Roman" w:eastAsia="宋体" w:cs="Times New Roman"/>
                      <w:b w:val="0"/>
                      <w:bCs w:val="0"/>
                      <w:sz w:val="21"/>
                      <w:szCs w:val="21"/>
                      <w:lang w:val="en-US" w:eastAsia="zh-CN"/>
                    </w:rPr>
                    <w:t>23</w:t>
                  </w:r>
                </w:p>
              </w:tc>
            </w:tr>
          </w:tbl>
          <w:p w14:paraId="68864D9C">
            <w:pPr>
              <w:spacing w:line="360" w:lineRule="auto"/>
              <w:ind w:firstLine="40" w:firstLineChars="200"/>
              <w:rPr>
                <w:rFonts w:hint="default" w:ascii="Times New Roman" w:hAnsi="Times New Roman" w:cs="Times New Roman"/>
                <w:sz w:val="2"/>
                <w:szCs w:val="2"/>
              </w:rPr>
            </w:pPr>
            <w:r>
              <w:rPr>
                <w:rFonts w:hint="default" w:ascii="Times New Roman" w:hAnsi="Times New Roman" w:cs="Times New Roman"/>
                <w:sz w:val="2"/>
                <w:szCs w:val="2"/>
              </w:rPr>
              <w:t>1</w:t>
            </w:r>
          </w:p>
          <w:p w14:paraId="08586A49">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bCs/>
                <w:sz w:val="24"/>
                <w:szCs w:val="22"/>
              </w:rPr>
            </w:pPr>
            <w:r>
              <w:rPr>
                <w:rFonts w:hint="eastAsia"/>
                <w:sz w:val="24"/>
                <w:szCs w:val="32"/>
                <w:lang w:val="en-US" w:eastAsia="zh-CN"/>
              </w:rPr>
              <w:t>由上表可知，本项目切割工段有组织颗粒物排放浓度满足</w:t>
            </w:r>
            <w:r>
              <w:rPr>
                <w:rFonts w:ascii="Times New Roman" w:hAnsi="Times New Roman" w:eastAsia="宋体" w:cs="Times New Roman"/>
                <w:sz w:val="24"/>
              </w:rPr>
              <w:t>《</w:t>
            </w:r>
            <w:r>
              <w:rPr>
                <w:rFonts w:hint="eastAsia" w:ascii="Times New Roman" w:hAnsi="Times New Roman" w:eastAsia="宋体" w:cs="Times New Roman"/>
                <w:sz w:val="24"/>
                <w:lang w:val="en-US" w:eastAsia="zh-CN"/>
              </w:rPr>
              <w:t>大气污染物</w:t>
            </w:r>
            <w:r>
              <w:rPr>
                <w:rFonts w:hint="eastAsia" w:cs="Times New Roman"/>
                <w:sz w:val="24"/>
                <w:lang w:val="en-US" w:eastAsia="zh-CN"/>
              </w:rPr>
              <w:t>综合</w:t>
            </w:r>
            <w:r>
              <w:rPr>
                <w:rFonts w:ascii="Times New Roman" w:hAnsi="Times New Roman" w:eastAsia="宋体" w:cs="Times New Roman"/>
                <w:sz w:val="24"/>
              </w:rPr>
              <w:t>排放标准》（</w:t>
            </w:r>
            <w:r>
              <w:rPr>
                <w:rFonts w:hint="eastAsia" w:cs="Times New Roman"/>
                <w:sz w:val="24"/>
                <w:lang w:val="en-US" w:eastAsia="zh-CN"/>
              </w:rPr>
              <w:t>GB16297-1996</w:t>
            </w:r>
            <w:r>
              <w:rPr>
                <w:rFonts w:ascii="Times New Roman" w:hAnsi="Times New Roman" w:eastAsia="宋体" w:cs="Times New Roman"/>
                <w:sz w:val="24"/>
              </w:rPr>
              <w:t>）</w:t>
            </w:r>
            <w:r>
              <w:rPr>
                <w:rFonts w:hint="eastAsia" w:cs="Times New Roman"/>
                <w:sz w:val="24"/>
                <w:lang w:val="en-US" w:eastAsia="zh-CN"/>
              </w:rPr>
              <w:t>表2</w:t>
            </w:r>
            <w:r>
              <w:rPr>
                <w:rFonts w:ascii="Times New Roman" w:hAnsi="Times New Roman" w:eastAsia="宋体" w:cs="Times New Roman"/>
                <w:sz w:val="24"/>
              </w:rPr>
              <w:t>中</w:t>
            </w:r>
            <w:r>
              <w:rPr>
                <w:rFonts w:hint="eastAsia" w:cs="Times New Roman"/>
                <w:sz w:val="24"/>
                <w:lang w:val="en-US" w:eastAsia="zh-CN"/>
              </w:rPr>
              <w:t>二级标准</w:t>
            </w:r>
            <w:r>
              <w:rPr>
                <w:rFonts w:hint="eastAsia"/>
                <w:bCs/>
                <w:sz w:val="24"/>
                <w:szCs w:val="22"/>
              </w:rPr>
              <w:t>。</w:t>
            </w:r>
          </w:p>
          <w:p w14:paraId="53B7D9D7">
            <w:pPr>
              <w:adjustRightInd w:val="0"/>
              <w:snapToGrid w:val="0"/>
              <w:spacing w:line="360" w:lineRule="auto"/>
              <w:rPr>
                <w:rFonts w:hint="eastAsia"/>
                <w:b/>
                <w:sz w:val="24"/>
                <w:szCs w:val="22"/>
              </w:rPr>
            </w:pPr>
          </w:p>
          <w:p w14:paraId="600EE339">
            <w:pPr>
              <w:adjustRightInd w:val="0"/>
              <w:snapToGrid w:val="0"/>
              <w:spacing w:line="360" w:lineRule="auto"/>
              <w:rPr>
                <w:rFonts w:hint="eastAsia" w:eastAsia="宋体" w:cs="宋体"/>
                <w:b/>
                <w:spacing w:val="-10"/>
                <w:szCs w:val="21"/>
                <w:lang w:val="en-US" w:eastAsia="zh-CN"/>
              </w:rPr>
            </w:pPr>
          </w:p>
        </w:tc>
      </w:tr>
    </w:tbl>
    <w:p w14:paraId="1C1A3D57">
      <w:pPr>
        <w:adjustRightInd w:val="0"/>
        <w:snapToGrid w:val="0"/>
        <w:spacing w:line="360" w:lineRule="auto"/>
        <w:rPr>
          <w:rFonts w:hint="eastAsia" w:cs="宋体"/>
          <w:b/>
          <w:kern w:val="0"/>
          <w:sz w:val="28"/>
          <w:szCs w:val="28"/>
        </w:rPr>
        <w:sectPr>
          <w:pgSz w:w="11907" w:h="16840"/>
          <w:pgMar w:top="1701" w:right="1531" w:bottom="2127" w:left="1531" w:header="851" w:footer="851" w:gutter="0"/>
          <w:pgNumType w:fmt="decimal"/>
          <w:cols w:space="720" w:num="1"/>
          <w:docGrid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2766"/>
      </w:tblGrid>
      <w:tr w14:paraId="01A9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8" w:hRule="atLeast"/>
        </w:trPr>
        <w:tc>
          <w:tcPr>
            <w:tcW w:w="462" w:type="dxa"/>
            <w:noWrap w:val="0"/>
            <w:vAlign w:val="top"/>
          </w:tcPr>
          <w:p w14:paraId="6B40C280">
            <w:pPr>
              <w:pStyle w:val="29"/>
              <w:rPr>
                <w:rFonts w:hint="eastAsia" w:ascii="Times New Roman" w:hAnsi="Times New Roman" w:eastAsia="宋体"/>
              </w:rPr>
            </w:pPr>
          </w:p>
        </w:tc>
        <w:tc>
          <w:tcPr>
            <w:tcW w:w="12766" w:type="dxa"/>
            <w:noWrap w:val="0"/>
            <w:vAlign w:val="top"/>
          </w:tcPr>
          <w:p w14:paraId="76317B27">
            <w:pPr>
              <w:adjustRightInd w:val="0"/>
              <w:snapToGrid w:val="0"/>
              <w:spacing w:line="360" w:lineRule="auto"/>
              <w:rPr>
                <w:b/>
                <w:sz w:val="24"/>
                <w:szCs w:val="22"/>
              </w:rPr>
            </w:pPr>
            <w:r>
              <w:rPr>
                <w:rFonts w:hint="eastAsia"/>
                <w:b/>
                <w:sz w:val="24"/>
                <w:szCs w:val="22"/>
              </w:rPr>
              <w:t>4.</w:t>
            </w:r>
            <w:r>
              <w:rPr>
                <w:rFonts w:hint="eastAsia"/>
                <w:b/>
                <w:sz w:val="24"/>
                <w:szCs w:val="22"/>
                <w:lang w:val="en-US" w:eastAsia="zh-CN"/>
              </w:rPr>
              <w:t>1</w:t>
            </w:r>
            <w:r>
              <w:rPr>
                <w:rFonts w:hint="eastAsia"/>
                <w:b/>
                <w:sz w:val="24"/>
                <w:szCs w:val="22"/>
              </w:rPr>
              <w:t>.2废气源强及排放信息汇总表</w:t>
            </w:r>
          </w:p>
          <w:p w14:paraId="10B4E5A5">
            <w:pPr>
              <w:adjustRightInd w:val="0"/>
              <w:snapToGrid w:val="0"/>
              <w:spacing w:line="360" w:lineRule="auto"/>
              <w:ind w:firstLine="480" w:firstLineChars="200"/>
              <w:rPr>
                <w:rFonts w:hint="eastAsia"/>
                <w:bCs/>
                <w:sz w:val="24"/>
                <w:szCs w:val="22"/>
              </w:rPr>
            </w:pPr>
            <w:r>
              <w:rPr>
                <w:rFonts w:hint="eastAsia"/>
                <w:bCs/>
                <w:sz w:val="24"/>
                <w:szCs w:val="22"/>
              </w:rPr>
              <w:t>项目营运期废气污染源强及排放信息汇总情况见下表。</w:t>
            </w:r>
          </w:p>
          <w:p w14:paraId="7D835207">
            <w:pPr>
              <w:spacing w:line="240" w:lineRule="atLeast"/>
              <w:jc w:val="center"/>
              <w:rPr>
                <w:rFonts w:hint="eastAsia"/>
                <w:b/>
                <w:color w:val="000000"/>
                <w:szCs w:val="21"/>
              </w:rPr>
            </w:pPr>
            <w:r>
              <w:rPr>
                <w:rFonts w:hint="eastAsia"/>
                <w:b/>
                <w:color w:val="000000"/>
                <w:szCs w:val="21"/>
              </w:rPr>
              <w:t>表4-</w:t>
            </w:r>
            <w:r>
              <w:rPr>
                <w:rFonts w:hint="eastAsia"/>
                <w:b/>
                <w:color w:val="000000"/>
                <w:szCs w:val="21"/>
                <w:lang w:val="en-US" w:eastAsia="zh-CN"/>
              </w:rPr>
              <w:t>4</w:t>
            </w:r>
            <w:r>
              <w:rPr>
                <w:rFonts w:hint="eastAsia"/>
                <w:b/>
                <w:color w:val="000000"/>
                <w:szCs w:val="21"/>
              </w:rPr>
              <w:t xml:space="preserve">   项目废气源强及排放信息汇总表</w:t>
            </w:r>
          </w:p>
          <w:tbl>
            <w:tblPr>
              <w:tblStyle w:val="24"/>
              <w:tblW w:w="12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885"/>
              <w:gridCol w:w="780"/>
              <w:gridCol w:w="930"/>
              <w:gridCol w:w="1275"/>
              <w:gridCol w:w="660"/>
              <w:gridCol w:w="870"/>
              <w:gridCol w:w="855"/>
              <w:gridCol w:w="870"/>
              <w:gridCol w:w="772"/>
              <w:gridCol w:w="887"/>
              <w:gridCol w:w="955"/>
              <w:gridCol w:w="949"/>
              <w:gridCol w:w="732"/>
            </w:tblGrid>
            <w:tr w14:paraId="5B83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057" w:type="dxa"/>
                  <w:vMerge w:val="restart"/>
                  <w:noWrap w:val="0"/>
                  <w:vAlign w:val="center"/>
                </w:tcPr>
                <w:p w14:paraId="18E4B5FE">
                  <w:pPr>
                    <w:jc w:val="center"/>
                    <w:rPr>
                      <w:b/>
                      <w:color w:val="000000"/>
                      <w:szCs w:val="21"/>
                    </w:rPr>
                  </w:pPr>
                  <w:r>
                    <w:rPr>
                      <w:rFonts w:hint="eastAsia"/>
                      <w:b/>
                      <w:color w:val="000000"/>
                      <w:szCs w:val="21"/>
                    </w:rPr>
                    <w:t>产污环节</w:t>
                  </w:r>
                </w:p>
              </w:tc>
              <w:tc>
                <w:tcPr>
                  <w:tcW w:w="885" w:type="dxa"/>
                  <w:vMerge w:val="restart"/>
                  <w:noWrap w:val="0"/>
                  <w:vAlign w:val="center"/>
                </w:tcPr>
                <w:p w14:paraId="2FAB31D1">
                  <w:pPr>
                    <w:jc w:val="center"/>
                    <w:rPr>
                      <w:b/>
                      <w:color w:val="000000"/>
                      <w:szCs w:val="21"/>
                    </w:rPr>
                  </w:pPr>
                  <w:r>
                    <w:rPr>
                      <w:rFonts w:hint="eastAsia"/>
                      <w:b/>
                      <w:color w:val="000000"/>
                      <w:szCs w:val="21"/>
                    </w:rPr>
                    <w:t>污染物种类</w:t>
                  </w:r>
                </w:p>
              </w:tc>
              <w:tc>
                <w:tcPr>
                  <w:tcW w:w="1710" w:type="dxa"/>
                  <w:gridSpan w:val="2"/>
                  <w:noWrap w:val="0"/>
                  <w:vAlign w:val="center"/>
                </w:tcPr>
                <w:p w14:paraId="39EF1055">
                  <w:pPr>
                    <w:jc w:val="center"/>
                    <w:rPr>
                      <w:b/>
                      <w:color w:val="000000"/>
                      <w:szCs w:val="21"/>
                    </w:rPr>
                  </w:pPr>
                  <w:r>
                    <w:rPr>
                      <w:rFonts w:hint="eastAsia"/>
                      <w:b/>
                      <w:color w:val="000000"/>
                      <w:szCs w:val="21"/>
                    </w:rPr>
                    <w:t>污染物产生情况</w:t>
                  </w:r>
                </w:p>
              </w:tc>
              <w:tc>
                <w:tcPr>
                  <w:tcW w:w="1275" w:type="dxa"/>
                  <w:vMerge w:val="restart"/>
                  <w:noWrap w:val="0"/>
                  <w:vAlign w:val="center"/>
                </w:tcPr>
                <w:p w14:paraId="1947DC91">
                  <w:pPr>
                    <w:jc w:val="center"/>
                    <w:rPr>
                      <w:b/>
                      <w:color w:val="000000"/>
                      <w:szCs w:val="21"/>
                    </w:rPr>
                  </w:pPr>
                  <w:r>
                    <w:rPr>
                      <w:rFonts w:hint="eastAsia"/>
                      <w:b/>
                      <w:color w:val="000000"/>
                      <w:szCs w:val="21"/>
                    </w:rPr>
                    <w:t>治理措施</w:t>
                  </w:r>
                </w:p>
              </w:tc>
              <w:tc>
                <w:tcPr>
                  <w:tcW w:w="660" w:type="dxa"/>
                  <w:vMerge w:val="restart"/>
                  <w:noWrap w:val="0"/>
                  <w:vAlign w:val="center"/>
                </w:tcPr>
                <w:p w14:paraId="1F4BE87C">
                  <w:pPr>
                    <w:jc w:val="center"/>
                    <w:rPr>
                      <w:b/>
                      <w:color w:val="000000"/>
                      <w:szCs w:val="21"/>
                    </w:rPr>
                  </w:pPr>
                  <w:r>
                    <w:rPr>
                      <w:rFonts w:hint="eastAsia"/>
                      <w:b/>
                      <w:color w:val="000000"/>
                      <w:szCs w:val="21"/>
                    </w:rPr>
                    <w:t>是否属于可行技术</w:t>
                  </w:r>
                </w:p>
              </w:tc>
              <w:tc>
                <w:tcPr>
                  <w:tcW w:w="6158" w:type="dxa"/>
                  <w:gridSpan w:val="7"/>
                  <w:noWrap w:val="0"/>
                  <w:vAlign w:val="center"/>
                </w:tcPr>
                <w:p w14:paraId="09B24ABC">
                  <w:pPr>
                    <w:jc w:val="center"/>
                    <w:rPr>
                      <w:b/>
                      <w:color w:val="000000"/>
                      <w:szCs w:val="21"/>
                    </w:rPr>
                  </w:pPr>
                  <w:r>
                    <w:rPr>
                      <w:rFonts w:hint="eastAsia"/>
                      <w:b/>
                      <w:color w:val="000000"/>
                      <w:szCs w:val="21"/>
                    </w:rPr>
                    <w:t>污染物排放情况</w:t>
                  </w:r>
                </w:p>
              </w:tc>
              <w:tc>
                <w:tcPr>
                  <w:tcW w:w="732" w:type="dxa"/>
                  <w:vMerge w:val="restart"/>
                  <w:noWrap w:val="0"/>
                  <w:vAlign w:val="center"/>
                </w:tcPr>
                <w:p w14:paraId="6C8C8F7D">
                  <w:pPr>
                    <w:jc w:val="center"/>
                    <w:rPr>
                      <w:bCs/>
                      <w:color w:val="000000"/>
                      <w:szCs w:val="21"/>
                    </w:rPr>
                  </w:pPr>
                  <w:r>
                    <w:rPr>
                      <w:rFonts w:hint="eastAsia"/>
                      <w:b/>
                      <w:color w:val="000000"/>
                      <w:szCs w:val="21"/>
                    </w:rPr>
                    <w:t>排放时间h/a</w:t>
                  </w:r>
                </w:p>
              </w:tc>
            </w:tr>
            <w:tr w14:paraId="5361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057" w:type="dxa"/>
                  <w:vMerge w:val="continue"/>
                  <w:noWrap w:val="0"/>
                  <w:vAlign w:val="center"/>
                </w:tcPr>
                <w:p w14:paraId="4ACC25CC">
                  <w:pPr>
                    <w:jc w:val="center"/>
                    <w:rPr>
                      <w:b/>
                    </w:rPr>
                  </w:pPr>
                </w:p>
              </w:tc>
              <w:tc>
                <w:tcPr>
                  <w:tcW w:w="885" w:type="dxa"/>
                  <w:vMerge w:val="continue"/>
                  <w:noWrap w:val="0"/>
                  <w:vAlign w:val="center"/>
                </w:tcPr>
                <w:p w14:paraId="55C08B55">
                  <w:pPr>
                    <w:jc w:val="center"/>
                    <w:rPr>
                      <w:b/>
                    </w:rPr>
                  </w:pPr>
                </w:p>
              </w:tc>
              <w:tc>
                <w:tcPr>
                  <w:tcW w:w="780" w:type="dxa"/>
                  <w:vMerge w:val="restart"/>
                  <w:noWrap w:val="0"/>
                  <w:vAlign w:val="center"/>
                </w:tcPr>
                <w:p w14:paraId="46A9995D">
                  <w:pPr>
                    <w:jc w:val="center"/>
                    <w:rPr>
                      <w:b/>
                    </w:rPr>
                  </w:pPr>
                  <w:r>
                    <w:rPr>
                      <w:rFonts w:hint="eastAsia"/>
                      <w:b/>
                    </w:rPr>
                    <w:t>产生速率kg/h</w:t>
                  </w:r>
                </w:p>
              </w:tc>
              <w:tc>
                <w:tcPr>
                  <w:tcW w:w="930" w:type="dxa"/>
                  <w:vMerge w:val="restart"/>
                  <w:noWrap w:val="0"/>
                  <w:vAlign w:val="center"/>
                </w:tcPr>
                <w:p w14:paraId="15939AAE">
                  <w:pPr>
                    <w:jc w:val="center"/>
                    <w:rPr>
                      <w:b/>
                    </w:rPr>
                  </w:pPr>
                  <w:r>
                    <w:rPr>
                      <w:rFonts w:hint="eastAsia"/>
                      <w:b/>
                    </w:rPr>
                    <w:t>产生量t/a</w:t>
                  </w:r>
                </w:p>
              </w:tc>
              <w:tc>
                <w:tcPr>
                  <w:tcW w:w="1275" w:type="dxa"/>
                  <w:vMerge w:val="continue"/>
                  <w:noWrap w:val="0"/>
                  <w:vAlign w:val="center"/>
                </w:tcPr>
                <w:p w14:paraId="03B85757">
                  <w:pPr>
                    <w:jc w:val="center"/>
                    <w:rPr>
                      <w:b/>
                    </w:rPr>
                  </w:pPr>
                </w:p>
              </w:tc>
              <w:tc>
                <w:tcPr>
                  <w:tcW w:w="660" w:type="dxa"/>
                  <w:vMerge w:val="continue"/>
                  <w:noWrap w:val="0"/>
                  <w:vAlign w:val="center"/>
                </w:tcPr>
                <w:p w14:paraId="3EF5BF9F">
                  <w:pPr>
                    <w:jc w:val="center"/>
                    <w:rPr>
                      <w:b/>
                    </w:rPr>
                  </w:pPr>
                </w:p>
              </w:tc>
              <w:tc>
                <w:tcPr>
                  <w:tcW w:w="4254" w:type="dxa"/>
                  <w:gridSpan w:val="5"/>
                  <w:noWrap w:val="0"/>
                  <w:vAlign w:val="center"/>
                </w:tcPr>
                <w:p w14:paraId="28B30790">
                  <w:pPr>
                    <w:jc w:val="center"/>
                    <w:rPr>
                      <w:b/>
                    </w:rPr>
                  </w:pPr>
                  <w:r>
                    <w:rPr>
                      <w:rFonts w:hint="eastAsia"/>
                      <w:b/>
                    </w:rPr>
                    <w:t>有组织排放</w:t>
                  </w:r>
                </w:p>
              </w:tc>
              <w:tc>
                <w:tcPr>
                  <w:tcW w:w="1904" w:type="dxa"/>
                  <w:gridSpan w:val="2"/>
                  <w:noWrap w:val="0"/>
                  <w:vAlign w:val="center"/>
                </w:tcPr>
                <w:p w14:paraId="118E39AF">
                  <w:pPr>
                    <w:jc w:val="center"/>
                    <w:rPr>
                      <w:b/>
                    </w:rPr>
                  </w:pPr>
                  <w:r>
                    <w:rPr>
                      <w:rFonts w:hint="eastAsia"/>
                      <w:b/>
                    </w:rPr>
                    <w:t>无组织排放</w:t>
                  </w:r>
                </w:p>
              </w:tc>
              <w:tc>
                <w:tcPr>
                  <w:tcW w:w="732" w:type="dxa"/>
                  <w:vMerge w:val="continue"/>
                  <w:noWrap w:val="0"/>
                  <w:vAlign w:val="center"/>
                </w:tcPr>
                <w:p w14:paraId="0ACC541F">
                  <w:pPr>
                    <w:jc w:val="center"/>
                  </w:pPr>
                </w:p>
              </w:tc>
            </w:tr>
            <w:tr w14:paraId="3740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057" w:type="dxa"/>
                  <w:vMerge w:val="continue"/>
                  <w:noWrap w:val="0"/>
                  <w:vAlign w:val="center"/>
                </w:tcPr>
                <w:p w14:paraId="166374D7">
                  <w:pPr>
                    <w:jc w:val="center"/>
                    <w:rPr>
                      <w:b/>
                    </w:rPr>
                  </w:pPr>
                </w:p>
              </w:tc>
              <w:tc>
                <w:tcPr>
                  <w:tcW w:w="885" w:type="dxa"/>
                  <w:vMerge w:val="continue"/>
                  <w:noWrap w:val="0"/>
                  <w:vAlign w:val="center"/>
                </w:tcPr>
                <w:p w14:paraId="057F0373">
                  <w:pPr>
                    <w:jc w:val="center"/>
                    <w:rPr>
                      <w:b/>
                    </w:rPr>
                  </w:pPr>
                </w:p>
              </w:tc>
              <w:tc>
                <w:tcPr>
                  <w:tcW w:w="780" w:type="dxa"/>
                  <w:vMerge w:val="continue"/>
                  <w:noWrap w:val="0"/>
                  <w:vAlign w:val="center"/>
                </w:tcPr>
                <w:p w14:paraId="7FE7111E">
                  <w:pPr>
                    <w:jc w:val="center"/>
                    <w:rPr>
                      <w:b/>
                    </w:rPr>
                  </w:pPr>
                </w:p>
              </w:tc>
              <w:tc>
                <w:tcPr>
                  <w:tcW w:w="930" w:type="dxa"/>
                  <w:vMerge w:val="continue"/>
                  <w:noWrap w:val="0"/>
                  <w:vAlign w:val="center"/>
                </w:tcPr>
                <w:p w14:paraId="371C2ED0">
                  <w:pPr>
                    <w:jc w:val="center"/>
                    <w:rPr>
                      <w:b/>
                    </w:rPr>
                  </w:pPr>
                </w:p>
              </w:tc>
              <w:tc>
                <w:tcPr>
                  <w:tcW w:w="1275" w:type="dxa"/>
                  <w:vMerge w:val="continue"/>
                  <w:noWrap w:val="0"/>
                  <w:vAlign w:val="center"/>
                </w:tcPr>
                <w:p w14:paraId="3E414946">
                  <w:pPr>
                    <w:jc w:val="center"/>
                    <w:rPr>
                      <w:b/>
                    </w:rPr>
                  </w:pPr>
                </w:p>
              </w:tc>
              <w:tc>
                <w:tcPr>
                  <w:tcW w:w="660" w:type="dxa"/>
                  <w:vMerge w:val="continue"/>
                  <w:noWrap w:val="0"/>
                  <w:vAlign w:val="center"/>
                </w:tcPr>
                <w:p w14:paraId="111C2D53">
                  <w:pPr>
                    <w:jc w:val="center"/>
                    <w:rPr>
                      <w:b/>
                    </w:rPr>
                  </w:pPr>
                </w:p>
              </w:tc>
              <w:tc>
                <w:tcPr>
                  <w:tcW w:w="870" w:type="dxa"/>
                  <w:noWrap w:val="0"/>
                  <w:vAlign w:val="center"/>
                </w:tcPr>
                <w:p w14:paraId="5249FA65">
                  <w:pPr>
                    <w:jc w:val="center"/>
                    <w:rPr>
                      <w:b/>
                    </w:rPr>
                  </w:pPr>
                  <w:r>
                    <w:rPr>
                      <w:rFonts w:hint="eastAsia"/>
                      <w:b/>
                    </w:rPr>
                    <w:t>排放口名称</w:t>
                  </w:r>
                </w:p>
              </w:tc>
              <w:tc>
                <w:tcPr>
                  <w:tcW w:w="855" w:type="dxa"/>
                  <w:noWrap w:val="0"/>
                  <w:vAlign w:val="center"/>
                </w:tcPr>
                <w:p w14:paraId="7B2767F9">
                  <w:pPr>
                    <w:jc w:val="center"/>
                    <w:rPr>
                      <w:b/>
                    </w:rPr>
                  </w:pPr>
                  <w:r>
                    <w:rPr>
                      <w:rFonts w:hint="eastAsia"/>
                      <w:b/>
                    </w:rPr>
                    <w:t>废气量m</w:t>
                  </w:r>
                  <w:r>
                    <w:rPr>
                      <w:rFonts w:hint="eastAsia"/>
                      <w:b/>
                      <w:vertAlign w:val="superscript"/>
                    </w:rPr>
                    <w:t>3</w:t>
                  </w:r>
                  <w:r>
                    <w:rPr>
                      <w:rFonts w:hint="eastAsia"/>
                      <w:b/>
                    </w:rPr>
                    <w:t>/h</w:t>
                  </w:r>
                </w:p>
              </w:tc>
              <w:tc>
                <w:tcPr>
                  <w:tcW w:w="870" w:type="dxa"/>
                  <w:noWrap w:val="0"/>
                  <w:vAlign w:val="center"/>
                </w:tcPr>
                <w:p w14:paraId="4A44DDD1">
                  <w:pPr>
                    <w:jc w:val="center"/>
                    <w:rPr>
                      <w:rFonts w:hint="eastAsia"/>
                      <w:b/>
                    </w:rPr>
                  </w:pPr>
                  <w:r>
                    <w:rPr>
                      <w:rFonts w:hint="eastAsia"/>
                      <w:b/>
                    </w:rPr>
                    <w:t>排放</w:t>
                  </w:r>
                </w:p>
                <w:p w14:paraId="04392957">
                  <w:pPr>
                    <w:jc w:val="center"/>
                    <w:rPr>
                      <w:b/>
                    </w:rPr>
                  </w:pPr>
                  <w:r>
                    <w:rPr>
                      <w:rFonts w:hint="eastAsia"/>
                      <w:b/>
                    </w:rPr>
                    <w:t>浓度mg/m</w:t>
                  </w:r>
                  <w:r>
                    <w:rPr>
                      <w:rFonts w:hint="eastAsia"/>
                      <w:b/>
                      <w:vertAlign w:val="superscript"/>
                    </w:rPr>
                    <w:t>3</w:t>
                  </w:r>
                </w:p>
              </w:tc>
              <w:tc>
                <w:tcPr>
                  <w:tcW w:w="772" w:type="dxa"/>
                  <w:noWrap w:val="0"/>
                  <w:vAlign w:val="center"/>
                </w:tcPr>
                <w:p w14:paraId="33A19296">
                  <w:pPr>
                    <w:jc w:val="center"/>
                    <w:rPr>
                      <w:b/>
                    </w:rPr>
                  </w:pPr>
                  <w:r>
                    <w:rPr>
                      <w:rFonts w:hint="eastAsia"/>
                      <w:b/>
                    </w:rPr>
                    <w:t>排放速率kg/h</w:t>
                  </w:r>
                </w:p>
              </w:tc>
              <w:tc>
                <w:tcPr>
                  <w:tcW w:w="887" w:type="dxa"/>
                  <w:noWrap w:val="0"/>
                  <w:vAlign w:val="center"/>
                </w:tcPr>
                <w:p w14:paraId="31C1937A">
                  <w:pPr>
                    <w:jc w:val="center"/>
                    <w:rPr>
                      <w:b/>
                    </w:rPr>
                  </w:pPr>
                  <w:r>
                    <w:rPr>
                      <w:rFonts w:hint="eastAsia"/>
                      <w:b/>
                    </w:rPr>
                    <w:t>排放量t/a</w:t>
                  </w:r>
                </w:p>
              </w:tc>
              <w:tc>
                <w:tcPr>
                  <w:tcW w:w="955" w:type="dxa"/>
                  <w:noWrap w:val="0"/>
                  <w:vAlign w:val="center"/>
                </w:tcPr>
                <w:p w14:paraId="44364EEC">
                  <w:pPr>
                    <w:jc w:val="center"/>
                    <w:rPr>
                      <w:b/>
                    </w:rPr>
                  </w:pPr>
                  <w:r>
                    <w:rPr>
                      <w:rFonts w:hint="eastAsia"/>
                      <w:b/>
                    </w:rPr>
                    <w:t>排放速率kg/h</w:t>
                  </w:r>
                </w:p>
              </w:tc>
              <w:tc>
                <w:tcPr>
                  <w:tcW w:w="949" w:type="dxa"/>
                  <w:noWrap w:val="0"/>
                  <w:vAlign w:val="center"/>
                </w:tcPr>
                <w:p w14:paraId="1A7F03D9">
                  <w:pPr>
                    <w:jc w:val="center"/>
                    <w:rPr>
                      <w:b/>
                    </w:rPr>
                  </w:pPr>
                  <w:r>
                    <w:rPr>
                      <w:rFonts w:hint="eastAsia"/>
                      <w:b/>
                    </w:rPr>
                    <w:t>排放量t/a</w:t>
                  </w:r>
                </w:p>
              </w:tc>
              <w:tc>
                <w:tcPr>
                  <w:tcW w:w="732" w:type="dxa"/>
                  <w:vMerge w:val="continue"/>
                  <w:noWrap w:val="0"/>
                  <w:vAlign w:val="center"/>
                </w:tcPr>
                <w:p w14:paraId="14103E11">
                  <w:pPr>
                    <w:jc w:val="center"/>
                  </w:pPr>
                </w:p>
              </w:tc>
            </w:tr>
            <w:tr w14:paraId="77BE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57" w:type="dxa"/>
                  <w:noWrap w:val="0"/>
                  <w:vAlign w:val="center"/>
                </w:tcPr>
                <w:p w14:paraId="11D9C1CC">
                  <w:pPr>
                    <w:jc w:val="center"/>
                    <w:rPr>
                      <w:rFonts w:hint="eastAsia"/>
                      <w:bCs/>
                      <w:color w:val="000000"/>
                      <w:szCs w:val="21"/>
                    </w:rPr>
                  </w:pPr>
                  <w:r>
                    <w:rPr>
                      <w:rFonts w:hint="eastAsia"/>
                      <w:bCs/>
                      <w:color w:val="000000"/>
                      <w:szCs w:val="21"/>
                      <w:lang w:val="en-US" w:eastAsia="zh-CN"/>
                    </w:rPr>
                    <w:t>废油液抽取</w:t>
                  </w:r>
                  <w:r>
                    <w:rPr>
                      <w:rFonts w:hint="eastAsia"/>
                      <w:bCs/>
                      <w:color w:val="000000"/>
                      <w:szCs w:val="21"/>
                    </w:rPr>
                    <w:t>工段</w:t>
                  </w:r>
                </w:p>
              </w:tc>
              <w:tc>
                <w:tcPr>
                  <w:tcW w:w="885" w:type="dxa"/>
                  <w:noWrap w:val="0"/>
                  <w:vAlign w:val="center"/>
                </w:tcPr>
                <w:p w14:paraId="09B1110D">
                  <w:pPr>
                    <w:jc w:val="center"/>
                    <w:rPr>
                      <w:rFonts w:hint="default" w:eastAsia="宋体"/>
                      <w:bCs/>
                      <w:color w:val="000000"/>
                      <w:szCs w:val="21"/>
                      <w:lang w:val="en-US" w:eastAsia="zh-CN"/>
                    </w:rPr>
                  </w:pPr>
                  <w:r>
                    <w:rPr>
                      <w:rFonts w:hint="eastAsia" w:eastAsia="宋体"/>
                      <w:bCs/>
                      <w:color w:val="000000"/>
                      <w:szCs w:val="21"/>
                      <w:lang w:val="en-US" w:eastAsia="zh-CN"/>
                    </w:rPr>
                    <w:t>非甲烷总烃</w:t>
                  </w:r>
                </w:p>
              </w:tc>
              <w:tc>
                <w:tcPr>
                  <w:tcW w:w="780" w:type="dxa"/>
                  <w:noWrap w:val="0"/>
                  <w:vAlign w:val="center"/>
                </w:tcPr>
                <w:p w14:paraId="3C925AED">
                  <w:pPr>
                    <w:jc w:val="center"/>
                    <w:rPr>
                      <w:rFonts w:hint="default" w:eastAsia="宋体"/>
                      <w:bCs/>
                      <w:color w:val="000000"/>
                      <w:szCs w:val="21"/>
                      <w:lang w:val="en-US" w:eastAsia="zh-CN"/>
                    </w:rPr>
                  </w:pPr>
                  <w:r>
                    <w:rPr>
                      <w:rFonts w:hint="eastAsia" w:eastAsia="宋体"/>
                      <w:bCs/>
                      <w:color w:val="000000"/>
                      <w:szCs w:val="21"/>
                      <w:lang w:val="en-US" w:eastAsia="zh-CN"/>
                    </w:rPr>
                    <w:t>0.457</w:t>
                  </w:r>
                </w:p>
              </w:tc>
              <w:tc>
                <w:tcPr>
                  <w:tcW w:w="930" w:type="dxa"/>
                  <w:noWrap w:val="0"/>
                  <w:vAlign w:val="center"/>
                </w:tcPr>
                <w:p w14:paraId="3F587536">
                  <w:pPr>
                    <w:jc w:val="center"/>
                    <w:rPr>
                      <w:rFonts w:hint="default" w:eastAsia="宋体"/>
                      <w:bCs/>
                      <w:color w:val="000000"/>
                      <w:szCs w:val="21"/>
                      <w:lang w:val="en-US" w:eastAsia="zh-CN"/>
                    </w:rPr>
                  </w:pPr>
                  <w:r>
                    <w:rPr>
                      <w:rFonts w:hint="eastAsia" w:eastAsia="宋体"/>
                      <w:bCs/>
                      <w:color w:val="000000"/>
                      <w:szCs w:val="21"/>
                      <w:lang w:val="en-US" w:eastAsia="zh-CN"/>
                    </w:rPr>
                    <w:t>0.274</w:t>
                  </w:r>
                </w:p>
              </w:tc>
              <w:tc>
                <w:tcPr>
                  <w:tcW w:w="1275" w:type="dxa"/>
                  <w:noWrap w:val="0"/>
                  <w:vAlign w:val="center"/>
                </w:tcPr>
                <w:p w14:paraId="576A3AB5">
                  <w:pPr>
                    <w:jc w:val="center"/>
                    <w:rPr>
                      <w:rFonts w:hint="default" w:eastAsia="宋体"/>
                      <w:bCs/>
                      <w:color w:val="000000"/>
                      <w:szCs w:val="21"/>
                      <w:lang w:val="en-US" w:eastAsia="zh-CN"/>
                    </w:rPr>
                  </w:pPr>
                  <w:r>
                    <w:rPr>
                      <w:rFonts w:hint="eastAsia" w:eastAsia="宋体"/>
                      <w:bCs/>
                      <w:color w:val="000000"/>
                      <w:szCs w:val="21"/>
                      <w:lang w:val="en-US" w:eastAsia="zh-CN"/>
                    </w:rPr>
                    <w:t>二级活性炭吸附装置</w:t>
                  </w:r>
                </w:p>
              </w:tc>
              <w:tc>
                <w:tcPr>
                  <w:tcW w:w="660" w:type="dxa"/>
                  <w:noWrap w:val="0"/>
                  <w:vAlign w:val="center"/>
                </w:tcPr>
                <w:p w14:paraId="098DC975">
                  <w:pPr>
                    <w:jc w:val="center"/>
                    <w:rPr>
                      <w:rFonts w:hint="eastAsia"/>
                      <w:bCs/>
                      <w:color w:val="000000"/>
                      <w:szCs w:val="21"/>
                    </w:rPr>
                  </w:pPr>
                  <w:r>
                    <w:rPr>
                      <w:rFonts w:hint="eastAsia"/>
                      <w:bCs/>
                      <w:color w:val="000000"/>
                      <w:szCs w:val="21"/>
                    </w:rPr>
                    <w:t>是</w:t>
                  </w:r>
                </w:p>
              </w:tc>
              <w:tc>
                <w:tcPr>
                  <w:tcW w:w="870" w:type="dxa"/>
                  <w:noWrap w:val="0"/>
                  <w:vAlign w:val="center"/>
                </w:tcPr>
                <w:p w14:paraId="02A15692">
                  <w:pPr>
                    <w:jc w:val="center"/>
                    <w:rPr>
                      <w:bCs/>
                      <w:color w:val="000000"/>
                      <w:szCs w:val="21"/>
                    </w:rPr>
                  </w:pPr>
                  <w:r>
                    <w:rPr>
                      <w:rFonts w:hint="eastAsia"/>
                      <w:bCs/>
                      <w:color w:val="000000"/>
                      <w:szCs w:val="21"/>
                    </w:rPr>
                    <w:t>DA001</w:t>
                  </w:r>
                </w:p>
              </w:tc>
              <w:tc>
                <w:tcPr>
                  <w:tcW w:w="855" w:type="dxa"/>
                  <w:noWrap w:val="0"/>
                  <w:vAlign w:val="center"/>
                </w:tcPr>
                <w:p w14:paraId="5908E085">
                  <w:pPr>
                    <w:jc w:val="center"/>
                    <w:rPr>
                      <w:rFonts w:hint="default" w:eastAsia="宋体"/>
                      <w:bCs/>
                      <w:color w:val="000000"/>
                      <w:szCs w:val="21"/>
                      <w:lang w:val="en-US" w:eastAsia="zh-CN"/>
                    </w:rPr>
                  </w:pPr>
                  <w:r>
                    <w:rPr>
                      <w:rFonts w:hint="eastAsia"/>
                      <w:bCs/>
                      <w:color w:val="000000"/>
                      <w:szCs w:val="21"/>
                      <w:lang w:val="en-US" w:eastAsia="zh-CN"/>
                    </w:rPr>
                    <w:t>7000</w:t>
                  </w:r>
                </w:p>
              </w:tc>
              <w:tc>
                <w:tcPr>
                  <w:tcW w:w="870" w:type="dxa"/>
                  <w:noWrap w:val="0"/>
                  <w:vAlign w:val="center"/>
                </w:tcPr>
                <w:p w14:paraId="287B5C72">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val="0"/>
                      <w:sz w:val="21"/>
                      <w:szCs w:val="21"/>
                      <w:lang w:val="en-US" w:eastAsia="zh-CN"/>
                    </w:rPr>
                    <w:t>5.88</w:t>
                  </w:r>
                </w:p>
              </w:tc>
              <w:tc>
                <w:tcPr>
                  <w:tcW w:w="772" w:type="dxa"/>
                  <w:noWrap w:val="0"/>
                  <w:vAlign w:val="center"/>
                </w:tcPr>
                <w:p w14:paraId="54FCB806">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val="0"/>
                      <w:sz w:val="21"/>
                      <w:szCs w:val="21"/>
                      <w:lang w:val="en-US" w:eastAsia="zh-CN"/>
                    </w:rPr>
                    <w:t>0.041</w:t>
                  </w:r>
                </w:p>
              </w:tc>
              <w:tc>
                <w:tcPr>
                  <w:tcW w:w="887" w:type="dxa"/>
                  <w:noWrap w:val="0"/>
                  <w:vAlign w:val="center"/>
                </w:tcPr>
                <w:p w14:paraId="42EED52C">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val="0"/>
                      <w:sz w:val="21"/>
                      <w:szCs w:val="21"/>
                      <w:lang w:val="en-US" w:eastAsia="zh-CN"/>
                    </w:rPr>
                    <w:t>0.025</w:t>
                  </w:r>
                </w:p>
              </w:tc>
              <w:tc>
                <w:tcPr>
                  <w:tcW w:w="955" w:type="dxa"/>
                  <w:noWrap w:val="0"/>
                  <w:vAlign w:val="center"/>
                </w:tcPr>
                <w:p w14:paraId="751FBDE4">
                  <w:pPr>
                    <w:pStyle w:val="29"/>
                    <w:spacing w:line="240" w:lineRule="auto"/>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val="0"/>
                      <w:sz w:val="21"/>
                      <w:szCs w:val="21"/>
                    </w:rPr>
                    <w:t>0.0</w:t>
                  </w:r>
                  <w:r>
                    <w:rPr>
                      <w:rFonts w:hint="eastAsia" w:ascii="Times New Roman" w:hAnsi="Times New Roman" w:eastAsia="宋体" w:cs="Times New Roman"/>
                      <w:b w:val="0"/>
                      <w:bCs w:val="0"/>
                      <w:sz w:val="21"/>
                      <w:szCs w:val="21"/>
                      <w:lang w:val="en-US" w:eastAsia="zh-CN"/>
                    </w:rPr>
                    <w:t>45</w:t>
                  </w:r>
                </w:p>
              </w:tc>
              <w:tc>
                <w:tcPr>
                  <w:tcW w:w="949" w:type="dxa"/>
                  <w:noWrap w:val="0"/>
                  <w:vAlign w:val="center"/>
                </w:tcPr>
                <w:p w14:paraId="2EDB8C9C">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val="0"/>
                      <w:sz w:val="21"/>
                      <w:szCs w:val="21"/>
                      <w:lang w:val="en-US" w:eastAsia="zh-CN"/>
                    </w:rPr>
                    <w:t>0.027</w:t>
                  </w:r>
                </w:p>
              </w:tc>
              <w:tc>
                <w:tcPr>
                  <w:tcW w:w="732" w:type="dxa"/>
                  <w:noWrap w:val="0"/>
                  <w:vAlign w:val="center"/>
                </w:tcPr>
                <w:p w14:paraId="155E95C5">
                  <w:pPr>
                    <w:jc w:val="center"/>
                    <w:rPr>
                      <w:rFonts w:hint="default"/>
                      <w:bCs/>
                      <w:color w:val="000000"/>
                      <w:szCs w:val="21"/>
                      <w:lang w:val="en-US"/>
                    </w:rPr>
                  </w:pPr>
                  <w:r>
                    <w:rPr>
                      <w:rFonts w:hint="eastAsia"/>
                      <w:bCs/>
                      <w:color w:val="000000"/>
                      <w:szCs w:val="21"/>
                      <w:lang w:val="en-US" w:eastAsia="zh-CN"/>
                    </w:rPr>
                    <w:t>600</w:t>
                  </w:r>
                </w:p>
              </w:tc>
            </w:tr>
            <w:tr w14:paraId="10D8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7" w:type="dxa"/>
                  <w:noWrap w:val="0"/>
                  <w:vAlign w:val="center"/>
                </w:tcPr>
                <w:p w14:paraId="3A9F4F41">
                  <w:pPr>
                    <w:jc w:val="center"/>
                    <w:rPr>
                      <w:rFonts w:hint="default" w:ascii="Times New Roman" w:hAnsi="Times New Roman" w:eastAsia="宋体" w:cs="Times New Roman"/>
                      <w:bCs/>
                      <w:color w:val="000000"/>
                      <w:kern w:val="2"/>
                      <w:sz w:val="21"/>
                      <w:szCs w:val="21"/>
                      <w:lang w:val="en-US" w:eastAsia="zh-CN" w:bidi="ar-SA"/>
                    </w:rPr>
                  </w:pPr>
                  <w:r>
                    <w:rPr>
                      <w:rFonts w:hint="eastAsia"/>
                      <w:bCs/>
                      <w:color w:val="000000"/>
                      <w:szCs w:val="21"/>
                      <w:lang w:val="en-US" w:eastAsia="zh-CN"/>
                    </w:rPr>
                    <w:t>废油液贮存工段</w:t>
                  </w:r>
                </w:p>
              </w:tc>
              <w:tc>
                <w:tcPr>
                  <w:tcW w:w="885" w:type="dxa"/>
                  <w:noWrap w:val="0"/>
                  <w:vAlign w:val="center"/>
                </w:tcPr>
                <w:p w14:paraId="21358695">
                  <w:pPr>
                    <w:jc w:val="center"/>
                    <w:rPr>
                      <w:rFonts w:hint="default" w:ascii="Times New Roman" w:hAnsi="Times New Roman" w:eastAsia="宋体" w:cs="Times New Roman"/>
                      <w:bCs/>
                      <w:color w:val="000000"/>
                      <w:kern w:val="2"/>
                      <w:sz w:val="21"/>
                      <w:szCs w:val="21"/>
                      <w:lang w:val="en-US" w:eastAsia="zh-CN" w:bidi="ar-SA"/>
                    </w:rPr>
                  </w:pPr>
                  <w:r>
                    <w:rPr>
                      <w:rFonts w:hint="eastAsia" w:eastAsia="宋体"/>
                      <w:bCs/>
                      <w:color w:val="000000"/>
                      <w:szCs w:val="21"/>
                      <w:lang w:val="en-US" w:eastAsia="zh-CN"/>
                    </w:rPr>
                    <w:t>非甲烷总烃</w:t>
                  </w:r>
                </w:p>
              </w:tc>
              <w:tc>
                <w:tcPr>
                  <w:tcW w:w="780" w:type="dxa"/>
                  <w:noWrap w:val="0"/>
                  <w:vAlign w:val="center"/>
                </w:tcPr>
                <w:p w14:paraId="13442783">
                  <w:pPr>
                    <w:jc w:val="center"/>
                    <w:rPr>
                      <w:rFonts w:hint="default" w:ascii="Times New Roman" w:hAnsi="Times New Roman" w:eastAsia="宋体" w:cs="Times New Roman"/>
                      <w:bCs/>
                      <w:color w:val="000000"/>
                      <w:kern w:val="2"/>
                      <w:sz w:val="21"/>
                      <w:szCs w:val="21"/>
                      <w:lang w:val="en-US" w:eastAsia="zh-CN" w:bidi="ar-SA"/>
                    </w:rPr>
                  </w:pPr>
                  <w:r>
                    <w:rPr>
                      <w:rFonts w:hint="eastAsia"/>
                      <w:bCs/>
                      <w:color w:val="000000"/>
                      <w:szCs w:val="21"/>
                      <w:lang w:val="en-US" w:eastAsia="zh-CN"/>
                    </w:rPr>
                    <w:t>0.018</w:t>
                  </w:r>
                </w:p>
              </w:tc>
              <w:tc>
                <w:tcPr>
                  <w:tcW w:w="930" w:type="dxa"/>
                  <w:noWrap w:val="0"/>
                  <w:vAlign w:val="center"/>
                </w:tcPr>
                <w:p w14:paraId="6CCFFD0F">
                  <w:pPr>
                    <w:jc w:val="center"/>
                    <w:rPr>
                      <w:rFonts w:hint="default" w:ascii="Times New Roman" w:hAnsi="Times New Roman" w:eastAsia="宋体" w:cs="Times New Roman"/>
                      <w:bCs/>
                      <w:color w:val="000000"/>
                      <w:kern w:val="2"/>
                      <w:sz w:val="21"/>
                      <w:szCs w:val="21"/>
                      <w:lang w:val="en-US" w:eastAsia="zh-CN" w:bidi="ar-SA"/>
                    </w:rPr>
                  </w:pPr>
                  <w:r>
                    <w:rPr>
                      <w:rFonts w:hint="eastAsia"/>
                      <w:bCs/>
                      <w:color w:val="000000"/>
                      <w:szCs w:val="21"/>
                      <w:lang w:val="en-US" w:eastAsia="zh-CN"/>
                    </w:rPr>
                    <w:t>0.044</w:t>
                  </w:r>
                </w:p>
              </w:tc>
              <w:tc>
                <w:tcPr>
                  <w:tcW w:w="1275" w:type="dxa"/>
                  <w:noWrap w:val="0"/>
                  <w:vAlign w:val="center"/>
                </w:tcPr>
                <w:p w14:paraId="59900C78">
                  <w:pPr>
                    <w:jc w:val="center"/>
                    <w:rPr>
                      <w:rFonts w:hint="default" w:ascii="Times New Roman" w:hAnsi="Times New Roman" w:eastAsia="宋体" w:cs="Times New Roman"/>
                      <w:bCs/>
                      <w:color w:val="000000"/>
                      <w:kern w:val="2"/>
                      <w:sz w:val="21"/>
                      <w:szCs w:val="21"/>
                      <w:lang w:val="en-US" w:eastAsia="zh-CN" w:bidi="ar-SA"/>
                    </w:rPr>
                  </w:pPr>
                  <w:r>
                    <w:rPr>
                      <w:rFonts w:hint="eastAsia"/>
                      <w:bCs/>
                      <w:color w:val="000000"/>
                      <w:szCs w:val="21"/>
                      <w:lang w:val="en-US" w:eastAsia="zh-CN"/>
                    </w:rPr>
                    <w:t>二级活性炭吸附装置</w:t>
                  </w:r>
                </w:p>
              </w:tc>
              <w:tc>
                <w:tcPr>
                  <w:tcW w:w="660" w:type="dxa"/>
                  <w:noWrap w:val="0"/>
                  <w:vAlign w:val="center"/>
                </w:tcPr>
                <w:p w14:paraId="48E05D6F">
                  <w:pPr>
                    <w:jc w:val="center"/>
                    <w:rPr>
                      <w:rFonts w:hint="eastAsia" w:ascii="Times New Roman" w:hAnsi="Times New Roman" w:eastAsia="宋体" w:cs="Times New Roman"/>
                      <w:bCs/>
                      <w:color w:val="000000"/>
                      <w:kern w:val="2"/>
                      <w:sz w:val="21"/>
                      <w:szCs w:val="21"/>
                      <w:lang w:val="en-US" w:eastAsia="zh-CN" w:bidi="ar-SA"/>
                    </w:rPr>
                  </w:pPr>
                  <w:r>
                    <w:rPr>
                      <w:rFonts w:hint="eastAsia"/>
                      <w:bCs/>
                      <w:color w:val="000000"/>
                      <w:szCs w:val="21"/>
                      <w:lang w:val="en-US" w:eastAsia="zh-CN"/>
                    </w:rPr>
                    <w:t>是</w:t>
                  </w:r>
                </w:p>
              </w:tc>
              <w:tc>
                <w:tcPr>
                  <w:tcW w:w="870" w:type="dxa"/>
                  <w:noWrap w:val="0"/>
                  <w:vAlign w:val="center"/>
                </w:tcPr>
                <w:p w14:paraId="549FF731">
                  <w:pPr>
                    <w:jc w:val="center"/>
                    <w:rPr>
                      <w:rFonts w:hint="default" w:ascii="Times New Roman" w:hAnsi="Times New Roman" w:eastAsia="宋体" w:cs="Times New Roman"/>
                      <w:bCs/>
                      <w:color w:val="000000"/>
                      <w:kern w:val="2"/>
                      <w:sz w:val="21"/>
                      <w:szCs w:val="21"/>
                      <w:lang w:val="en-US" w:eastAsia="zh-CN" w:bidi="ar-SA"/>
                    </w:rPr>
                  </w:pPr>
                  <w:r>
                    <w:rPr>
                      <w:rFonts w:hint="eastAsia"/>
                      <w:bCs/>
                      <w:color w:val="000000"/>
                      <w:szCs w:val="21"/>
                      <w:lang w:val="en-US" w:eastAsia="zh-CN"/>
                    </w:rPr>
                    <w:t>DA002</w:t>
                  </w:r>
                </w:p>
              </w:tc>
              <w:tc>
                <w:tcPr>
                  <w:tcW w:w="855" w:type="dxa"/>
                  <w:noWrap w:val="0"/>
                  <w:vAlign w:val="center"/>
                </w:tcPr>
                <w:p w14:paraId="15BB4AE7">
                  <w:pPr>
                    <w:jc w:val="center"/>
                    <w:rPr>
                      <w:rFonts w:hint="default" w:ascii="Times New Roman" w:hAnsi="Times New Roman" w:eastAsia="宋体" w:cs="Times New Roman"/>
                      <w:bCs/>
                      <w:color w:val="000000"/>
                      <w:kern w:val="2"/>
                      <w:sz w:val="21"/>
                      <w:szCs w:val="21"/>
                      <w:lang w:val="en-US" w:eastAsia="zh-CN" w:bidi="ar-SA"/>
                    </w:rPr>
                  </w:pPr>
                  <w:r>
                    <w:rPr>
                      <w:rFonts w:hint="eastAsia"/>
                      <w:bCs/>
                      <w:color w:val="000000"/>
                      <w:szCs w:val="21"/>
                      <w:lang w:val="en-US" w:eastAsia="zh-CN"/>
                    </w:rPr>
                    <w:t>1000</w:t>
                  </w:r>
                </w:p>
              </w:tc>
              <w:tc>
                <w:tcPr>
                  <w:tcW w:w="870" w:type="dxa"/>
                  <w:noWrap w:val="0"/>
                  <w:vAlign w:val="center"/>
                </w:tcPr>
                <w:p w14:paraId="1B80E6AA">
                  <w:pPr>
                    <w:pStyle w:val="29"/>
                    <w:spacing w:line="240" w:lineRule="auto"/>
                    <w:jc w:val="center"/>
                    <w:rPr>
                      <w:rFonts w:hint="default"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sz w:val="21"/>
                      <w:szCs w:val="21"/>
                      <w:lang w:val="en-US" w:eastAsia="zh-CN"/>
                    </w:rPr>
                    <w:t>1.75</w:t>
                  </w:r>
                </w:p>
              </w:tc>
              <w:tc>
                <w:tcPr>
                  <w:tcW w:w="772" w:type="dxa"/>
                  <w:noWrap w:val="0"/>
                  <w:vAlign w:val="center"/>
                </w:tcPr>
                <w:p w14:paraId="1A19F732">
                  <w:pPr>
                    <w:pStyle w:val="29"/>
                    <w:spacing w:line="240" w:lineRule="auto"/>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sz w:val="21"/>
                      <w:szCs w:val="21"/>
                    </w:rPr>
                    <w:t>0.</w:t>
                  </w:r>
                  <w:r>
                    <w:rPr>
                      <w:rFonts w:hint="eastAsia" w:ascii="Times New Roman" w:hAnsi="Times New Roman" w:eastAsia="宋体" w:cs="Times New Roman"/>
                      <w:b w:val="0"/>
                      <w:bCs/>
                      <w:sz w:val="21"/>
                      <w:szCs w:val="21"/>
                      <w:lang w:val="en-US" w:eastAsia="zh-CN"/>
                    </w:rPr>
                    <w:t>002</w:t>
                  </w:r>
                </w:p>
              </w:tc>
              <w:tc>
                <w:tcPr>
                  <w:tcW w:w="887" w:type="dxa"/>
                  <w:noWrap w:val="0"/>
                  <w:vAlign w:val="center"/>
                </w:tcPr>
                <w:p w14:paraId="376A3CAE">
                  <w:pPr>
                    <w:pStyle w:val="29"/>
                    <w:spacing w:line="240" w:lineRule="auto"/>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sz w:val="21"/>
                      <w:szCs w:val="21"/>
                    </w:rPr>
                    <w:t>0.0</w:t>
                  </w:r>
                  <w:r>
                    <w:rPr>
                      <w:rFonts w:hint="eastAsia" w:ascii="Times New Roman" w:hAnsi="Times New Roman" w:eastAsia="宋体" w:cs="Times New Roman"/>
                      <w:b w:val="0"/>
                      <w:bCs/>
                      <w:sz w:val="21"/>
                      <w:szCs w:val="21"/>
                      <w:lang w:val="en-US" w:eastAsia="zh-CN"/>
                    </w:rPr>
                    <w:t>04</w:t>
                  </w:r>
                </w:p>
              </w:tc>
              <w:tc>
                <w:tcPr>
                  <w:tcW w:w="955" w:type="dxa"/>
                  <w:noWrap w:val="0"/>
                  <w:vAlign w:val="center"/>
                </w:tcPr>
                <w:p w14:paraId="0553A6C4">
                  <w:pPr>
                    <w:pStyle w:val="29"/>
                    <w:spacing w:line="240" w:lineRule="auto"/>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sz w:val="21"/>
                      <w:szCs w:val="21"/>
                    </w:rPr>
                    <w:t>0.0</w:t>
                  </w:r>
                  <w:r>
                    <w:rPr>
                      <w:rFonts w:hint="eastAsia" w:ascii="Times New Roman" w:hAnsi="Times New Roman" w:eastAsia="宋体" w:cs="Times New Roman"/>
                      <w:b w:val="0"/>
                      <w:bCs/>
                      <w:sz w:val="21"/>
                      <w:szCs w:val="21"/>
                      <w:lang w:val="en-US" w:eastAsia="zh-CN"/>
                    </w:rPr>
                    <w:t>008</w:t>
                  </w:r>
                </w:p>
              </w:tc>
              <w:tc>
                <w:tcPr>
                  <w:tcW w:w="949" w:type="dxa"/>
                  <w:noWrap w:val="0"/>
                  <w:vAlign w:val="center"/>
                </w:tcPr>
                <w:p w14:paraId="0F0F78C9">
                  <w:pPr>
                    <w:pStyle w:val="29"/>
                    <w:spacing w:line="240" w:lineRule="auto"/>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sz w:val="21"/>
                      <w:szCs w:val="21"/>
                    </w:rPr>
                    <w:t>0.0</w:t>
                  </w:r>
                  <w:r>
                    <w:rPr>
                      <w:rFonts w:hint="eastAsia" w:ascii="Times New Roman" w:hAnsi="Times New Roman" w:eastAsia="宋体" w:cs="Times New Roman"/>
                      <w:b w:val="0"/>
                      <w:bCs/>
                      <w:sz w:val="21"/>
                      <w:szCs w:val="21"/>
                      <w:lang w:val="en-US" w:eastAsia="zh-CN"/>
                    </w:rPr>
                    <w:t>02</w:t>
                  </w:r>
                </w:p>
              </w:tc>
              <w:tc>
                <w:tcPr>
                  <w:tcW w:w="732" w:type="dxa"/>
                  <w:noWrap w:val="0"/>
                  <w:vAlign w:val="center"/>
                </w:tcPr>
                <w:p w14:paraId="3AD4F079">
                  <w:pPr>
                    <w:jc w:val="center"/>
                    <w:rPr>
                      <w:rFonts w:hint="default" w:ascii="Times New Roman" w:hAnsi="Times New Roman" w:eastAsia="宋体" w:cs="Times New Roman"/>
                      <w:bCs/>
                      <w:color w:val="000000"/>
                      <w:kern w:val="2"/>
                      <w:sz w:val="21"/>
                      <w:szCs w:val="21"/>
                      <w:lang w:val="en-US" w:eastAsia="zh-CN" w:bidi="ar-SA"/>
                    </w:rPr>
                  </w:pPr>
                  <w:r>
                    <w:rPr>
                      <w:rFonts w:hint="eastAsia"/>
                      <w:bCs/>
                      <w:color w:val="000000"/>
                      <w:szCs w:val="21"/>
                      <w:lang w:val="en-US" w:eastAsia="zh-CN"/>
                    </w:rPr>
                    <w:t>2400</w:t>
                  </w:r>
                </w:p>
              </w:tc>
            </w:tr>
            <w:tr w14:paraId="56799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7" w:type="dxa"/>
                  <w:noWrap w:val="0"/>
                  <w:vAlign w:val="center"/>
                </w:tcPr>
                <w:p w14:paraId="6B8EA1AA">
                  <w:pPr>
                    <w:jc w:val="center"/>
                    <w:rPr>
                      <w:rFonts w:hint="default"/>
                      <w:bCs/>
                      <w:color w:val="000000"/>
                      <w:szCs w:val="21"/>
                      <w:lang w:val="en-US" w:eastAsia="zh-CN"/>
                    </w:rPr>
                  </w:pPr>
                  <w:r>
                    <w:rPr>
                      <w:rFonts w:hint="eastAsia"/>
                      <w:bCs/>
                      <w:color w:val="000000"/>
                      <w:szCs w:val="21"/>
                      <w:lang w:val="en-US" w:eastAsia="zh-CN"/>
                    </w:rPr>
                    <w:t>切割工段</w:t>
                  </w:r>
                </w:p>
              </w:tc>
              <w:tc>
                <w:tcPr>
                  <w:tcW w:w="885" w:type="dxa"/>
                  <w:noWrap w:val="0"/>
                  <w:vAlign w:val="center"/>
                </w:tcPr>
                <w:p w14:paraId="27383956">
                  <w:pPr>
                    <w:jc w:val="center"/>
                    <w:rPr>
                      <w:rFonts w:hint="default" w:eastAsia="宋体"/>
                      <w:bCs/>
                      <w:color w:val="000000"/>
                      <w:szCs w:val="21"/>
                      <w:lang w:val="en-US" w:eastAsia="zh-CN"/>
                    </w:rPr>
                  </w:pPr>
                  <w:r>
                    <w:rPr>
                      <w:rFonts w:hint="eastAsia" w:eastAsia="宋体"/>
                      <w:bCs/>
                      <w:color w:val="000000"/>
                      <w:szCs w:val="21"/>
                      <w:lang w:val="en-US" w:eastAsia="zh-CN"/>
                    </w:rPr>
                    <w:t>颗粒物</w:t>
                  </w:r>
                </w:p>
              </w:tc>
              <w:tc>
                <w:tcPr>
                  <w:tcW w:w="780" w:type="dxa"/>
                  <w:noWrap w:val="0"/>
                  <w:vAlign w:val="center"/>
                </w:tcPr>
                <w:p w14:paraId="182FDD97">
                  <w:pPr>
                    <w:jc w:val="center"/>
                    <w:rPr>
                      <w:rFonts w:hint="default"/>
                      <w:bCs/>
                      <w:color w:val="000000"/>
                      <w:szCs w:val="21"/>
                      <w:lang w:val="en-US" w:eastAsia="zh-CN"/>
                    </w:rPr>
                  </w:pPr>
                  <w:r>
                    <w:rPr>
                      <w:rFonts w:hint="eastAsia"/>
                      <w:bCs/>
                      <w:color w:val="000000"/>
                      <w:szCs w:val="21"/>
                      <w:lang w:val="en-US" w:eastAsia="zh-CN"/>
                    </w:rPr>
                    <w:t>0.95</w:t>
                  </w:r>
                </w:p>
              </w:tc>
              <w:tc>
                <w:tcPr>
                  <w:tcW w:w="930" w:type="dxa"/>
                  <w:noWrap w:val="0"/>
                  <w:vAlign w:val="center"/>
                </w:tcPr>
                <w:p w14:paraId="0611AB3E">
                  <w:pPr>
                    <w:jc w:val="center"/>
                    <w:rPr>
                      <w:rFonts w:hint="default"/>
                      <w:bCs/>
                      <w:color w:val="000000"/>
                      <w:szCs w:val="21"/>
                      <w:lang w:val="en-US" w:eastAsia="zh-CN"/>
                    </w:rPr>
                  </w:pPr>
                  <w:r>
                    <w:rPr>
                      <w:rFonts w:hint="eastAsia"/>
                      <w:bCs/>
                      <w:color w:val="000000"/>
                      <w:szCs w:val="21"/>
                      <w:lang w:val="en-US" w:eastAsia="zh-CN"/>
                    </w:rPr>
                    <w:t>2.28</w:t>
                  </w:r>
                </w:p>
              </w:tc>
              <w:tc>
                <w:tcPr>
                  <w:tcW w:w="1275" w:type="dxa"/>
                  <w:noWrap w:val="0"/>
                  <w:vAlign w:val="center"/>
                </w:tcPr>
                <w:p w14:paraId="7294E300">
                  <w:pPr>
                    <w:jc w:val="center"/>
                    <w:rPr>
                      <w:rFonts w:hint="default"/>
                      <w:bCs/>
                      <w:color w:val="000000"/>
                      <w:szCs w:val="21"/>
                      <w:lang w:val="en-US" w:eastAsia="zh-CN"/>
                    </w:rPr>
                  </w:pPr>
                  <w:r>
                    <w:rPr>
                      <w:rFonts w:hint="eastAsia"/>
                      <w:bCs/>
                      <w:color w:val="000000"/>
                      <w:szCs w:val="21"/>
                      <w:lang w:val="en-US" w:eastAsia="zh-CN"/>
                    </w:rPr>
                    <w:t>布袋除尘器</w:t>
                  </w:r>
                </w:p>
              </w:tc>
              <w:tc>
                <w:tcPr>
                  <w:tcW w:w="660" w:type="dxa"/>
                  <w:noWrap w:val="0"/>
                  <w:vAlign w:val="center"/>
                </w:tcPr>
                <w:p w14:paraId="68164E79">
                  <w:pPr>
                    <w:jc w:val="center"/>
                    <w:rPr>
                      <w:rFonts w:hint="default"/>
                      <w:bCs/>
                      <w:color w:val="000000"/>
                      <w:szCs w:val="21"/>
                      <w:lang w:val="en-US" w:eastAsia="zh-CN"/>
                    </w:rPr>
                  </w:pPr>
                  <w:r>
                    <w:rPr>
                      <w:rFonts w:hint="eastAsia"/>
                      <w:bCs/>
                      <w:color w:val="000000"/>
                      <w:szCs w:val="21"/>
                      <w:lang w:val="en-US" w:eastAsia="zh-CN"/>
                    </w:rPr>
                    <w:t>是</w:t>
                  </w:r>
                </w:p>
              </w:tc>
              <w:tc>
                <w:tcPr>
                  <w:tcW w:w="870" w:type="dxa"/>
                  <w:noWrap w:val="0"/>
                  <w:vAlign w:val="center"/>
                </w:tcPr>
                <w:p w14:paraId="783E43A4">
                  <w:pPr>
                    <w:jc w:val="center"/>
                    <w:rPr>
                      <w:rFonts w:hint="default"/>
                      <w:bCs/>
                      <w:color w:val="000000"/>
                      <w:szCs w:val="21"/>
                      <w:lang w:val="en-US" w:eastAsia="zh-CN"/>
                    </w:rPr>
                  </w:pPr>
                  <w:r>
                    <w:rPr>
                      <w:rFonts w:hint="eastAsia"/>
                      <w:bCs/>
                      <w:color w:val="000000"/>
                      <w:szCs w:val="21"/>
                      <w:lang w:val="en-US" w:eastAsia="zh-CN"/>
                    </w:rPr>
                    <w:t>DA003</w:t>
                  </w:r>
                </w:p>
              </w:tc>
              <w:tc>
                <w:tcPr>
                  <w:tcW w:w="855" w:type="dxa"/>
                  <w:noWrap w:val="0"/>
                  <w:vAlign w:val="center"/>
                </w:tcPr>
                <w:p w14:paraId="38D5E548">
                  <w:pPr>
                    <w:jc w:val="center"/>
                    <w:rPr>
                      <w:rFonts w:hint="default"/>
                      <w:bCs/>
                      <w:color w:val="000000"/>
                      <w:szCs w:val="21"/>
                      <w:lang w:val="en-US" w:eastAsia="zh-CN"/>
                    </w:rPr>
                  </w:pPr>
                  <w:r>
                    <w:rPr>
                      <w:rFonts w:hint="eastAsia"/>
                      <w:bCs/>
                      <w:color w:val="000000"/>
                      <w:szCs w:val="21"/>
                      <w:lang w:val="en-US" w:eastAsia="zh-CN"/>
                    </w:rPr>
                    <w:t>8500</w:t>
                  </w:r>
                </w:p>
              </w:tc>
              <w:tc>
                <w:tcPr>
                  <w:tcW w:w="870" w:type="dxa"/>
                  <w:noWrap w:val="0"/>
                  <w:vAlign w:val="center"/>
                </w:tcPr>
                <w:p w14:paraId="1B6DF9A8">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val="0"/>
                      <w:sz w:val="21"/>
                      <w:szCs w:val="21"/>
                      <w:lang w:val="en-US" w:eastAsia="zh-CN"/>
                    </w:rPr>
                    <w:t>1.03</w:t>
                  </w:r>
                </w:p>
              </w:tc>
              <w:tc>
                <w:tcPr>
                  <w:tcW w:w="772" w:type="dxa"/>
                  <w:noWrap w:val="0"/>
                  <w:vAlign w:val="center"/>
                </w:tcPr>
                <w:p w14:paraId="13C50809">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val="0"/>
                      <w:sz w:val="21"/>
                      <w:szCs w:val="21"/>
                      <w:lang w:val="en-US" w:eastAsia="zh-CN"/>
                    </w:rPr>
                    <w:t>0.009</w:t>
                  </w:r>
                </w:p>
              </w:tc>
              <w:tc>
                <w:tcPr>
                  <w:tcW w:w="887" w:type="dxa"/>
                  <w:noWrap w:val="0"/>
                  <w:vAlign w:val="center"/>
                </w:tcPr>
                <w:p w14:paraId="3CF627B9">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val="0"/>
                      <w:sz w:val="21"/>
                      <w:szCs w:val="21"/>
                      <w:lang w:val="en-US" w:eastAsia="zh-CN"/>
                    </w:rPr>
                    <w:t>0.021</w:t>
                  </w:r>
                </w:p>
              </w:tc>
              <w:tc>
                <w:tcPr>
                  <w:tcW w:w="955" w:type="dxa"/>
                  <w:noWrap w:val="0"/>
                  <w:vAlign w:val="center"/>
                </w:tcPr>
                <w:p w14:paraId="4CD5F57D">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val="0"/>
                      <w:sz w:val="21"/>
                      <w:szCs w:val="21"/>
                      <w:lang w:val="en-US" w:eastAsia="zh-CN"/>
                    </w:rPr>
                    <w:t>0.095</w:t>
                  </w:r>
                </w:p>
              </w:tc>
              <w:tc>
                <w:tcPr>
                  <w:tcW w:w="949" w:type="dxa"/>
                  <w:noWrap w:val="0"/>
                  <w:vAlign w:val="center"/>
                </w:tcPr>
                <w:p w14:paraId="3F294744">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val="0"/>
                      <w:sz w:val="21"/>
                      <w:szCs w:val="21"/>
                      <w:lang w:val="en-US" w:eastAsia="zh-CN"/>
                    </w:rPr>
                    <w:t>0.23</w:t>
                  </w:r>
                </w:p>
              </w:tc>
              <w:tc>
                <w:tcPr>
                  <w:tcW w:w="732" w:type="dxa"/>
                  <w:noWrap w:val="0"/>
                  <w:vAlign w:val="center"/>
                </w:tcPr>
                <w:p w14:paraId="205108CD">
                  <w:pPr>
                    <w:jc w:val="center"/>
                    <w:rPr>
                      <w:rFonts w:hint="default"/>
                      <w:bCs/>
                      <w:color w:val="000000"/>
                      <w:szCs w:val="21"/>
                      <w:lang w:val="en-US" w:eastAsia="zh-CN"/>
                    </w:rPr>
                  </w:pPr>
                  <w:r>
                    <w:rPr>
                      <w:rFonts w:hint="eastAsia"/>
                      <w:bCs/>
                      <w:color w:val="000000"/>
                      <w:szCs w:val="21"/>
                      <w:lang w:val="en-US" w:eastAsia="zh-CN"/>
                    </w:rPr>
                    <w:t>2400</w:t>
                  </w:r>
                </w:p>
              </w:tc>
            </w:tr>
          </w:tbl>
          <w:p w14:paraId="4A48CCCF">
            <w:pPr>
              <w:adjustRightInd w:val="0"/>
              <w:snapToGrid w:val="0"/>
              <w:spacing w:line="360" w:lineRule="auto"/>
              <w:rPr>
                <w:b/>
                <w:sz w:val="24"/>
                <w:szCs w:val="22"/>
              </w:rPr>
            </w:pPr>
          </w:p>
          <w:p w14:paraId="6D6E4D3E">
            <w:pPr>
              <w:adjustRightInd w:val="0"/>
              <w:snapToGrid w:val="0"/>
              <w:spacing w:line="360" w:lineRule="auto"/>
              <w:rPr>
                <w:b/>
                <w:sz w:val="24"/>
                <w:szCs w:val="22"/>
              </w:rPr>
            </w:pPr>
            <w:r>
              <w:rPr>
                <w:b/>
                <w:sz w:val="24"/>
                <w:szCs w:val="22"/>
              </w:rPr>
              <w:t>4.</w:t>
            </w:r>
            <w:r>
              <w:rPr>
                <w:rFonts w:hint="eastAsia"/>
                <w:b/>
                <w:sz w:val="24"/>
                <w:szCs w:val="22"/>
                <w:lang w:val="en-US" w:eastAsia="zh-CN"/>
              </w:rPr>
              <w:t>1</w:t>
            </w:r>
            <w:r>
              <w:rPr>
                <w:rFonts w:hint="eastAsia"/>
                <w:b/>
                <w:sz w:val="24"/>
                <w:szCs w:val="22"/>
              </w:rPr>
              <w:t>.3</w:t>
            </w:r>
            <w:r>
              <w:rPr>
                <w:b/>
                <w:sz w:val="24"/>
                <w:szCs w:val="22"/>
              </w:rPr>
              <w:t>排放口基本情况</w:t>
            </w:r>
          </w:p>
          <w:p w14:paraId="32346C58">
            <w:pPr>
              <w:spacing w:line="360" w:lineRule="auto"/>
              <w:ind w:firstLine="480" w:firstLineChars="200"/>
              <w:rPr>
                <w:sz w:val="24"/>
              </w:rPr>
            </w:pPr>
            <w:r>
              <w:rPr>
                <w:rFonts w:hint="eastAsia"/>
                <w:sz w:val="24"/>
              </w:rPr>
              <w:t>本</w:t>
            </w:r>
            <w:r>
              <w:rPr>
                <w:sz w:val="24"/>
              </w:rPr>
              <w:t>项目排放口基本情况</w:t>
            </w:r>
            <w:r>
              <w:rPr>
                <w:rFonts w:hint="eastAsia"/>
                <w:sz w:val="24"/>
              </w:rPr>
              <w:t>见下表</w:t>
            </w:r>
            <w:r>
              <w:rPr>
                <w:sz w:val="24"/>
              </w:rPr>
              <w:t>。</w:t>
            </w:r>
          </w:p>
          <w:p w14:paraId="607F600A">
            <w:pPr>
              <w:jc w:val="center"/>
              <w:rPr>
                <w:b/>
                <w:bCs/>
                <w:szCs w:val="21"/>
              </w:rPr>
            </w:pPr>
            <w:r>
              <w:rPr>
                <w:b/>
                <w:bCs/>
                <w:szCs w:val="21"/>
              </w:rPr>
              <w:t>表4-</w:t>
            </w:r>
            <w:r>
              <w:rPr>
                <w:rFonts w:hint="eastAsia"/>
                <w:b/>
                <w:bCs/>
                <w:szCs w:val="21"/>
                <w:lang w:val="en-US" w:eastAsia="zh-CN"/>
              </w:rPr>
              <w:t>5</w:t>
            </w:r>
            <w:r>
              <w:rPr>
                <w:b/>
                <w:bCs/>
                <w:szCs w:val="21"/>
              </w:rPr>
              <w:t xml:space="preserve">  点源参数表</w:t>
            </w:r>
          </w:p>
          <w:tbl>
            <w:tblPr>
              <w:tblStyle w:val="24"/>
              <w:tblW w:w="49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5"/>
              <w:gridCol w:w="1396"/>
              <w:gridCol w:w="750"/>
              <w:gridCol w:w="1140"/>
              <w:gridCol w:w="1020"/>
              <w:gridCol w:w="771"/>
              <w:gridCol w:w="1004"/>
              <w:gridCol w:w="859"/>
              <w:gridCol w:w="911"/>
              <w:gridCol w:w="1089"/>
              <w:gridCol w:w="759"/>
              <w:gridCol w:w="1207"/>
              <w:gridCol w:w="906"/>
            </w:tblGrid>
            <w:tr w14:paraId="70922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277" w:type="pct"/>
                  <w:vMerge w:val="restart"/>
                  <w:shd w:val="clear" w:color="auto" w:fill="FFFFFF"/>
                  <w:noWrap w:val="0"/>
                  <w:tcMar>
                    <w:top w:w="15" w:type="dxa"/>
                    <w:left w:w="15" w:type="dxa"/>
                    <w:right w:w="15" w:type="dxa"/>
                  </w:tcMar>
                  <w:vAlign w:val="center"/>
                </w:tcPr>
                <w:p w14:paraId="11C1C511">
                  <w:pPr>
                    <w:widowControl/>
                    <w:jc w:val="center"/>
                    <w:textAlignment w:val="center"/>
                    <w:rPr>
                      <w:b/>
                      <w:bCs/>
                      <w:szCs w:val="21"/>
                    </w:rPr>
                  </w:pPr>
                  <w:r>
                    <w:rPr>
                      <w:b/>
                      <w:bCs/>
                      <w:szCs w:val="21"/>
                    </w:rPr>
                    <w:t>编号</w:t>
                  </w:r>
                </w:p>
              </w:tc>
              <w:tc>
                <w:tcPr>
                  <w:tcW w:w="558" w:type="pct"/>
                  <w:vMerge w:val="restart"/>
                  <w:shd w:val="clear" w:color="auto" w:fill="FFFFFF"/>
                  <w:noWrap w:val="0"/>
                  <w:tcMar>
                    <w:top w:w="15" w:type="dxa"/>
                    <w:left w:w="15" w:type="dxa"/>
                    <w:right w:w="15" w:type="dxa"/>
                  </w:tcMar>
                  <w:vAlign w:val="center"/>
                </w:tcPr>
                <w:p w14:paraId="2141F037">
                  <w:pPr>
                    <w:widowControl/>
                    <w:jc w:val="center"/>
                    <w:textAlignment w:val="center"/>
                    <w:rPr>
                      <w:b/>
                      <w:bCs/>
                      <w:szCs w:val="21"/>
                    </w:rPr>
                  </w:pPr>
                  <w:r>
                    <w:rPr>
                      <w:b/>
                      <w:bCs/>
                      <w:szCs w:val="21"/>
                    </w:rPr>
                    <w:t>名称</w:t>
                  </w:r>
                </w:p>
              </w:tc>
              <w:tc>
                <w:tcPr>
                  <w:tcW w:w="299" w:type="pct"/>
                  <w:vMerge w:val="restart"/>
                  <w:shd w:val="clear" w:color="auto" w:fill="FFFFFF"/>
                  <w:noWrap w:val="0"/>
                  <w:tcMar>
                    <w:top w:w="15" w:type="dxa"/>
                    <w:left w:w="15" w:type="dxa"/>
                    <w:right w:w="15" w:type="dxa"/>
                  </w:tcMar>
                  <w:vAlign w:val="center"/>
                </w:tcPr>
                <w:p w14:paraId="5E2C8943">
                  <w:pPr>
                    <w:widowControl/>
                    <w:jc w:val="center"/>
                    <w:textAlignment w:val="center"/>
                    <w:rPr>
                      <w:rFonts w:hint="eastAsia"/>
                      <w:b/>
                      <w:bCs/>
                      <w:szCs w:val="21"/>
                    </w:rPr>
                  </w:pPr>
                  <w:r>
                    <w:rPr>
                      <w:rFonts w:hint="eastAsia"/>
                      <w:b/>
                      <w:bCs/>
                      <w:szCs w:val="21"/>
                    </w:rPr>
                    <w:t>类型</w:t>
                  </w:r>
                </w:p>
              </w:tc>
              <w:tc>
                <w:tcPr>
                  <w:tcW w:w="863" w:type="pct"/>
                  <w:gridSpan w:val="2"/>
                  <w:shd w:val="clear" w:color="auto" w:fill="FFFFFF"/>
                  <w:noWrap w:val="0"/>
                  <w:tcMar>
                    <w:top w:w="15" w:type="dxa"/>
                    <w:left w:w="15" w:type="dxa"/>
                    <w:right w:w="15" w:type="dxa"/>
                  </w:tcMar>
                  <w:vAlign w:val="center"/>
                </w:tcPr>
                <w:p w14:paraId="6FAF54ED">
                  <w:pPr>
                    <w:widowControl/>
                    <w:jc w:val="center"/>
                    <w:textAlignment w:val="center"/>
                    <w:rPr>
                      <w:b/>
                      <w:bCs/>
                      <w:szCs w:val="21"/>
                    </w:rPr>
                  </w:pPr>
                  <w:r>
                    <w:rPr>
                      <w:b/>
                      <w:bCs/>
                      <w:szCs w:val="21"/>
                    </w:rPr>
                    <w:t>排气筒底部中心坐标</w:t>
                  </w:r>
                </w:p>
              </w:tc>
              <w:tc>
                <w:tcPr>
                  <w:tcW w:w="308" w:type="pct"/>
                  <w:vMerge w:val="restart"/>
                  <w:shd w:val="clear" w:color="auto" w:fill="FFFFFF"/>
                  <w:noWrap w:val="0"/>
                  <w:tcMar>
                    <w:top w:w="15" w:type="dxa"/>
                    <w:left w:w="15" w:type="dxa"/>
                    <w:right w:w="15" w:type="dxa"/>
                  </w:tcMar>
                  <w:vAlign w:val="center"/>
                </w:tcPr>
                <w:p w14:paraId="50B864E1">
                  <w:pPr>
                    <w:widowControl/>
                    <w:jc w:val="center"/>
                    <w:textAlignment w:val="center"/>
                    <w:rPr>
                      <w:b/>
                      <w:bCs/>
                      <w:szCs w:val="21"/>
                    </w:rPr>
                  </w:pPr>
                  <w:r>
                    <w:rPr>
                      <w:b/>
                      <w:bCs/>
                      <w:szCs w:val="21"/>
                    </w:rPr>
                    <w:t>排气筒高度/m</w:t>
                  </w:r>
                </w:p>
              </w:tc>
              <w:tc>
                <w:tcPr>
                  <w:tcW w:w="401" w:type="pct"/>
                  <w:vMerge w:val="restart"/>
                  <w:shd w:val="clear" w:color="auto" w:fill="FFFFFF"/>
                  <w:noWrap w:val="0"/>
                  <w:tcMar>
                    <w:top w:w="15" w:type="dxa"/>
                    <w:left w:w="15" w:type="dxa"/>
                    <w:right w:w="15" w:type="dxa"/>
                  </w:tcMar>
                  <w:vAlign w:val="center"/>
                </w:tcPr>
                <w:p w14:paraId="563A0375">
                  <w:pPr>
                    <w:widowControl/>
                    <w:jc w:val="center"/>
                    <w:textAlignment w:val="center"/>
                    <w:rPr>
                      <w:b/>
                      <w:bCs/>
                      <w:szCs w:val="21"/>
                    </w:rPr>
                  </w:pPr>
                  <w:r>
                    <w:rPr>
                      <w:b/>
                      <w:bCs/>
                      <w:szCs w:val="21"/>
                    </w:rPr>
                    <w:t>排气筒出口内径/m</w:t>
                  </w:r>
                </w:p>
              </w:tc>
              <w:tc>
                <w:tcPr>
                  <w:tcW w:w="343" w:type="pct"/>
                  <w:vMerge w:val="restart"/>
                  <w:shd w:val="clear" w:color="auto" w:fill="FFFFFF"/>
                  <w:noWrap w:val="0"/>
                  <w:tcMar>
                    <w:top w:w="15" w:type="dxa"/>
                    <w:left w:w="15" w:type="dxa"/>
                    <w:right w:w="15" w:type="dxa"/>
                  </w:tcMar>
                  <w:vAlign w:val="center"/>
                </w:tcPr>
                <w:p w14:paraId="0E749FA4">
                  <w:pPr>
                    <w:widowControl/>
                    <w:jc w:val="center"/>
                    <w:textAlignment w:val="center"/>
                    <w:rPr>
                      <w:b/>
                      <w:bCs/>
                      <w:szCs w:val="21"/>
                    </w:rPr>
                  </w:pPr>
                  <w:r>
                    <w:rPr>
                      <w:b/>
                      <w:bCs/>
                      <w:szCs w:val="21"/>
                    </w:rPr>
                    <w:t>烟气流速/（m/s）</w:t>
                  </w:r>
                </w:p>
              </w:tc>
              <w:tc>
                <w:tcPr>
                  <w:tcW w:w="364" w:type="pct"/>
                  <w:vMerge w:val="restart"/>
                  <w:shd w:val="clear" w:color="auto" w:fill="FFFFFF"/>
                  <w:noWrap w:val="0"/>
                  <w:tcMar>
                    <w:top w:w="15" w:type="dxa"/>
                    <w:left w:w="15" w:type="dxa"/>
                    <w:right w:w="15" w:type="dxa"/>
                  </w:tcMar>
                  <w:vAlign w:val="center"/>
                </w:tcPr>
                <w:p w14:paraId="7E23338F">
                  <w:pPr>
                    <w:widowControl/>
                    <w:jc w:val="center"/>
                    <w:textAlignment w:val="center"/>
                    <w:rPr>
                      <w:b/>
                      <w:bCs/>
                      <w:szCs w:val="21"/>
                    </w:rPr>
                  </w:pPr>
                  <w:r>
                    <w:rPr>
                      <w:b/>
                      <w:bCs/>
                      <w:szCs w:val="21"/>
                    </w:rPr>
                    <w:t>烟气温度/℃</w:t>
                  </w:r>
                </w:p>
              </w:tc>
              <w:tc>
                <w:tcPr>
                  <w:tcW w:w="435" w:type="pct"/>
                  <w:vMerge w:val="restart"/>
                  <w:shd w:val="clear" w:color="auto" w:fill="FFFFFF"/>
                  <w:noWrap w:val="0"/>
                  <w:tcMar>
                    <w:top w:w="15" w:type="dxa"/>
                    <w:left w:w="15" w:type="dxa"/>
                    <w:right w:w="15" w:type="dxa"/>
                  </w:tcMar>
                  <w:vAlign w:val="center"/>
                </w:tcPr>
                <w:p w14:paraId="70D9895E">
                  <w:pPr>
                    <w:widowControl/>
                    <w:jc w:val="center"/>
                    <w:textAlignment w:val="center"/>
                    <w:rPr>
                      <w:b/>
                      <w:bCs/>
                      <w:szCs w:val="21"/>
                    </w:rPr>
                  </w:pPr>
                  <w:r>
                    <w:rPr>
                      <w:b/>
                      <w:bCs/>
                      <w:szCs w:val="21"/>
                    </w:rPr>
                    <w:t>年排放小时数/h</w:t>
                  </w:r>
                </w:p>
              </w:tc>
              <w:tc>
                <w:tcPr>
                  <w:tcW w:w="303" w:type="pct"/>
                  <w:vMerge w:val="restart"/>
                  <w:shd w:val="clear" w:color="auto" w:fill="FFFFFF"/>
                  <w:noWrap w:val="0"/>
                  <w:tcMar>
                    <w:top w:w="15" w:type="dxa"/>
                    <w:left w:w="15" w:type="dxa"/>
                    <w:right w:w="15" w:type="dxa"/>
                  </w:tcMar>
                  <w:vAlign w:val="center"/>
                </w:tcPr>
                <w:p w14:paraId="48BCACD0">
                  <w:pPr>
                    <w:widowControl/>
                    <w:jc w:val="center"/>
                    <w:textAlignment w:val="center"/>
                    <w:rPr>
                      <w:b/>
                      <w:bCs/>
                      <w:szCs w:val="21"/>
                    </w:rPr>
                  </w:pPr>
                  <w:r>
                    <w:rPr>
                      <w:b/>
                      <w:bCs/>
                      <w:szCs w:val="21"/>
                    </w:rPr>
                    <w:t>排放工况</w:t>
                  </w:r>
                </w:p>
              </w:tc>
              <w:tc>
                <w:tcPr>
                  <w:tcW w:w="844" w:type="pct"/>
                  <w:gridSpan w:val="2"/>
                  <w:shd w:val="clear" w:color="auto" w:fill="FFFFFF"/>
                  <w:noWrap w:val="0"/>
                  <w:tcMar>
                    <w:top w:w="15" w:type="dxa"/>
                    <w:left w:w="15" w:type="dxa"/>
                    <w:right w:w="15" w:type="dxa"/>
                  </w:tcMar>
                  <w:vAlign w:val="center"/>
                </w:tcPr>
                <w:p w14:paraId="1945A611">
                  <w:pPr>
                    <w:widowControl/>
                    <w:jc w:val="center"/>
                    <w:textAlignment w:val="center"/>
                    <w:rPr>
                      <w:b/>
                      <w:bCs/>
                      <w:szCs w:val="21"/>
                    </w:rPr>
                  </w:pPr>
                  <w:r>
                    <w:rPr>
                      <w:b/>
                      <w:bCs/>
                      <w:szCs w:val="21"/>
                    </w:rPr>
                    <w:t>污染物排放速率</w:t>
                  </w:r>
                </w:p>
              </w:tc>
            </w:tr>
            <w:tr w14:paraId="47F3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277" w:type="pct"/>
                  <w:vMerge w:val="continue"/>
                  <w:shd w:val="clear" w:color="auto" w:fill="FFFFFF"/>
                  <w:noWrap w:val="0"/>
                  <w:tcMar>
                    <w:top w:w="15" w:type="dxa"/>
                    <w:left w:w="15" w:type="dxa"/>
                    <w:right w:w="15" w:type="dxa"/>
                  </w:tcMar>
                  <w:vAlign w:val="center"/>
                </w:tcPr>
                <w:p w14:paraId="6D24AA35">
                  <w:pPr>
                    <w:jc w:val="center"/>
                    <w:rPr>
                      <w:b/>
                      <w:bCs/>
                      <w:szCs w:val="21"/>
                    </w:rPr>
                  </w:pPr>
                </w:p>
              </w:tc>
              <w:tc>
                <w:tcPr>
                  <w:tcW w:w="558" w:type="pct"/>
                  <w:vMerge w:val="continue"/>
                  <w:shd w:val="clear" w:color="auto" w:fill="FFFFFF"/>
                  <w:noWrap w:val="0"/>
                  <w:tcMar>
                    <w:top w:w="15" w:type="dxa"/>
                    <w:left w:w="15" w:type="dxa"/>
                    <w:right w:w="15" w:type="dxa"/>
                  </w:tcMar>
                  <w:vAlign w:val="center"/>
                </w:tcPr>
                <w:p w14:paraId="463B925D">
                  <w:pPr>
                    <w:jc w:val="center"/>
                    <w:rPr>
                      <w:b/>
                      <w:bCs/>
                      <w:szCs w:val="21"/>
                    </w:rPr>
                  </w:pPr>
                </w:p>
              </w:tc>
              <w:tc>
                <w:tcPr>
                  <w:tcW w:w="299" w:type="pct"/>
                  <w:vMerge w:val="continue"/>
                  <w:shd w:val="clear" w:color="auto" w:fill="FFFFFF"/>
                  <w:noWrap w:val="0"/>
                  <w:tcMar>
                    <w:top w:w="15" w:type="dxa"/>
                    <w:left w:w="15" w:type="dxa"/>
                    <w:right w:w="15" w:type="dxa"/>
                  </w:tcMar>
                  <w:vAlign w:val="center"/>
                </w:tcPr>
                <w:p w14:paraId="761852E6">
                  <w:pPr>
                    <w:jc w:val="center"/>
                    <w:rPr>
                      <w:b/>
                      <w:bCs/>
                      <w:szCs w:val="21"/>
                    </w:rPr>
                  </w:pPr>
                </w:p>
              </w:tc>
              <w:tc>
                <w:tcPr>
                  <w:tcW w:w="455" w:type="pct"/>
                  <w:shd w:val="clear" w:color="auto" w:fill="FFFFFF"/>
                  <w:noWrap w:val="0"/>
                  <w:tcMar>
                    <w:top w:w="15" w:type="dxa"/>
                    <w:left w:w="15" w:type="dxa"/>
                    <w:right w:w="15" w:type="dxa"/>
                  </w:tcMar>
                  <w:vAlign w:val="center"/>
                </w:tcPr>
                <w:p w14:paraId="7B97DCF7">
                  <w:pPr>
                    <w:widowControl/>
                    <w:jc w:val="center"/>
                    <w:textAlignment w:val="center"/>
                    <w:rPr>
                      <w:b/>
                      <w:bCs/>
                      <w:szCs w:val="21"/>
                    </w:rPr>
                  </w:pPr>
                  <w:r>
                    <w:rPr>
                      <w:b/>
                      <w:bCs/>
                      <w:szCs w:val="21"/>
                    </w:rPr>
                    <w:t>经度</w:t>
                  </w:r>
                </w:p>
              </w:tc>
              <w:tc>
                <w:tcPr>
                  <w:tcW w:w="407" w:type="pct"/>
                  <w:shd w:val="clear" w:color="auto" w:fill="FFFFFF"/>
                  <w:noWrap w:val="0"/>
                  <w:tcMar>
                    <w:top w:w="15" w:type="dxa"/>
                    <w:left w:w="15" w:type="dxa"/>
                    <w:right w:w="15" w:type="dxa"/>
                  </w:tcMar>
                  <w:vAlign w:val="center"/>
                </w:tcPr>
                <w:p w14:paraId="33C2046E">
                  <w:pPr>
                    <w:widowControl/>
                    <w:jc w:val="center"/>
                    <w:textAlignment w:val="center"/>
                    <w:rPr>
                      <w:b/>
                      <w:bCs/>
                      <w:szCs w:val="21"/>
                    </w:rPr>
                  </w:pPr>
                  <w:r>
                    <w:rPr>
                      <w:b/>
                      <w:bCs/>
                      <w:szCs w:val="21"/>
                    </w:rPr>
                    <w:t>纬度</w:t>
                  </w:r>
                </w:p>
              </w:tc>
              <w:tc>
                <w:tcPr>
                  <w:tcW w:w="308" w:type="pct"/>
                  <w:vMerge w:val="continue"/>
                  <w:shd w:val="clear" w:color="auto" w:fill="FFFFFF"/>
                  <w:noWrap w:val="0"/>
                  <w:tcMar>
                    <w:top w:w="15" w:type="dxa"/>
                    <w:left w:w="15" w:type="dxa"/>
                    <w:right w:w="15" w:type="dxa"/>
                  </w:tcMar>
                  <w:vAlign w:val="center"/>
                </w:tcPr>
                <w:p w14:paraId="2CBBE656">
                  <w:pPr>
                    <w:jc w:val="center"/>
                    <w:rPr>
                      <w:b/>
                      <w:bCs/>
                      <w:szCs w:val="21"/>
                    </w:rPr>
                  </w:pPr>
                </w:p>
              </w:tc>
              <w:tc>
                <w:tcPr>
                  <w:tcW w:w="401" w:type="pct"/>
                  <w:vMerge w:val="continue"/>
                  <w:shd w:val="clear" w:color="auto" w:fill="FFFFFF"/>
                  <w:noWrap w:val="0"/>
                  <w:tcMar>
                    <w:top w:w="15" w:type="dxa"/>
                    <w:left w:w="15" w:type="dxa"/>
                    <w:right w:w="15" w:type="dxa"/>
                  </w:tcMar>
                  <w:vAlign w:val="center"/>
                </w:tcPr>
                <w:p w14:paraId="2865E188">
                  <w:pPr>
                    <w:jc w:val="center"/>
                    <w:rPr>
                      <w:b/>
                      <w:bCs/>
                      <w:szCs w:val="21"/>
                    </w:rPr>
                  </w:pPr>
                </w:p>
              </w:tc>
              <w:tc>
                <w:tcPr>
                  <w:tcW w:w="343" w:type="pct"/>
                  <w:vMerge w:val="continue"/>
                  <w:shd w:val="clear" w:color="auto" w:fill="FFFFFF"/>
                  <w:noWrap w:val="0"/>
                  <w:tcMar>
                    <w:top w:w="15" w:type="dxa"/>
                    <w:left w:w="15" w:type="dxa"/>
                    <w:right w:w="15" w:type="dxa"/>
                  </w:tcMar>
                  <w:vAlign w:val="center"/>
                </w:tcPr>
                <w:p w14:paraId="1136FD9D">
                  <w:pPr>
                    <w:jc w:val="center"/>
                    <w:rPr>
                      <w:b/>
                      <w:bCs/>
                      <w:szCs w:val="21"/>
                    </w:rPr>
                  </w:pPr>
                </w:p>
              </w:tc>
              <w:tc>
                <w:tcPr>
                  <w:tcW w:w="364" w:type="pct"/>
                  <w:vMerge w:val="continue"/>
                  <w:shd w:val="clear" w:color="auto" w:fill="FFFFFF"/>
                  <w:noWrap w:val="0"/>
                  <w:tcMar>
                    <w:top w:w="15" w:type="dxa"/>
                    <w:left w:w="15" w:type="dxa"/>
                    <w:right w:w="15" w:type="dxa"/>
                  </w:tcMar>
                  <w:vAlign w:val="center"/>
                </w:tcPr>
                <w:p w14:paraId="787679EA">
                  <w:pPr>
                    <w:jc w:val="center"/>
                    <w:rPr>
                      <w:b/>
                      <w:bCs/>
                      <w:szCs w:val="21"/>
                    </w:rPr>
                  </w:pPr>
                </w:p>
              </w:tc>
              <w:tc>
                <w:tcPr>
                  <w:tcW w:w="435" w:type="pct"/>
                  <w:vMerge w:val="continue"/>
                  <w:shd w:val="clear" w:color="auto" w:fill="FFFFFF"/>
                  <w:noWrap w:val="0"/>
                  <w:tcMar>
                    <w:top w:w="15" w:type="dxa"/>
                    <w:left w:w="15" w:type="dxa"/>
                    <w:right w:w="15" w:type="dxa"/>
                  </w:tcMar>
                  <w:vAlign w:val="center"/>
                </w:tcPr>
                <w:p w14:paraId="24B6C745">
                  <w:pPr>
                    <w:jc w:val="center"/>
                    <w:rPr>
                      <w:b/>
                      <w:bCs/>
                      <w:szCs w:val="21"/>
                    </w:rPr>
                  </w:pPr>
                </w:p>
              </w:tc>
              <w:tc>
                <w:tcPr>
                  <w:tcW w:w="303" w:type="pct"/>
                  <w:vMerge w:val="continue"/>
                  <w:shd w:val="clear" w:color="auto" w:fill="FFFFFF"/>
                  <w:noWrap w:val="0"/>
                  <w:tcMar>
                    <w:top w:w="15" w:type="dxa"/>
                    <w:left w:w="15" w:type="dxa"/>
                    <w:right w:w="15" w:type="dxa"/>
                  </w:tcMar>
                  <w:vAlign w:val="center"/>
                </w:tcPr>
                <w:p w14:paraId="05A8303D">
                  <w:pPr>
                    <w:jc w:val="center"/>
                    <w:rPr>
                      <w:b/>
                      <w:bCs/>
                      <w:szCs w:val="21"/>
                    </w:rPr>
                  </w:pPr>
                </w:p>
              </w:tc>
              <w:tc>
                <w:tcPr>
                  <w:tcW w:w="844" w:type="pct"/>
                  <w:gridSpan w:val="2"/>
                  <w:shd w:val="clear" w:color="auto" w:fill="FFFFFF"/>
                  <w:noWrap w:val="0"/>
                  <w:tcMar>
                    <w:top w:w="15" w:type="dxa"/>
                    <w:left w:w="15" w:type="dxa"/>
                    <w:right w:w="15" w:type="dxa"/>
                  </w:tcMar>
                  <w:vAlign w:val="center"/>
                </w:tcPr>
                <w:p w14:paraId="3EEDC1E8">
                  <w:pPr>
                    <w:widowControl/>
                    <w:jc w:val="center"/>
                    <w:textAlignment w:val="center"/>
                    <w:rPr>
                      <w:b/>
                      <w:bCs/>
                      <w:szCs w:val="21"/>
                    </w:rPr>
                  </w:pPr>
                  <w:r>
                    <w:rPr>
                      <w:b/>
                      <w:bCs/>
                      <w:szCs w:val="21"/>
                    </w:rPr>
                    <w:t>（kg/h）</w:t>
                  </w:r>
                </w:p>
              </w:tc>
            </w:tr>
            <w:tr w14:paraId="00ACB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277" w:type="pct"/>
                  <w:shd w:val="clear" w:color="auto" w:fill="FFFFFF"/>
                  <w:noWrap w:val="0"/>
                  <w:tcMar>
                    <w:top w:w="15" w:type="dxa"/>
                    <w:left w:w="15" w:type="dxa"/>
                    <w:right w:w="15" w:type="dxa"/>
                  </w:tcMar>
                  <w:vAlign w:val="center"/>
                </w:tcPr>
                <w:p w14:paraId="561CCECA">
                  <w:pPr>
                    <w:widowControl/>
                    <w:jc w:val="center"/>
                    <w:textAlignment w:val="center"/>
                    <w:rPr>
                      <w:szCs w:val="21"/>
                    </w:rPr>
                  </w:pPr>
                  <w:r>
                    <w:rPr>
                      <w:rFonts w:hint="eastAsia"/>
                      <w:color w:val="000000"/>
                      <w:kern w:val="0"/>
                      <w:szCs w:val="21"/>
                      <w:lang w:bidi="ar"/>
                    </w:rPr>
                    <w:t>DA001</w:t>
                  </w:r>
                </w:p>
              </w:tc>
              <w:tc>
                <w:tcPr>
                  <w:tcW w:w="558" w:type="pct"/>
                  <w:shd w:val="clear" w:color="auto" w:fill="FFFFFF"/>
                  <w:noWrap w:val="0"/>
                  <w:tcMar>
                    <w:top w:w="15" w:type="dxa"/>
                    <w:left w:w="15" w:type="dxa"/>
                    <w:right w:w="15" w:type="dxa"/>
                  </w:tcMar>
                  <w:vAlign w:val="center"/>
                </w:tcPr>
                <w:p w14:paraId="27E6606A">
                  <w:pPr>
                    <w:widowControl/>
                    <w:jc w:val="center"/>
                    <w:textAlignment w:val="center"/>
                    <w:rPr>
                      <w:szCs w:val="21"/>
                    </w:rPr>
                  </w:pPr>
                  <w:r>
                    <w:rPr>
                      <w:rFonts w:hint="eastAsia"/>
                      <w:bCs/>
                      <w:color w:val="000000"/>
                      <w:szCs w:val="21"/>
                      <w:lang w:val="en-US" w:eastAsia="zh-CN"/>
                    </w:rPr>
                    <w:t>废油抽取</w:t>
                  </w:r>
                  <w:r>
                    <w:rPr>
                      <w:rFonts w:hint="eastAsia"/>
                      <w:bCs/>
                      <w:color w:val="000000"/>
                      <w:szCs w:val="21"/>
                    </w:rPr>
                    <w:t>工段</w:t>
                  </w:r>
                  <w:r>
                    <w:rPr>
                      <w:rFonts w:hint="eastAsia"/>
                      <w:color w:val="000000"/>
                      <w:kern w:val="0"/>
                      <w:szCs w:val="21"/>
                      <w:lang w:bidi="ar"/>
                    </w:rPr>
                    <w:t>废气排放口</w:t>
                  </w:r>
                </w:p>
              </w:tc>
              <w:tc>
                <w:tcPr>
                  <w:tcW w:w="299" w:type="pct"/>
                  <w:shd w:val="clear" w:color="auto" w:fill="FFFFFF"/>
                  <w:noWrap w:val="0"/>
                  <w:tcMar>
                    <w:top w:w="15" w:type="dxa"/>
                    <w:left w:w="15" w:type="dxa"/>
                    <w:right w:w="15" w:type="dxa"/>
                  </w:tcMar>
                  <w:vAlign w:val="center"/>
                </w:tcPr>
                <w:p w14:paraId="49CE83D5">
                  <w:pPr>
                    <w:widowControl/>
                    <w:jc w:val="center"/>
                    <w:textAlignment w:val="center"/>
                    <w:rPr>
                      <w:rFonts w:hint="eastAsia"/>
                      <w:color w:val="000000"/>
                      <w:kern w:val="0"/>
                      <w:szCs w:val="21"/>
                      <w:lang w:bidi="ar"/>
                    </w:rPr>
                  </w:pPr>
                  <w:r>
                    <w:rPr>
                      <w:rFonts w:hint="eastAsia"/>
                      <w:color w:val="000000"/>
                      <w:kern w:val="0"/>
                      <w:szCs w:val="21"/>
                      <w:lang w:bidi="ar"/>
                    </w:rPr>
                    <w:t>一般排放口</w:t>
                  </w:r>
                </w:p>
              </w:tc>
              <w:tc>
                <w:tcPr>
                  <w:tcW w:w="455" w:type="pct"/>
                  <w:shd w:val="clear" w:color="auto" w:fill="FFFFFF"/>
                  <w:noWrap w:val="0"/>
                  <w:tcMar>
                    <w:top w:w="15" w:type="dxa"/>
                    <w:left w:w="15" w:type="dxa"/>
                    <w:right w:w="15" w:type="dxa"/>
                  </w:tcMar>
                  <w:vAlign w:val="center"/>
                </w:tcPr>
                <w:p w14:paraId="5D418BCD">
                  <w:pPr>
                    <w:jc w:val="center"/>
                    <w:rPr>
                      <w:rFonts w:hint="default" w:eastAsia="宋体"/>
                      <w:szCs w:val="21"/>
                      <w:lang w:val="en-US" w:eastAsia="zh-CN"/>
                    </w:rPr>
                  </w:pPr>
                  <w:r>
                    <w:rPr>
                      <w:rFonts w:hint="eastAsia"/>
                      <w:szCs w:val="21"/>
                      <w:lang w:val="en-US" w:eastAsia="zh-CN"/>
                    </w:rPr>
                    <w:t>117.085961</w:t>
                  </w:r>
                </w:p>
              </w:tc>
              <w:tc>
                <w:tcPr>
                  <w:tcW w:w="407" w:type="pct"/>
                  <w:shd w:val="clear" w:color="auto" w:fill="FFFFFF"/>
                  <w:noWrap w:val="0"/>
                  <w:tcMar>
                    <w:top w:w="15" w:type="dxa"/>
                    <w:left w:w="15" w:type="dxa"/>
                    <w:right w:w="15" w:type="dxa"/>
                  </w:tcMar>
                  <w:vAlign w:val="center"/>
                </w:tcPr>
                <w:p w14:paraId="1D89C0E1">
                  <w:pPr>
                    <w:jc w:val="center"/>
                    <w:rPr>
                      <w:rFonts w:hint="default" w:eastAsia="宋体"/>
                      <w:szCs w:val="21"/>
                      <w:lang w:val="en-US" w:eastAsia="zh-CN"/>
                    </w:rPr>
                  </w:pPr>
                  <w:r>
                    <w:rPr>
                      <w:rFonts w:hint="eastAsia"/>
                      <w:szCs w:val="21"/>
                      <w:lang w:val="en-US" w:eastAsia="zh-CN"/>
                    </w:rPr>
                    <w:t>33.615410</w:t>
                  </w:r>
                </w:p>
              </w:tc>
              <w:tc>
                <w:tcPr>
                  <w:tcW w:w="308" w:type="pct"/>
                  <w:shd w:val="clear" w:color="auto" w:fill="FFFFFF"/>
                  <w:noWrap w:val="0"/>
                  <w:tcMar>
                    <w:top w:w="15" w:type="dxa"/>
                    <w:left w:w="15" w:type="dxa"/>
                    <w:right w:w="15" w:type="dxa"/>
                  </w:tcMar>
                  <w:vAlign w:val="center"/>
                </w:tcPr>
                <w:p w14:paraId="02BDE1FE">
                  <w:pPr>
                    <w:jc w:val="center"/>
                    <w:rPr>
                      <w:szCs w:val="21"/>
                    </w:rPr>
                  </w:pPr>
                  <w:r>
                    <w:rPr>
                      <w:szCs w:val="21"/>
                    </w:rPr>
                    <w:t>15</w:t>
                  </w:r>
                </w:p>
              </w:tc>
              <w:tc>
                <w:tcPr>
                  <w:tcW w:w="401" w:type="pct"/>
                  <w:shd w:val="clear" w:color="auto" w:fill="FFFFFF"/>
                  <w:noWrap w:val="0"/>
                  <w:tcMar>
                    <w:top w:w="15" w:type="dxa"/>
                    <w:left w:w="15" w:type="dxa"/>
                    <w:right w:w="15" w:type="dxa"/>
                  </w:tcMar>
                  <w:vAlign w:val="center"/>
                </w:tcPr>
                <w:p w14:paraId="524225D9">
                  <w:pPr>
                    <w:jc w:val="center"/>
                    <w:rPr>
                      <w:rFonts w:hint="eastAsia" w:eastAsia="宋体"/>
                      <w:szCs w:val="21"/>
                      <w:lang w:eastAsia="zh-CN"/>
                    </w:rPr>
                  </w:pPr>
                  <w:r>
                    <w:rPr>
                      <w:rFonts w:hint="eastAsia"/>
                      <w:szCs w:val="21"/>
                    </w:rPr>
                    <w:t>0.</w:t>
                  </w:r>
                  <w:r>
                    <w:rPr>
                      <w:rFonts w:hint="eastAsia"/>
                      <w:szCs w:val="21"/>
                      <w:lang w:val="en-US" w:eastAsia="zh-CN"/>
                    </w:rPr>
                    <w:t>5</w:t>
                  </w:r>
                </w:p>
              </w:tc>
              <w:tc>
                <w:tcPr>
                  <w:tcW w:w="343" w:type="pct"/>
                  <w:shd w:val="clear" w:color="auto" w:fill="FFFFFF"/>
                  <w:noWrap w:val="0"/>
                  <w:tcMar>
                    <w:top w:w="15" w:type="dxa"/>
                    <w:left w:w="15" w:type="dxa"/>
                    <w:right w:w="15" w:type="dxa"/>
                  </w:tcMar>
                  <w:vAlign w:val="center"/>
                </w:tcPr>
                <w:p w14:paraId="39F46482">
                  <w:pPr>
                    <w:jc w:val="center"/>
                    <w:rPr>
                      <w:rFonts w:hint="default" w:eastAsia="宋体"/>
                      <w:szCs w:val="21"/>
                      <w:lang w:val="en-US" w:eastAsia="zh-CN"/>
                    </w:rPr>
                  </w:pPr>
                  <w:r>
                    <w:rPr>
                      <w:rFonts w:hint="eastAsia" w:eastAsia="宋体"/>
                      <w:szCs w:val="21"/>
                      <w:lang w:val="en-US" w:eastAsia="zh-CN"/>
                    </w:rPr>
                    <w:t>13.53</w:t>
                  </w:r>
                </w:p>
              </w:tc>
              <w:tc>
                <w:tcPr>
                  <w:tcW w:w="364" w:type="pct"/>
                  <w:shd w:val="clear" w:color="auto" w:fill="FFFFFF"/>
                  <w:noWrap w:val="0"/>
                  <w:tcMar>
                    <w:top w:w="15" w:type="dxa"/>
                    <w:left w:w="15" w:type="dxa"/>
                    <w:right w:w="15" w:type="dxa"/>
                  </w:tcMar>
                  <w:vAlign w:val="center"/>
                </w:tcPr>
                <w:p w14:paraId="241BE8FE">
                  <w:pPr>
                    <w:jc w:val="center"/>
                    <w:rPr>
                      <w:rFonts w:hint="default" w:eastAsia="宋体"/>
                      <w:szCs w:val="21"/>
                      <w:lang w:val="en-US" w:eastAsia="zh-CN"/>
                    </w:rPr>
                  </w:pPr>
                  <w:r>
                    <w:rPr>
                      <w:rFonts w:hint="eastAsia"/>
                      <w:szCs w:val="21"/>
                      <w:lang w:val="en-US" w:eastAsia="zh-CN"/>
                    </w:rPr>
                    <w:t>25</w:t>
                  </w:r>
                </w:p>
              </w:tc>
              <w:tc>
                <w:tcPr>
                  <w:tcW w:w="435" w:type="pct"/>
                  <w:shd w:val="clear" w:color="auto" w:fill="FFFFFF"/>
                  <w:noWrap w:val="0"/>
                  <w:tcMar>
                    <w:top w:w="15" w:type="dxa"/>
                    <w:left w:w="15" w:type="dxa"/>
                    <w:right w:w="15" w:type="dxa"/>
                  </w:tcMar>
                  <w:vAlign w:val="center"/>
                </w:tcPr>
                <w:p w14:paraId="799F47AC">
                  <w:pPr>
                    <w:jc w:val="center"/>
                    <w:rPr>
                      <w:rFonts w:hint="default"/>
                      <w:szCs w:val="21"/>
                      <w:lang w:val="en-US"/>
                    </w:rPr>
                  </w:pPr>
                  <w:r>
                    <w:rPr>
                      <w:rFonts w:hint="eastAsia"/>
                      <w:szCs w:val="21"/>
                      <w:lang w:val="en-US" w:eastAsia="zh-CN"/>
                    </w:rPr>
                    <w:t>600</w:t>
                  </w:r>
                </w:p>
              </w:tc>
              <w:tc>
                <w:tcPr>
                  <w:tcW w:w="303" w:type="pct"/>
                  <w:shd w:val="clear" w:color="auto" w:fill="FFFFFF"/>
                  <w:noWrap w:val="0"/>
                  <w:tcMar>
                    <w:top w:w="15" w:type="dxa"/>
                    <w:left w:w="15" w:type="dxa"/>
                    <w:right w:w="15" w:type="dxa"/>
                  </w:tcMar>
                  <w:vAlign w:val="center"/>
                </w:tcPr>
                <w:p w14:paraId="0072788F">
                  <w:pPr>
                    <w:jc w:val="center"/>
                    <w:rPr>
                      <w:szCs w:val="21"/>
                    </w:rPr>
                  </w:pPr>
                  <w:r>
                    <w:rPr>
                      <w:szCs w:val="21"/>
                    </w:rPr>
                    <w:t>连续</w:t>
                  </w:r>
                </w:p>
              </w:tc>
              <w:tc>
                <w:tcPr>
                  <w:tcW w:w="482" w:type="pct"/>
                  <w:shd w:val="clear" w:color="auto" w:fill="FFFFFF"/>
                  <w:noWrap w:val="0"/>
                  <w:tcMar>
                    <w:top w:w="15" w:type="dxa"/>
                    <w:left w:w="15" w:type="dxa"/>
                    <w:right w:w="15" w:type="dxa"/>
                  </w:tcMar>
                  <w:vAlign w:val="center"/>
                </w:tcPr>
                <w:p w14:paraId="304B8547">
                  <w:pPr>
                    <w:jc w:val="center"/>
                    <w:rPr>
                      <w:rFonts w:hint="default" w:eastAsia="宋体"/>
                      <w:szCs w:val="21"/>
                      <w:lang w:val="en-US" w:eastAsia="zh-CN"/>
                    </w:rPr>
                  </w:pPr>
                  <w:r>
                    <w:rPr>
                      <w:rFonts w:hint="eastAsia"/>
                      <w:szCs w:val="21"/>
                      <w:lang w:val="en-US" w:eastAsia="zh-CN"/>
                    </w:rPr>
                    <w:t>非甲烷总烃</w:t>
                  </w:r>
                </w:p>
              </w:tc>
              <w:tc>
                <w:tcPr>
                  <w:tcW w:w="362" w:type="pct"/>
                  <w:shd w:val="clear" w:color="auto" w:fill="FFFFFF"/>
                  <w:noWrap w:val="0"/>
                  <w:tcMar>
                    <w:top w:w="15" w:type="dxa"/>
                    <w:left w:w="15" w:type="dxa"/>
                    <w:right w:w="15" w:type="dxa"/>
                  </w:tcMar>
                  <w:vAlign w:val="center"/>
                </w:tcPr>
                <w:p w14:paraId="78646671">
                  <w:pPr>
                    <w:pStyle w:val="29"/>
                    <w:spacing w:line="240" w:lineRule="auto"/>
                    <w:jc w:val="center"/>
                    <w:rPr>
                      <w:rFonts w:hint="default" w:eastAsia="宋体"/>
                      <w:szCs w:val="21"/>
                      <w:lang w:val="en-US" w:eastAsia="zh-CN"/>
                    </w:rPr>
                  </w:pPr>
                  <w:r>
                    <w:rPr>
                      <w:rFonts w:hint="eastAsia" w:ascii="Times New Roman" w:hAnsi="Times New Roman" w:eastAsia="宋体" w:cs="Times New Roman"/>
                      <w:b w:val="0"/>
                      <w:bCs w:val="0"/>
                      <w:sz w:val="21"/>
                      <w:szCs w:val="21"/>
                      <w:lang w:val="en-US" w:eastAsia="zh-CN"/>
                    </w:rPr>
                    <w:t>0.041</w:t>
                  </w:r>
                </w:p>
              </w:tc>
            </w:tr>
            <w:tr w14:paraId="08F2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277" w:type="pct"/>
                  <w:shd w:val="clear" w:color="auto" w:fill="FFFFFF"/>
                  <w:noWrap w:val="0"/>
                  <w:tcMar>
                    <w:top w:w="15" w:type="dxa"/>
                    <w:left w:w="15" w:type="dxa"/>
                    <w:right w:w="15" w:type="dxa"/>
                  </w:tcMar>
                  <w:vAlign w:val="center"/>
                </w:tcPr>
                <w:p w14:paraId="405C0C38">
                  <w:pPr>
                    <w:jc w:val="center"/>
                    <w:rPr>
                      <w:rFonts w:hint="default" w:eastAsia="宋体"/>
                      <w:lang w:val="en-US" w:eastAsia="zh-CN"/>
                    </w:rPr>
                  </w:pPr>
                  <w:r>
                    <w:rPr>
                      <w:rFonts w:hint="eastAsia"/>
                      <w:lang w:val="en-US" w:eastAsia="zh-CN"/>
                    </w:rPr>
                    <w:t>DA002</w:t>
                  </w:r>
                </w:p>
              </w:tc>
              <w:tc>
                <w:tcPr>
                  <w:tcW w:w="1396" w:type="dxa"/>
                  <w:shd w:val="clear" w:color="auto" w:fill="FFFFFF"/>
                  <w:noWrap w:val="0"/>
                  <w:tcMar>
                    <w:top w:w="15" w:type="dxa"/>
                    <w:left w:w="15" w:type="dxa"/>
                    <w:right w:w="15" w:type="dxa"/>
                  </w:tcMar>
                  <w:vAlign w:val="center"/>
                </w:tcPr>
                <w:p w14:paraId="617F69A6">
                  <w:pPr>
                    <w:jc w:val="center"/>
                    <w:rPr>
                      <w:rFonts w:hint="default" w:eastAsia="宋体"/>
                      <w:lang w:val="en-US" w:eastAsia="zh-CN"/>
                    </w:rPr>
                  </w:pPr>
                  <w:r>
                    <w:rPr>
                      <w:rFonts w:hint="eastAsia"/>
                      <w:lang w:val="en-US" w:eastAsia="zh-CN"/>
                    </w:rPr>
                    <w:t>废油贮存工段废气排放口</w:t>
                  </w:r>
                </w:p>
              </w:tc>
              <w:tc>
                <w:tcPr>
                  <w:tcW w:w="750" w:type="dxa"/>
                  <w:shd w:val="clear" w:color="auto" w:fill="FFFFFF"/>
                  <w:noWrap w:val="0"/>
                  <w:tcMar>
                    <w:top w:w="15" w:type="dxa"/>
                    <w:left w:w="15" w:type="dxa"/>
                    <w:right w:w="15" w:type="dxa"/>
                  </w:tcMar>
                  <w:vAlign w:val="center"/>
                </w:tcPr>
                <w:p w14:paraId="06F270C6">
                  <w:pPr>
                    <w:jc w:val="center"/>
                    <w:rPr>
                      <w:rFonts w:hint="default" w:eastAsia="宋体"/>
                      <w:lang w:val="en-US" w:eastAsia="zh-CN"/>
                    </w:rPr>
                  </w:pPr>
                  <w:r>
                    <w:rPr>
                      <w:rFonts w:hint="eastAsia"/>
                      <w:lang w:val="en-US" w:eastAsia="zh-CN"/>
                    </w:rPr>
                    <w:t>一般排放口</w:t>
                  </w:r>
                </w:p>
              </w:tc>
              <w:tc>
                <w:tcPr>
                  <w:tcW w:w="1140" w:type="dxa"/>
                  <w:shd w:val="clear" w:color="auto" w:fill="FFFFFF"/>
                  <w:noWrap w:val="0"/>
                  <w:tcMar>
                    <w:top w:w="15" w:type="dxa"/>
                    <w:left w:w="15" w:type="dxa"/>
                    <w:right w:w="15" w:type="dxa"/>
                  </w:tcMar>
                  <w:vAlign w:val="center"/>
                </w:tcPr>
                <w:p w14:paraId="0D2CAA67">
                  <w:pPr>
                    <w:jc w:val="center"/>
                    <w:rPr>
                      <w:rFonts w:hint="default" w:eastAsia="宋体"/>
                      <w:lang w:val="en-US" w:eastAsia="zh-CN"/>
                    </w:rPr>
                  </w:pPr>
                  <w:r>
                    <w:rPr>
                      <w:rFonts w:hint="eastAsia"/>
                      <w:lang w:val="en-US" w:eastAsia="zh-CN"/>
                    </w:rPr>
                    <w:t>117.580917</w:t>
                  </w:r>
                </w:p>
              </w:tc>
              <w:tc>
                <w:tcPr>
                  <w:tcW w:w="1020" w:type="dxa"/>
                  <w:shd w:val="clear" w:color="auto" w:fill="FFFFFF"/>
                  <w:noWrap w:val="0"/>
                  <w:tcMar>
                    <w:top w:w="15" w:type="dxa"/>
                    <w:left w:w="15" w:type="dxa"/>
                    <w:right w:w="15" w:type="dxa"/>
                  </w:tcMar>
                  <w:vAlign w:val="center"/>
                </w:tcPr>
                <w:p w14:paraId="427D2736">
                  <w:pPr>
                    <w:jc w:val="center"/>
                    <w:rPr>
                      <w:rFonts w:hint="default" w:eastAsia="宋体"/>
                      <w:lang w:val="en-US" w:eastAsia="zh-CN"/>
                    </w:rPr>
                  </w:pPr>
                  <w:r>
                    <w:rPr>
                      <w:rFonts w:hint="eastAsia"/>
                      <w:lang w:val="en-US" w:eastAsia="zh-CN"/>
                    </w:rPr>
                    <w:t>33.615249</w:t>
                  </w:r>
                </w:p>
              </w:tc>
              <w:tc>
                <w:tcPr>
                  <w:tcW w:w="771" w:type="dxa"/>
                  <w:shd w:val="clear" w:color="auto" w:fill="FFFFFF"/>
                  <w:noWrap w:val="0"/>
                  <w:tcMar>
                    <w:top w:w="15" w:type="dxa"/>
                    <w:left w:w="15" w:type="dxa"/>
                    <w:right w:w="15" w:type="dxa"/>
                  </w:tcMar>
                  <w:vAlign w:val="center"/>
                </w:tcPr>
                <w:p w14:paraId="44D00819">
                  <w:pPr>
                    <w:jc w:val="center"/>
                    <w:rPr>
                      <w:rFonts w:hint="default" w:eastAsia="宋体"/>
                      <w:lang w:val="en-US" w:eastAsia="zh-CN"/>
                    </w:rPr>
                  </w:pPr>
                  <w:r>
                    <w:rPr>
                      <w:rFonts w:hint="eastAsia"/>
                      <w:lang w:val="en-US" w:eastAsia="zh-CN"/>
                    </w:rPr>
                    <w:t>15</w:t>
                  </w:r>
                </w:p>
              </w:tc>
              <w:tc>
                <w:tcPr>
                  <w:tcW w:w="1004" w:type="dxa"/>
                  <w:shd w:val="clear" w:color="auto" w:fill="FFFFFF"/>
                  <w:noWrap w:val="0"/>
                  <w:tcMar>
                    <w:top w:w="15" w:type="dxa"/>
                    <w:left w:w="15" w:type="dxa"/>
                    <w:right w:w="15" w:type="dxa"/>
                  </w:tcMar>
                  <w:vAlign w:val="center"/>
                </w:tcPr>
                <w:p w14:paraId="2C46BBAD">
                  <w:pPr>
                    <w:jc w:val="center"/>
                    <w:rPr>
                      <w:rFonts w:hint="default" w:eastAsia="宋体"/>
                      <w:lang w:val="en-US" w:eastAsia="zh-CN"/>
                    </w:rPr>
                  </w:pPr>
                  <w:r>
                    <w:rPr>
                      <w:rFonts w:hint="eastAsia"/>
                      <w:lang w:val="en-US" w:eastAsia="zh-CN"/>
                    </w:rPr>
                    <w:t>0.3</w:t>
                  </w:r>
                </w:p>
              </w:tc>
              <w:tc>
                <w:tcPr>
                  <w:tcW w:w="859" w:type="dxa"/>
                  <w:shd w:val="clear" w:color="auto" w:fill="FFFFFF"/>
                  <w:noWrap w:val="0"/>
                  <w:tcMar>
                    <w:top w:w="15" w:type="dxa"/>
                    <w:left w:w="15" w:type="dxa"/>
                    <w:right w:w="15" w:type="dxa"/>
                  </w:tcMar>
                  <w:vAlign w:val="center"/>
                </w:tcPr>
                <w:p w14:paraId="564269C0">
                  <w:pPr>
                    <w:jc w:val="center"/>
                    <w:rPr>
                      <w:rFonts w:hint="default" w:eastAsia="宋体"/>
                      <w:lang w:val="en-US" w:eastAsia="zh-CN"/>
                    </w:rPr>
                  </w:pPr>
                  <w:r>
                    <w:rPr>
                      <w:rFonts w:hint="eastAsia"/>
                      <w:lang w:val="en-US" w:eastAsia="zh-CN"/>
                    </w:rPr>
                    <w:t>4.29</w:t>
                  </w:r>
                </w:p>
              </w:tc>
              <w:tc>
                <w:tcPr>
                  <w:tcW w:w="911" w:type="dxa"/>
                  <w:shd w:val="clear" w:color="auto" w:fill="FFFFFF"/>
                  <w:noWrap w:val="0"/>
                  <w:tcMar>
                    <w:top w:w="15" w:type="dxa"/>
                    <w:left w:w="15" w:type="dxa"/>
                    <w:right w:w="15" w:type="dxa"/>
                  </w:tcMar>
                  <w:vAlign w:val="center"/>
                </w:tcPr>
                <w:p w14:paraId="3B9BD637">
                  <w:pPr>
                    <w:jc w:val="center"/>
                    <w:rPr>
                      <w:rFonts w:hint="default" w:eastAsia="宋体"/>
                      <w:lang w:val="en-US" w:eastAsia="zh-CN"/>
                    </w:rPr>
                  </w:pPr>
                  <w:r>
                    <w:rPr>
                      <w:rFonts w:hint="eastAsia"/>
                      <w:lang w:val="en-US" w:eastAsia="zh-CN"/>
                    </w:rPr>
                    <w:t>25</w:t>
                  </w:r>
                </w:p>
              </w:tc>
              <w:tc>
                <w:tcPr>
                  <w:tcW w:w="1089" w:type="dxa"/>
                  <w:shd w:val="clear" w:color="auto" w:fill="FFFFFF"/>
                  <w:noWrap w:val="0"/>
                  <w:tcMar>
                    <w:top w:w="15" w:type="dxa"/>
                    <w:left w:w="15" w:type="dxa"/>
                    <w:right w:w="15" w:type="dxa"/>
                  </w:tcMar>
                  <w:vAlign w:val="center"/>
                </w:tcPr>
                <w:p w14:paraId="6990EC38">
                  <w:pPr>
                    <w:jc w:val="center"/>
                    <w:rPr>
                      <w:rFonts w:hint="default" w:eastAsia="宋体"/>
                      <w:lang w:val="en-US" w:eastAsia="zh-CN"/>
                    </w:rPr>
                  </w:pPr>
                  <w:r>
                    <w:rPr>
                      <w:rFonts w:hint="eastAsia"/>
                      <w:lang w:val="en-US" w:eastAsia="zh-CN"/>
                    </w:rPr>
                    <w:t>2400</w:t>
                  </w:r>
                </w:p>
              </w:tc>
              <w:tc>
                <w:tcPr>
                  <w:tcW w:w="759" w:type="dxa"/>
                  <w:shd w:val="clear" w:color="auto" w:fill="FFFFFF"/>
                  <w:noWrap w:val="0"/>
                  <w:tcMar>
                    <w:top w:w="15" w:type="dxa"/>
                    <w:left w:w="15" w:type="dxa"/>
                    <w:right w:w="15" w:type="dxa"/>
                  </w:tcMar>
                  <w:vAlign w:val="center"/>
                </w:tcPr>
                <w:p w14:paraId="2B133F1D">
                  <w:pPr>
                    <w:jc w:val="center"/>
                    <w:rPr>
                      <w:rFonts w:hint="eastAsia" w:eastAsia="宋体"/>
                      <w:lang w:val="en-US" w:eastAsia="zh-CN"/>
                    </w:rPr>
                  </w:pPr>
                  <w:r>
                    <w:rPr>
                      <w:rFonts w:hint="eastAsia"/>
                      <w:lang w:val="en-US" w:eastAsia="zh-CN"/>
                    </w:rPr>
                    <w:t>连续</w:t>
                  </w:r>
                </w:p>
              </w:tc>
              <w:tc>
                <w:tcPr>
                  <w:tcW w:w="1207" w:type="dxa"/>
                  <w:shd w:val="clear" w:color="auto" w:fill="FFFFFF"/>
                  <w:noWrap w:val="0"/>
                  <w:tcMar>
                    <w:top w:w="15" w:type="dxa"/>
                    <w:left w:w="15" w:type="dxa"/>
                    <w:right w:w="15" w:type="dxa"/>
                  </w:tcMar>
                  <w:vAlign w:val="center"/>
                </w:tcPr>
                <w:p w14:paraId="3FE56529">
                  <w:pPr>
                    <w:jc w:val="center"/>
                    <w:rPr>
                      <w:rFonts w:hint="default" w:eastAsia="宋体"/>
                      <w:bCs/>
                      <w:color w:val="000000"/>
                      <w:szCs w:val="21"/>
                      <w:lang w:val="en-US" w:eastAsia="zh-CN"/>
                    </w:rPr>
                  </w:pPr>
                  <w:r>
                    <w:rPr>
                      <w:rFonts w:hint="eastAsia"/>
                      <w:szCs w:val="21"/>
                      <w:lang w:val="en-US" w:eastAsia="zh-CN"/>
                    </w:rPr>
                    <w:t>非甲烷总烃</w:t>
                  </w:r>
                </w:p>
              </w:tc>
              <w:tc>
                <w:tcPr>
                  <w:tcW w:w="906" w:type="dxa"/>
                  <w:shd w:val="clear" w:color="auto" w:fill="FFFFFF"/>
                  <w:noWrap w:val="0"/>
                  <w:tcMar>
                    <w:top w:w="15" w:type="dxa"/>
                    <w:left w:w="15" w:type="dxa"/>
                    <w:right w:w="15" w:type="dxa"/>
                  </w:tcMar>
                  <w:vAlign w:val="center"/>
                </w:tcPr>
                <w:p w14:paraId="228BBB66">
                  <w:pPr>
                    <w:pStyle w:val="29"/>
                    <w:spacing w:line="240" w:lineRule="auto"/>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0.</w:t>
                  </w:r>
                  <w:r>
                    <w:rPr>
                      <w:rFonts w:hint="eastAsia" w:ascii="Times New Roman" w:hAnsi="Times New Roman" w:eastAsia="宋体" w:cs="Times New Roman"/>
                      <w:b w:val="0"/>
                      <w:bCs/>
                      <w:sz w:val="21"/>
                      <w:szCs w:val="21"/>
                      <w:lang w:val="en-US" w:eastAsia="zh-CN"/>
                    </w:rPr>
                    <w:t>002</w:t>
                  </w:r>
                </w:p>
              </w:tc>
            </w:tr>
            <w:tr w14:paraId="43EB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277" w:type="pct"/>
                  <w:shd w:val="clear" w:color="auto" w:fill="FFFFFF"/>
                  <w:noWrap w:val="0"/>
                  <w:tcMar>
                    <w:top w:w="15" w:type="dxa"/>
                    <w:left w:w="15" w:type="dxa"/>
                    <w:right w:w="15" w:type="dxa"/>
                  </w:tcMar>
                  <w:vAlign w:val="center"/>
                </w:tcPr>
                <w:p w14:paraId="33F8C290">
                  <w:pPr>
                    <w:jc w:val="center"/>
                    <w:rPr>
                      <w:rFonts w:hint="default"/>
                      <w:lang w:val="en-US" w:eastAsia="zh-CN"/>
                    </w:rPr>
                  </w:pPr>
                  <w:r>
                    <w:rPr>
                      <w:rFonts w:hint="eastAsia"/>
                      <w:lang w:val="en-US" w:eastAsia="zh-CN"/>
                    </w:rPr>
                    <w:t>DA003</w:t>
                  </w:r>
                </w:p>
              </w:tc>
              <w:tc>
                <w:tcPr>
                  <w:tcW w:w="558" w:type="pct"/>
                  <w:shd w:val="clear" w:color="auto" w:fill="FFFFFF"/>
                  <w:noWrap w:val="0"/>
                  <w:tcMar>
                    <w:top w:w="15" w:type="dxa"/>
                    <w:left w:w="15" w:type="dxa"/>
                    <w:right w:w="15" w:type="dxa"/>
                  </w:tcMar>
                  <w:vAlign w:val="center"/>
                </w:tcPr>
                <w:p w14:paraId="2C31B235">
                  <w:pPr>
                    <w:jc w:val="center"/>
                    <w:rPr>
                      <w:rFonts w:hint="default" w:ascii="Times New Roman" w:hAnsi="Times New Roman" w:eastAsia="宋体" w:cs="Times New Roman"/>
                      <w:kern w:val="2"/>
                      <w:sz w:val="21"/>
                      <w:szCs w:val="24"/>
                      <w:lang w:val="en-US" w:eastAsia="zh-CN" w:bidi="ar-SA"/>
                    </w:rPr>
                  </w:pPr>
                  <w:r>
                    <w:rPr>
                      <w:rFonts w:hint="eastAsia"/>
                      <w:lang w:val="en-US" w:eastAsia="zh-CN"/>
                    </w:rPr>
                    <w:t>切割工段废气排放口</w:t>
                  </w:r>
                </w:p>
              </w:tc>
              <w:tc>
                <w:tcPr>
                  <w:tcW w:w="299" w:type="pct"/>
                  <w:shd w:val="clear" w:color="auto" w:fill="FFFFFF"/>
                  <w:noWrap w:val="0"/>
                  <w:tcMar>
                    <w:top w:w="15" w:type="dxa"/>
                    <w:left w:w="15" w:type="dxa"/>
                    <w:right w:w="15" w:type="dxa"/>
                  </w:tcMar>
                  <w:vAlign w:val="center"/>
                </w:tcPr>
                <w:p w14:paraId="36A57E90">
                  <w:pPr>
                    <w:jc w:val="center"/>
                    <w:rPr>
                      <w:rFonts w:hint="default" w:ascii="Times New Roman" w:hAnsi="Times New Roman" w:eastAsia="宋体" w:cs="Times New Roman"/>
                      <w:kern w:val="2"/>
                      <w:sz w:val="21"/>
                      <w:szCs w:val="24"/>
                      <w:lang w:val="en-US" w:eastAsia="zh-CN" w:bidi="ar-SA"/>
                    </w:rPr>
                  </w:pPr>
                  <w:r>
                    <w:rPr>
                      <w:rFonts w:hint="eastAsia"/>
                      <w:lang w:val="en-US" w:eastAsia="zh-CN"/>
                    </w:rPr>
                    <w:t>一般排放口</w:t>
                  </w:r>
                </w:p>
              </w:tc>
              <w:tc>
                <w:tcPr>
                  <w:tcW w:w="455" w:type="pct"/>
                  <w:shd w:val="clear" w:color="auto" w:fill="FFFFFF"/>
                  <w:noWrap w:val="0"/>
                  <w:tcMar>
                    <w:top w:w="15" w:type="dxa"/>
                    <w:left w:w="15" w:type="dxa"/>
                    <w:right w:w="15" w:type="dxa"/>
                  </w:tcMar>
                  <w:vAlign w:val="center"/>
                </w:tcPr>
                <w:p w14:paraId="622B319B">
                  <w:pPr>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117.085848</w:t>
                  </w:r>
                </w:p>
              </w:tc>
              <w:tc>
                <w:tcPr>
                  <w:tcW w:w="407" w:type="pct"/>
                  <w:shd w:val="clear" w:color="auto" w:fill="FFFFFF"/>
                  <w:noWrap w:val="0"/>
                  <w:tcMar>
                    <w:top w:w="15" w:type="dxa"/>
                    <w:left w:w="15" w:type="dxa"/>
                    <w:right w:w="15" w:type="dxa"/>
                  </w:tcMar>
                  <w:vAlign w:val="center"/>
                </w:tcPr>
                <w:p w14:paraId="408BC760">
                  <w:pPr>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33.614963</w:t>
                  </w:r>
                </w:p>
              </w:tc>
              <w:tc>
                <w:tcPr>
                  <w:tcW w:w="308" w:type="pct"/>
                  <w:shd w:val="clear" w:color="auto" w:fill="FFFFFF"/>
                  <w:noWrap w:val="0"/>
                  <w:tcMar>
                    <w:top w:w="15" w:type="dxa"/>
                    <w:left w:w="15" w:type="dxa"/>
                    <w:right w:w="15" w:type="dxa"/>
                  </w:tcMar>
                  <w:vAlign w:val="center"/>
                </w:tcPr>
                <w:p w14:paraId="67DE64BA">
                  <w:pPr>
                    <w:jc w:val="center"/>
                    <w:rPr>
                      <w:rFonts w:hint="default" w:ascii="Times New Roman" w:hAnsi="Times New Roman" w:eastAsia="宋体" w:cs="Times New Roman"/>
                      <w:kern w:val="2"/>
                      <w:sz w:val="21"/>
                      <w:szCs w:val="24"/>
                      <w:lang w:val="en-US" w:eastAsia="zh-CN" w:bidi="ar-SA"/>
                    </w:rPr>
                  </w:pPr>
                  <w:r>
                    <w:rPr>
                      <w:rFonts w:hint="eastAsia"/>
                      <w:lang w:val="en-US" w:eastAsia="zh-CN"/>
                    </w:rPr>
                    <w:t>15</w:t>
                  </w:r>
                </w:p>
              </w:tc>
              <w:tc>
                <w:tcPr>
                  <w:tcW w:w="401" w:type="pct"/>
                  <w:shd w:val="clear" w:color="auto" w:fill="FFFFFF"/>
                  <w:noWrap w:val="0"/>
                  <w:tcMar>
                    <w:top w:w="15" w:type="dxa"/>
                    <w:left w:w="15" w:type="dxa"/>
                    <w:right w:w="15" w:type="dxa"/>
                  </w:tcMar>
                  <w:vAlign w:val="center"/>
                </w:tcPr>
                <w:p w14:paraId="047E0BD6">
                  <w:pPr>
                    <w:jc w:val="center"/>
                    <w:rPr>
                      <w:rFonts w:hint="default" w:ascii="Times New Roman" w:hAnsi="Times New Roman" w:eastAsia="宋体" w:cs="Times New Roman"/>
                      <w:kern w:val="2"/>
                      <w:sz w:val="21"/>
                      <w:szCs w:val="24"/>
                      <w:lang w:val="en-US" w:eastAsia="zh-CN" w:bidi="ar-SA"/>
                    </w:rPr>
                  </w:pPr>
                  <w:r>
                    <w:rPr>
                      <w:rFonts w:hint="eastAsia"/>
                      <w:lang w:val="en-US" w:eastAsia="zh-CN"/>
                    </w:rPr>
                    <w:t>0.5</w:t>
                  </w:r>
                </w:p>
              </w:tc>
              <w:tc>
                <w:tcPr>
                  <w:tcW w:w="343" w:type="pct"/>
                  <w:shd w:val="clear" w:color="auto" w:fill="FFFFFF"/>
                  <w:noWrap w:val="0"/>
                  <w:tcMar>
                    <w:top w:w="15" w:type="dxa"/>
                    <w:left w:w="15" w:type="dxa"/>
                    <w:right w:w="15" w:type="dxa"/>
                  </w:tcMar>
                  <w:vAlign w:val="center"/>
                </w:tcPr>
                <w:p w14:paraId="625FAB0C">
                  <w:pPr>
                    <w:jc w:val="center"/>
                    <w:rPr>
                      <w:rFonts w:hint="default" w:ascii="Times New Roman" w:hAnsi="Times New Roman" w:eastAsia="宋体" w:cs="Times New Roman"/>
                      <w:kern w:val="2"/>
                      <w:sz w:val="21"/>
                      <w:szCs w:val="24"/>
                      <w:lang w:val="en-US" w:eastAsia="zh-CN" w:bidi="ar-SA"/>
                    </w:rPr>
                  </w:pPr>
                  <w:r>
                    <w:rPr>
                      <w:rFonts w:hint="eastAsia" w:eastAsia="宋体"/>
                      <w:lang w:val="en-US" w:eastAsia="zh-CN"/>
                    </w:rPr>
                    <w:t>13.9</w:t>
                  </w:r>
                </w:p>
              </w:tc>
              <w:tc>
                <w:tcPr>
                  <w:tcW w:w="364" w:type="pct"/>
                  <w:shd w:val="clear" w:color="auto" w:fill="FFFFFF"/>
                  <w:noWrap w:val="0"/>
                  <w:tcMar>
                    <w:top w:w="15" w:type="dxa"/>
                    <w:left w:w="15" w:type="dxa"/>
                    <w:right w:w="15" w:type="dxa"/>
                  </w:tcMar>
                  <w:vAlign w:val="center"/>
                </w:tcPr>
                <w:p w14:paraId="13B01224">
                  <w:pPr>
                    <w:jc w:val="center"/>
                    <w:rPr>
                      <w:rFonts w:hint="default" w:ascii="Times New Roman" w:hAnsi="Times New Roman" w:eastAsia="宋体" w:cs="Times New Roman"/>
                      <w:kern w:val="2"/>
                      <w:sz w:val="21"/>
                      <w:szCs w:val="24"/>
                      <w:lang w:val="en-US" w:eastAsia="zh-CN" w:bidi="ar-SA"/>
                    </w:rPr>
                  </w:pPr>
                  <w:r>
                    <w:rPr>
                      <w:rFonts w:hint="eastAsia"/>
                      <w:lang w:val="en-US" w:eastAsia="zh-CN"/>
                    </w:rPr>
                    <w:t>25</w:t>
                  </w:r>
                </w:p>
              </w:tc>
              <w:tc>
                <w:tcPr>
                  <w:tcW w:w="435" w:type="pct"/>
                  <w:shd w:val="clear" w:color="auto" w:fill="FFFFFF"/>
                  <w:noWrap w:val="0"/>
                  <w:tcMar>
                    <w:top w:w="15" w:type="dxa"/>
                    <w:left w:w="15" w:type="dxa"/>
                    <w:right w:w="15" w:type="dxa"/>
                  </w:tcMar>
                  <w:vAlign w:val="center"/>
                </w:tcPr>
                <w:p w14:paraId="3396849D">
                  <w:pPr>
                    <w:jc w:val="center"/>
                    <w:rPr>
                      <w:rFonts w:hint="default" w:ascii="Times New Roman" w:hAnsi="Times New Roman" w:eastAsia="宋体" w:cs="Times New Roman"/>
                      <w:kern w:val="2"/>
                      <w:sz w:val="21"/>
                      <w:szCs w:val="24"/>
                      <w:lang w:val="en-US" w:eastAsia="zh-CN" w:bidi="ar-SA"/>
                    </w:rPr>
                  </w:pPr>
                  <w:r>
                    <w:rPr>
                      <w:rFonts w:hint="eastAsia"/>
                      <w:lang w:val="en-US" w:eastAsia="zh-CN"/>
                    </w:rPr>
                    <w:t>2400</w:t>
                  </w:r>
                </w:p>
              </w:tc>
              <w:tc>
                <w:tcPr>
                  <w:tcW w:w="303" w:type="pct"/>
                  <w:shd w:val="clear" w:color="auto" w:fill="FFFFFF"/>
                  <w:noWrap w:val="0"/>
                  <w:tcMar>
                    <w:top w:w="15" w:type="dxa"/>
                    <w:left w:w="15" w:type="dxa"/>
                    <w:right w:w="15" w:type="dxa"/>
                  </w:tcMar>
                  <w:vAlign w:val="center"/>
                </w:tcPr>
                <w:p w14:paraId="21FC98A6">
                  <w:pPr>
                    <w:jc w:val="center"/>
                    <w:rPr>
                      <w:rFonts w:hint="eastAsia" w:ascii="Times New Roman" w:hAnsi="Times New Roman" w:eastAsia="宋体" w:cs="Times New Roman"/>
                      <w:kern w:val="2"/>
                      <w:sz w:val="21"/>
                      <w:szCs w:val="24"/>
                      <w:lang w:val="en-US" w:eastAsia="zh-CN" w:bidi="ar-SA"/>
                    </w:rPr>
                  </w:pPr>
                  <w:r>
                    <w:rPr>
                      <w:rFonts w:hint="eastAsia"/>
                      <w:lang w:val="en-US" w:eastAsia="zh-CN"/>
                    </w:rPr>
                    <w:t>连续</w:t>
                  </w:r>
                </w:p>
              </w:tc>
              <w:tc>
                <w:tcPr>
                  <w:tcW w:w="482" w:type="pct"/>
                  <w:shd w:val="clear" w:color="auto" w:fill="FFFFFF"/>
                  <w:noWrap w:val="0"/>
                  <w:tcMar>
                    <w:top w:w="15" w:type="dxa"/>
                    <w:left w:w="15" w:type="dxa"/>
                    <w:right w:w="15" w:type="dxa"/>
                  </w:tcMar>
                  <w:vAlign w:val="center"/>
                </w:tcPr>
                <w:p w14:paraId="22104EF9">
                  <w:pPr>
                    <w:jc w:val="center"/>
                    <w:rPr>
                      <w:rFonts w:hint="eastAsia" w:ascii="Times New Roman" w:hAnsi="Times New Roman" w:eastAsia="宋体" w:cs="Times New Roman"/>
                      <w:bCs/>
                      <w:color w:val="000000"/>
                      <w:kern w:val="2"/>
                      <w:sz w:val="21"/>
                      <w:szCs w:val="21"/>
                      <w:lang w:val="en-US" w:eastAsia="zh-CN" w:bidi="ar-SA"/>
                    </w:rPr>
                  </w:pPr>
                  <w:r>
                    <w:rPr>
                      <w:rFonts w:hint="eastAsia" w:eastAsia="宋体"/>
                      <w:bCs/>
                      <w:color w:val="000000"/>
                      <w:szCs w:val="21"/>
                      <w:lang w:val="en-US" w:eastAsia="zh-CN"/>
                    </w:rPr>
                    <w:t>颗粒物</w:t>
                  </w:r>
                </w:p>
              </w:tc>
              <w:tc>
                <w:tcPr>
                  <w:tcW w:w="362" w:type="pct"/>
                  <w:shd w:val="clear" w:color="auto" w:fill="FFFFFF"/>
                  <w:noWrap w:val="0"/>
                  <w:tcMar>
                    <w:top w:w="15" w:type="dxa"/>
                    <w:left w:w="15" w:type="dxa"/>
                    <w:right w:w="15" w:type="dxa"/>
                  </w:tcMar>
                  <w:vAlign w:val="center"/>
                </w:tcPr>
                <w:p w14:paraId="6101EB29">
                  <w:pPr>
                    <w:pStyle w:val="29"/>
                    <w:spacing w:line="240" w:lineRule="auto"/>
                    <w:jc w:val="center"/>
                    <w:rPr>
                      <w:rFonts w:hint="eastAsia"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val="0"/>
                      <w:sz w:val="21"/>
                      <w:szCs w:val="21"/>
                    </w:rPr>
                    <w:t>0.00</w:t>
                  </w:r>
                  <w:r>
                    <w:rPr>
                      <w:rFonts w:hint="eastAsia" w:ascii="Times New Roman" w:hAnsi="Times New Roman" w:eastAsia="宋体" w:cs="Times New Roman"/>
                      <w:b w:val="0"/>
                      <w:bCs w:val="0"/>
                      <w:sz w:val="21"/>
                      <w:szCs w:val="21"/>
                      <w:lang w:val="en-US" w:eastAsia="zh-CN"/>
                    </w:rPr>
                    <w:t>9</w:t>
                  </w:r>
                </w:p>
              </w:tc>
            </w:tr>
          </w:tbl>
          <w:p w14:paraId="7C03DEDB">
            <w:pPr>
              <w:pStyle w:val="29"/>
              <w:rPr>
                <w:rFonts w:ascii="Times New Roman" w:hAnsi="Times New Roman" w:eastAsia="宋体"/>
              </w:rPr>
            </w:pPr>
          </w:p>
        </w:tc>
      </w:tr>
    </w:tbl>
    <w:p w14:paraId="05E123D4">
      <w:pPr>
        <w:pStyle w:val="29"/>
        <w:rPr>
          <w:rFonts w:hint="eastAsia" w:ascii="Times New Roman" w:hAnsi="Times New Roman" w:eastAsia="宋体"/>
          <w:lang w:val="en-US" w:eastAsia="zh-CN"/>
        </w:rPr>
        <w:sectPr>
          <w:pgSz w:w="16840" w:h="11907" w:orient="landscape"/>
          <w:pgMar w:top="1531" w:right="1701" w:bottom="1531" w:left="2127" w:header="851" w:footer="850" w:gutter="0"/>
          <w:pgNumType w:fmt="decimal"/>
          <w:cols w:space="0" w:num="1"/>
          <w:rtlGutter w:val="0"/>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8420"/>
      </w:tblGrid>
      <w:tr w14:paraId="0345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14:paraId="03029274">
            <w:pPr>
              <w:pStyle w:val="31"/>
              <w:rPr>
                <w:rFonts w:hint="eastAsia"/>
                <w:vertAlign w:val="baseline"/>
                <w:lang w:val="en-US" w:eastAsia="zh-CN"/>
              </w:rPr>
            </w:pPr>
          </w:p>
        </w:tc>
        <w:tc>
          <w:tcPr>
            <w:tcW w:w="8392" w:type="dxa"/>
          </w:tcPr>
          <w:p w14:paraId="65CD7229">
            <w:pPr>
              <w:spacing w:line="360" w:lineRule="auto"/>
              <w:rPr>
                <w:b/>
                <w:color w:val="000000"/>
                <w:sz w:val="24"/>
              </w:rPr>
            </w:pPr>
            <w:r>
              <w:rPr>
                <w:rFonts w:hint="eastAsia"/>
                <w:b/>
                <w:sz w:val="24"/>
                <w:szCs w:val="22"/>
              </w:rPr>
              <w:t>4.</w:t>
            </w:r>
            <w:r>
              <w:rPr>
                <w:rFonts w:hint="eastAsia"/>
                <w:b/>
                <w:sz w:val="24"/>
                <w:szCs w:val="22"/>
                <w:lang w:val="en-US" w:eastAsia="zh-CN"/>
              </w:rPr>
              <w:t>1</w:t>
            </w:r>
            <w:r>
              <w:rPr>
                <w:rFonts w:hint="eastAsia"/>
                <w:b/>
                <w:sz w:val="24"/>
                <w:szCs w:val="22"/>
              </w:rPr>
              <w:t>.4</w:t>
            </w:r>
            <w:r>
              <w:rPr>
                <w:rFonts w:hint="eastAsia"/>
                <w:b/>
                <w:color w:val="000000"/>
                <w:sz w:val="24"/>
              </w:rPr>
              <w:t>污染防治</w:t>
            </w:r>
            <w:r>
              <w:rPr>
                <w:rFonts w:hint="eastAsia"/>
                <w:b/>
                <w:color w:val="000000"/>
                <w:sz w:val="24"/>
                <w:lang w:eastAsia="zh-Hans"/>
              </w:rPr>
              <w:t>措施</w:t>
            </w:r>
            <w:r>
              <w:rPr>
                <w:rFonts w:hint="eastAsia"/>
                <w:b/>
                <w:color w:val="000000"/>
                <w:sz w:val="24"/>
              </w:rPr>
              <w:t>可行性分析</w:t>
            </w:r>
          </w:p>
          <w:p w14:paraId="175E8E6E">
            <w:pPr>
              <w:pStyle w:val="19"/>
              <w:spacing w:after="0" w:line="360" w:lineRule="auto"/>
              <w:ind w:firstLine="480" w:firstLineChars="200"/>
              <w:rPr>
                <w:color w:val="000000"/>
                <w:sz w:val="24"/>
              </w:rPr>
            </w:pPr>
            <w:r>
              <w:rPr>
                <w:rFonts w:hint="eastAsia"/>
                <w:color w:val="000000"/>
                <w:sz w:val="24"/>
              </w:rPr>
              <w:t>（1）有组织污染防治措施可行性分析</w:t>
            </w:r>
          </w:p>
          <w:p w14:paraId="4EBC4F7D">
            <w:pPr>
              <w:pStyle w:val="19"/>
              <w:spacing w:after="0" w:line="360" w:lineRule="auto"/>
              <w:ind w:firstLine="480" w:firstLineChars="200"/>
              <w:rPr>
                <w:rFonts w:hint="default" w:ascii="Times New Roman" w:hAnsi="Times New Roman" w:eastAsia="宋体" w:cs="Times New Roman"/>
                <w:sz w:val="24"/>
                <w:lang w:val="en-US" w:eastAsia="zh-CN"/>
              </w:rPr>
            </w:pPr>
            <w:r>
              <w:rPr>
                <w:rFonts w:hint="eastAsia"/>
                <w:color w:val="000000"/>
                <w:sz w:val="24"/>
              </w:rPr>
              <w:t>本项目营运期</w:t>
            </w:r>
            <w:r>
              <w:rPr>
                <w:rFonts w:hint="eastAsia"/>
                <w:color w:val="000000"/>
                <w:sz w:val="24"/>
                <w:lang w:val="en-US" w:eastAsia="zh-CN"/>
              </w:rPr>
              <w:t>废油液抽取、贮存工段</w:t>
            </w:r>
            <w:r>
              <w:rPr>
                <w:rFonts w:hint="eastAsia"/>
                <w:color w:val="000000"/>
                <w:sz w:val="24"/>
              </w:rPr>
              <w:t>产生的</w:t>
            </w:r>
            <w:r>
              <w:rPr>
                <w:rFonts w:hint="eastAsia"/>
                <w:color w:val="000000"/>
                <w:sz w:val="24"/>
                <w:lang w:val="en-US" w:eastAsia="zh-CN"/>
              </w:rPr>
              <w:t>有机</w:t>
            </w:r>
            <w:r>
              <w:rPr>
                <w:rFonts w:hint="eastAsia"/>
                <w:color w:val="000000"/>
                <w:sz w:val="24"/>
              </w:rPr>
              <w:t>废气</w:t>
            </w:r>
            <w:r>
              <w:rPr>
                <w:rFonts w:hint="eastAsia"/>
                <w:color w:val="000000"/>
                <w:sz w:val="24"/>
                <w:lang w:eastAsia="zh-CN"/>
              </w:rPr>
              <w:t>（</w:t>
            </w:r>
            <w:r>
              <w:rPr>
                <w:rFonts w:hint="eastAsia"/>
                <w:color w:val="000000"/>
                <w:sz w:val="24"/>
                <w:lang w:val="en-US" w:eastAsia="zh-CN"/>
              </w:rPr>
              <w:t>以非甲烷总烃计</w:t>
            </w:r>
            <w:r>
              <w:rPr>
                <w:rFonts w:hint="eastAsia"/>
                <w:color w:val="000000"/>
                <w:sz w:val="24"/>
                <w:lang w:eastAsia="zh-CN"/>
              </w:rPr>
              <w:t>）</w:t>
            </w:r>
            <w:r>
              <w:rPr>
                <w:rFonts w:hint="eastAsia"/>
                <w:color w:val="000000"/>
                <w:sz w:val="24"/>
                <w:lang w:val="en-US" w:eastAsia="zh-CN"/>
              </w:rPr>
              <w:t>拟采用二级活性炭吸附装置净化处理后，经15m高排气筒高空排放；切割工段产生的粉尘经拟采用布袋除尘器净化处理后，</w:t>
            </w:r>
            <w:r>
              <w:rPr>
                <w:rFonts w:hint="eastAsia"/>
                <w:color w:val="000000"/>
                <w:sz w:val="24"/>
              </w:rPr>
              <w:t>经15m高排气筒排放</w:t>
            </w:r>
            <w:r>
              <w:rPr>
                <w:rFonts w:hint="eastAsia" w:ascii="Times New Roman" w:hAnsi="Times New Roman" w:eastAsia="宋体" w:cs="Times New Roman"/>
                <w:sz w:val="24"/>
                <w:lang w:val="en-US" w:eastAsia="zh-CN"/>
              </w:rPr>
              <w:t>对照《排污许可证申请与核发技术规范 废弃资源加工工业》（HJ1034-2019），本项目废气污染防治措施可行性分析见下表。</w:t>
            </w:r>
          </w:p>
          <w:p w14:paraId="4D6797B8">
            <w:pPr>
              <w:pStyle w:val="19"/>
              <w:keepNext w:val="0"/>
              <w:keepLines w:val="0"/>
              <w:pageBreakBefore w:val="0"/>
              <w:widowControl w:val="0"/>
              <w:kinsoku/>
              <w:wordWrap/>
              <w:overflowPunct/>
              <w:topLinePunct w:val="0"/>
              <w:autoSpaceDE/>
              <w:autoSpaceDN/>
              <w:bidi w:val="0"/>
              <w:adjustRightInd/>
              <w:snapToGrid/>
              <w:spacing w:after="0" w:line="240" w:lineRule="atLeast"/>
              <w:ind w:firstLine="422" w:firstLineChars="200"/>
              <w:jc w:val="center"/>
              <w:textAlignment w:val="auto"/>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表4-</w:t>
            </w:r>
            <w:r>
              <w:rPr>
                <w:rFonts w:hint="eastAsia" w:cs="Times New Roman"/>
                <w:b/>
                <w:bCs/>
                <w:color w:val="000000"/>
                <w:sz w:val="21"/>
                <w:szCs w:val="21"/>
                <w:lang w:val="en-US" w:eastAsia="zh-CN"/>
              </w:rPr>
              <w:t>6</w:t>
            </w:r>
            <w:r>
              <w:rPr>
                <w:rFonts w:hint="eastAsia" w:ascii="Times New Roman" w:hAnsi="Times New Roman" w:eastAsia="宋体" w:cs="Times New Roman"/>
                <w:b/>
                <w:bCs/>
                <w:color w:val="000000"/>
                <w:sz w:val="21"/>
                <w:szCs w:val="21"/>
                <w:lang w:val="en-US" w:eastAsia="zh-CN"/>
              </w:rPr>
              <w:t xml:space="preserve">  </w:t>
            </w:r>
            <w:r>
              <w:rPr>
                <w:rFonts w:hint="eastAsia" w:ascii="Times New Roman" w:hAnsi="Times New Roman" w:cs="Times New Roman"/>
                <w:b/>
                <w:bCs/>
                <w:color w:val="000000"/>
                <w:sz w:val="21"/>
                <w:szCs w:val="21"/>
                <w:lang w:val="en-US" w:eastAsia="zh-CN"/>
              </w:rPr>
              <w:t>有组织</w:t>
            </w:r>
            <w:r>
              <w:rPr>
                <w:rFonts w:hint="eastAsia" w:ascii="Times New Roman" w:hAnsi="Times New Roman" w:eastAsia="宋体" w:cs="Times New Roman"/>
                <w:b/>
                <w:bCs/>
                <w:color w:val="000000"/>
                <w:sz w:val="21"/>
                <w:szCs w:val="21"/>
                <w:lang w:val="en-US" w:eastAsia="zh-CN"/>
              </w:rPr>
              <w:t>废气污染防治措施可行性分析</w:t>
            </w:r>
          </w:p>
          <w:tbl>
            <w:tblPr>
              <w:tblStyle w:val="25"/>
              <w:tblW w:w="8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945"/>
              <w:gridCol w:w="885"/>
              <w:gridCol w:w="1830"/>
              <w:gridCol w:w="2805"/>
              <w:gridCol w:w="1177"/>
            </w:tblGrid>
            <w:tr w14:paraId="5BAA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4" w:type="dxa"/>
                  <w:noWrap w:val="0"/>
                  <w:vAlign w:val="center"/>
                </w:tcPr>
                <w:p w14:paraId="50CE0C73">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序号</w:t>
                  </w:r>
                </w:p>
              </w:tc>
              <w:tc>
                <w:tcPr>
                  <w:tcW w:w="945" w:type="dxa"/>
                  <w:noWrap w:val="0"/>
                  <w:vAlign w:val="center"/>
                </w:tcPr>
                <w:p w14:paraId="78416459">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产排污环节</w:t>
                  </w:r>
                </w:p>
              </w:tc>
              <w:tc>
                <w:tcPr>
                  <w:tcW w:w="885" w:type="dxa"/>
                  <w:noWrap w:val="0"/>
                  <w:vAlign w:val="center"/>
                </w:tcPr>
                <w:p w14:paraId="3EEBC88D">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污染因子</w:t>
                  </w:r>
                </w:p>
              </w:tc>
              <w:tc>
                <w:tcPr>
                  <w:tcW w:w="1830" w:type="dxa"/>
                  <w:noWrap w:val="0"/>
                  <w:vAlign w:val="center"/>
                </w:tcPr>
                <w:p w14:paraId="27317279">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（HJ1034-2019）中可行性技术</w:t>
                  </w:r>
                </w:p>
              </w:tc>
              <w:tc>
                <w:tcPr>
                  <w:tcW w:w="2805" w:type="dxa"/>
                  <w:noWrap w:val="0"/>
                  <w:vAlign w:val="center"/>
                </w:tcPr>
                <w:p w14:paraId="29C65C70">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项目采用技术</w:t>
                  </w:r>
                </w:p>
              </w:tc>
              <w:tc>
                <w:tcPr>
                  <w:tcW w:w="1177" w:type="dxa"/>
                  <w:noWrap w:val="0"/>
                  <w:vAlign w:val="center"/>
                </w:tcPr>
                <w:p w14:paraId="58E53B7F">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是否属于可行技术</w:t>
                  </w:r>
                </w:p>
              </w:tc>
            </w:tr>
            <w:tr w14:paraId="1E7D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94" w:type="dxa"/>
                  <w:vMerge w:val="restart"/>
                  <w:noWrap w:val="0"/>
                  <w:vAlign w:val="center"/>
                </w:tcPr>
                <w:p w14:paraId="174612A6">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1</w:t>
                  </w:r>
                </w:p>
              </w:tc>
              <w:tc>
                <w:tcPr>
                  <w:tcW w:w="945" w:type="dxa"/>
                  <w:vMerge w:val="restart"/>
                  <w:noWrap w:val="0"/>
                  <w:vAlign w:val="center"/>
                </w:tcPr>
                <w:p w14:paraId="5D6225B1">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拆解预处理</w:t>
                  </w:r>
                </w:p>
              </w:tc>
              <w:tc>
                <w:tcPr>
                  <w:tcW w:w="885" w:type="dxa"/>
                  <w:vMerge w:val="restart"/>
                  <w:noWrap w:val="0"/>
                  <w:vAlign w:val="center"/>
                </w:tcPr>
                <w:p w14:paraId="5DA40141">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非甲烷总烃</w:t>
                  </w:r>
                </w:p>
              </w:tc>
              <w:tc>
                <w:tcPr>
                  <w:tcW w:w="1830" w:type="dxa"/>
                  <w:vMerge w:val="restart"/>
                  <w:noWrap w:val="0"/>
                  <w:vAlign w:val="center"/>
                </w:tcPr>
                <w:p w14:paraId="68AAE56F">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活性炭吸附；其他</w:t>
                  </w:r>
                </w:p>
              </w:tc>
              <w:tc>
                <w:tcPr>
                  <w:tcW w:w="2805" w:type="dxa"/>
                  <w:noWrap w:val="0"/>
                  <w:vAlign w:val="center"/>
                </w:tcPr>
                <w:p w14:paraId="0FCDCECF">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废油液抽取工段拟采用集气罩收集+二级活性炭吸附装置+15m高排气筒（DA001）</w:t>
                  </w:r>
                </w:p>
              </w:tc>
              <w:tc>
                <w:tcPr>
                  <w:tcW w:w="1177" w:type="dxa"/>
                  <w:vMerge w:val="restart"/>
                  <w:noWrap w:val="0"/>
                  <w:vAlign w:val="center"/>
                </w:tcPr>
                <w:p w14:paraId="78EAE1E0">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是</w:t>
                  </w:r>
                </w:p>
              </w:tc>
            </w:tr>
            <w:tr w14:paraId="71F7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94" w:type="dxa"/>
                  <w:vMerge w:val="continue"/>
                  <w:noWrap w:val="0"/>
                  <w:vAlign w:val="center"/>
                </w:tcPr>
                <w:p w14:paraId="52387A51">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pPr>
                </w:p>
              </w:tc>
              <w:tc>
                <w:tcPr>
                  <w:tcW w:w="945" w:type="dxa"/>
                  <w:vMerge w:val="continue"/>
                  <w:noWrap w:val="0"/>
                  <w:vAlign w:val="center"/>
                </w:tcPr>
                <w:p w14:paraId="7529A584">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pPr>
                </w:p>
              </w:tc>
              <w:tc>
                <w:tcPr>
                  <w:tcW w:w="885" w:type="dxa"/>
                  <w:vMerge w:val="continue"/>
                  <w:noWrap w:val="0"/>
                  <w:vAlign w:val="center"/>
                </w:tcPr>
                <w:p w14:paraId="42211B70">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pPr>
                </w:p>
              </w:tc>
              <w:tc>
                <w:tcPr>
                  <w:tcW w:w="1830" w:type="dxa"/>
                  <w:vMerge w:val="continue"/>
                  <w:noWrap w:val="0"/>
                  <w:vAlign w:val="center"/>
                </w:tcPr>
                <w:p w14:paraId="799DCD6F">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pPr>
                </w:p>
              </w:tc>
              <w:tc>
                <w:tcPr>
                  <w:tcW w:w="2805" w:type="dxa"/>
                  <w:noWrap w:val="0"/>
                  <w:vAlign w:val="center"/>
                </w:tcPr>
                <w:p w14:paraId="7467B679">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废油液贮存工段拟采用负压收集+二级活性炭吸附装置+15m高排气筒（DA002）</w:t>
                  </w:r>
                </w:p>
              </w:tc>
              <w:tc>
                <w:tcPr>
                  <w:tcW w:w="1177" w:type="dxa"/>
                  <w:vMerge w:val="continue"/>
                  <w:noWrap w:val="0"/>
                  <w:vAlign w:val="center"/>
                </w:tcPr>
                <w:p w14:paraId="7259A93A">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r>
            <w:tr w14:paraId="7ECF1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94" w:type="dxa"/>
                  <w:noWrap w:val="0"/>
                  <w:vAlign w:val="center"/>
                </w:tcPr>
                <w:p w14:paraId="0C7CEAA0">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eastAsia="宋体"/>
                      <w:lang w:val="en-US" w:eastAsia="zh-CN"/>
                    </w:rPr>
                  </w:pPr>
                  <w:r>
                    <w:rPr>
                      <w:rFonts w:hint="eastAsia"/>
                      <w:lang w:val="en-US" w:eastAsia="zh-CN"/>
                    </w:rPr>
                    <w:t>2</w:t>
                  </w:r>
                </w:p>
              </w:tc>
              <w:tc>
                <w:tcPr>
                  <w:tcW w:w="945" w:type="dxa"/>
                  <w:noWrap w:val="0"/>
                  <w:vAlign w:val="center"/>
                </w:tcPr>
                <w:p w14:paraId="593F8F2C">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lang w:val="en-US" w:eastAsia="zh-CN"/>
                    </w:rPr>
                  </w:pPr>
                  <w:r>
                    <w:rPr>
                      <w:rFonts w:hint="eastAsia"/>
                      <w:lang w:val="en-US" w:eastAsia="zh-CN"/>
                    </w:rPr>
                    <w:t>切割</w:t>
                  </w:r>
                </w:p>
              </w:tc>
              <w:tc>
                <w:tcPr>
                  <w:tcW w:w="885" w:type="dxa"/>
                  <w:noWrap w:val="0"/>
                  <w:vAlign w:val="center"/>
                </w:tcPr>
                <w:p w14:paraId="389ED136">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颗粒物</w:t>
                  </w:r>
                </w:p>
              </w:tc>
              <w:tc>
                <w:tcPr>
                  <w:tcW w:w="1830" w:type="dxa"/>
                  <w:noWrap w:val="0"/>
                  <w:vAlign w:val="center"/>
                </w:tcPr>
                <w:p w14:paraId="31953987">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袋式除尘器</w:t>
                  </w:r>
                </w:p>
              </w:tc>
              <w:tc>
                <w:tcPr>
                  <w:tcW w:w="2805" w:type="dxa"/>
                  <w:noWrap w:val="0"/>
                  <w:vAlign w:val="center"/>
                </w:tcPr>
                <w:p w14:paraId="390EBADB">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集气罩收集+布袋除尘器+15m高排气筒（DA003）</w:t>
                  </w:r>
                </w:p>
              </w:tc>
              <w:tc>
                <w:tcPr>
                  <w:tcW w:w="1177" w:type="dxa"/>
                  <w:noWrap w:val="0"/>
                  <w:vAlign w:val="center"/>
                </w:tcPr>
                <w:p w14:paraId="752AA51A">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是</w:t>
                  </w:r>
                </w:p>
              </w:tc>
            </w:tr>
          </w:tbl>
          <w:p w14:paraId="116A5B00">
            <w:pPr>
              <w:pStyle w:val="19"/>
              <w:keepNext w:val="0"/>
              <w:keepLines w:val="0"/>
              <w:pageBreakBefore w:val="0"/>
              <w:widowControl w:val="0"/>
              <w:kinsoku/>
              <w:wordWrap/>
              <w:overflowPunct/>
              <w:topLinePunct w:val="0"/>
              <w:autoSpaceDE/>
              <w:autoSpaceDN/>
              <w:bidi w:val="0"/>
              <w:adjustRightInd/>
              <w:snapToGrid/>
              <w:spacing w:before="157" w:beforeLines="50" w:after="0" w:line="360" w:lineRule="auto"/>
              <w:ind w:firstLine="480" w:firstLineChars="200"/>
              <w:jc w:val="both"/>
              <w:textAlignment w:val="auto"/>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综上所述，项目</w:t>
            </w:r>
            <w:r>
              <w:rPr>
                <w:rFonts w:hint="eastAsia" w:ascii="Times New Roman" w:hAnsi="Times New Roman" w:cs="Times New Roman"/>
                <w:color w:val="000000"/>
                <w:sz w:val="24"/>
                <w:lang w:val="en-US" w:eastAsia="zh-CN"/>
              </w:rPr>
              <w:t>废油液抽取、贮存工段以及切割工段</w:t>
            </w:r>
            <w:r>
              <w:rPr>
                <w:rFonts w:hint="eastAsia" w:ascii="Times New Roman" w:hAnsi="Times New Roman" w:eastAsia="宋体" w:cs="Times New Roman"/>
                <w:color w:val="000000"/>
                <w:sz w:val="24"/>
                <w:lang w:val="en-US" w:eastAsia="zh-CN"/>
              </w:rPr>
              <w:t xml:space="preserve">拟采取的废气治理措施属于《排污许可证申请与核发技术规范  </w:t>
            </w:r>
            <w:r>
              <w:rPr>
                <w:rFonts w:hint="eastAsia" w:ascii="Times New Roman" w:hAnsi="Times New Roman" w:eastAsia="宋体" w:cs="Times New Roman"/>
                <w:sz w:val="24"/>
                <w:lang w:val="en-US" w:eastAsia="zh-CN"/>
              </w:rPr>
              <w:t>废弃资源加工工业》（HJ1034-2019）</w:t>
            </w:r>
            <w:r>
              <w:rPr>
                <w:rFonts w:hint="eastAsia" w:ascii="Times New Roman" w:hAnsi="Times New Roman" w:eastAsia="宋体" w:cs="Times New Roman"/>
                <w:color w:val="000000"/>
                <w:sz w:val="24"/>
                <w:lang w:val="en-US" w:eastAsia="zh-CN"/>
              </w:rPr>
              <w:t>中可行技术。</w:t>
            </w:r>
          </w:p>
          <w:p w14:paraId="4B68894D">
            <w:pPr>
              <w:pStyle w:val="54"/>
              <w:ind w:firstLine="480"/>
            </w:pPr>
            <w:r>
              <w:rPr>
                <w:rFonts w:hint="eastAsia"/>
              </w:rPr>
              <w:t>（2）无组织污染防治措施可行性分析</w:t>
            </w:r>
          </w:p>
          <w:p w14:paraId="1525614C">
            <w:pPr>
              <w:pStyle w:val="54"/>
              <w:ind w:firstLine="480"/>
              <w:rPr>
                <w:rFonts w:hint="eastAsia"/>
              </w:rPr>
            </w:pPr>
            <w:r>
              <w:rPr>
                <w:rFonts w:hint="eastAsia"/>
              </w:rPr>
              <w:t>项目</w:t>
            </w:r>
            <w:r>
              <w:rPr>
                <w:rFonts w:hint="eastAsia"/>
                <w:lang w:val="en-US" w:eastAsia="zh-CN"/>
              </w:rPr>
              <w:t>营运期</w:t>
            </w:r>
            <w:r>
              <w:rPr>
                <w:rFonts w:hint="eastAsia"/>
              </w:rPr>
              <w:t>无组织废气主要为</w:t>
            </w:r>
            <w:r>
              <w:rPr>
                <w:rFonts w:hint="eastAsia"/>
                <w:lang w:val="en-US" w:eastAsia="zh-CN"/>
              </w:rPr>
              <w:t>废油液抽取、贮存</w:t>
            </w:r>
            <w:r>
              <w:rPr>
                <w:rFonts w:hint="eastAsia"/>
              </w:rPr>
              <w:t>工段未被收集的</w:t>
            </w:r>
            <w:r>
              <w:rPr>
                <w:rFonts w:hint="eastAsia"/>
                <w:lang w:val="en-US" w:eastAsia="zh-CN"/>
              </w:rPr>
              <w:t>有机</w:t>
            </w:r>
            <w:r>
              <w:rPr>
                <w:rFonts w:hint="eastAsia"/>
              </w:rPr>
              <w:t>废气</w:t>
            </w:r>
            <w:r>
              <w:rPr>
                <w:rFonts w:hint="eastAsia"/>
                <w:lang w:eastAsia="zh-CN"/>
              </w:rPr>
              <w:t>、</w:t>
            </w:r>
            <w:r>
              <w:rPr>
                <w:rFonts w:hint="eastAsia"/>
                <w:lang w:val="en-US" w:eastAsia="zh-CN"/>
              </w:rPr>
              <w:t>制冷剂抽取废气、安全气囊引爆粉尘、拆解粉尘以及切割工段未被收集的粉尘。</w:t>
            </w:r>
            <w:r>
              <w:rPr>
                <w:rFonts w:hint="eastAsia"/>
              </w:rPr>
              <w:t>项目无组织废气防治措施见下表。</w:t>
            </w:r>
          </w:p>
          <w:p w14:paraId="7FE6220B">
            <w:pPr>
              <w:pStyle w:val="19"/>
              <w:spacing w:after="0" w:line="240" w:lineRule="atLeast"/>
              <w:ind w:firstLine="422" w:firstLineChars="200"/>
              <w:jc w:val="center"/>
              <w:rPr>
                <w:rFonts w:hint="eastAsia"/>
                <w:b/>
                <w:bCs/>
                <w:szCs w:val="21"/>
              </w:rPr>
            </w:pPr>
            <w:r>
              <w:rPr>
                <w:rFonts w:hint="eastAsia"/>
                <w:b/>
                <w:bCs/>
                <w:szCs w:val="21"/>
              </w:rPr>
              <w:t>表4-</w:t>
            </w:r>
            <w:r>
              <w:rPr>
                <w:rFonts w:hint="eastAsia"/>
                <w:b/>
                <w:bCs/>
                <w:szCs w:val="21"/>
                <w:lang w:val="en-US" w:eastAsia="zh-CN"/>
              </w:rPr>
              <w:t xml:space="preserve">7 </w:t>
            </w:r>
            <w:r>
              <w:rPr>
                <w:rFonts w:hint="eastAsia"/>
                <w:b/>
                <w:bCs/>
                <w:szCs w:val="21"/>
              </w:rPr>
              <w:t xml:space="preserve"> 无组织废气污染防治措施一览表</w:t>
            </w:r>
          </w:p>
          <w:tbl>
            <w:tblPr>
              <w:tblStyle w:val="24"/>
              <w:tblW w:w="8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2695"/>
              <w:gridCol w:w="4670"/>
            </w:tblGrid>
            <w:tr w14:paraId="40441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54" w:type="dxa"/>
                  <w:noWrap w:val="0"/>
                  <w:vAlign w:val="center"/>
                </w:tcPr>
                <w:p w14:paraId="247ECC17">
                  <w:pPr>
                    <w:pStyle w:val="19"/>
                    <w:spacing w:after="0" w:line="240" w:lineRule="auto"/>
                    <w:jc w:val="center"/>
                    <w:rPr>
                      <w:b/>
                      <w:bCs/>
                      <w:szCs w:val="21"/>
                    </w:rPr>
                  </w:pPr>
                  <w:r>
                    <w:rPr>
                      <w:rFonts w:hint="eastAsia"/>
                      <w:b/>
                      <w:bCs/>
                      <w:szCs w:val="21"/>
                    </w:rPr>
                    <w:t>序号</w:t>
                  </w:r>
                </w:p>
              </w:tc>
              <w:tc>
                <w:tcPr>
                  <w:tcW w:w="2695" w:type="dxa"/>
                  <w:noWrap w:val="0"/>
                  <w:vAlign w:val="center"/>
                </w:tcPr>
                <w:p w14:paraId="0D0C94F2">
                  <w:pPr>
                    <w:pStyle w:val="19"/>
                    <w:spacing w:after="0" w:line="240" w:lineRule="auto"/>
                    <w:jc w:val="center"/>
                    <w:rPr>
                      <w:b/>
                      <w:bCs/>
                      <w:szCs w:val="21"/>
                    </w:rPr>
                  </w:pPr>
                  <w:r>
                    <w:rPr>
                      <w:rFonts w:hint="eastAsia"/>
                      <w:b/>
                      <w:bCs/>
                      <w:szCs w:val="21"/>
                    </w:rPr>
                    <w:t>废气类别</w:t>
                  </w:r>
                </w:p>
              </w:tc>
              <w:tc>
                <w:tcPr>
                  <w:tcW w:w="4670" w:type="dxa"/>
                  <w:noWrap w:val="0"/>
                  <w:vAlign w:val="center"/>
                </w:tcPr>
                <w:p w14:paraId="0C5837E5">
                  <w:pPr>
                    <w:pStyle w:val="19"/>
                    <w:spacing w:after="0" w:line="240" w:lineRule="auto"/>
                    <w:jc w:val="center"/>
                    <w:rPr>
                      <w:b/>
                      <w:bCs/>
                      <w:szCs w:val="21"/>
                    </w:rPr>
                  </w:pPr>
                  <w:r>
                    <w:rPr>
                      <w:rFonts w:hint="eastAsia"/>
                      <w:b/>
                      <w:bCs/>
                      <w:szCs w:val="21"/>
                    </w:rPr>
                    <w:t>防治措施</w:t>
                  </w:r>
                </w:p>
              </w:tc>
            </w:tr>
            <w:tr w14:paraId="1511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54" w:type="dxa"/>
                  <w:noWrap w:val="0"/>
                  <w:vAlign w:val="center"/>
                </w:tcPr>
                <w:p w14:paraId="699EF961">
                  <w:pPr>
                    <w:pStyle w:val="19"/>
                    <w:spacing w:after="0" w:line="240" w:lineRule="auto"/>
                    <w:jc w:val="center"/>
                    <w:rPr>
                      <w:rFonts w:hint="eastAsia" w:eastAsia="宋体"/>
                      <w:b w:val="0"/>
                      <w:bCs w:val="0"/>
                      <w:szCs w:val="21"/>
                      <w:lang w:val="en-US" w:eastAsia="zh-CN"/>
                    </w:rPr>
                  </w:pPr>
                  <w:r>
                    <w:rPr>
                      <w:rFonts w:hint="eastAsia"/>
                      <w:b w:val="0"/>
                      <w:bCs w:val="0"/>
                      <w:szCs w:val="21"/>
                      <w:lang w:val="en-US" w:eastAsia="zh-CN"/>
                    </w:rPr>
                    <w:t>1</w:t>
                  </w:r>
                </w:p>
              </w:tc>
              <w:tc>
                <w:tcPr>
                  <w:tcW w:w="2695" w:type="dxa"/>
                  <w:noWrap w:val="0"/>
                  <w:vAlign w:val="center"/>
                </w:tcPr>
                <w:p w14:paraId="3C429BDE">
                  <w:pPr>
                    <w:pStyle w:val="19"/>
                    <w:spacing w:after="0" w:line="240" w:lineRule="auto"/>
                    <w:jc w:val="center"/>
                    <w:rPr>
                      <w:rFonts w:hint="default" w:eastAsia="宋体"/>
                      <w:b w:val="0"/>
                      <w:bCs w:val="0"/>
                      <w:szCs w:val="21"/>
                      <w:lang w:val="en-US" w:eastAsia="zh-CN"/>
                    </w:rPr>
                  </w:pPr>
                  <w:r>
                    <w:rPr>
                      <w:rFonts w:hint="eastAsia"/>
                      <w:b w:val="0"/>
                      <w:bCs w:val="0"/>
                      <w:szCs w:val="21"/>
                      <w:lang w:val="en-US" w:eastAsia="zh-CN"/>
                    </w:rPr>
                    <w:t>废油液抽取、贮存工段未被收集的有机废气</w:t>
                  </w:r>
                </w:p>
              </w:tc>
              <w:tc>
                <w:tcPr>
                  <w:tcW w:w="4670" w:type="dxa"/>
                  <w:noWrap w:val="0"/>
                  <w:vAlign w:val="center"/>
                </w:tcPr>
                <w:p w14:paraId="57B81931">
                  <w:pPr>
                    <w:pStyle w:val="19"/>
                    <w:spacing w:after="0" w:line="240" w:lineRule="auto"/>
                    <w:jc w:val="center"/>
                    <w:rPr>
                      <w:rFonts w:hint="default" w:eastAsia="宋体"/>
                      <w:b w:val="0"/>
                      <w:bCs w:val="0"/>
                      <w:szCs w:val="21"/>
                      <w:lang w:val="en-US" w:eastAsia="zh-CN"/>
                    </w:rPr>
                  </w:pPr>
                  <w:r>
                    <w:rPr>
                      <w:rFonts w:hint="eastAsia"/>
                      <w:szCs w:val="21"/>
                    </w:rPr>
                    <w:t>加强废气治理设施日常维护，</w:t>
                  </w:r>
                  <w:r>
                    <w:rPr>
                      <w:rFonts w:hint="eastAsia"/>
                      <w:szCs w:val="21"/>
                      <w:lang w:val="en-US" w:eastAsia="zh-CN"/>
                    </w:rPr>
                    <w:t>作业时保持车间密闭，</w:t>
                  </w:r>
                  <w:r>
                    <w:rPr>
                      <w:rFonts w:hint="eastAsia"/>
                      <w:szCs w:val="21"/>
                    </w:rPr>
                    <w:t>减少废气无组织逸散</w:t>
                  </w:r>
                </w:p>
              </w:tc>
            </w:tr>
            <w:tr w14:paraId="494C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54" w:type="dxa"/>
                  <w:noWrap w:val="0"/>
                  <w:vAlign w:val="center"/>
                </w:tcPr>
                <w:p w14:paraId="18914A7B">
                  <w:pPr>
                    <w:pStyle w:val="19"/>
                    <w:spacing w:after="0" w:line="240" w:lineRule="auto"/>
                    <w:jc w:val="center"/>
                    <w:rPr>
                      <w:rFonts w:hint="eastAsia" w:eastAsia="宋体"/>
                      <w:szCs w:val="21"/>
                      <w:lang w:eastAsia="zh-CN"/>
                    </w:rPr>
                  </w:pPr>
                  <w:r>
                    <w:rPr>
                      <w:rFonts w:hint="eastAsia"/>
                      <w:szCs w:val="21"/>
                      <w:lang w:val="en-US" w:eastAsia="zh-CN"/>
                    </w:rPr>
                    <w:t>2</w:t>
                  </w:r>
                </w:p>
              </w:tc>
              <w:tc>
                <w:tcPr>
                  <w:tcW w:w="2695" w:type="dxa"/>
                  <w:noWrap w:val="0"/>
                  <w:vAlign w:val="center"/>
                </w:tcPr>
                <w:p w14:paraId="35D70E22">
                  <w:pPr>
                    <w:pStyle w:val="19"/>
                    <w:spacing w:after="0" w:line="240" w:lineRule="auto"/>
                    <w:jc w:val="center"/>
                    <w:rPr>
                      <w:rFonts w:hint="default"/>
                      <w:szCs w:val="21"/>
                      <w:lang w:val="en-US"/>
                    </w:rPr>
                  </w:pPr>
                  <w:r>
                    <w:rPr>
                      <w:rFonts w:hint="eastAsia"/>
                      <w:szCs w:val="21"/>
                      <w:lang w:val="en-US" w:eastAsia="zh-CN"/>
                    </w:rPr>
                    <w:t>制冷剂抽取废气、安全气囊引爆粉尘、拆解粉尘</w:t>
                  </w:r>
                </w:p>
              </w:tc>
              <w:tc>
                <w:tcPr>
                  <w:tcW w:w="4670" w:type="dxa"/>
                  <w:noWrap w:val="0"/>
                  <w:vAlign w:val="center"/>
                </w:tcPr>
                <w:p w14:paraId="63B311D4">
                  <w:pPr>
                    <w:pStyle w:val="19"/>
                    <w:spacing w:after="0" w:line="240" w:lineRule="auto"/>
                    <w:jc w:val="center"/>
                    <w:rPr>
                      <w:szCs w:val="21"/>
                    </w:rPr>
                  </w:pPr>
                  <w:r>
                    <w:rPr>
                      <w:rFonts w:hint="eastAsia"/>
                      <w:szCs w:val="21"/>
                      <w:lang w:val="en-US" w:eastAsia="zh-CN"/>
                    </w:rPr>
                    <w:t>作业时保持车间封闭，保持制冷剂抽取装置密封性，</w:t>
                  </w:r>
                  <w:r>
                    <w:rPr>
                      <w:rFonts w:hint="eastAsia"/>
                      <w:szCs w:val="21"/>
                    </w:rPr>
                    <w:t>减少废气无组织逸散</w:t>
                  </w:r>
                </w:p>
              </w:tc>
            </w:tr>
            <w:tr w14:paraId="4BA3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4" w:type="dxa"/>
                  <w:noWrap w:val="0"/>
                  <w:vAlign w:val="center"/>
                </w:tcPr>
                <w:p w14:paraId="5A3EED19">
                  <w:pPr>
                    <w:pStyle w:val="19"/>
                    <w:spacing w:after="0" w:line="240" w:lineRule="auto"/>
                    <w:jc w:val="center"/>
                    <w:rPr>
                      <w:rFonts w:hint="default"/>
                      <w:szCs w:val="21"/>
                      <w:lang w:val="en-US" w:eastAsia="zh-CN"/>
                    </w:rPr>
                  </w:pPr>
                  <w:r>
                    <w:rPr>
                      <w:rFonts w:hint="eastAsia"/>
                      <w:szCs w:val="21"/>
                      <w:lang w:val="en-US" w:eastAsia="zh-CN"/>
                    </w:rPr>
                    <w:t>3</w:t>
                  </w:r>
                </w:p>
              </w:tc>
              <w:tc>
                <w:tcPr>
                  <w:tcW w:w="2695" w:type="dxa"/>
                  <w:noWrap w:val="0"/>
                  <w:vAlign w:val="center"/>
                </w:tcPr>
                <w:p w14:paraId="4C311DB8">
                  <w:pPr>
                    <w:pStyle w:val="19"/>
                    <w:spacing w:after="0" w:line="240" w:lineRule="auto"/>
                    <w:jc w:val="center"/>
                    <w:rPr>
                      <w:rFonts w:hint="default"/>
                      <w:szCs w:val="21"/>
                      <w:lang w:val="en-US" w:eastAsia="zh-CN"/>
                    </w:rPr>
                  </w:pPr>
                  <w:r>
                    <w:rPr>
                      <w:rFonts w:hint="eastAsia"/>
                      <w:szCs w:val="21"/>
                      <w:lang w:val="en-US" w:eastAsia="zh-CN"/>
                    </w:rPr>
                    <w:t>切割工段未收集的粉尘</w:t>
                  </w:r>
                </w:p>
              </w:tc>
              <w:tc>
                <w:tcPr>
                  <w:tcW w:w="4670" w:type="dxa"/>
                  <w:noWrap w:val="0"/>
                  <w:vAlign w:val="center"/>
                </w:tcPr>
                <w:p w14:paraId="78020FF2">
                  <w:pPr>
                    <w:pStyle w:val="19"/>
                    <w:spacing w:after="0" w:line="240" w:lineRule="auto"/>
                    <w:jc w:val="center"/>
                    <w:rPr>
                      <w:rFonts w:hint="eastAsia"/>
                      <w:szCs w:val="21"/>
                      <w:lang w:val="en-US" w:eastAsia="zh-CN"/>
                    </w:rPr>
                  </w:pPr>
                  <w:r>
                    <w:rPr>
                      <w:rFonts w:hint="eastAsia"/>
                      <w:szCs w:val="21"/>
                    </w:rPr>
                    <w:t>加强废气治理设施日常维护，</w:t>
                  </w:r>
                  <w:r>
                    <w:rPr>
                      <w:rFonts w:hint="eastAsia"/>
                      <w:szCs w:val="21"/>
                      <w:lang w:val="en-US" w:eastAsia="zh-CN"/>
                    </w:rPr>
                    <w:t>作业时保持生产车间密闭，</w:t>
                  </w:r>
                  <w:r>
                    <w:rPr>
                      <w:rFonts w:hint="eastAsia"/>
                      <w:szCs w:val="21"/>
                    </w:rPr>
                    <w:t>减少废气无组织逸散</w:t>
                  </w:r>
                </w:p>
              </w:tc>
            </w:tr>
          </w:tbl>
          <w:p w14:paraId="3053602B">
            <w:pPr>
              <w:pStyle w:val="54"/>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综上所述，本项目营运期产生的废气通过采取合理可行的污染防治措施及加强日常管理后，能够保证厂界无组织废气达标排放，对周边环境影响较小。</w:t>
            </w:r>
          </w:p>
          <w:p w14:paraId="1BB688F0">
            <w:pPr>
              <w:spacing w:line="360" w:lineRule="auto"/>
              <w:rPr>
                <w:b/>
                <w:color w:val="000000"/>
                <w:sz w:val="24"/>
              </w:rPr>
            </w:pPr>
            <w:r>
              <w:rPr>
                <w:b/>
                <w:color w:val="000000"/>
                <w:sz w:val="24"/>
              </w:rPr>
              <w:t>4.</w:t>
            </w:r>
            <w:r>
              <w:rPr>
                <w:rFonts w:hint="eastAsia"/>
                <w:b/>
                <w:color w:val="000000"/>
                <w:sz w:val="24"/>
                <w:lang w:val="en-US" w:eastAsia="zh-CN"/>
              </w:rPr>
              <w:t>1</w:t>
            </w:r>
            <w:r>
              <w:rPr>
                <w:b/>
                <w:color w:val="000000"/>
                <w:sz w:val="24"/>
              </w:rPr>
              <w:t>.</w:t>
            </w:r>
            <w:r>
              <w:rPr>
                <w:rFonts w:hint="eastAsia"/>
                <w:b/>
                <w:color w:val="000000"/>
                <w:sz w:val="24"/>
              </w:rPr>
              <w:t>5</w:t>
            </w:r>
            <w:r>
              <w:rPr>
                <w:b/>
                <w:color w:val="000000"/>
                <w:sz w:val="24"/>
              </w:rPr>
              <w:t xml:space="preserve"> 废气监测计划</w:t>
            </w:r>
          </w:p>
          <w:p w14:paraId="17CE4AA6">
            <w:pPr>
              <w:spacing w:line="360" w:lineRule="auto"/>
              <w:ind w:firstLine="480" w:firstLineChars="200"/>
              <w:rPr>
                <w:sz w:val="24"/>
              </w:rPr>
            </w:pPr>
            <w:r>
              <w:rPr>
                <w:rFonts w:hint="eastAsia"/>
                <w:sz w:val="24"/>
              </w:rPr>
              <w:t>参照《排污单位自行监测技术指南  总则》（HJ819-2017）</w:t>
            </w:r>
            <w:r>
              <w:rPr>
                <w:rFonts w:hint="eastAsia"/>
                <w:sz w:val="24"/>
                <w:lang w:eastAsia="zh-CN"/>
              </w:rPr>
              <w:t>、</w:t>
            </w:r>
            <w:r>
              <w:rPr>
                <w:rFonts w:hint="eastAsia" w:ascii="Times New Roman" w:hAnsi="Times New Roman" w:eastAsia="宋体" w:cs="Times New Roman"/>
                <w:sz w:val="24"/>
                <w:lang w:val="en-US" w:eastAsia="zh-CN"/>
              </w:rPr>
              <w:t>《排污许可证申请与核发技术规范  废弃资源加工工业》（HJ1034-2019）</w:t>
            </w:r>
            <w:r>
              <w:rPr>
                <w:rFonts w:hint="eastAsia"/>
                <w:sz w:val="24"/>
                <w:lang w:val="en-US" w:eastAsia="zh-CN"/>
              </w:rPr>
              <w:t>等</w:t>
            </w:r>
            <w:r>
              <w:rPr>
                <w:rFonts w:hint="eastAsia"/>
                <w:sz w:val="24"/>
              </w:rPr>
              <w:t>相关技术规范，本项目营运期自行监测方案见下表。</w:t>
            </w:r>
          </w:p>
          <w:p w14:paraId="10A9885D">
            <w:pPr>
              <w:adjustRightInd w:val="0"/>
              <w:snapToGrid w:val="0"/>
              <w:spacing w:line="240" w:lineRule="atLeast"/>
              <w:ind w:firstLine="422" w:firstLineChars="200"/>
              <w:jc w:val="center"/>
              <w:rPr>
                <w:b/>
                <w:bCs/>
              </w:rPr>
            </w:pPr>
            <w:r>
              <w:rPr>
                <w:b/>
                <w:bCs/>
              </w:rPr>
              <w:t>表4-</w:t>
            </w:r>
            <w:r>
              <w:rPr>
                <w:rFonts w:hint="eastAsia"/>
                <w:b/>
                <w:bCs/>
                <w:lang w:val="en-US" w:eastAsia="zh-CN"/>
              </w:rPr>
              <w:t>8</w:t>
            </w:r>
            <w:r>
              <w:rPr>
                <w:b/>
                <w:bCs/>
              </w:rPr>
              <w:t xml:space="preserve">   废气监测计划一览表</w:t>
            </w:r>
          </w:p>
          <w:tbl>
            <w:tblPr>
              <w:tblStyle w:val="24"/>
              <w:tblW w:w="8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1965"/>
              <w:gridCol w:w="1075"/>
              <w:gridCol w:w="1116"/>
              <w:gridCol w:w="3067"/>
            </w:tblGrid>
            <w:tr w14:paraId="059D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14" w:type="dxa"/>
                  <w:noWrap w:val="0"/>
                  <w:vAlign w:val="center"/>
                </w:tcPr>
                <w:p w14:paraId="608D95C3">
                  <w:pPr>
                    <w:jc w:val="center"/>
                    <w:rPr>
                      <w:b/>
                      <w:bCs/>
                      <w:szCs w:val="21"/>
                    </w:rPr>
                  </w:pPr>
                  <w:r>
                    <w:rPr>
                      <w:rFonts w:hint="eastAsia"/>
                      <w:b/>
                      <w:bCs/>
                      <w:szCs w:val="21"/>
                    </w:rPr>
                    <w:t>类别</w:t>
                  </w:r>
                </w:p>
              </w:tc>
              <w:tc>
                <w:tcPr>
                  <w:tcW w:w="1965" w:type="dxa"/>
                  <w:noWrap w:val="0"/>
                  <w:vAlign w:val="center"/>
                </w:tcPr>
                <w:p w14:paraId="16506F1B">
                  <w:pPr>
                    <w:adjustRightInd w:val="0"/>
                    <w:snapToGrid w:val="0"/>
                    <w:jc w:val="center"/>
                    <w:rPr>
                      <w:b/>
                      <w:bCs/>
                      <w:szCs w:val="21"/>
                    </w:rPr>
                  </w:pPr>
                  <w:r>
                    <w:rPr>
                      <w:rFonts w:hint="eastAsia"/>
                      <w:b/>
                      <w:bCs/>
                      <w:szCs w:val="21"/>
                    </w:rPr>
                    <w:t>排放口/源</w:t>
                  </w:r>
                </w:p>
              </w:tc>
              <w:tc>
                <w:tcPr>
                  <w:tcW w:w="1075" w:type="dxa"/>
                  <w:noWrap w:val="0"/>
                  <w:vAlign w:val="center"/>
                </w:tcPr>
                <w:p w14:paraId="336DCF2C">
                  <w:pPr>
                    <w:adjustRightInd w:val="0"/>
                    <w:snapToGrid w:val="0"/>
                    <w:jc w:val="center"/>
                    <w:rPr>
                      <w:b/>
                      <w:bCs/>
                      <w:szCs w:val="21"/>
                    </w:rPr>
                  </w:pPr>
                  <w:r>
                    <w:rPr>
                      <w:rFonts w:hint="eastAsia"/>
                      <w:b/>
                      <w:bCs/>
                      <w:szCs w:val="21"/>
                    </w:rPr>
                    <w:t>监测因子</w:t>
                  </w:r>
                </w:p>
              </w:tc>
              <w:tc>
                <w:tcPr>
                  <w:tcW w:w="1116" w:type="dxa"/>
                  <w:noWrap w:val="0"/>
                  <w:vAlign w:val="center"/>
                </w:tcPr>
                <w:p w14:paraId="7E626826">
                  <w:pPr>
                    <w:adjustRightInd w:val="0"/>
                    <w:snapToGrid w:val="0"/>
                    <w:jc w:val="center"/>
                    <w:rPr>
                      <w:b/>
                      <w:bCs/>
                      <w:szCs w:val="21"/>
                    </w:rPr>
                  </w:pPr>
                  <w:r>
                    <w:rPr>
                      <w:rFonts w:hint="eastAsia"/>
                      <w:b/>
                      <w:bCs/>
                      <w:szCs w:val="21"/>
                    </w:rPr>
                    <w:t>最低监测频次</w:t>
                  </w:r>
                </w:p>
              </w:tc>
              <w:tc>
                <w:tcPr>
                  <w:tcW w:w="3067" w:type="dxa"/>
                  <w:noWrap w:val="0"/>
                  <w:vAlign w:val="center"/>
                </w:tcPr>
                <w:p w14:paraId="10BB9419">
                  <w:pPr>
                    <w:adjustRightInd w:val="0"/>
                    <w:snapToGrid w:val="0"/>
                    <w:jc w:val="center"/>
                    <w:rPr>
                      <w:b/>
                      <w:bCs/>
                      <w:szCs w:val="21"/>
                    </w:rPr>
                  </w:pPr>
                  <w:r>
                    <w:rPr>
                      <w:b/>
                      <w:bCs/>
                      <w:szCs w:val="21"/>
                    </w:rPr>
                    <w:t>执行排放标准</w:t>
                  </w:r>
                </w:p>
              </w:tc>
            </w:tr>
            <w:tr w14:paraId="088F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4" w:type="dxa"/>
                  <w:vMerge w:val="restart"/>
                  <w:noWrap w:val="0"/>
                  <w:vAlign w:val="center"/>
                </w:tcPr>
                <w:p w14:paraId="2C04B742">
                  <w:pPr>
                    <w:jc w:val="center"/>
                    <w:rPr>
                      <w:szCs w:val="21"/>
                    </w:rPr>
                  </w:pPr>
                  <w:r>
                    <w:rPr>
                      <w:rFonts w:hint="eastAsia"/>
                      <w:szCs w:val="21"/>
                    </w:rPr>
                    <w:t>有组织废气</w:t>
                  </w:r>
                </w:p>
              </w:tc>
              <w:tc>
                <w:tcPr>
                  <w:tcW w:w="1965" w:type="dxa"/>
                  <w:noWrap w:val="0"/>
                  <w:vAlign w:val="center"/>
                </w:tcPr>
                <w:p w14:paraId="0E631BEC">
                  <w:pPr>
                    <w:adjustRightInd w:val="0"/>
                    <w:snapToGrid w:val="0"/>
                    <w:jc w:val="center"/>
                    <w:rPr>
                      <w:color w:val="0000FF"/>
                      <w:szCs w:val="21"/>
                    </w:rPr>
                  </w:pPr>
                  <w:r>
                    <w:rPr>
                      <w:rFonts w:hint="eastAsia"/>
                      <w:color w:val="000000"/>
                      <w:kern w:val="0"/>
                      <w:szCs w:val="21"/>
                      <w:lang w:val="en-US" w:eastAsia="zh-CN" w:bidi="ar"/>
                    </w:rPr>
                    <w:t>废油液抽取</w:t>
                  </w:r>
                  <w:r>
                    <w:rPr>
                      <w:rFonts w:hint="eastAsia"/>
                      <w:color w:val="000000"/>
                      <w:kern w:val="0"/>
                      <w:szCs w:val="21"/>
                      <w:lang w:bidi="ar"/>
                    </w:rPr>
                    <w:t>工段废气排放口</w:t>
                  </w:r>
                  <w:r>
                    <w:rPr>
                      <w:szCs w:val="21"/>
                    </w:rPr>
                    <w:t>DA001</w:t>
                  </w:r>
                </w:p>
              </w:tc>
              <w:tc>
                <w:tcPr>
                  <w:tcW w:w="1075" w:type="dxa"/>
                  <w:noWrap w:val="0"/>
                  <w:vAlign w:val="center"/>
                </w:tcPr>
                <w:p w14:paraId="2FF58BE5">
                  <w:pPr>
                    <w:adjustRightInd w:val="0"/>
                    <w:snapToGrid w:val="0"/>
                    <w:jc w:val="center"/>
                    <w:rPr>
                      <w:rFonts w:hint="default" w:eastAsia="宋体"/>
                      <w:szCs w:val="21"/>
                      <w:lang w:val="en-US" w:eastAsia="zh-CN"/>
                    </w:rPr>
                  </w:pPr>
                  <w:r>
                    <w:rPr>
                      <w:rFonts w:hint="eastAsia" w:eastAsia="宋体"/>
                      <w:szCs w:val="21"/>
                      <w:lang w:val="en-US" w:eastAsia="zh-CN"/>
                    </w:rPr>
                    <w:t>非甲烷总烃</w:t>
                  </w:r>
                </w:p>
              </w:tc>
              <w:tc>
                <w:tcPr>
                  <w:tcW w:w="1116" w:type="dxa"/>
                  <w:noWrap w:val="0"/>
                  <w:vAlign w:val="center"/>
                </w:tcPr>
                <w:p w14:paraId="7D8B9055">
                  <w:pPr>
                    <w:jc w:val="center"/>
                    <w:rPr>
                      <w:rFonts w:hint="eastAsia" w:eastAsia="宋体"/>
                      <w:szCs w:val="21"/>
                      <w:lang w:val="en-US" w:eastAsia="zh-CN"/>
                    </w:rPr>
                  </w:pPr>
                  <w:r>
                    <w:rPr>
                      <w:rFonts w:hint="eastAsia"/>
                      <w:szCs w:val="21"/>
                    </w:rPr>
                    <w:t>1次/</w:t>
                  </w:r>
                  <w:r>
                    <w:rPr>
                      <w:rFonts w:hint="eastAsia"/>
                      <w:szCs w:val="21"/>
                      <w:lang w:val="en-US" w:eastAsia="zh-CN"/>
                    </w:rPr>
                    <w:t>年</w:t>
                  </w:r>
                </w:p>
              </w:tc>
              <w:tc>
                <w:tcPr>
                  <w:tcW w:w="3067" w:type="dxa"/>
                  <w:vMerge w:val="restart"/>
                  <w:noWrap w:val="0"/>
                  <w:vAlign w:val="center"/>
                </w:tcPr>
                <w:p w14:paraId="0CB8DFA4">
                  <w:pPr>
                    <w:adjustRightInd w:val="0"/>
                    <w:snapToGrid w:val="0"/>
                    <w:jc w:val="center"/>
                    <w:rPr>
                      <w:rFonts w:hint="default" w:eastAsia="宋体"/>
                      <w:szCs w:val="21"/>
                      <w:lang w:val="en-US" w:eastAsia="zh-CN"/>
                    </w:rPr>
                  </w:pPr>
                  <w:r>
                    <w:rPr>
                      <w:rFonts w:hint="eastAsia"/>
                      <w:szCs w:val="21"/>
                      <w:lang w:eastAsia="zh-CN"/>
                    </w:rPr>
                    <w:t>《</w:t>
                  </w:r>
                  <w:r>
                    <w:rPr>
                      <w:rFonts w:hint="eastAsia"/>
                      <w:szCs w:val="21"/>
                      <w:lang w:val="en-US" w:eastAsia="zh-CN"/>
                    </w:rPr>
                    <w:t>大气污染物综合排放标准</w:t>
                  </w:r>
                  <w:r>
                    <w:rPr>
                      <w:rFonts w:hint="eastAsia"/>
                      <w:szCs w:val="21"/>
                      <w:lang w:eastAsia="zh-CN"/>
                    </w:rPr>
                    <w:t>》（</w:t>
                  </w:r>
                  <w:r>
                    <w:rPr>
                      <w:rFonts w:hint="eastAsia"/>
                      <w:szCs w:val="21"/>
                      <w:lang w:val="en-US" w:eastAsia="zh-CN"/>
                    </w:rPr>
                    <w:t>GB16297-1996</w:t>
                  </w:r>
                  <w:r>
                    <w:rPr>
                      <w:rFonts w:hint="eastAsia"/>
                      <w:szCs w:val="21"/>
                      <w:lang w:eastAsia="zh-CN"/>
                    </w:rPr>
                    <w:t>）</w:t>
                  </w:r>
                  <w:r>
                    <w:rPr>
                      <w:rFonts w:hint="eastAsia"/>
                      <w:szCs w:val="21"/>
                      <w:lang w:val="en-US" w:eastAsia="zh-CN"/>
                    </w:rPr>
                    <w:t>表2中二级标准</w:t>
                  </w:r>
                </w:p>
              </w:tc>
            </w:tr>
            <w:tr w14:paraId="5D1C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4" w:type="dxa"/>
                  <w:vMerge w:val="continue"/>
                  <w:noWrap w:val="0"/>
                  <w:vAlign w:val="center"/>
                </w:tcPr>
                <w:p w14:paraId="2754A612">
                  <w:pPr>
                    <w:jc w:val="center"/>
                    <w:rPr>
                      <w:rFonts w:hint="eastAsia"/>
                      <w:szCs w:val="21"/>
                    </w:rPr>
                  </w:pPr>
                </w:p>
              </w:tc>
              <w:tc>
                <w:tcPr>
                  <w:tcW w:w="1965" w:type="dxa"/>
                  <w:noWrap w:val="0"/>
                  <w:vAlign w:val="center"/>
                </w:tcPr>
                <w:p w14:paraId="74E3C65B">
                  <w:pPr>
                    <w:adjustRightInd w:val="0"/>
                    <w:snapToGrid w:val="0"/>
                    <w:jc w:val="center"/>
                    <w:rPr>
                      <w:rFonts w:hint="eastAsia"/>
                      <w:color w:val="000000"/>
                      <w:kern w:val="0"/>
                      <w:szCs w:val="21"/>
                      <w:lang w:val="en-US" w:eastAsia="zh-CN" w:bidi="ar"/>
                    </w:rPr>
                  </w:pPr>
                  <w:r>
                    <w:rPr>
                      <w:rFonts w:hint="eastAsia"/>
                      <w:lang w:val="en-US" w:eastAsia="zh-CN"/>
                    </w:rPr>
                    <w:t>废油液贮存工段废气排放口DA002</w:t>
                  </w:r>
                </w:p>
              </w:tc>
              <w:tc>
                <w:tcPr>
                  <w:tcW w:w="1075" w:type="dxa"/>
                  <w:noWrap w:val="0"/>
                  <w:vAlign w:val="center"/>
                </w:tcPr>
                <w:p w14:paraId="6C8F1CB8">
                  <w:pPr>
                    <w:adjustRightInd w:val="0"/>
                    <w:snapToGrid w:val="0"/>
                    <w:jc w:val="center"/>
                    <w:rPr>
                      <w:rFonts w:hint="eastAsia"/>
                      <w:szCs w:val="21"/>
                      <w:lang w:val="en-US" w:eastAsia="zh-CN"/>
                    </w:rPr>
                  </w:pPr>
                  <w:r>
                    <w:rPr>
                      <w:rFonts w:hint="eastAsia" w:eastAsia="宋体"/>
                      <w:szCs w:val="21"/>
                      <w:lang w:val="en-US" w:eastAsia="zh-CN"/>
                    </w:rPr>
                    <w:t>非甲烷总烃</w:t>
                  </w:r>
                </w:p>
              </w:tc>
              <w:tc>
                <w:tcPr>
                  <w:tcW w:w="1116" w:type="dxa"/>
                  <w:noWrap w:val="0"/>
                  <w:vAlign w:val="center"/>
                </w:tcPr>
                <w:p w14:paraId="3F657380">
                  <w:pPr>
                    <w:jc w:val="center"/>
                    <w:rPr>
                      <w:rFonts w:hint="eastAsia"/>
                      <w:szCs w:val="21"/>
                    </w:rPr>
                  </w:pPr>
                  <w:r>
                    <w:rPr>
                      <w:rFonts w:hint="eastAsia"/>
                      <w:szCs w:val="21"/>
                    </w:rPr>
                    <w:t>1次/</w:t>
                  </w:r>
                  <w:r>
                    <w:rPr>
                      <w:rFonts w:hint="eastAsia"/>
                      <w:szCs w:val="21"/>
                      <w:lang w:val="en-US" w:eastAsia="zh-CN"/>
                    </w:rPr>
                    <w:t>年</w:t>
                  </w:r>
                </w:p>
              </w:tc>
              <w:tc>
                <w:tcPr>
                  <w:tcW w:w="3067" w:type="dxa"/>
                  <w:vMerge w:val="continue"/>
                  <w:noWrap w:val="0"/>
                  <w:vAlign w:val="center"/>
                </w:tcPr>
                <w:p w14:paraId="4EF6E45F">
                  <w:pPr>
                    <w:adjustRightInd w:val="0"/>
                    <w:snapToGrid w:val="0"/>
                    <w:jc w:val="center"/>
                    <w:rPr>
                      <w:rFonts w:hint="eastAsia" w:ascii="Times New Roman" w:hAnsi="Times New Roman" w:eastAsia="宋体" w:cs="Times New Roman"/>
                      <w:bCs/>
                      <w:szCs w:val="21"/>
                      <w:lang w:val="en-US" w:eastAsia="zh-CN"/>
                    </w:rPr>
                  </w:pPr>
                </w:p>
              </w:tc>
            </w:tr>
            <w:tr w14:paraId="3F145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4" w:type="dxa"/>
                  <w:vMerge w:val="continue"/>
                  <w:noWrap w:val="0"/>
                  <w:vAlign w:val="center"/>
                </w:tcPr>
                <w:p w14:paraId="5B29E5E3">
                  <w:pPr>
                    <w:adjustRightInd w:val="0"/>
                    <w:snapToGrid w:val="0"/>
                    <w:jc w:val="center"/>
                  </w:pPr>
                </w:p>
              </w:tc>
              <w:tc>
                <w:tcPr>
                  <w:tcW w:w="1965" w:type="dxa"/>
                  <w:noWrap w:val="0"/>
                  <w:vAlign w:val="center"/>
                </w:tcPr>
                <w:p w14:paraId="3D7B0F3E">
                  <w:pPr>
                    <w:adjustRightInd w:val="0"/>
                    <w:snapToGrid w:val="0"/>
                    <w:jc w:val="center"/>
                    <w:rPr>
                      <w:rFonts w:hint="default" w:eastAsia="宋体"/>
                      <w:lang w:val="en-US" w:eastAsia="zh-CN"/>
                    </w:rPr>
                  </w:pPr>
                  <w:r>
                    <w:rPr>
                      <w:rFonts w:hint="eastAsia" w:eastAsia="宋体"/>
                      <w:lang w:val="en-US" w:eastAsia="zh-CN"/>
                    </w:rPr>
                    <w:t>切割工段废气排放口DA003</w:t>
                  </w:r>
                </w:p>
              </w:tc>
              <w:tc>
                <w:tcPr>
                  <w:tcW w:w="1075" w:type="dxa"/>
                  <w:noWrap w:val="0"/>
                  <w:vAlign w:val="center"/>
                </w:tcPr>
                <w:p w14:paraId="3F961FBF">
                  <w:pPr>
                    <w:adjustRightInd w:val="0"/>
                    <w:snapToGrid w:val="0"/>
                    <w:jc w:val="center"/>
                    <w:rPr>
                      <w:rFonts w:hint="default" w:eastAsia="宋体"/>
                      <w:szCs w:val="21"/>
                      <w:lang w:val="en-US" w:eastAsia="zh-CN"/>
                    </w:rPr>
                  </w:pPr>
                  <w:r>
                    <w:rPr>
                      <w:rFonts w:hint="eastAsia" w:eastAsia="宋体"/>
                      <w:szCs w:val="21"/>
                      <w:lang w:val="en-US" w:eastAsia="zh-CN"/>
                    </w:rPr>
                    <w:t>颗粒物</w:t>
                  </w:r>
                </w:p>
              </w:tc>
              <w:tc>
                <w:tcPr>
                  <w:tcW w:w="1116" w:type="dxa"/>
                  <w:noWrap w:val="0"/>
                  <w:vAlign w:val="center"/>
                </w:tcPr>
                <w:p w14:paraId="6311EDDC">
                  <w:pPr>
                    <w:adjustRightInd w:val="0"/>
                    <w:snapToGrid w:val="0"/>
                    <w:jc w:val="center"/>
                    <w:rPr>
                      <w:rFonts w:hint="eastAsia"/>
                      <w:szCs w:val="21"/>
                    </w:rPr>
                  </w:pPr>
                  <w:r>
                    <w:rPr>
                      <w:rFonts w:hint="eastAsia"/>
                      <w:szCs w:val="21"/>
                    </w:rPr>
                    <w:t>1次/</w:t>
                  </w:r>
                  <w:r>
                    <w:rPr>
                      <w:rFonts w:hint="eastAsia"/>
                      <w:szCs w:val="21"/>
                      <w:lang w:val="en-US" w:eastAsia="zh-CN"/>
                    </w:rPr>
                    <w:t>年</w:t>
                  </w:r>
                </w:p>
              </w:tc>
              <w:tc>
                <w:tcPr>
                  <w:tcW w:w="3067" w:type="dxa"/>
                  <w:vMerge w:val="continue"/>
                  <w:noWrap w:val="0"/>
                  <w:vAlign w:val="center"/>
                </w:tcPr>
                <w:p w14:paraId="02265004">
                  <w:pPr>
                    <w:adjustRightInd w:val="0"/>
                    <w:snapToGrid w:val="0"/>
                    <w:jc w:val="center"/>
                    <w:rPr>
                      <w:rFonts w:hint="default" w:eastAsia="宋体"/>
                      <w:szCs w:val="21"/>
                      <w:lang w:val="en-US" w:eastAsia="zh-CN"/>
                    </w:rPr>
                  </w:pPr>
                </w:p>
              </w:tc>
            </w:tr>
            <w:tr w14:paraId="1247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914" w:type="dxa"/>
                  <w:vMerge w:val="restart"/>
                  <w:noWrap w:val="0"/>
                  <w:vAlign w:val="center"/>
                </w:tcPr>
                <w:p w14:paraId="0F00882C">
                  <w:pPr>
                    <w:jc w:val="center"/>
                    <w:rPr>
                      <w:szCs w:val="21"/>
                    </w:rPr>
                  </w:pPr>
                  <w:r>
                    <w:rPr>
                      <w:rFonts w:hint="eastAsia"/>
                      <w:szCs w:val="21"/>
                    </w:rPr>
                    <w:t>无组织废气</w:t>
                  </w:r>
                </w:p>
              </w:tc>
              <w:tc>
                <w:tcPr>
                  <w:tcW w:w="1965" w:type="dxa"/>
                  <w:vMerge w:val="restart"/>
                  <w:noWrap w:val="0"/>
                  <w:vAlign w:val="center"/>
                </w:tcPr>
                <w:p w14:paraId="4905D70F">
                  <w:pPr>
                    <w:adjustRightInd w:val="0"/>
                    <w:snapToGrid w:val="0"/>
                    <w:jc w:val="center"/>
                    <w:rPr>
                      <w:szCs w:val="21"/>
                    </w:rPr>
                  </w:pPr>
                  <w:r>
                    <w:rPr>
                      <w:szCs w:val="21"/>
                    </w:rPr>
                    <w:t>厂界</w:t>
                  </w:r>
                </w:p>
              </w:tc>
              <w:tc>
                <w:tcPr>
                  <w:tcW w:w="1075" w:type="dxa"/>
                  <w:noWrap w:val="0"/>
                  <w:vAlign w:val="center"/>
                </w:tcPr>
                <w:p w14:paraId="7D00E106">
                  <w:pPr>
                    <w:adjustRightInd w:val="0"/>
                    <w:snapToGrid w:val="0"/>
                    <w:jc w:val="center"/>
                    <w:rPr>
                      <w:rFonts w:hint="default" w:eastAsia="宋体"/>
                      <w:szCs w:val="21"/>
                      <w:lang w:val="en-US" w:eastAsia="zh-CN"/>
                    </w:rPr>
                  </w:pPr>
                  <w:r>
                    <w:rPr>
                      <w:rFonts w:hint="eastAsia"/>
                      <w:szCs w:val="21"/>
                      <w:lang w:val="en-US" w:eastAsia="zh-CN"/>
                    </w:rPr>
                    <w:t>非甲烷总烃</w:t>
                  </w:r>
                </w:p>
              </w:tc>
              <w:tc>
                <w:tcPr>
                  <w:tcW w:w="1116" w:type="dxa"/>
                  <w:vMerge w:val="restart"/>
                  <w:noWrap w:val="0"/>
                  <w:vAlign w:val="center"/>
                </w:tcPr>
                <w:p w14:paraId="13C4F566">
                  <w:pPr>
                    <w:jc w:val="center"/>
                    <w:rPr>
                      <w:szCs w:val="21"/>
                    </w:rPr>
                  </w:pPr>
                  <w:r>
                    <w:rPr>
                      <w:rFonts w:hint="eastAsia"/>
                      <w:szCs w:val="21"/>
                    </w:rPr>
                    <w:t>1次/年</w:t>
                  </w:r>
                </w:p>
              </w:tc>
              <w:tc>
                <w:tcPr>
                  <w:tcW w:w="3067" w:type="dxa"/>
                  <w:vMerge w:val="restart"/>
                  <w:noWrap w:val="0"/>
                  <w:vAlign w:val="center"/>
                </w:tcPr>
                <w:p w14:paraId="43869DA9">
                  <w:pPr>
                    <w:adjustRightInd w:val="0"/>
                    <w:snapToGrid w:val="0"/>
                    <w:jc w:val="center"/>
                    <w:rPr>
                      <w:rFonts w:hint="default"/>
                      <w:szCs w:val="21"/>
                      <w:lang w:val="en-US"/>
                    </w:rPr>
                  </w:pPr>
                  <w:r>
                    <w:rPr>
                      <w:rFonts w:hint="eastAsia"/>
                      <w:szCs w:val="21"/>
                      <w:lang w:eastAsia="zh-CN"/>
                    </w:rPr>
                    <w:t>《</w:t>
                  </w:r>
                  <w:r>
                    <w:rPr>
                      <w:rFonts w:hint="eastAsia"/>
                      <w:szCs w:val="21"/>
                      <w:lang w:val="en-US" w:eastAsia="zh-CN"/>
                    </w:rPr>
                    <w:t>大气污染物综合排放标准</w:t>
                  </w:r>
                  <w:r>
                    <w:rPr>
                      <w:rFonts w:hint="eastAsia"/>
                      <w:szCs w:val="21"/>
                      <w:lang w:eastAsia="zh-CN"/>
                    </w:rPr>
                    <w:t>》（</w:t>
                  </w:r>
                  <w:r>
                    <w:rPr>
                      <w:rFonts w:hint="eastAsia"/>
                      <w:szCs w:val="21"/>
                      <w:lang w:val="en-US" w:eastAsia="zh-CN"/>
                    </w:rPr>
                    <w:t>GB16297-1996</w:t>
                  </w:r>
                  <w:r>
                    <w:rPr>
                      <w:rFonts w:hint="eastAsia"/>
                      <w:szCs w:val="21"/>
                      <w:lang w:eastAsia="zh-CN"/>
                    </w:rPr>
                    <w:t>）</w:t>
                  </w:r>
                  <w:r>
                    <w:rPr>
                      <w:rFonts w:hint="eastAsia"/>
                      <w:szCs w:val="21"/>
                      <w:lang w:val="en-US" w:eastAsia="zh-CN"/>
                    </w:rPr>
                    <w:t>表2中无组织监控浓度限值要求</w:t>
                  </w:r>
                </w:p>
              </w:tc>
            </w:tr>
            <w:tr w14:paraId="492D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4" w:type="dxa"/>
                  <w:vMerge w:val="continue"/>
                  <w:noWrap w:val="0"/>
                  <w:vAlign w:val="center"/>
                </w:tcPr>
                <w:p w14:paraId="56632D67">
                  <w:pPr>
                    <w:adjustRightInd w:val="0"/>
                    <w:snapToGrid w:val="0"/>
                    <w:jc w:val="center"/>
                  </w:pPr>
                </w:p>
              </w:tc>
              <w:tc>
                <w:tcPr>
                  <w:tcW w:w="1965" w:type="dxa"/>
                  <w:vMerge w:val="continue"/>
                  <w:noWrap w:val="0"/>
                  <w:vAlign w:val="center"/>
                </w:tcPr>
                <w:p w14:paraId="5520E43A">
                  <w:pPr>
                    <w:adjustRightInd w:val="0"/>
                    <w:snapToGrid w:val="0"/>
                    <w:jc w:val="center"/>
                  </w:pPr>
                </w:p>
              </w:tc>
              <w:tc>
                <w:tcPr>
                  <w:tcW w:w="1075" w:type="dxa"/>
                  <w:noWrap w:val="0"/>
                  <w:vAlign w:val="center"/>
                </w:tcPr>
                <w:p w14:paraId="753512D1">
                  <w:pPr>
                    <w:adjustRightInd w:val="0"/>
                    <w:snapToGrid w:val="0"/>
                    <w:jc w:val="center"/>
                    <w:rPr>
                      <w:rFonts w:hint="eastAsia" w:eastAsia="宋体"/>
                      <w:szCs w:val="21"/>
                      <w:lang w:val="en-US" w:eastAsia="zh-CN"/>
                    </w:rPr>
                  </w:pPr>
                  <w:r>
                    <w:rPr>
                      <w:rFonts w:hint="eastAsia"/>
                      <w:szCs w:val="21"/>
                      <w:lang w:val="en-US" w:eastAsia="zh-CN"/>
                    </w:rPr>
                    <w:t>颗粒物</w:t>
                  </w:r>
                </w:p>
              </w:tc>
              <w:tc>
                <w:tcPr>
                  <w:tcW w:w="1116" w:type="dxa"/>
                  <w:vMerge w:val="continue"/>
                  <w:noWrap w:val="0"/>
                  <w:vAlign w:val="center"/>
                </w:tcPr>
                <w:p w14:paraId="42FC99D8">
                  <w:pPr>
                    <w:adjustRightInd w:val="0"/>
                    <w:snapToGrid w:val="0"/>
                    <w:jc w:val="center"/>
                    <w:rPr>
                      <w:rFonts w:hint="eastAsia"/>
                      <w:szCs w:val="21"/>
                    </w:rPr>
                  </w:pPr>
                </w:p>
              </w:tc>
              <w:tc>
                <w:tcPr>
                  <w:tcW w:w="3067" w:type="dxa"/>
                  <w:vMerge w:val="continue"/>
                  <w:noWrap w:val="0"/>
                  <w:vAlign w:val="center"/>
                </w:tcPr>
                <w:p w14:paraId="70C2A349">
                  <w:pPr>
                    <w:adjustRightInd w:val="0"/>
                    <w:snapToGrid w:val="0"/>
                    <w:jc w:val="center"/>
                    <w:rPr>
                      <w:rFonts w:hint="default"/>
                      <w:szCs w:val="21"/>
                      <w:lang w:val="en-US"/>
                    </w:rPr>
                  </w:pPr>
                </w:p>
              </w:tc>
            </w:tr>
            <w:tr w14:paraId="7463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914" w:type="dxa"/>
                  <w:vMerge w:val="continue"/>
                  <w:noWrap w:val="0"/>
                  <w:vAlign w:val="center"/>
                </w:tcPr>
                <w:p w14:paraId="0E10CF98">
                  <w:pPr>
                    <w:adjustRightInd w:val="0"/>
                    <w:snapToGrid w:val="0"/>
                    <w:jc w:val="center"/>
                  </w:pPr>
                </w:p>
              </w:tc>
              <w:tc>
                <w:tcPr>
                  <w:tcW w:w="1965" w:type="dxa"/>
                  <w:noWrap w:val="0"/>
                  <w:vAlign w:val="center"/>
                </w:tcPr>
                <w:p w14:paraId="740F8B98">
                  <w:pPr>
                    <w:adjustRightInd w:val="0"/>
                    <w:snapToGrid w:val="0"/>
                    <w:jc w:val="center"/>
                    <w:rPr>
                      <w:rFonts w:hint="default" w:eastAsia="宋体"/>
                      <w:lang w:val="en-US" w:eastAsia="zh-CN"/>
                    </w:rPr>
                  </w:pPr>
                  <w:r>
                    <w:rPr>
                      <w:rFonts w:hint="eastAsia"/>
                      <w:lang w:val="en-US" w:eastAsia="zh-CN"/>
                    </w:rPr>
                    <w:t>厂区内</w:t>
                  </w:r>
                </w:p>
              </w:tc>
              <w:tc>
                <w:tcPr>
                  <w:tcW w:w="1075" w:type="dxa"/>
                  <w:noWrap w:val="0"/>
                  <w:vAlign w:val="center"/>
                </w:tcPr>
                <w:p w14:paraId="5016F82F">
                  <w:pPr>
                    <w:adjustRightInd w:val="0"/>
                    <w:snapToGrid w:val="0"/>
                    <w:jc w:val="center"/>
                    <w:rPr>
                      <w:rFonts w:hint="default"/>
                      <w:szCs w:val="21"/>
                      <w:lang w:val="en-US" w:eastAsia="zh-CN"/>
                    </w:rPr>
                  </w:pPr>
                  <w:r>
                    <w:rPr>
                      <w:rFonts w:hint="eastAsia"/>
                      <w:szCs w:val="21"/>
                      <w:lang w:val="en-US" w:eastAsia="zh-CN"/>
                    </w:rPr>
                    <w:t>非甲烷总烃</w:t>
                  </w:r>
                </w:p>
              </w:tc>
              <w:tc>
                <w:tcPr>
                  <w:tcW w:w="1116" w:type="dxa"/>
                  <w:noWrap w:val="0"/>
                  <w:vAlign w:val="center"/>
                </w:tcPr>
                <w:p w14:paraId="3CB53092">
                  <w:pPr>
                    <w:adjustRightInd w:val="0"/>
                    <w:snapToGrid w:val="0"/>
                    <w:jc w:val="center"/>
                    <w:rPr>
                      <w:rFonts w:hint="default" w:eastAsia="宋体"/>
                      <w:szCs w:val="21"/>
                      <w:lang w:val="en-US" w:eastAsia="zh-CN"/>
                    </w:rPr>
                  </w:pPr>
                  <w:r>
                    <w:rPr>
                      <w:rFonts w:hint="eastAsia"/>
                      <w:szCs w:val="21"/>
                      <w:lang w:val="en-US" w:eastAsia="zh-CN"/>
                    </w:rPr>
                    <w:t>1次/年</w:t>
                  </w:r>
                </w:p>
              </w:tc>
              <w:tc>
                <w:tcPr>
                  <w:tcW w:w="3067" w:type="dxa"/>
                  <w:noWrap w:val="0"/>
                  <w:vAlign w:val="center"/>
                </w:tcPr>
                <w:p w14:paraId="2F6B0E25">
                  <w:pPr>
                    <w:adjustRightInd w:val="0"/>
                    <w:snapToGrid w:val="0"/>
                    <w:jc w:val="center"/>
                    <w:rPr>
                      <w:rFonts w:hint="default"/>
                      <w:szCs w:val="21"/>
                      <w:lang w:val="en-US"/>
                    </w:rPr>
                  </w:pPr>
                  <w:r>
                    <w:rPr>
                      <w:rFonts w:hint="eastAsia" w:ascii="Times New Roman" w:hAnsi="Times New Roman" w:eastAsia="宋体" w:cs="Times New Roman"/>
                      <w:color w:val="auto"/>
                      <w:sz w:val="21"/>
                      <w:szCs w:val="21"/>
                      <w:lang w:val="en-US" w:eastAsia="zh-CN"/>
                    </w:rPr>
                    <w:t>《固定源挥发性有机物综合排放标准》（DB34/4812.6-2024）表4中限值要求</w:t>
                  </w:r>
                </w:p>
              </w:tc>
            </w:tr>
          </w:tbl>
          <w:p w14:paraId="3EF56225">
            <w:pPr>
              <w:adjustRightInd w:val="0"/>
              <w:snapToGrid w:val="0"/>
              <w:spacing w:before="120" w:beforeLines="50" w:line="360" w:lineRule="auto"/>
              <w:rPr>
                <w:b/>
                <w:sz w:val="24"/>
                <w:szCs w:val="22"/>
              </w:rPr>
            </w:pPr>
            <w:r>
              <w:rPr>
                <w:rFonts w:hint="eastAsia"/>
                <w:b/>
                <w:sz w:val="24"/>
                <w:szCs w:val="22"/>
              </w:rPr>
              <w:t>4.2.6废气非正常工况分析</w:t>
            </w:r>
          </w:p>
          <w:p w14:paraId="7C657C03">
            <w:pPr>
              <w:pStyle w:val="68"/>
              <w:wordWrap w:val="0"/>
              <w:spacing w:line="360" w:lineRule="auto"/>
              <w:rPr>
                <w:rFonts w:ascii="Times New Roman" w:hAnsi="Times New Roman" w:eastAsia="宋体" w:cs="Times New Roman"/>
                <w:bCs/>
              </w:rPr>
            </w:pPr>
            <w:r>
              <w:rPr>
                <w:rFonts w:ascii="Times New Roman" w:hAnsi="Times New Roman" w:eastAsia="宋体" w:cs="Times New Roman"/>
                <w:bCs/>
              </w:rPr>
              <w:t>废气非正常工况排放是指生产车间废气治理措施运行事故，达不到设计要求时的处理效率。</w:t>
            </w:r>
            <w:r>
              <w:rPr>
                <w:rFonts w:hint="eastAsia" w:ascii="Times New Roman" w:hAnsi="Times New Roman" w:eastAsia="宋体" w:cs="Times New Roman"/>
                <w:bCs/>
              </w:rPr>
              <w:t>本</w:t>
            </w:r>
            <w:r>
              <w:rPr>
                <w:rFonts w:ascii="Times New Roman" w:hAnsi="Times New Roman" w:eastAsia="宋体" w:cs="Times New Roman"/>
                <w:bCs/>
              </w:rPr>
              <w:t>项目可能发生废气事故排放的环节主要考虑为废气处理设施失效。</w:t>
            </w:r>
            <w:r>
              <w:rPr>
                <w:rFonts w:hint="eastAsia" w:ascii="Times New Roman" w:hAnsi="Times New Roman" w:eastAsia="宋体" w:cs="Times New Roman"/>
                <w:bCs/>
              </w:rPr>
              <w:t>本</w:t>
            </w:r>
            <w:r>
              <w:rPr>
                <w:rFonts w:ascii="Times New Roman" w:hAnsi="Times New Roman" w:eastAsia="宋体" w:cs="Times New Roman"/>
                <w:bCs/>
              </w:rPr>
              <w:t>项目非正常工况排放考虑最不利情况，即废气处理措施完全失效的情况，废气处理净化效率为0%。</w:t>
            </w:r>
            <w:r>
              <w:rPr>
                <w:rFonts w:hint="eastAsia" w:ascii="Times New Roman" w:hAnsi="Times New Roman" w:eastAsia="宋体" w:cs="Times New Roman"/>
                <w:bCs/>
              </w:rPr>
              <w:t>本</w:t>
            </w:r>
            <w:r>
              <w:rPr>
                <w:rFonts w:ascii="Times New Roman" w:hAnsi="Times New Roman" w:eastAsia="宋体" w:cs="Times New Roman"/>
                <w:bCs/>
              </w:rPr>
              <w:t>项目非正常工况下污染物排放量</w:t>
            </w:r>
            <w:r>
              <w:rPr>
                <w:rFonts w:hint="eastAsia" w:ascii="Times New Roman" w:hAnsi="Times New Roman" w:eastAsia="宋体" w:cs="Times New Roman"/>
                <w:bCs/>
              </w:rPr>
              <w:t>见下表</w:t>
            </w:r>
            <w:r>
              <w:rPr>
                <w:rFonts w:ascii="Times New Roman" w:hAnsi="Times New Roman" w:eastAsia="宋体" w:cs="Times New Roman"/>
                <w:bCs/>
              </w:rPr>
              <w:t>。</w:t>
            </w:r>
          </w:p>
          <w:p w14:paraId="5A1A91E0">
            <w:pPr>
              <w:pStyle w:val="29"/>
              <w:adjustRightInd/>
              <w:spacing w:line="240" w:lineRule="auto"/>
              <w:jc w:val="center"/>
              <w:rPr>
                <w:rFonts w:ascii="Times New Roman" w:eastAsia="宋体" w:cs="Times New Roman"/>
                <w:bCs/>
                <w:sz w:val="21"/>
              </w:rPr>
            </w:pPr>
            <w:r>
              <w:rPr>
                <w:rFonts w:ascii="Times New Roman" w:eastAsia="宋体" w:cs="Times New Roman"/>
                <w:bCs/>
                <w:sz w:val="21"/>
              </w:rPr>
              <w:t>表4-</w:t>
            </w:r>
            <w:r>
              <w:rPr>
                <w:rFonts w:hint="eastAsia" w:ascii="Times New Roman" w:eastAsia="宋体" w:cs="Times New Roman"/>
                <w:bCs/>
                <w:sz w:val="21"/>
                <w:lang w:val="en-US" w:eastAsia="zh-CN"/>
              </w:rPr>
              <w:t>9</w:t>
            </w:r>
            <w:r>
              <w:rPr>
                <w:rFonts w:ascii="Times New Roman" w:eastAsia="宋体" w:cs="Times New Roman"/>
                <w:bCs/>
                <w:sz w:val="21"/>
              </w:rPr>
              <w:t xml:space="preserve">  非正常工况下废气污染物排放情况</w:t>
            </w:r>
          </w:p>
          <w:tbl>
            <w:tblPr>
              <w:tblStyle w:val="24"/>
              <w:tblW w:w="8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920"/>
              <w:gridCol w:w="1220"/>
              <w:gridCol w:w="1266"/>
              <w:gridCol w:w="1027"/>
              <w:gridCol w:w="1120"/>
              <w:gridCol w:w="920"/>
              <w:gridCol w:w="766"/>
            </w:tblGrid>
            <w:tr w14:paraId="43D2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583" w:type="pct"/>
                  <w:vMerge w:val="restart"/>
                  <w:noWrap w:val="0"/>
                  <w:vAlign w:val="center"/>
                </w:tcPr>
                <w:p w14:paraId="0B12C96A">
                  <w:pPr>
                    <w:pStyle w:val="29"/>
                    <w:adjustRightInd/>
                    <w:spacing w:line="240" w:lineRule="auto"/>
                    <w:jc w:val="center"/>
                    <w:rPr>
                      <w:rFonts w:ascii="Times New Roman" w:eastAsia="宋体" w:cs="Times New Roman"/>
                      <w:bCs/>
                      <w:sz w:val="21"/>
                    </w:rPr>
                  </w:pPr>
                  <w:r>
                    <w:rPr>
                      <w:rFonts w:ascii="Times New Roman" w:eastAsia="宋体" w:cs="Times New Roman"/>
                      <w:bCs/>
                      <w:sz w:val="21"/>
                    </w:rPr>
                    <w:t>污染源</w:t>
                  </w:r>
                </w:p>
              </w:tc>
              <w:tc>
                <w:tcPr>
                  <w:tcW w:w="561" w:type="pct"/>
                  <w:vMerge w:val="restart"/>
                  <w:noWrap w:val="0"/>
                  <w:vAlign w:val="center"/>
                </w:tcPr>
                <w:p w14:paraId="5996181A">
                  <w:pPr>
                    <w:pStyle w:val="29"/>
                    <w:adjustRightInd/>
                    <w:spacing w:line="240" w:lineRule="auto"/>
                    <w:jc w:val="center"/>
                    <w:rPr>
                      <w:rFonts w:ascii="Times New Roman" w:eastAsia="宋体" w:cs="Times New Roman"/>
                      <w:bCs/>
                      <w:sz w:val="21"/>
                    </w:rPr>
                  </w:pPr>
                  <w:r>
                    <w:rPr>
                      <w:rFonts w:ascii="Times New Roman" w:eastAsia="宋体" w:cs="Times New Roman"/>
                      <w:bCs/>
                      <w:sz w:val="21"/>
                    </w:rPr>
                    <w:t>污染物</w:t>
                  </w:r>
                </w:p>
              </w:tc>
              <w:tc>
                <w:tcPr>
                  <w:tcW w:w="1516" w:type="pct"/>
                  <w:gridSpan w:val="2"/>
                  <w:noWrap w:val="0"/>
                  <w:vAlign w:val="center"/>
                </w:tcPr>
                <w:p w14:paraId="27C61AFC">
                  <w:pPr>
                    <w:pStyle w:val="29"/>
                    <w:adjustRightInd/>
                    <w:spacing w:line="240" w:lineRule="auto"/>
                    <w:jc w:val="center"/>
                    <w:rPr>
                      <w:rFonts w:ascii="Times New Roman" w:eastAsia="宋体" w:cs="Times New Roman"/>
                      <w:bCs/>
                      <w:sz w:val="21"/>
                    </w:rPr>
                  </w:pPr>
                  <w:r>
                    <w:rPr>
                      <w:rFonts w:ascii="Times New Roman" w:eastAsia="宋体" w:cs="Times New Roman"/>
                      <w:bCs/>
                      <w:sz w:val="21"/>
                    </w:rPr>
                    <w:t>废气处理设施净化效率为0%</w:t>
                  </w:r>
                </w:p>
              </w:tc>
              <w:tc>
                <w:tcPr>
                  <w:tcW w:w="1309" w:type="pct"/>
                  <w:gridSpan w:val="2"/>
                  <w:noWrap w:val="0"/>
                  <w:vAlign w:val="center"/>
                </w:tcPr>
                <w:p w14:paraId="3DA96200">
                  <w:pPr>
                    <w:pStyle w:val="29"/>
                    <w:adjustRightInd/>
                    <w:spacing w:line="240" w:lineRule="auto"/>
                    <w:jc w:val="center"/>
                    <w:rPr>
                      <w:rFonts w:ascii="Times New Roman" w:eastAsia="宋体" w:cs="Times New Roman"/>
                      <w:bCs/>
                      <w:sz w:val="21"/>
                    </w:rPr>
                  </w:pPr>
                  <w:r>
                    <w:rPr>
                      <w:rFonts w:ascii="Times New Roman" w:eastAsia="宋体" w:cs="Times New Roman"/>
                      <w:bCs/>
                      <w:sz w:val="21"/>
                    </w:rPr>
                    <w:t>标准值</w:t>
                  </w:r>
                </w:p>
              </w:tc>
              <w:tc>
                <w:tcPr>
                  <w:tcW w:w="561" w:type="pct"/>
                  <w:vMerge w:val="restart"/>
                  <w:noWrap w:val="0"/>
                  <w:vAlign w:val="center"/>
                </w:tcPr>
                <w:p w14:paraId="45A25EDC">
                  <w:pPr>
                    <w:pStyle w:val="29"/>
                    <w:adjustRightInd/>
                    <w:spacing w:line="240" w:lineRule="auto"/>
                    <w:jc w:val="center"/>
                    <w:rPr>
                      <w:rFonts w:ascii="Times New Roman" w:eastAsia="宋体" w:cs="Times New Roman"/>
                      <w:bCs/>
                      <w:sz w:val="21"/>
                    </w:rPr>
                  </w:pPr>
                  <w:r>
                    <w:rPr>
                      <w:rFonts w:hint="eastAsia" w:ascii="Times New Roman" w:eastAsia="宋体" w:cs="Times New Roman"/>
                      <w:bCs/>
                      <w:sz w:val="21"/>
                    </w:rPr>
                    <w:t>单次持续时间/h</w:t>
                  </w:r>
                </w:p>
              </w:tc>
              <w:tc>
                <w:tcPr>
                  <w:tcW w:w="467" w:type="pct"/>
                  <w:vMerge w:val="restart"/>
                  <w:noWrap w:val="0"/>
                  <w:vAlign w:val="center"/>
                </w:tcPr>
                <w:p w14:paraId="135FEA80">
                  <w:pPr>
                    <w:pStyle w:val="29"/>
                    <w:adjustRightInd/>
                    <w:spacing w:line="240" w:lineRule="auto"/>
                    <w:jc w:val="center"/>
                    <w:rPr>
                      <w:rFonts w:ascii="Times New Roman" w:eastAsia="宋体" w:cs="Times New Roman"/>
                      <w:bCs/>
                      <w:sz w:val="21"/>
                    </w:rPr>
                  </w:pPr>
                  <w:r>
                    <w:rPr>
                      <w:rFonts w:hint="eastAsia" w:ascii="Times New Roman" w:eastAsia="宋体" w:cs="Times New Roman"/>
                      <w:bCs/>
                      <w:sz w:val="21"/>
                    </w:rPr>
                    <w:t>年发生频次/次</w:t>
                  </w:r>
                </w:p>
              </w:tc>
            </w:tr>
            <w:tr w14:paraId="0C36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583" w:type="pct"/>
                  <w:vMerge w:val="continue"/>
                  <w:noWrap w:val="0"/>
                  <w:vAlign w:val="center"/>
                </w:tcPr>
                <w:p w14:paraId="1852CEBB">
                  <w:pPr>
                    <w:pStyle w:val="29"/>
                    <w:adjustRightInd/>
                    <w:spacing w:line="240" w:lineRule="auto"/>
                    <w:jc w:val="center"/>
                    <w:rPr>
                      <w:rFonts w:ascii="Times New Roman" w:eastAsia="宋体" w:cs="Times New Roman"/>
                      <w:sz w:val="21"/>
                    </w:rPr>
                  </w:pPr>
                </w:p>
              </w:tc>
              <w:tc>
                <w:tcPr>
                  <w:tcW w:w="561" w:type="pct"/>
                  <w:vMerge w:val="continue"/>
                  <w:noWrap w:val="0"/>
                  <w:vAlign w:val="center"/>
                </w:tcPr>
                <w:p w14:paraId="41410CC9">
                  <w:pPr>
                    <w:pStyle w:val="29"/>
                    <w:adjustRightInd/>
                    <w:spacing w:line="240" w:lineRule="auto"/>
                    <w:jc w:val="center"/>
                    <w:rPr>
                      <w:rFonts w:ascii="Times New Roman" w:eastAsia="宋体" w:cs="Times New Roman"/>
                      <w:sz w:val="21"/>
                    </w:rPr>
                  </w:pPr>
                </w:p>
              </w:tc>
              <w:tc>
                <w:tcPr>
                  <w:tcW w:w="744" w:type="pct"/>
                  <w:noWrap w:val="0"/>
                  <w:vAlign w:val="center"/>
                </w:tcPr>
                <w:p w14:paraId="2053B085">
                  <w:pPr>
                    <w:pStyle w:val="29"/>
                    <w:adjustRightInd/>
                    <w:spacing w:line="240" w:lineRule="auto"/>
                    <w:jc w:val="center"/>
                    <w:rPr>
                      <w:rFonts w:ascii="Times New Roman" w:eastAsia="宋体" w:cs="Times New Roman"/>
                      <w:sz w:val="21"/>
                    </w:rPr>
                  </w:pPr>
                  <w:r>
                    <w:rPr>
                      <w:rFonts w:ascii="Times New Roman" w:eastAsia="宋体" w:cs="Times New Roman"/>
                      <w:sz w:val="21"/>
                    </w:rPr>
                    <w:t>排放浓度mg/m</w:t>
                  </w:r>
                  <w:r>
                    <w:rPr>
                      <w:rFonts w:ascii="Times New Roman" w:eastAsia="宋体" w:cs="Times New Roman"/>
                      <w:sz w:val="21"/>
                      <w:vertAlign w:val="superscript"/>
                    </w:rPr>
                    <w:t>3</w:t>
                  </w:r>
                </w:p>
              </w:tc>
              <w:tc>
                <w:tcPr>
                  <w:tcW w:w="772" w:type="pct"/>
                  <w:noWrap w:val="0"/>
                  <w:vAlign w:val="center"/>
                </w:tcPr>
                <w:p w14:paraId="2345E7D9">
                  <w:pPr>
                    <w:pStyle w:val="29"/>
                    <w:adjustRightInd/>
                    <w:spacing w:line="240" w:lineRule="auto"/>
                    <w:jc w:val="center"/>
                    <w:rPr>
                      <w:rFonts w:ascii="Times New Roman" w:eastAsia="宋体" w:cs="Times New Roman"/>
                      <w:sz w:val="21"/>
                    </w:rPr>
                  </w:pPr>
                  <w:r>
                    <w:rPr>
                      <w:rFonts w:ascii="Times New Roman" w:eastAsia="宋体" w:cs="Times New Roman"/>
                      <w:sz w:val="21"/>
                    </w:rPr>
                    <w:t>排放速率kg/h</w:t>
                  </w:r>
                </w:p>
              </w:tc>
              <w:tc>
                <w:tcPr>
                  <w:tcW w:w="626" w:type="pct"/>
                  <w:noWrap w:val="0"/>
                  <w:vAlign w:val="center"/>
                </w:tcPr>
                <w:p w14:paraId="54110861">
                  <w:pPr>
                    <w:pStyle w:val="29"/>
                    <w:adjustRightInd/>
                    <w:spacing w:line="240" w:lineRule="auto"/>
                    <w:jc w:val="center"/>
                    <w:rPr>
                      <w:rFonts w:ascii="Times New Roman" w:eastAsia="宋体" w:cs="Times New Roman"/>
                      <w:sz w:val="21"/>
                    </w:rPr>
                  </w:pPr>
                  <w:r>
                    <w:rPr>
                      <w:rFonts w:ascii="Times New Roman" w:eastAsia="宋体" w:cs="Times New Roman"/>
                      <w:sz w:val="21"/>
                    </w:rPr>
                    <w:t>排放浓度mg/m</w:t>
                  </w:r>
                  <w:r>
                    <w:rPr>
                      <w:rFonts w:ascii="Times New Roman" w:eastAsia="宋体" w:cs="Times New Roman"/>
                      <w:sz w:val="21"/>
                      <w:vertAlign w:val="superscript"/>
                    </w:rPr>
                    <w:t>3</w:t>
                  </w:r>
                </w:p>
              </w:tc>
              <w:tc>
                <w:tcPr>
                  <w:tcW w:w="682" w:type="pct"/>
                  <w:noWrap w:val="0"/>
                  <w:vAlign w:val="center"/>
                </w:tcPr>
                <w:p w14:paraId="115846DE">
                  <w:pPr>
                    <w:pStyle w:val="29"/>
                    <w:adjustRightInd/>
                    <w:spacing w:line="240" w:lineRule="auto"/>
                    <w:jc w:val="center"/>
                    <w:rPr>
                      <w:rFonts w:ascii="Times New Roman" w:eastAsia="宋体" w:cs="Times New Roman"/>
                      <w:sz w:val="21"/>
                    </w:rPr>
                  </w:pPr>
                  <w:r>
                    <w:rPr>
                      <w:rFonts w:ascii="Times New Roman" w:eastAsia="宋体" w:cs="Times New Roman"/>
                      <w:sz w:val="21"/>
                    </w:rPr>
                    <w:t>排放速率kg/h</w:t>
                  </w:r>
                </w:p>
              </w:tc>
              <w:tc>
                <w:tcPr>
                  <w:tcW w:w="561" w:type="pct"/>
                  <w:vMerge w:val="continue"/>
                  <w:noWrap w:val="0"/>
                  <w:vAlign w:val="center"/>
                </w:tcPr>
                <w:p w14:paraId="62441447">
                  <w:pPr>
                    <w:pStyle w:val="29"/>
                    <w:adjustRightInd/>
                    <w:spacing w:line="240" w:lineRule="auto"/>
                    <w:jc w:val="center"/>
                    <w:rPr>
                      <w:rFonts w:ascii="Times New Roman" w:eastAsia="宋体" w:cs="Times New Roman"/>
                      <w:sz w:val="21"/>
                    </w:rPr>
                  </w:pPr>
                </w:p>
              </w:tc>
              <w:tc>
                <w:tcPr>
                  <w:tcW w:w="467" w:type="pct"/>
                  <w:vMerge w:val="continue"/>
                  <w:noWrap w:val="0"/>
                  <w:vAlign w:val="center"/>
                </w:tcPr>
                <w:p w14:paraId="58F55513">
                  <w:pPr>
                    <w:pStyle w:val="29"/>
                    <w:adjustRightInd/>
                    <w:spacing w:line="240" w:lineRule="auto"/>
                    <w:jc w:val="center"/>
                    <w:rPr>
                      <w:rFonts w:ascii="Times New Roman" w:eastAsia="宋体" w:cs="Times New Roman"/>
                      <w:sz w:val="21"/>
                    </w:rPr>
                  </w:pPr>
                </w:p>
              </w:tc>
            </w:tr>
            <w:tr w14:paraId="38C5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583" w:type="pct"/>
                  <w:noWrap w:val="0"/>
                  <w:vAlign w:val="center"/>
                </w:tcPr>
                <w:p w14:paraId="01833440">
                  <w:pPr>
                    <w:widowControl/>
                    <w:jc w:val="center"/>
                    <w:textAlignment w:val="center"/>
                    <w:rPr>
                      <w:b/>
                      <w:bCs/>
                    </w:rPr>
                  </w:pPr>
                  <w:r>
                    <w:rPr>
                      <w:rFonts w:hint="eastAsia"/>
                      <w:color w:val="000000"/>
                      <w:kern w:val="0"/>
                      <w:szCs w:val="21"/>
                      <w:lang w:bidi="ar"/>
                    </w:rPr>
                    <w:t>DA001</w:t>
                  </w:r>
                </w:p>
              </w:tc>
              <w:tc>
                <w:tcPr>
                  <w:tcW w:w="561" w:type="pct"/>
                  <w:noWrap w:val="0"/>
                  <w:vAlign w:val="center"/>
                </w:tcPr>
                <w:p w14:paraId="45D8FC23">
                  <w:pPr>
                    <w:pStyle w:val="29"/>
                    <w:adjustRightInd/>
                    <w:spacing w:line="240" w:lineRule="auto"/>
                    <w:jc w:val="center"/>
                    <w:rPr>
                      <w:rFonts w:hint="default" w:ascii="Times New Roman" w:eastAsia="宋体" w:cs="Times New Roman"/>
                      <w:b w:val="0"/>
                      <w:sz w:val="21"/>
                      <w:lang w:val="en-US" w:eastAsia="zh-CN"/>
                    </w:rPr>
                  </w:pPr>
                  <w:r>
                    <w:rPr>
                      <w:rFonts w:hint="eastAsia" w:ascii="Times New Roman" w:eastAsia="宋体" w:cs="Times New Roman"/>
                      <w:b w:val="0"/>
                      <w:sz w:val="21"/>
                      <w:lang w:val="en-US" w:eastAsia="zh-CN"/>
                    </w:rPr>
                    <w:t>非甲烷总烃</w:t>
                  </w:r>
                </w:p>
              </w:tc>
              <w:tc>
                <w:tcPr>
                  <w:tcW w:w="744" w:type="pct"/>
                  <w:noWrap w:val="0"/>
                  <w:vAlign w:val="center"/>
                </w:tcPr>
                <w:p w14:paraId="5B994FDE">
                  <w:pPr>
                    <w:pStyle w:val="29"/>
                    <w:spacing w:line="240" w:lineRule="auto"/>
                    <w:jc w:val="center"/>
                    <w:rPr>
                      <w:rFonts w:hint="default" w:eastAsia="黑体"/>
                      <w:szCs w:val="21"/>
                      <w:lang w:val="en-US" w:eastAsia="zh-CN"/>
                    </w:rPr>
                  </w:pPr>
                  <w:r>
                    <w:rPr>
                      <w:rFonts w:hint="eastAsia" w:ascii="Times New Roman" w:hAnsi="Times New Roman" w:eastAsia="宋体" w:cs="Times New Roman"/>
                      <w:b w:val="0"/>
                      <w:bCs w:val="0"/>
                      <w:sz w:val="21"/>
                      <w:szCs w:val="21"/>
                      <w:lang w:val="en-US" w:eastAsia="zh-CN"/>
                    </w:rPr>
                    <w:t>58.8</w:t>
                  </w:r>
                </w:p>
              </w:tc>
              <w:tc>
                <w:tcPr>
                  <w:tcW w:w="772" w:type="pct"/>
                  <w:noWrap w:val="0"/>
                  <w:vAlign w:val="center"/>
                </w:tcPr>
                <w:p w14:paraId="3EB2BFDF">
                  <w:pPr>
                    <w:pStyle w:val="29"/>
                    <w:spacing w:line="240" w:lineRule="auto"/>
                    <w:jc w:val="center"/>
                    <w:rPr>
                      <w:rFonts w:hint="default" w:eastAsia="宋体"/>
                      <w:bCs/>
                      <w:lang w:val="en-US" w:eastAsia="zh-CN"/>
                    </w:rPr>
                  </w:pPr>
                  <w:r>
                    <w:rPr>
                      <w:rFonts w:hint="eastAsia" w:ascii="Times New Roman" w:hAnsi="Times New Roman" w:eastAsia="宋体" w:cs="Times New Roman"/>
                      <w:b w:val="0"/>
                      <w:bCs w:val="0"/>
                      <w:sz w:val="21"/>
                      <w:szCs w:val="21"/>
                      <w:lang w:val="en-US" w:eastAsia="zh-CN"/>
                    </w:rPr>
                    <w:t>0.412</w:t>
                  </w:r>
                </w:p>
              </w:tc>
              <w:tc>
                <w:tcPr>
                  <w:tcW w:w="626" w:type="pct"/>
                  <w:noWrap w:val="0"/>
                  <w:vAlign w:val="center"/>
                </w:tcPr>
                <w:p w14:paraId="27E919C3">
                  <w:pPr>
                    <w:jc w:val="center"/>
                    <w:rPr>
                      <w:rFonts w:hint="default"/>
                      <w:bCs/>
                      <w:szCs w:val="21"/>
                      <w:lang w:val="en-US"/>
                    </w:rPr>
                  </w:pPr>
                  <w:r>
                    <w:rPr>
                      <w:rFonts w:hint="eastAsia"/>
                      <w:bCs/>
                      <w:szCs w:val="21"/>
                      <w:lang w:val="en-US" w:eastAsia="zh-CN"/>
                    </w:rPr>
                    <w:t>120</w:t>
                  </w:r>
                </w:p>
              </w:tc>
              <w:tc>
                <w:tcPr>
                  <w:tcW w:w="682" w:type="pct"/>
                  <w:noWrap w:val="0"/>
                  <w:vAlign w:val="center"/>
                </w:tcPr>
                <w:p w14:paraId="6CD62EAE">
                  <w:pPr>
                    <w:jc w:val="center"/>
                    <w:rPr>
                      <w:rFonts w:hint="default" w:eastAsia="宋体"/>
                      <w:bCs/>
                      <w:szCs w:val="21"/>
                      <w:lang w:val="en-US" w:eastAsia="zh-CN"/>
                    </w:rPr>
                  </w:pPr>
                  <w:r>
                    <w:rPr>
                      <w:rFonts w:hint="eastAsia" w:eastAsia="宋体"/>
                      <w:bCs/>
                      <w:szCs w:val="21"/>
                      <w:lang w:val="en-US" w:eastAsia="zh-CN"/>
                    </w:rPr>
                    <w:t>10</w:t>
                  </w:r>
                </w:p>
              </w:tc>
              <w:tc>
                <w:tcPr>
                  <w:tcW w:w="561" w:type="pct"/>
                  <w:noWrap w:val="0"/>
                  <w:vAlign w:val="center"/>
                </w:tcPr>
                <w:p w14:paraId="0010EDE1">
                  <w:pPr>
                    <w:jc w:val="center"/>
                    <w:rPr>
                      <w:rFonts w:hint="eastAsia"/>
                      <w:color w:val="000000"/>
                      <w:szCs w:val="21"/>
                    </w:rPr>
                  </w:pPr>
                  <w:r>
                    <w:rPr>
                      <w:rFonts w:hint="eastAsia"/>
                      <w:color w:val="000000"/>
                      <w:szCs w:val="21"/>
                    </w:rPr>
                    <w:t>0.5</w:t>
                  </w:r>
                </w:p>
              </w:tc>
              <w:tc>
                <w:tcPr>
                  <w:tcW w:w="467" w:type="pct"/>
                  <w:noWrap w:val="0"/>
                  <w:vAlign w:val="center"/>
                </w:tcPr>
                <w:p w14:paraId="14CB6FCC">
                  <w:pPr>
                    <w:jc w:val="center"/>
                    <w:rPr>
                      <w:rFonts w:hint="eastAsia"/>
                      <w:color w:val="000000"/>
                      <w:szCs w:val="21"/>
                    </w:rPr>
                  </w:pPr>
                  <w:r>
                    <w:rPr>
                      <w:rFonts w:hint="eastAsia"/>
                      <w:color w:val="000000"/>
                      <w:szCs w:val="21"/>
                    </w:rPr>
                    <w:t>1</w:t>
                  </w:r>
                </w:p>
              </w:tc>
            </w:tr>
            <w:tr w14:paraId="56CE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583" w:type="pct"/>
                  <w:noWrap w:val="0"/>
                  <w:vAlign w:val="center"/>
                </w:tcPr>
                <w:p w14:paraId="07E5D4AB">
                  <w:pPr>
                    <w:widowControl/>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DA002</w:t>
                  </w:r>
                </w:p>
              </w:tc>
              <w:tc>
                <w:tcPr>
                  <w:tcW w:w="561" w:type="pct"/>
                  <w:noWrap w:val="0"/>
                  <w:vAlign w:val="center"/>
                </w:tcPr>
                <w:p w14:paraId="617503BC">
                  <w:pPr>
                    <w:pStyle w:val="29"/>
                    <w:adjustRightInd/>
                    <w:spacing w:line="240" w:lineRule="auto"/>
                    <w:jc w:val="center"/>
                    <w:rPr>
                      <w:rFonts w:hint="default" w:ascii="Times New Roman" w:eastAsia="宋体" w:cs="Times New Roman"/>
                      <w:b w:val="0"/>
                      <w:sz w:val="21"/>
                      <w:lang w:val="en-US" w:eastAsia="zh-CN"/>
                    </w:rPr>
                  </w:pPr>
                  <w:r>
                    <w:rPr>
                      <w:rFonts w:hint="eastAsia" w:ascii="Times New Roman" w:eastAsia="宋体" w:cs="Times New Roman"/>
                      <w:b w:val="0"/>
                      <w:sz w:val="21"/>
                      <w:lang w:val="en-US" w:eastAsia="zh-CN"/>
                    </w:rPr>
                    <w:t>非甲烷总烃</w:t>
                  </w:r>
                </w:p>
              </w:tc>
              <w:tc>
                <w:tcPr>
                  <w:tcW w:w="744" w:type="pct"/>
                  <w:noWrap w:val="0"/>
                  <w:vAlign w:val="center"/>
                </w:tcPr>
                <w:p w14:paraId="2A6F390C">
                  <w:pPr>
                    <w:pStyle w:val="29"/>
                    <w:spacing w:line="240" w:lineRule="auto"/>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17.5</w:t>
                  </w:r>
                </w:p>
              </w:tc>
              <w:tc>
                <w:tcPr>
                  <w:tcW w:w="772" w:type="pct"/>
                  <w:noWrap w:val="0"/>
                  <w:vAlign w:val="center"/>
                </w:tcPr>
                <w:p w14:paraId="094FBBED">
                  <w:pPr>
                    <w:pStyle w:val="29"/>
                    <w:spacing w:line="240" w:lineRule="auto"/>
                    <w:jc w:val="center"/>
                    <w:rPr>
                      <w:rFonts w:hint="eastAsia"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0.</w:t>
                  </w:r>
                  <w:r>
                    <w:rPr>
                      <w:rFonts w:hint="eastAsia" w:ascii="Times New Roman" w:hAnsi="Times New Roman" w:eastAsia="宋体" w:cs="Times New Roman"/>
                      <w:b w:val="0"/>
                      <w:bCs/>
                      <w:sz w:val="21"/>
                      <w:szCs w:val="21"/>
                      <w:lang w:val="en-US" w:eastAsia="zh-CN"/>
                    </w:rPr>
                    <w:t>018</w:t>
                  </w:r>
                </w:p>
              </w:tc>
              <w:tc>
                <w:tcPr>
                  <w:tcW w:w="626" w:type="pct"/>
                  <w:noWrap w:val="0"/>
                  <w:vAlign w:val="center"/>
                </w:tcPr>
                <w:p w14:paraId="17477E6C">
                  <w:pPr>
                    <w:jc w:val="center"/>
                    <w:rPr>
                      <w:rFonts w:hint="default"/>
                      <w:bCs/>
                      <w:szCs w:val="21"/>
                      <w:lang w:val="en-US" w:eastAsia="zh-CN"/>
                    </w:rPr>
                  </w:pPr>
                  <w:r>
                    <w:rPr>
                      <w:rFonts w:hint="eastAsia"/>
                      <w:bCs/>
                      <w:szCs w:val="21"/>
                      <w:lang w:val="en-US" w:eastAsia="zh-CN"/>
                    </w:rPr>
                    <w:t>120</w:t>
                  </w:r>
                </w:p>
              </w:tc>
              <w:tc>
                <w:tcPr>
                  <w:tcW w:w="682" w:type="pct"/>
                  <w:noWrap w:val="0"/>
                  <w:vAlign w:val="center"/>
                </w:tcPr>
                <w:p w14:paraId="712C681E">
                  <w:pPr>
                    <w:jc w:val="center"/>
                    <w:rPr>
                      <w:rFonts w:hint="default"/>
                      <w:bCs/>
                      <w:szCs w:val="21"/>
                      <w:lang w:val="en-US" w:eastAsia="zh-CN"/>
                    </w:rPr>
                  </w:pPr>
                  <w:r>
                    <w:rPr>
                      <w:rFonts w:hint="eastAsia"/>
                      <w:bCs/>
                      <w:szCs w:val="21"/>
                      <w:lang w:val="en-US" w:eastAsia="zh-CN"/>
                    </w:rPr>
                    <w:t>10</w:t>
                  </w:r>
                </w:p>
              </w:tc>
              <w:tc>
                <w:tcPr>
                  <w:tcW w:w="561" w:type="pct"/>
                  <w:noWrap w:val="0"/>
                  <w:vAlign w:val="center"/>
                </w:tcPr>
                <w:p w14:paraId="1034206F">
                  <w:pPr>
                    <w:jc w:val="center"/>
                    <w:rPr>
                      <w:rFonts w:hint="default"/>
                      <w:color w:val="000000"/>
                      <w:szCs w:val="21"/>
                      <w:lang w:val="en-US" w:eastAsia="zh-CN"/>
                    </w:rPr>
                  </w:pPr>
                  <w:r>
                    <w:rPr>
                      <w:rFonts w:hint="eastAsia"/>
                      <w:color w:val="000000"/>
                      <w:szCs w:val="21"/>
                      <w:lang w:val="en-US" w:eastAsia="zh-CN"/>
                    </w:rPr>
                    <w:t>0.5</w:t>
                  </w:r>
                </w:p>
              </w:tc>
              <w:tc>
                <w:tcPr>
                  <w:tcW w:w="467" w:type="pct"/>
                  <w:noWrap w:val="0"/>
                  <w:vAlign w:val="center"/>
                </w:tcPr>
                <w:p w14:paraId="1308F9A6">
                  <w:pPr>
                    <w:jc w:val="center"/>
                    <w:rPr>
                      <w:rFonts w:hint="default"/>
                      <w:color w:val="000000"/>
                      <w:szCs w:val="21"/>
                      <w:lang w:val="en-US" w:eastAsia="zh-CN"/>
                    </w:rPr>
                  </w:pPr>
                  <w:r>
                    <w:rPr>
                      <w:rFonts w:hint="eastAsia"/>
                      <w:color w:val="000000"/>
                      <w:szCs w:val="21"/>
                      <w:lang w:val="en-US" w:eastAsia="zh-CN"/>
                    </w:rPr>
                    <w:t>1</w:t>
                  </w:r>
                </w:p>
              </w:tc>
            </w:tr>
            <w:tr w14:paraId="5B3C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3" w:type="pct"/>
                  <w:noWrap w:val="0"/>
                  <w:vAlign w:val="center"/>
                </w:tcPr>
                <w:p w14:paraId="5D011B2B">
                  <w:pPr>
                    <w:widowControl/>
                    <w:jc w:val="center"/>
                    <w:textAlignment w:val="center"/>
                    <w:rPr>
                      <w:rFonts w:hint="default"/>
                      <w:color w:val="000000"/>
                      <w:kern w:val="0"/>
                      <w:szCs w:val="21"/>
                      <w:lang w:val="en-US" w:eastAsia="zh-CN" w:bidi="ar"/>
                    </w:rPr>
                  </w:pPr>
                  <w:r>
                    <w:rPr>
                      <w:rFonts w:hint="eastAsia"/>
                      <w:color w:val="000000"/>
                      <w:kern w:val="0"/>
                      <w:szCs w:val="21"/>
                      <w:lang w:val="en-US" w:eastAsia="zh-CN" w:bidi="ar"/>
                    </w:rPr>
                    <w:t>DA003</w:t>
                  </w:r>
                </w:p>
              </w:tc>
              <w:tc>
                <w:tcPr>
                  <w:tcW w:w="561" w:type="pct"/>
                  <w:noWrap w:val="0"/>
                  <w:vAlign w:val="center"/>
                </w:tcPr>
                <w:p w14:paraId="23E1031C">
                  <w:pPr>
                    <w:pStyle w:val="29"/>
                    <w:adjustRightInd/>
                    <w:spacing w:line="240" w:lineRule="auto"/>
                    <w:jc w:val="center"/>
                    <w:rPr>
                      <w:rFonts w:hint="default" w:ascii="Times New Roman" w:eastAsia="宋体" w:cs="Times New Roman"/>
                      <w:b w:val="0"/>
                      <w:sz w:val="21"/>
                      <w:lang w:val="en-US" w:eastAsia="zh-CN"/>
                    </w:rPr>
                  </w:pPr>
                  <w:r>
                    <w:rPr>
                      <w:rFonts w:hint="eastAsia" w:ascii="Times New Roman" w:eastAsia="宋体" w:cs="Times New Roman"/>
                      <w:b w:val="0"/>
                      <w:sz w:val="21"/>
                      <w:lang w:val="en-US" w:eastAsia="zh-CN"/>
                    </w:rPr>
                    <w:t>颗粒物</w:t>
                  </w:r>
                </w:p>
              </w:tc>
              <w:tc>
                <w:tcPr>
                  <w:tcW w:w="744" w:type="pct"/>
                  <w:noWrap w:val="0"/>
                  <w:vAlign w:val="center"/>
                </w:tcPr>
                <w:p w14:paraId="6CD61AA0">
                  <w:pPr>
                    <w:pStyle w:val="29"/>
                    <w:spacing w:line="240" w:lineRule="auto"/>
                    <w:jc w:val="center"/>
                    <w:rPr>
                      <w:rFonts w:hint="default" w:cs="Times New Roman"/>
                      <w:szCs w:val="21"/>
                      <w:lang w:val="en-US" w:eastAsia="zh-CN"/>
                    </w:rPr>
                  </w:pPr>
                  <w:r>
                    <w:rPr>
                      <w:rFonts w:hint="eastAsia" w:ascii="Times New Roman" w:hAnsi="Times New Roman" w:eastAsia="宋体" w:cs="Times New Roman"/>
                      <w:b w:val="0"/>
                      <w:bCs w:val="0"/>
                      <w:sz w:val="21"/>
                      <w:szCs w:val="21"/>
                      <w:lang w:val="en-US" w:eastAsia="zh-CN"/>
                    </w:rPr>
                    <w:t>100.5</w:t>
                  </w:r>
                </w:p>
              </w:tc>
              <w:tc>
                <w:tcPr>
                  <w:tcW w:w="772" w:type="pct"/>
                  <w:noWrap w:val="0"/>
                  <w:vAlign w:val="center"/>
                </w:tcPr>
                <w:p w14:paraId="1EC0F1F0">
                  <w:pPr>
                    <w:pStyle w:val="29"/>
                    <w:spacing w:line="240" w:lineRule="auto"/>
                    <w:jc w:val="center"/>
                    <w:rPr>
                      <w:rFonts w:hint="default" w:ascii="Times New Roman" w:hAnsi="Times New Roman" w:eastAsia="宋体" w:cs="Times New Roman"/>
                      <w:color w:val="000000"/>
                      <w:kern w:val="2"/>
                      <w:sz w:val="21"/>
                      <w:szCs w:val="21"/>
                      <w:vertAlign w:val="baseline"/>
                      <w:lang w:val="en-US" w:eastAsia="zh-CN" w:bidi="ar-SA"/>
                    </w:rPr>
                  </w:pPr>
                  <w:r>
                    <w:rPr>
                      <w:rFonts w:hint="eastAsia" w:ascii="Times New Roman" w:hAnsi="Times New Roman" w:eastAsia="宋体" w:cs="Times New Roman"/>
                      <w:b w:val="0"/>
                      <w:bCs w:val="0"/>
                      <w:sz w:val="21"/>
                      <w:szCs w:val="21"/>
                      <w:lang w:val="en-US" w:eastAsia="zh-CN"/>
                    </w:rPr>
                    <w:t>0.85</w:t>
                  </w:r>
                </w:p>
              </w:tc>
              <w:tc>
                <w:tcPr>
                  <w:tcW w:w="626" w:type="pct"/>
                  <w:noWrap w:val="0"/>
                  <w:vAlign w:val="center"/>
                </w:tcPr>
                <w:p w14:paraId="61EFA256">
                  <w:pPr>
                    <w:jc w:val="center"/>
                    <w:rPr>
                      <w:rFonts w:hint="default"/>
                      <w:bCs/>
                      <w:szCs w:val="21"/>
                      <w:lang w:val="en-US" w:eastAsia="zh-CN"/>
                    </w:rPr>
                  </w:pPr>
                  <w:r>
                    <w:rPr>
                      <w:rFonts w:hint="eastAsia"/>
                      <w:bCs/>
                      <w:szCs w:val="21"/>
                      <w:lang w:val="en-US" w:eastAsia="zh-CN"/>
                    </w:rPr>
                    <w:t>120</w:t>
                  </w:r>
                </w:p>
              </w:tc>
              <w:tc>
                <w:tcPr>
                  <w:tcW w:w="682" w:type="pct"/>
                  <w:noWrap w:val="0"/>
                  <w:vAlign w:val="center"/>
                </w:tcPr>
                <w:p w14:paraId="60F7D039">
                  <w:pPr>
                    <w:jc w:val="center"/>
                    <w:rPr>
                      <w:rFonts w:hint="default"/>
                      <w:bCs/>
                      <w:szCs w:val="21"/>
                      <w:lang w:val="en-US" w:eastAsia="zh-CN"/>
                    </w:rPr>
                  </w:pPr>
                  <w:r>
                    <w:rPr>
                      <w:rFonts w:hint="eastAsia"/>
                      <w:bCs/>
                      <w:szCs w:val="21"/>
                      <w:lang w:val="en-US" w:eastAsia="zh-CN"/>
                    </w:rPr>
                    <w:t>3.5</w:t>
                  </w:r>
                </w:p>
              </w:tc>
              <w:tc>
                <w:tcPr>
                  <w:tcW w:w="561" w:type="pct"/>
                  <w:noWrap w:val="0"/>
                  <w:vAlign w:val="center"/>
                </w:tcPr>
                <w:p w14:paraId="6E25FE5A">
                  <w:pPr>
                    <w:jc w:val="center"/>
                    <w:rPr>
                      <w:rFonts w:hint="default"/>
                      <w:color w:val="000000"/>
                      <w:szCs w:val="21"/>
                      <w:lang w:val="en-US" w:eastAsia="zh-CN"/>
                    </w:rPr>
                  </w:pPr>
                  <w:r>
                    <w:rPr>
                      <w:rFonts w:hint="eastAsia"/>
                      <w:color w:val="000000"/>
                      <w:szCs w:val="21"/>
                      <w:lang w:val="en-US" w:eastAsia="zh-CN"/>
                    </w:rPr>
                    <w:t>0.5</w:t>
                  </w:r>
                </w:p>
              </w:tc>
              <w:tc>
                <w:tcPr>
                  <w:tcW w:w="467" w:type="pct"/>
                  <w:noWrap w:val="0"/>
                  <w:vAlign w:val="center"/>
                </w:tcPr>
                <w:p w14:paraId="31590EDF">
                  <w:pPr>
                    <w:jc w:val="center"/>
                    <w:rPr>
                      <w:rFonts w:hint="default"/>
                      <w:color w:val="000000"/>
                      <w:szCs w:val="21"/>
                      <w:lang w:val="en-US" w:eastAsia="zh-CN"/>
                    </w:rPr>
                  </w:pPr>
                  <w:r>
                    <w:rPr>
                      <w:rFonts w:hint="eastAsia"/>
                      <w:color w:val="000000"/>
                      <w:szCs w:val="21"/>
                      <w:lang w:val="en-US" w:eastAsia="zh-CN"/>
                    </w:rPr>
                    <w:t>1</w:t>
                  </w:r>
                </w:p>
              </w:tc>
            </w:tr>
          </w:tbl>
          <w:p w14:paraId="48AB726A">
            <w:pPr>
              <w:pStyle w:val="68"/>
              <w:keepNext w:val="0"/>
              <w:keepLines w:val="0"/>
              <w:pageBreakBefore w:val="0"/>
              <w:widowControl w:val="0"/>
              <w:kinsoku/>
              <w:wordWrap w:val="0"/>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Cs/>
              </w:rPr>
            </w:pPr>
            <w:r>
              <w:rPr>
                <w:rFonts w:hint="eastAsia" w:ascii="Times New Roman" w:hAnsi="Times New Roman" w:eastAsia="宋体" w:cs="Times New Roman"/>
                <w:bCs/>
              </w:rPr>
              <w:t>建设单位应加强废气处理设施的管理，</w:t>
            </w:r>
            <w:r>
              <w:rPr>
                <w:rFonts w:ascii="Times New Roman" w:hAnsi="Times New Roman" w:eastAsia="宋体" w:cs="Times New Roman"/>
                <w:bCs/>
              </w:rPr>
              <w:t>一旦发生</w:t>
            </w:r>
            <w:r>
              <w:rPr>
                <w:rFonts w:hint="eastAsia" w:ascii="Times New Roman" w:hAnsi="Times New Roman" w:eastAsia="宋体" w:cs="Times New Roman"/>
                <w:bCs/>
              </w:rPr>
              <w:t>非正常工况</w:t>
            </w:r>
            <w:r>
              <w:rPr>
                <w:rFonts w:ascii="Times New Roman" w:hAnsi="Times New Roman" w:eastAsia="宋体" w:cs="Times New Roman"/>
                <w:bCs/>
              </w:rPr>
              <w:t>，应立即通知相关部门启动紧急停车程序，并查明事故工段，派专业维修人员进行维修</w:t>
            </w:r>
            <w:r>
              <w:rPr>
                <w:rFonts w:hint="eastAsia" w:ascii="Times New Roman" w:hAnsi="Times New Roman" w:eastAsia="宋体" w:cs="Times New Roman"/>
                <w:bCs/>
              </w:rPr>
              <w:t>，维修结束后，先进行试车，待废气处理设施运行稳定后方可继续生产</w:t>
            </w:r>
            <w:r>
              <w:rPr>
                <w:rFonts w:ascii="Times New Roman" w:hAnsi="Times New Roman" w:eastAsia="宋体" w:cs="Times New Roman"/>
                <w:bCs/>
              </w:rPr>
              <w:t>。</w:t>
            </w:r>
          </w:p>
          <w:p w14:paraId="11C4F88D">
            <w:pPr>
              <w:pStyle w:val="20"/>
              <w:spacing w:before="0" w:beforeAutospacing="0" w:after="0" w:afterAutospacing="0" w:line="360" w:lineRule="auto"/>
              <w:jc w:val="both"/>
              <w:outlineLvl w:val="0"/>
              <w:rPr>
                <w:rFonts w:ascii="Times New Roman" w:hAnsi="Times New Roman"/>
                <w:b/>
                <w:bCs/>
                <w:color w:val="000000"/>
                <w:szCs w:val="24"/>
              </w:rPr>
            </w:pPr>
            <w:r>
              <w:rPr>
                <w:rFonts w:hint="eastAsia" w:ascii="Times New Roman" w:hAnsi="Times New Roman"/>
                <w:b/>
                <w:bCs/>
                <w:color w:val="000000"/>
                <w:szCs w:val="24"/>
              </w:rPr>
              <w:t>4</w:t>
            </w:r>
            <w:r>
              <w:rPr>
                <w:rFonts w:ascii="Times New Roman" w:hAnsi="Times New Roman"/>
                <w:b/>
                <w:bCs/>
                <w:color w:val="000000"/>
                <w:szCs w:val="24"/>
              </w:rPr>
              <w:t>.6营运期水环境影响分析</w:t>
            </w:r>
          </w:p>
          <w:p w14:paraId="75A4CF96">
            <w:pPr>
              <w:tabs>
                <w:tab w:val="left" w:pos="1065"/>
              </w:tabs>
              <w:spacing w:line="360" w:lineRule="auto"/>
              <w:ind w:firstLine="480"/>
              <w:rPr>
                <w:rFonts w:hint="default"/>
                <w:bCs/>
                <w:sz w:val="24"/>
                <w:lang w:val="en-US"/>
              </w:rPr>
            </w:pPr>
            <w:r>
              <w:rPr>
                <w:rFonts w:hint="eastAsia"/>
                <w:bCs/>
                <w:sz w:val="24"/>
                <w:lang w:val="en-US" w:eastAsia="zh-CN"/>
              </w:rPr>
              <w:t>本项目营运期地坪保洁废水、初期雨水经自建污水处理站预处理后，回用于车间保洁及厂区绿化；生活污水经化粪池预处理后，定期清掏用作农家肥，不外排。</w:t>
            </w:r>
          </w:p>
          <w:p w14:paraId="68B4BB42">
            <w:pPr>
              <w:pStyle w:val="20"/>
              <w:spacing w:before="0" w:beforeAutospacing="0" w:after="0" w:afterAutospacing="0" w:line="360" w:lineRule="auto"/>
              <w:jc w:val="both"/>
              <w:outlineLvl w:val="0"/>
              <w:rPr>
                <w:rFonts w:ascii="Times New Roman" w:hAnsi="Times New Roman"/>
                <w:b/>
                <w:bCs/>
                <w:color w:val="000000"/>
                <w:szCs w:val="24"/>
              </w:rPr>
            </w:pPr>
            <w:r>
              <w:rPr>
                <w:rFonts w:ascii="Times New Roman" w:hAnsi="Times New Roman"/>
                <w:b/>
                <w:bCs/>
                <w:color w:val="000000"/>
                <w:szCs w:val="24"/>
              </w:rPr>
              <w:t>4.6.1</w:t>
            </w:r>
            <w:r>
              <w:rPr>
                <w:rFonts w:hint="eastAsia" w:ascii="Times New Roman" w:hAnsi="Times New Roman"/>
                <w:b/>
                <w:bCs/>
                <w:color w:val="000000"/>
                <w:szCs w:val="24"/>
              </w:rPr>
              <w:t>污染源强分析</w:t>
            </w:r>
          </w:p>
          <w:p w14:paraId="60C69377">
            <w:pPr>
              <w:tabs>
                <w:tab w:val="left" w:pos="1065"/>
              </w:tabs>
              <w:spacing w:line="360" w:lineRule="auto"/>
              <w:ind w:firstLine="480"/>
              <w:rPr>
                <w:rFonts w:hint="default"/>
                <w:color w:val="000000"/>
                <w:kern w:val="0"/>
                <w:sz w:val="24"/>
                <w:lang w:val="en-US" w:eastAsia="zh-CN"/>
              </w:rPr>
            </w:pPr>
            <w:r>
              <w:rPr>
                <w:rFonts w:hint="eastAsia"/>
                <w:color w:val="000000"/>
                <w:kern w:val="0"/>
                <w:sz w:val="24"/>
                <w:lang w:val="en-US" w:eastAsia="zh-CN"/>
              </w:rPr>
              <w:t>（1）地坪保洁废水、初期雨水污染源强分析</w:t>
            </w:r>
          </w:p>
          <w:p w14:paraId="2C43BA63">
            <w:pPr>
              <w:spacing w:line="360" w:lineRule="auto"/>
              <w:ind w:firstLine="480" w:firstLineChars="200"/>
              <w:rPr>
                <w:rFonts w:hint="default" w:ascii="Times New Roman" w:hAnsi="Times New Roman" w:cs="Times New Roman"/>
                <w:sz w:val="24"/>
                <w:szCs w:val="32"/>
              </w:rPr>
            </w:pPr>
            <w:r>
              <w:rPr>
                <w:rFonts w:hint="eastAsia" w:cs="Times New Roman"/>
                <w:sz w:val="24"/>
                <w:szCs w:val="32"/>
                <w:lang w:val="en-US" w:eastAsia="zh-CN"/>
              </w:rPr>
              <w:t>根据水平衡分析可知，拟建项目营运期地坪保洁废水、初期雨水合计产生量约2017.4m</w:t>
            </w:r>
            <w:r>
              <w:rPr>
                <w:rFonts w:hint="eastAsia" w:cs="Times New Roman"/>
                <w:sz w:val="24"/>
                <w:szCs w:val="32"/>
                <w:vertAlign w:val="superscript"/>
                <w:lang w:val="en-US" w:eastAsia="zh-CN"/>
              </w:rPr>
              <w:t>3</w:t>
            </w:r>
            <w:r>
              <w:rPr>
                <w:rFonts w:hint="eastAsia" w:cs="Times New Roman"/>
                <w:sz w:val="24"/>
                <w:szCs w:val="32"/>
                <w:lang w:val="en-US" w:eastAsia="zh-CN"/>
              </w:rPr>
              <w:t>/a，其中地坪保洁废水产生量为280.8m</w:t>
            </w:r>
            <w:r>
              <w:rPr>
                <w:rFonts w:hint="eastAsia" w:cs="Times New Roman"/>
                <w:sz w:val="24"/>
                <w:szCs w:val="32"/>
                <w:vertAlign w:val="superscript"/>
                <w:lang w:val="en-US" w:eastAsia="zh-CN"/>
              </w:rPr>
              <w:t>3</w:t>
            </w:r>
            <w:r>
              <w:rPr>
                <w:rFonts w:hint="eastAsia" w:cs="Times New Roman"/>
                <w:sz w:val="24"/>
                <w:szCs w:val="32"/>
                <w:lang w:val="en-US" w:eastAsia="zh-CN"/>
              </w:rPr>
              <w:t>/a，初期雨水产生量约为1736.6m</w:t>
            </w:r>
            <w:r>
              <w:rPr>
                <w:rFonts w:hint="eastAsia" w:cs="Times New Roman"/>
                <w:sz w:val="24"/>
                <w:szCs w:val="32"/>
                <w:vertAlign w:val="superscript"/>
                <w:lang w:val="en-US" w:eastAsia="zh-CN"/>
              </w:rPr>
              <w:t>3</w:t>
            </w:r>
            <w:r>
              <w:rPr>
                <w:rFonts w:hint="eastAsia" w:cs="Times New Roman"/>
                <w:sz w:val="24"/>
                <w:szCs w:val="32"/>
                <w:lang w:val="en-US" w:eastAsia="zh-CN"/>
              </w:rPr>
              <w:t>/a。</w:t>
            </w:r>
            <w:r>
              <w:rPr>
                <w:rFonts w:hint="default" w:ascii="Times New Roman" w:hAnsi="Times New Roman" w:cs="Times New Roman"/>
                <w:sz w:val="24"/>
                <w:szCs w:val="32"/>
              </w:rPr>
              <w:t>根据《再生资源与循环经济》（2012年第08期）之《浅析报废汽车拆解厂废水循环处理技术的应用现状》的研究，报废汽车拆解厂的废水水质</w:t>
            </w:r>
            <w:r>
              <w:rPr>
                <w:rFonts w:hint="eastAsia" w:ascii="Times New Roman" w:hAnsi="Times New Roman" w:cs="Times New Roman"/>
                <w:sz w:val="24"/>
                <w:szCs w:val="32"/>
                <w:lang w:val="en-US" w:eastAsia="zh-CN"/>
              </w:rPr>
              <w:t>为</w:t>
            </w:r>
            <w:r>
              <w:rPr>
                <w:rFonts w:hint="default" w:ascii="Times New Roman" w:hAnsi="Times New Roman" w:cs="Times New Roman"/>
                <w:sz w:val="24"/>
                <w:szCs w:val="32"/>
              </w:rPr>
              <w:t>COD：283~562mg/L，SS：50~73mg/L，石油类：130~380mg/L。本项目</w:t>
            </w:r>
            <w:r>
              <w:rPr>
                <w:rFonts w:hint="eastAsia" w:ascii="Times New Roman" w:hAnsi="Times New Roman" w:cs="Times New Roman"/>
                <w:sz w:val="24"/>
                <w:szCs w:val="32"/>
                <w:lang w:val="en-US" w:eastAsia="zh-CN"/>
              </w:rPr>
              <w:t>地坪</w:t>
            </w:r>
            <w:r>
              <w:rPr>
                <w:rFonts w:hint="default" w:ascii="Times New Roman" w:hAnsi="Times New Roman" w:cs="Times New Roman"/>
                <w:sz w:val="24"/>
                <w:szCs w:val="32"/>
              </w:rPr>
              <w:t>保洁废水</w:t>
            </w:r>
            <w:r>
              <w:rPr>
                <w:rFonts w:hint="eastAsia" w:cs="Times New Roman"/>
                <w:sz w:val="24"/>
                <w:szCs w:val="32"/>
                <w:lang w:eastAsia="zh-CN"/>
              </w:rPr>
              <w:t>、</w:t>
            </w:r>
            <w:r>
              <w:rPr>
                <w:rFonts w:hint="eastAsia" w:cs="Times New Roman"/>
                <w:sz w:val="24"/>
                <w:szCs w:val="32"/>
                <w:lang w:val="en-US" w:eastAsia="zh-CN"/>
              </w:rPr>
              <w:t>初期雨水</w:t>
            </w:r>
            <w:r>
              <w:rPr>
                <w:rFonts w:hint="default" w:ascii="Times New Roman" w:hAnsi="Times New Roman" w:cs="Times New Roman"/>
                <w:sz w:val="24"/>
                <w:szCs w:val="32"/>
              </w:rPr>
              <w:t>水质</w:t>
            </w:r>
            <w:r>
              <w:rPr>
                <w:rFonts w:hint="eastAsia" w:ascii="Times New Roman" w:hAnsi="Times New Roman" w:cs="Times New Roman"/>
                <w:sz w:val="24"/>
                <w:szCs w:val="32"/>
                <w:lang w:val="en-US" w:eastAsia="zh-CN"/>
              </w:rPr>
              <w:t>按</w:t>
            </w:r>
            <w:r>
              <w:rPr>
                <w:rFonts w:hint="default" w:ascii="Times New Roman" w:hAnsi="Times New Roman" w:cs="Times New Roman"/>
                <w:sz w:val="24"/>
                <w:szCs w:val="32"/>
              </w:rPr>
              <w:t>COD：423mg/L，SS：62mg/L，石油类：255mg/L</w:t>
            </w:r>
            <w:r>
              <w:rPr>
                <w:rFonts w:hint="eastAsia" w:ascii="Times New Roman" w:hAnsi="Times New Roman" w:cs="Times New Roman"/>
                <w:sz w:val="24"/>
                <w:szCs w:val="32"/>
                <w:lang w:val="en-US" w:eastAsia="zh-CN"/>
              </w:rPr>
              <w:t>计</w:t>
            </w:r>
            <w:r>
              <w:rPr>
                <w:rFonts w:hint="eastAsia" w:ascii="Times New Roman" w:hAnsi="Times New Roman" w:cs="Times New Roman"/>
                <w:sz w:val="24"/>
                <w:szCs w:val="32"/>
                <w:lang w:eastAsia="zh-CN"/>
              </w:rPr>
              <w:t>。</w:t>
            </w:r>
            <w:r>
              <w:rPr>
                <w:rFonts w:hint="eastAsia" w:ascii="Times New Roman" w:hAnsi="Times New Roman" w:cs="Times New Roman"/>
                <w:sz w:val="24"/>
                <w:szCs w:val="32"/>
                <w:lang w:val="en-US" w:eastAsia="zh-CN"/>
              </w:rPr>
              <w:t>则地坪</w:t>
            </w:r>
            <w:r>
              <w:rPr>
                <w:rFonts w:hint="default" w:ascii="Times New Roman" w:hAnsi="Times New Roman" w:cs="Times New Roman"/>
                <w:sz w:val="24"/>
                <w:szCs w:val="32"/>
              </w:rPr>
              <w:t>保洁废水</w:t>
            </w:r>
            <w:r>
              <w:rPr>
                <w:rFonts w:hint="eastAsia" w:cs="Times New Roman"/>
                <w:sz w:val="24"/>
                <w:szCs w:val="32"/>
                <w:lang w:eastAsia="zh-CN"/>
              </w:rPr>
              <w:t>、</w:t>
            </w:r>
            <w:r>
              <w:rPr>
                <w:rFonts w:hint="eastAsia" w:cs="Times New Roman"/>
                <w:sz w:val="24"/>
                <w:szCs w:val="32"/>
                <w:lang w:val="en-US" w:eastAsia="zh-CN"/>
              </w:rPr>
              <w:t>初期雨水</w:t>
            </w:r>
            <w:r>
              <w:rPr>
                <w:rFonts w:hint="eastAsia" w:ascii="Times New Roman" w:hAnsi="Times New Roman" w:cs="Times New Roman"/>
                <w:sz w:val="24"/>
                <w:szCs w:val="32"/>
                <w:lang w:val="en-US" w:eastAsia="zh-CN"/>
              </w:rPr>
              <w:t>主要污染源强见下表</w:t>
            </w:r>
            <w:r>
              <w:rPr>
                <w:rFonts w:hint="default" w:ascii="Times New Roman" w:hAnsi="Times New Roman" w:cs="Times New Roman"/>
                <w:sz w:val="24"/>
                <w:szCs w:val="32"/>
              </w:rPr>
              <w:t>。</w:t>
            </w:r>
          </w:p>
          <w:p w14:paraId="0E27CB84">
            <w:pPr>
              <w:pStyle w:val="29"/>
              <w:keepNext w:val="0"/>
              <w:keepLines w:val="0"/>
              <w:pageBreakBefore w:val="0"/>
              <w:widowControl w:val="0"/>
              <w:kinsoku/>
              <w:wordWrap/>
              <w:overflowPunct/>
              <w:topLinePunct w:val="0"/>
              <w:autoSpaceDE w:val="0"/>
              <w:autoSpaceDN w:val="0"/>
              <w:bidi w:val="0"/>
              <w:adjustRightInd w:val="0"/>
              <w:snapToGrid/>
              <w:spacing w:line="240" w:lineRule="atLeast"/>
              <w:ind w:firstLine="422" w:firstLineChars="20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4-10</w:t>
            </w:r>
            <w:r>
              <w:rPr>
                <w:rFonts w:hint="default" w:ascii="Times New Roman" w:hAnsi="Times New Roman" w:eastAsia="宋体" w:cs="Times New Roman"/>
                <w:b/>
                <w:bCs/>
                <w:sz w:val="21"/>
                <w:szCs w:val="21"/>
              </w:rPr>
              <w:t xml:space="preserve">  车间保洁废水</w:t>
            </w:r>
            <w:r>
              <w:rPr>
                <w:rFonts w:hint="eastAsia" w:ascii="Times New Roman" w:hAnsi="Times New Roman" w:eastAsia="宋体" w:cs="Times New Roman"/>
                <w:b/>
                <w:bCs/>
                <w:sz w:val="21"/>
                <w:szCs w:val="21"/>
                <w:lang w:eastAsia="zh-CN"/>
              </w:rPr>
              <w:t>、</w:t>
            </w:r>
            <w:r>
              <w:rPr>
                <w:rFonts w:hint="eastAsia" w:ascii="Times New Roman" w:hAnsi="Times New Roman" w:eastAsia="宋体" w:cs="Times New Roman"/>
                <w:b/>
                <w:bCs/>
                <w:sz w:val="21"/>
                <w:szCs w:val="21"/>
                <w:lang w:val="en-US" w:eastAsia="zh-CN"/>
              </w:rPr>
              <w:t>初期雨水</w:t>
            </w:r>
            <w:r>
              <w:rPr>
                <w:rFonts w:hint="default" w:ascii="Times New Roman" w:hAnsi="Times New Roman" w:eastAsia="宋体" w:cs="Times New Roman"/>
                <w:b/>
                <w:bCs/>
                <w:sz w:val="21"/>
                <w:szCs w:val="21"/>
              </w:rPr>
              <w:t>污染物产生情况一览表</w:t>
            </w:r>
          </w:p>
          <w:tbl>
            <w:tblPr>
              <w:tblStyle w:val="25"/>
              <w:tblW w:w="80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0"/>
              <w:gridCol w:w="2447"/>
              <w:gridCol w:w="2025"/>
              <w:gridCol w:w="2025"/>
            </w:tblGrid>
            <w:tr w14:paraId="1479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600" w:type="dxa"/>
                  <w:vAlign w:val="center"/>
                </w:tcPr>
                <w:p w14:paraId="747CBD27">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2447" w:type="dxa"/>
                  <w:vAlign w:val="center"/>
                </w:tcPr>
                <w:p w14:paraId="08298514">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产生浓度（mg/L）</w:t>
                  </w:r>
                </w:p>
              </w:tc>
              <w:tc>
                <w:tcPr>
                  <w:tcW w:w="2025" w:type="dxa"/>
                  <w:vAlign w:val="center"/>
                </w:tcPr>
                <w:p w14:paraId="1AE63EEC">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产生量（t/a）</w:t>
                  </w:r>
                </w:p>
              </w:tc>
              <w:tc>
                <w:tcPr>
                  <w:tcW w:w="2025" w:type="dxa"/>
                  <w:vAlign w:val="center"/>
                </w:tcPr>
                <w:p w14:paraId="6AF577EF">
                  <w:pPr>
                    <w:pStyle w:val="29"/>
                    <w:spacing w:line="240" w:lineRule="auto"/>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处置措施</w:t>
                  </w:r>
                </w:p>
              </w:tc>
            </w:tr>
            <w:tr w14:paraId="7D2E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600" w:type="dxa"/>
                  <w:vAlign w:val="center"/>
                </w:tcPr>
                <w:p w14:paraId="3A2EC806">
                  <w:pPr>
                    <w:pStyle w:val="29"/>
                    <w:spacing w:line="240" w:lineRule="auto"/>
                    <w:jc w:val="center"/>
                    <w:rPr>
                      <w:rFonts w:hint="eastAsia"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废水量</w:t>
                  </w:r>
                  <w:r>
                    <w:rPr>
                      <w:rFonts w:hint="eastAsia"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m</w:t>
                  </w:r>
                  <w:r>
                    <w:rPr>
                      <w:rFonts w:hint="eastAsia" w:ascii="Times New Roman" w:hAnsi="Times New Roman" w:eastAsia="宋体" w:cs="Times New Roman"/>
                      <w:b w:val="0"/>
                      <w:bCs/>
                      <w:sz w:val="21"/>
                      <w:szCs w:val="21"/>
                      <w:vertAlign w:val="superscript"/>
                      <w:lang w:val="en-US" w:eastAsia="zh-CN"/>
                    </w:rPr>
                    <w:t>3</w:t>
                  </w:r>
                  <w:r>
                    <w:rPr>
                      <w:rFonts w:hint="eastAsia" w:ascii="Times New Roman" w:hAnsi="Times New Roman" w:eastAsia="宋体" w:cs="Times New Roman"/>
                      <w:b w:val="0"/>
                      <w:bCs/>
                      <w:sz w:val="21"/>
                      <w:szCs w:val="21"/>
                      <w:lang w:val="en-US" w:eastAsia="zh-CN"/>
                    </w:rPr>
                    <w:t>/a</w:t>
                  </w:r>
                  <w:r>
                    <w:rPr>
                      <w:rFonts w:hint="eastAsia" w:ascii="Times New Roman" w:hAnsi="Times New Roman" w:eastAsia="宋体" w:cs="Times New Roman"/>
                      <w:b w:val="0"/>
                      <w:bCs/>
                      <w:sz w:val="21"/>
                      <w:szCs w:val="21"/>
                      <w:lang w:eastAsia="zh-CN"/>
                    </w:rPr>
                    <w:t>）</w:t>
                  </w:r>
                </w:p>
              </w:tc>
              <w:tc>
                <w:tcPr>
                  <w:tcW w:w="2447" w:type="dxa"/>
                  <w:vAlign w:val="center"/>
                </w:tcPr>
                <w:p w14:paraId="5F7F9AB7">
                  <w:pPr>
                    <w:pStyle w:val="29"/>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w:t>
                  </w:r>
                </w:p>
              </w:tc>
              <w:tc>
                <w:tcPr>
                  <w:tcW w:w="2025" w:type="dxa"/>
                  <w:vAlign w:val="center"/>
                </w:tcPr>
                <w:p w14:paraId="145A8031">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2017.4</w:t>
                  </w:r>
                </w:p>
              </w:tc>
              <w:tc>
                <w:tcPr>
                  <w:tcW w:w="2025" w:type="dxa"/>
                  <w:vMerge w:val="restart"/>
                  <w:vAlign w:val="center"/>
                </w:tcPr>
                <w:p w14:paraId="14301782">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经自建污水处理站预处理后，回用于车间保洁及厂区绿化</w:t>
                  </w:r>
                </w:p>
              </w:tc>
            </w:tr>
            <w:tr w14:paraId="68A4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600" w:type="dxa"/>
                  <w:vAlign w:val="center"/>
                </w:tcPr>
                <w:p w14:paraId="12BA8CE7">
                  <w:pPr>
                    <w:pStyle w:val="29"/>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COD</w:t>
                  </w:r>
                </w:p>
              </w:tc>
              <w:tc>
                <w:tcPr>
                  <w:tcW w:w="2447" w:type="dxa"/>
                  <w:vAlign w:val="center"/>
                </w:tcPr>
                <w:p w14:paraId="0193C8D1">
                  <w:pPr>
                    <w:pStyle w:val="29"/>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423</w:t>
                  </w:r>
                </w:p>
              </w:tc>
              <w:tc>
                <w:tcPr>
                  <w:tcW w:w="2025" w:type="dxa"/>
                  <w:vAlign w:val="center"/>
                </w:tcPr>
                <w:p w14:paraId="76265D30">
                  <w:pPr>
                    <w:pStyle w:val="29"/>
                    <w:spacing w:line="240" w:lineRule="auto"/>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0.</w:t>
                  </w:r>
                  <w:r>
                    <w:rPr>
                      <w:rFonts w:hint="eastAsia" w:ascii="Times New Roman" w:hAnsi="Times New Roman" w:eastAsia="宋体" w:cs="Times New Roman"/>
                      <w:b w:val="0"/>
                      <w:bCs/>
                      <w:sz w:val="21"/>
                      <w:szCs w:val="21"/>
                      <w:lang w:val="en-US" w:eastAsia="zh-CN"/>
                    </w:rPr>
                    <w:t>853</w:t>
                  </w:r>
                </w:p>
              </w:tc>
              <w:tc>
                <w:tcPr>
                  <w:tcW w:w="2025" w:type="dxa"/>
                  <w:vMerge w:val="continue"/>
                  <w:vAlign w:val="center"/>
                </w:tcPr>
                <w:p w14:paraId="20DF5389">
                  <w:pPr>
                    <w:pStyle w:val="29"/>
                    <w:spacing w:line="240" w:lineRule="auto"/>
                    <w:jc w:val="center"/>
                    <w:rPr>
                      <w:rFonts w:hint="default" w:ascii="Times New Roman" w:hAnsi="Times New Roman" w:eastAsia="宋体" w:cs="Times New Roman"/>
                      <w:b w:val="0"/>
                      <w:bCs/>
                      <w:sz w:val="21"/>
                      <w:szCs w:val="21"/>
                    </w:rPr>
                  </w:pPr>
                </w:p>
              </w:tc>
            </w:tr>
            <w:tr w14:paraId="1580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600" w:type="dxa"/>
                  <w:vAlign w:val="center"/>
                </w:tcPr>
                <w:p w14:paraId="3C952BA5">
                  <w:pPr>
                    <w:pStyle w:val="29"/>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SS</w:t>
                  </w:r>
                </w:p>
              </w:tc>
              <w:tc>
                <w:tcPr>
                  <w:tcW w:w="2447" w:type="dxa"/>
                  <w:vAlign w:val="center"/>
                </w:tcPr>
                <w:p w14:paraId="5E46B3AF">
                  <w:pPr>
                    <w:pStyle w:val="29"/>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62</w:t>
                  </w:r>
                </w:p>
              </w:tc>
              <w:tc>
                <w:tcPr>
                  <w:tcW w:w="2025" w:type="dxa"/>
                  <w:vAlign w:val="center"/>
                </w:tcPr>
                <w:p w14:paraId="1B7A429C">
                  <w:pPr>
                    <w:pStyle w:val="29"/>
                    <w:spacing w:line="240" w:lineRule="auto"/>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0</w:t>
                  </w:r>
                  <w:r>
                    <w:rPr>
                      <w:rFonts w:hint="eastAsia" w:ascii="Times New Roman" w:hAnsi="Times New Roman" w:eastAsia="宋体" w:cs="Times New Roman"/>
                      <w:b w:val="0"/>
                      <w:bCs/>
                      <w:sz w:val="21"/>
                      <w:szCs w:val="21"/>
                      <w:lang w:val="en-US" w:eastAsia="zh-CN"/>
                    </w:rPr>
                    <w:t>.125</w:t>
                  </w:r>
                </w:p>
              </w:tc>
              <w:tc>
                <w:tcPr>
                  <w:tcW w:w="2025" w:type="dxa"/>
                  <w:vMerge w:val="continue"/>
                  <w:vAlign w:val="center"/>
                </w:tcPr>
                <w:p w14:paraId="52D2E4B1">
                  <w:pPr>
                    <w:pStyle w:val="29"/>
                    <w:spacing w:line="240" w:lineRule="auto"/>
                    <w:jc w:val="center"/>
                    <w:rPr>
                      <w:rFonts w:hint="default" w:ascii="Times New Roman" w:hAnsi="Times New Roman" w:eastAsia="宋体" w:cs="Times New Roman"/>
                      <w:b w:val="0"/>
                      <w:bCs/>
                      <w:sz w:val="21"/>
                      <w:szCs w:val="21"/>
                    </w:rPr>
                  </w:pPr>
                </w:p>
              </w:tc>
            </w:tr>
            <w:tr w14:paraId="2E14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600" w:type="dxa"/>
                  <w:vAlign w:val="center"/>
                </w:tcPr>
                <w:p w14:paraId="4E75F7C0">
                  <w:pPr>
                    <w:pStyle w:val="29"/>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石油类</w:t>
                  </w:r>
                </w:p>
              </w:tc>
              <w:tc>
                <w:tcPr>
                  <w:tcW w:w="2447" w:type="dxa"/>
                  <w:vAlign w:val="center"/>
                </w:tcPr>
                <w:p w14:paraId="62E6D8F5">
                  <w:pPr>
                    <w:pStyle w:val="29"/>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255</w:t>
                  </w:r>
                </w:p>
              </w:tc>
              <w:tc>
                <w:tcPr>
                  <w:tcW w:w="2025" w:type="dxa"/>
                  <w:vAlign w:val="center"/>
                </w:tcPr>
                <w:p w14:paraId="3FDF72FD">
                  <w:pPr>
                    <w:pStyle w:val="29"/>
                    <w:spacing w:line="240" w:lineRule="auto"/>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0.</w:t>
                  </w:r>
                  <w:r>
                    <w:rPr>
                      <w:rFonts w:hint="eastAsia" w:ascii="Times New Roman" w:hAnsi="Times New Roman" w:eastAsia="宋体" w:cs="Times New Roman"/>
                      <w:b w:val="0"/>
                      <w:bCs/>
                      <w:sz w:val="21"/>
                      <w:szCs w:val="21"/>
                      <w:lang w:val="en-US" w:eastAsia="zh-CN"/>
                    </w:rPr>
                    <w:t>514</w:t>
                  </w:r>
                </w:p>
              </w:tc>
              <w:tc>
                <w:tcPr>
                  <w:tcW w:w="2025" w:type="dxa"/>
                  <w:vMerge w:val="continue"/>
                  <w:vAlign w:val="center"/>
                </w:tcPr>
                <w:p w14:paraId="50D81AF0">
                  <w:pPr>
                    <w:pStyle w:val="29"/>
                    <w:spacing w:line="240" w:lineRule="auto"/>
                    <w:jc w:val="center"/>
                    <w:rPr>
                      <w:rFonts w:hint="default" w:ascii="Times New Roman" w:hAnsi="Times New Roman" w:eastAsia="宋体" w:cs="Times New Roman"/>
                      <w:b w:val="0"/>
                      <w:bCs/>
                      <w:sz w:val="21"/>
                      <w:szCs w:val="21"/>
                    </w:rPr>
                  </w:pPr>
                </w:p>
              </w:tc>
            </w:tr>
          </w:tbl>
          <w:p w14:paraId="607FCAF7">
            <w:pPr>
              <w:keepNext w:val="0"/>
              <w:keepLines w:val="0"/>
              <w:pageBreakBefore w:val="0"/>
              <w:widowControl w:val="0"/>
              <w:tabs>
                <w:tab w:val="left" w:pos="1065"/>
              </w:tabs>
              <w:kinsoku/>
              <w:wordWrap/>
              <w:overflowPunct/>
              <w:topLinePunct w:val="0"/>
              <w:autoSpaceDE/>
              <w:autoSpaceDN/>
              <w:bidi w:val="0"/>
              <w:adjustRightInd/>
              <w:snapToGrid/>
              <w:spacing w:line="360" w:lineRule="auto"/>
              <w:ind w:firstLine="482"/>
              <w:textAlignment w:val="auto"/>
              <w:rPr>
                <w:rFonts w:hint="default" w:eastAsia="宋体"/>
                <w:color w:val="000000"/>
                <w:kern w:val="0"/>
                <w:sz w:val="24"/>
                <w:lang w:val="en-US" w:eastAsia="zh-CN"/>
              </w:rPr>
            </w:pPr>
            <w:r>
              <w:rPr>
                <w:rFonts w:hint="eastAsia"/>
                <w:color w:val="000000"/>
                <w:kern w:val="0"/>
                <w:sz w:val="24"/>
                <w:lang w:eastAsia="zh-CN"/>
              </w:rPr>
              <w:t>（</w:t>
            </w:r>
            <w:r>
              <w:rPr>
                <w:rFonts w:hint="eastAsia"/>
                <w:color w:val="000000"/>
                <w:kern w:val="0"/>
                <w:sz w:val="24"/>
                <w:lang w:val="en-US" w:eastAsia="zh-CN"/>
              </w:rPr>
              <w:t>2</w:t>
            </w:r>
            <w:r>
              <w:rPr>
                <w:rFonts w:hint="eastAsia"/>
                <w:color w:val="000000"/>
                <w:kern w:val="0"/>
                <w:sz w:val="24"/>
                <w:lang w:eastAsia="zh-CN"/>
              </w:rPr>
              <w:t>）</w:t>
            </w:r>
            <w:r>
              <w:rPr>
                <w:rFonts w:hint="eastAsia"/>
                <w:color w:val="000000"/>
                <w:kern w:val="0"/>
                <w:sz w:val="24"/>
              </w:rPr>
              <w:t>生活污水</w:t>
            </w:r>
            <w:r>
              <w:rPr>
                <w:rFonts w:hint="eastAsia"/>
                <w:color w:val="000000"/>
                <w:kern w:val="0"/>
                <w:sz w:val="24"/>
                <w:lang w:val="en-US" w:eastAsia="zh-CN"/>
              </w:rPr>
              <w:t>污染源强分析</w:t>
            </w:r>
          </w:p>
          <w:p w14:paraId="42EB6AA6">
            <w:pPr>
              <w:tabs>
                <w:tab w:val="left" w:pos="1065"/>
              </w:tabs>
              <w:spacing w:line="360" w:lineRule="auto"/>
              <w:ind w:firstLine="480"/>
              <w:rPr>
                <w:sz w:val="24"/>
              </w:rPr>
            </w:pPr>
            <w:r>
              <w:rPr>
                <w:rFonts w:hint="eastAsia"/>
                <w:color w:val="000000"/>
                <w:kern w:val="0"/>
                <w:sz w:val="24"/>
                <w:lang w:val="en-US" w:eastAsia="zh-CN"/>
              </w:rPr>
              <w:t>生活污水</w:t>
            </w:r>
            <w:r>
              <w:rPr>
                <w:sz w:val="24"/>
              </w:rPr>
              <w:t>主要污染源强见下表。</w:t>
            </w:r>
          </w:p>
          <w:p w14:paraId="7AEBAF43">
            <w:pPr>
              <w:spacing w:line="240" w:lineRule="atLeast"/>
              <w:jc w:val="center"/>
              <w:rPr>
                <w:rFonts w:hint="eastAsia"/>
                <w:b/>
                <w:bCs/>
                <w:szCs w:val="20"/>
                <w:lang w:val="en-US" w:eastAsia="zh-CN"/>
              </w:rPr>
            </w:pPr>
            <w:r>
              <w:rPr>
                <w:b/>
                <w:bCs/>
                <w:szCs w:val="20"/>
              </w:rPr>
              <w:t>表4-</w:t>
            </w:r>
            <w:r>
              <w:rPr>
                <w:rFonts w:hint="eastAsia"/>
                <w:b/>
                <w:bCs/>
                <w:szCs w:val="20"/>
                <w:lang w:val="en-US" w:eastAsia="zh-CN"/>
              </w:rPr>
              <w:t>12</w:t>
            </w:r>
            <w:r>
              <w:rPr>
                <w:b/>
                <w:bCs/>
                <w:szCs w:val="20"/>
              </w:rPr>
              <w:t xml:space="preserve">  生活污水主要污染</w:t>
            </w:r>
            <w:r>
              <w:rPr>
                <w:rFonts w:hint="eastAsia"/>
                <w:b/>
                <w:bCs/>
                <w:szCs w:val="20"/>
                <w:lang w:val="en-US" w:eastAsia="zh-CN"/>
              </w:rPr>
              <w:t>源强一览表</w:t>
            </w:r>
          </w:p>
          <w:tbl>
            <w:tblPr>
              <w:tblStyle w:val="25"/>
              <w:tblW w:w="8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1832"/>
              <w:gridCol w:w="2299"/>
              <w:gridCol w:w="2299"/>
            </w:tblGrid>
            <w:tr w14:paraId="69A9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689" w:type="dxa"/>
                  <w:vAlign w:val="center"/>
                </w:tcPr>
                <w:p w14:paraId="25E93C5E">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1832" w:type="dxa"/>
                  <w:vAlign w:val="center"/>
                </w:tcPr>
                <w:p w14:paraId="1642E097">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产生浓度（mg/L）</w:t>
                  </w:r>
                </w:p>
              </w:tc>
              <w:tc>
                <w:tcPr>
                  <w:tcW w:w="2299" w:type="dxa"/>
                  <w:vAlign w:val="center"/>
                </w:tcPr>
                <w:p w14:paraId="4CE8D42C">
                  <w:pPr>
                    <w:pStyle w:val="29"/>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产生量（t/a）</w:t>
                  </w:r>
                </w:p>
              </w:tc>
              <w:tc>
                <w:tcPr>
                  <w:tcW w:w="2299" w:type="dxa"/>
                  <w:vAlign w:val="center"/>
                </w:tcPr>
                <w:p w14:paraId="61D424E0">
                  <w:pPr>
                    <w:pStyle w:val="29"/>
                    <w:spacing w:line="240" w:lineRule="auto"/>
                    <w:jc w:val="center"/>
                    <w:rPr>
                      <w:rFonts w:hint="default"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处置措施</w:t>
                  </w:r>
                </w:p>
              </w:tc>
            </w:tr>
            <w:tr w14:paraId="44C0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689" w:type="dxa"/>
                  <w:vAlign w:val="center"/>
                </w:tcPr>
                <w:p w14:paraId="5C48B1FA">
                  <w:pPr>
                    <w:pStyle w:val="29"/>
                    <w:spacing w:line="240" w:lineRule="auto"/>
                    <w:jc w:val="center"/>
                    <w:rPr>
                      <w:rFonts w:hint="eastAsia"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废水量</w:t>
                  </w:r>
                  <w:r>
                    <w:rPr>
                      <w:rFonts w:hint="eastAsia"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m</w:t>
                  </w:r>
                  <w:r>
                    <w:rPr>
                      <w:rFonts w:hint="eastAsia" w:ascii="Times New Roman" w:hAnsi="Times New Roman" w:eastAsia="宋体" w:cs="Times New Roman"/>
                      <w:b w:val="0"/>
                      <w:bCs/>
                      <w:sz w:val="21"/>
                      <w:szCs w:val="21"/>
                      <w:vertAlign w:val="superscript"/>
                      <w:lang w:val="en-US" w:eastAsia="zh-CN"/>
                    </w:rPr>
                    <w:t>3</w:t>
                  </w:r>
                  <w:r>
                    <w:rPr>
                      <w:rFonts w:hint="eastAsia" w:ascii="Times New Roman" w:hAnsi="Times New Roman" w:eastAsia="宋体" w:cs="Times New Roman"/>
                      <w:b w:val="0"/>
                      <w:bCs/>
                      <w:sz w:val="21"/>
                      <w:szCs w:val="21"/>
                      <w:lang w:val="en-US" w:eastAsia="zh-CN"/>
                    </w:rPr>
                    <w:t>/a</w:t>
                  </w:r>
                  <w:r>
                    <w:rPr>
                      <w:rFonts w:hint="eastAsia" w:ascii="Times New Roman" w:hAnsi="Times New Roman" w:eastAsia="宋体" w:cs="Times New Roman"/>
                      <w:b w:val="0"/>
                      <w:bCs/>
                      <w:sz w:val="21"/>
                      <w:szCs w:val="21"/>
                      <w:lang w:eastAsia="zh-CN"/>
                    </w:rPr>
                    <w:t>）</w:t>
                  </w:r>
                </w:p>
              </w:tc>
              <w:tc>
                <w:tcPr>
                  <w:tcW w:w="1832" w:type="dxa"/>
                  <w:vAlign w:val="center"/>
                </w:tcPr>
                <w:p w14:paraId="0A269245">
                  <w:pPr>
                    <w:pStyle w:val="29"/>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w:t>
                  </w:r>
                </w:p>
              </w:tc>
              <w:tc>
                <w:tcPr>
                  <w:tcW w:w="2299" w:type="dxa"/>
                  <w:vAlign w:val="center"/>
                </w:tcPr>
                <w:p w14:paraId="75D63431">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576</w:t>
                  </w:r>
                </w:p>
              </w:tc>
              <w:tc>
                <w:tcPr>
                  <w:tcW w:w="2299" w:type="dxa"/>
                  <w:vMerge w:val="restart"/>
                  <w:vAlign w:val="center"/>
                </w:tcPr>
                <w:p w14:paraId="42226BCC">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经化粪池预处理后，定期清掏用于周边农田施肥，不外排</w:t>
                  </w:r>
                </w:p>
              </w:tc>
            </w:tr>
            <w:tr w14:paraId="7308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689" w:type="dxa"/>
                  <w:vAlign w:val="center"/>
                </w:tcPr>
                <w:p w14:paraId="7B996FB0">
                  <w:pPr>
                    <w:pStyle w:val="29"/>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COD</w:t>
                  </w:r>
                </w:p>
              </w:tc>
              <w:tc>
                <w:tcPr>
                  <w:tcW w:w="1832" w:type="dxa"/>
                  <w:vAlign w:val="center"/>
                </w:tcPr>
                <w:p w14:paraId="75A26F01">
                  <w:pPr>
                    <w:pStyle w:val="29"/>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300</w:t>
                  </w:r>
                </w:p>
              </w:tc>
              <w:tc>
                <w:tcPr>
                  <w:tcW w:w="2299" w:type="dxa"/>
                  <w:vAlign w:val="center"/>
                </w:tcPr>
                <w:p w14:paraId="1E10B2D7">
                  <w:pPr>
                    <w:pStyle w:val="29"/>
                    <w:spacing w:line="240" w:lineRule="auto"/>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0.</w:t>
                  </w:r>
                  <w:r>
                    <w:rPr>
                      <w:rFonts w:hint="eastAsia" w:ascii="Times New Roman" w:hAnsi="Times New Roman" w:eastAsia="宋体" w:cs="Times New Roman"/>
                      <w:b w:val="0"/>
                      <w:bCs/>
                      <w:sz w:val="21"/>
                      <w:szCs w:val="21"/>
                      <w:lang w:val="en-US" w:eastAsia="zh-CN"/>
                    </w:rPr>
                    <w:t>173</w:t>
                  </w:r>
                </w:p>
              </w:tc>
              <w:tc>
                <w:tcPr>
                  <w:tcW w:w="2299" w:type="dxa"/>
                  <w:vMerge w:val="continue"/>
                  <w:vAlign w:val="center"/>
                </w:tcPr>
                <w:p w14:paraId="6A6BD093">
                  <w:pPr>
                    <w:pStyle w:val="29"/>
                    <w:spacing w:line="240" w:lineRule="auto"/>
                    <w:jc w:val="center"/>
                    <w:rPr>
                      <w:rFonts w:hint="default" w:ascii="Times New Roman" w:hAnsi="Times New Roman" w:eastAsia="宋体" w:cs="Times New Roman"/>
                      <w:b w:val="0"/>
                      <w:bCs/>
                      <w:sz w:val="21"/>
                      <w:szCs w:val="21"/>
                    </w:rPr>
                  </w:pPr>
                </w:p>
              </w:tc>
            </w:tr>
            <w:tr w14:paraId="5F55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689" w:type="dxa"/>
                  <w:vAlign w:val="center"/>
                </w:tcPr>
                <w:p w14:paraId="0D52BA7B">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BOD</w:t>
                  </w:r>
                  <w:r>
                    <w:rPr>
                      <w:rFonts w:hint="eastAsia" w:ascii="Times New Roman" w:hAnsi="Times New Roman" w:eastAsia="宋体" w:cs="Times New Roman"/>
                      <w:b w:val="0"/>
                      <w:bCs/>
                      <w:sz w:val="21"/>
                      <w:szCs w:val="21"/>
                      <w:vertAlign w:val="subscript"/>
                      <w:lang w:val="en-US" w:eastAsia="zh-CN"/>
                    </w:rPr>
                    <w:t>5</w:t>
                  </w:r>
                </w:p>
              </w:tc>
              <w:tc>
                <w:tcPr>
                  <w:tcW w:w="1832" w:type="dxa"/>
                  <w:vAlign w:val="center"/>
                </w:tcPr>
                <w:p w14:paraId="2B1D634C">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250</w:t>
                  </w:r>
                </w:p>
              </w:tc>
              <w:tc>
                <w:tcPr>
                  <w:tcW w:w="2299" w:type="dxa"/>
                  <w:vAlign w:val="center"/>
                </w:tcPr>
                <w:p w14:paraId="0F93CE65">
                  <w:pPr>
                    <w:pStyle w:val="29"/>
                    <w:spacing w:line="240" w:lineRule="auto"/>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0.</w:t>
                  </w:r>
                  <w:r>
                    <w:rPr>
                      <w:rFonts w:hint="eastAsia" w:ascii="Times New Roman" w:hAnsi="Times New Roman" w:eastAsia="宋体" w:cs="Times New Roman"/>
                      <w:b w:val="0"/>
                      <w:bCs/>
                      <w:sz w:val="21"/>
                      <w:szCs w:val="21"/>
                      <w:lang w:val="en-US" w:eastAsia="zh-CN"/>
                    </w:rPr>
                    <w:t>144</w:t>
                  </w:r>
                </w:p>
              </w:tc>
              <w:tc>
                <w:tcPr>
                  <w:tcW w:w="2299" w:type="dxa"/>
                  <w:vMerge w:val="continue"/>
                  <w:vAlign w:val="center"/>
                </w:tcPr>
                <w:p w14:paraId="10842A25">
                  <w:pPr>
                    <w:pStyle w:val="29"/>
                    <w:spacing w:line="240" w:lineRule="auto"/>
                    <w:jc w:val="center"/>
                    <w:rPr>
                      <w:rFonts w:hint="default" w:ascii="Times New Roman" w:hAnsi="Times New Roman" w:eastAsia="宋体" w:cs="Times New Roman"/>
                      <w:b w:val="0"/>
                      <w:bCs/>
                      <w:sz w:val="21"/>
                      <w:szCs w:val="21"/>
                    </w:rPr>
                  </w:pPr>
                </w:p>
              </w:tc>
            </w:tr>
            <w:tr w14:paraId="73ED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689" w:type="dxa"/>
                  <w:vAlign w:val="center"/>
                </w:tcPr>
                <w:p w14:paraId="48478379">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SS</w:t>
                  </w:r>
                </w:p>
              </w:tc>
              <w:tc>
                <w:tcPr>
                  <w:tcW w:w="1832" w:type="dxa"/>
                  <w:vAlign w:val="center"/>
                </w:tcPr>
                <w:p w14:paraId="3A653585">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220</w:t>
                  </w:r>
                </w:p>
              </w:tc>
              <w:tc>
                <w:tcPr>
                  <w:tcW w:w="2299" w:type="dxa"/>
                  <w:vAlign w:val="center"/>
                </w:tcPr>
                <w:p w14:paraId="0BDE8B55">
                  <w:pPr>
                    <w:pStyle w:val="29"/>
                    <w:spacing w:line="240" w:lineRule="auto"/>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0.</w:t>
                  </w:r>
                  <w:r>
                    <w:rPr>
                      <w:rFonts w:hint="eastAsia" w:ascii="Times New Roman" w:hAnsi="Times New Roman" w:eastAsia="宋体" w:cs="Times New Roman"/>
                      <w:b w:val="0"/>
                      <w:bCs/>
                      <w:sz w:val="21"/>
                      <w:szCs w:val="21"/>
                      <w:lang w:val="en-US" w:eastAsia="zh-CN"/>
                    </w:rPr>
                    <w:t>127</w:t>
                  </w:r>
                </w:p>
              </w:tc>
              <w:tc>
                <w:tcPr>
                  <w:tcW w:w="2299" w:type="dxa"/>
                  <w:vMerge w:val="continue"/>
                  <w:vAlign w:val="center"/>
                </w:tcPr>
                <w:p w14:paraId="0CBC7E46">
                  <w:pPr>
                    <w:pStyle w:val="29"/>
                    <w:spacing w:line="240" w:lineRule="auto"/>
                    <w:jc w:val="center"/>
                    <w:rPr>
                      <w:rFonts w:hint="default" w:ascii="Times New Roman" w:hAnsi="Times New Roman" w:eastAsia="宋体" w:cs="Times New Roman"/>
                      <w:b w:val="0"/>
                      <w:bCs/>
                      <w:sz w:val="21"/>
                      <w:szCs w:val="21"/>
                    </w:rPr>
                  </w:pPr>
                </w:p>
              </w:tc>
            </w:tr>
            <w:tr w14:paraId="01EBF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689" w:type="dxa"/>
                  <w:vAlign w:val="center"/>
                </w:tcPr>
                <w:p w14:paraId="1D19B3E4">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NH</w:t>
                  </w:r>
                  <w:r>
                    <w:rPr>
                      <w:rFonts w:hint="eastAsia" w:ascii="Times New Roman" w:hAnsi="Times New Roman" w:eastAsia="宋体" w:cs="Times New Roman"/>
                      <w:b w:val="0"/>
                      <w:bCs/>
                      <w:sz w:val="21"/>
                      <w:szCs w:val="21"/>
                      <w:vertAlign w:val="subscript"/>
                      <w:lang w:val="en-US" w:eastAsia="zh-CN"/>
                    </w:rPr>
                    <w:t>3</w:t>
                  </w:r>
                  <w:r>
                    <w:rPr>
                      <w:rFonts w:hint="eastAsia" w:ascii="Times New Roman" w:hAnsi="Times New Roman" w:eastAsia="宋体" w:cs="Times New Roman"/>
                      <w:b w:val="0"/>
                      <w:bCs/>
                      <w:sz w:val="21"/>
                      <w:szCs w:val="21"/>
                      <w:lang w:val="en-US" w:eastAsia="zh-CN"/>
                    </w:rPr>
                    <w:t>-N</w:t>
                  </w:r>
                </w:p>
              </w:tc>
              <w:tc>
                <w:tcPr>
                  <w:tcW w:w="1832" w:type="dxa"/>
                  <w:vAlign w:val="center"/>
                </w:tcPr>
                <w:p w14:paraId="23CE5592">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30</w:t>
                  </w:r>
                </w:p>
              </w:tc>
              <w:tc>
                <w:tcPr>
                  <w:tcW w:w="2299" w:type="dxa"/>
                  <w:vAlign w:val="center"/>
                </w:tcPr>
                <w:p w14:paraId="03A6E6E8">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0.017</w:t>
                  </w:r>
                </w:p>
              </w:tc>
              <w:tc>
                <w:tcPr>
                  <w:tcW w:w="2299" w:type="dxa"/>
                  <w:vMerge w:val="continue"/>
                  <w:vAlign w:val="center"/>
                </w:tcPr>
                <w:p w14:paraId="5EEFD11A">
                  <w:pPr>
                    <w:pStyle w:val="29"/>
                    <w:spacing w:line="240" w:lineRule="auto"/>
                    <w:jc w:val="center"/>
                    <w:rPr>
                      <w:rFonts w:hint="default" w:ascii="Times New Roman" w:hAnsi="Times New Roman" w:eastAsia="宋体" w:cs="Times New Roman"/>
                      <w:b w:val="0"/>
                      <w:bCs/>
                      <w:sz w:val="21"/>
                      <w:szCs w:val="21"/>
                    </w:rPr>
                  </w:pPr>
                </w:p>
              </w:tc>
            </w:tr>
            <w:tr w14:paraId="1A92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1689" w:type="dxa"/>
                  <w:vAlign w:val="center"/>
                </w:tcPr>
                <w:p w14:paraId="504FDEC7">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动植物油</w:t>
                  </w:r>
                </w:p>
              </w:tc>
              <w:tc>
                <w:tcPr>
                  <w:tcW w:w="1832" w:type="dxa"/>
                  <w:vAlign w:val="center"/>
                </w:tcPr>
                <w:p w14:paraId="16A08E0D">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25</w:t>
                  </w:r>
                </w:p>
              </w:tc>
              <w:tc>
                <w:tcPr>
                  <w:tcW w:w="2299" w:type="dxa"/>
                  <w:vAlign w:val="center"/>
                </w:tcPr>
                <w:p w14:paraId="3EA0B061">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0.014</w:t>
                  </w:r>
                </w:p>
              </w:tc>
              <w:tc>
                <w:tcPr>
                  <w:tcW w:w="2299" w:type="dxa"/>
                  <w:vMerge w:val="continue"/>
                  <w:vAlign w:val="center"/>
                </w:tcPr>
                <w:p w14:paraId="417666C4">
                  <w:pPr>
                    <w:pStyle w:val="29"/>
                    <w:spacing w:line="240" w:lineRule="auto"/>
                    <w:jc w:val="center"/>
                    <w:rPr>
                      <w:rFonts w:hint="default" w:ascii="Times New Roman" w:hAnsi="Times New Roman" w:eastAsia="宋体" w:cs="Times New Roman"/>
                      <w:b w:val="0"/>
                      <w:bCs/>
                      <w:sz w:val="21"/>
                      <w:szCs w:val="21"/>
                    </w:rPr>
                  </w:pPr>
                </w:p>
              </w:tc>
            </w:tr>
          </w:tbl>
          <w:p w14:paraId="5E42FA4B">
            <w:pPr>
              <w:pStyle w:val="20"/>
              <w:spacing w:before="120" w:beforeLines="50" w:beforeAutospacing="0" w:after="0" w:afterAutospacing="0" w:line="360" w:lineRule="auto"/>
              <w:jc w:val="both"/>
              <w:outlineLvl w:val="0"/>
              <w:rPr>
                <w:rFonts w:ascii="Times New Roman" w:hAnsi="Times New Roman"/>
                <w:b/>
                <w:bCs/>
              </w:rPr>
            </w:pPr>
            <w:r>
              <w:rPr>
                <w:rFonts w:hint="eastAsia" w:ascii="Times New Roman" w:hAnsi="Times New Roman"/>
                <w:b/>
                <w:bCs/>
                <w:color w:val="000000"/>
                <w:szCs w:val="24"/>
              </w:rPr>
              <w:t>4.6.2</w:t>
            </w:r>
            <w:r>
              <w:rPr>
                <w:rFonts w:ascii="Times New Roman" w:hAnsi="Times New Roman"/>
                <w:b/>
              </w:rPr>
              <w:t>污染防治措施</w:t>
            </w:r>
            <w:r>
              <w:rPr>
                <w:rFonts w:ascii="Times New Roman" w:hAnsi="Times New Roman"/>
                <w:b/>
                <w:bCs/>
              </w:rPr>
              <w:t>可行性分析</w:t>
            </w:r>
          </w:p>
          <w:p w14:paraId="2C3CB4AA">
            <w:pPr>
              <w:tabs>
                <w:tab w:val="left" w:pos="1065"/>
              </w:tabs>
              <w:spacing w:line="360" w:lineRule="auto"/>
              <w:ind w:firstLine="480"/>
              <w:rPr>
                <w:bCs/>
                <w:sz w:val="24"/>
              </w:rPr>
            </w:pPr>
            <w:r>
              <w:rPr>
                <w:bCs/>
                <w:sz w:val="24"/>
              </w:rPr>
              <w:t>（1）</w:t>
            </w:r>
            <w:r>
              <w:rPr>
                <w:rFonts w:hint="eastAsia"/>
                <w:bCs/>
                <w:sz w:val="24"/>
                <w:lang w:val="en-US" w:eastAsia="zh-CN"/>
              </w:rPr>
              <w:t>生产</w:t>
            </w:r>
            <w:r>
              <w:rPr>
                <w:bCs/>
                <w:sz w:val="24"/>
              </w:rPr>
              <w:t>废水污染防治措施可行性分析</w:t>
            </w:r>
          </w:p>
          <w:p w14:paraId="245E139F">
            <w:pPr>
              <w:pStyle w:val="20"/>
              <w:spacing w:before="0" w:beforeAutospacing="0" w:after="0" w:afterAutospacing="0" w:line="360" w:lineRule="auto"/>
              <w:ind w:firstLine="480" w:firstLineChars="200"/>
              <w:jc w:val="both"/>
              <w:outlineLvl w:val="0"/>
              <w:rPr>
                <w:rFonts w:hint="default" w:ascii="Times New Roman" w:hAnsi="Times New Roman"/>
                <w:szCs w:val="24"/>
                <w:lang w:val="en-US" w:eastAsia="zh-CN"/>
              </w:rPr>
            </w:pPr>
            <w:r>
              <w:rPr>
                <w:rFonts w:hint="eastAsia" w:ascii="Times New Roman" w:hAnsi="Times New Roman"/>
                <w:szCs w:val="24"/>
                <w:lang w:val="en-US" w:eastAsia="zh-CN"/>
              </w:rPr>
              <w:t>①污水处理站概况</w:t>
            </w:r>
          </w:p>
          <w:p w14:paraId="371AB74F">
            <w:pPr>
              <w:pStyle w:val="20"/>
              <w:spacing w:before="0" w:beforeAutospacing="0" w:after="0" w:afterAutospacing="0" w:line="360" w:lineRule="auto"/>
              <w:ind w:firstLine="480" w:firstLineChars="200"/>
              <w:jc w:val="both"/>
              <w:outlineLvl w:val="0"/>
              <w:rPr>
                <w:rFonts w:hint="default" w:ascii="Times New Roman" w:hAnsi="Times New Roman"/>
                <w:szCs w:val="24"/>
                <w:lang w:val="en-US" w:eastAsia="zh-CN"/>
              </w:rPr>
            </w:pPr>
            <w:r>
              <w:rPr>
                <w:rFonts w:hint="eastAsia" w:ascii="Times New Roman" w:hAnsi="Times New Roman"/>
                <w:szCs w:val="24"/>
                <w:lang w:val="en-US" w:eastAsia="zh-CN"/>
              </w:rPr>
              <w:t>营运期生产废水（地坪保洁废水、初期雨水）经自建污水处理站（处理能力20m</w:t>
            </w:r>
            <w:r>
              <w:rPr>
                <w:rFonts w:hint="eastAsia" w:ascii="Times New Roman" w:hAnsi="Times New Roman"/>
                <w:szCs w:val="24"/>
                <w:vertAlign w:val="superscript"/>
                <w:lang w:val="en-US" w:eastAsia="zh-CN"/>
              </w:rPr>
              <w:t>3</w:t>
            </w:r>
            <w:r>
              <w:rPr>
                <w:rFonts w:hint="eastAsia" w:ascii="Times New Roman" w:hAnsi="Times New Roman"/>
                <w:szCs w:val="24"/>
                <w:lang w:val="en-US" w:eastAsia="zh-CN"/>
              </w:rPr>
              <w:t>/d）处理，处理工艺为“</w:t>
            </w:r>
            <w:r>
              <w:rPr>
                <w:rFonts w:hint="default" w:ascii="Times New Roman" w:hAnsi="Times New Roman" w:cs="Times New Roman"/>
                <w:sz w:val="24"/>
              </w:rPr>
              <w:t>均质+油水分离器+絮凝沉淀+吸附过滤</w:t>
            </w:r>
            <w:r>
              <w:rPr>
                <w:rFonts w:hint="eastAsia" w:ascii="Times New Roman" w:hAnsi="Times New Roman"/>
                <w:szCs w:val="24"/>
                <w:lang w:val="en-US" w:eastAsia="zh-CN"/>
              </w:rPr>
              <w:t>”，具体工艺流程见下图。</w:t>
            </w:r>
          </w:p>
          <w:p w14:paraId="523A0423">
            <w:pPr>
              <w:pStyle w:val="20"/>
              <w:spacing w:before="0" w:beforeAutospacing="0" w:after="0" w:afterAutospacing="0" w:line="360" w:lineRule="auto"/>
              <w:jc w:val="center"/>
              <w:outlineLvl w:val="0"/>
              <w:rPr>
                <w:rFonts w:hint="eastAsia" w:ascii="Times New Roman" w:hAnsi="Times New Roman"/>
                <w:szCs w:val="24"/>
                <w:lang w:val="en-US" w:eastAsia="zh-CN"/>
              </w:rPr>
            </w:pPr>
            <w:r>
              <w:drawing>
                <wp:inline distT="0" distB="0" distL="114300" distR="114300">
                  <wp:extent cx="5147310" cy="3573145"/>
                  <wp:effectExtent l="9525" t="9525" r="24765" b="1778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6"/>
                          <a:srcRect t="2231" b="14228"/>
                          <a:stretch>
                            <a:fillRect/>
                          </a:stretch>
                        </pic:blipFill>
                        <pic:spPr>
                          <a:xfrm>
                            <a:off x="0" y="0"/>
                            <a:ext cx="5147310" cy="3573145"/>
                          </a:xfrm>
                          <a:prstGeom prst="rect">
                            <a:avLst/>
                          </a:prstGeom>
                          <a:noFill/>
                          <a:ln>
                            <a:solidFill>
                              <a:schemeClr val="tx1"/>
                            </a:solidFill>
                          </a:ln>
                        </pic:spPr>
                      </pic:pic>
                    </a:graphicData>
                  </a:graphic>
                </wp:inline>
              </w:drawing>
            </w:r>
          </w:p>
          <w:p w14:paraId="019BAA96">
            <w:pPr>
              <w:pStyle w:val="20"/>
              <w:spacing w:before="0" w:beforeAutospacing="0" w:after="0" w:afterAutospacing="0" w:line="360" w:lineRule="auto"/>
              <w:ind w:firstLine="482" w:firstLineChars="200"/>
              <w:jc w:val="center"/>
              <w:outlineLvl w:val="0"/>
              <w:rPr>
                <w:rFonts w:hint="default" w:ascii="Times New Roman" w:hAnsi="Times New Roman"/>
                <w:szCs w:val="24"/>
                <w:lang w:val="en-US" w:eastAsia="zh-CN"/>
              </w:rPr>
            </w:pPr>
            <w:r>
              <w:rPr>
                <w:rFonts w:hint="eastAsia" w:ascii="Times New Roman" w:hAnsi="Times New Roman"/>
                <w:b/>
                <w:bCs/>
                <w:szCs w:val="24"/>
                <w:lang w:val="en-US" w:eastAsia="zh-CN"/>
              </w:rPr>
              <w:t>图4-1  建设项目污水处理站处理工艺流程图</w:t>
            </w:r>
          </w:p>
          <w:p w14:paraId="6021F502">
            <w:pPr>
              <w:pStyle w:val="20"/>
              <w:spacing w:before="0" w:beforeAutospacing="0" w:after="0" w:afterAutospacing="0" w:line="360" w:lineRule="auto"/>
              <w:ind w:firstLine="482" w:firstLineChars="200"/>
              <w:jc w:val="both"/>
              <w:outlineLvl w:val="0"/>
              <w:rPr>
                <w:rFonts w:hint="default" w:ascii="Times New Roman" w:hAnsi="Times New Roman"/>
                <w:szCs w:val="24"/>
                <w:lang w:val="en-US" w:eastAsia="zh-CN"/>
              </w:rPr>
            </w:pPr>
            <w:r>
              <w:rPr>
                <w:rFonts w:hint="eastAsia" w:ascii="Times New Roman" w:hAnsi="Times New Roman"/>
                <w:b/>
                <w:bCs/>
                <w:szCs w:val="24"/>
                <w:lang w:val="en-US" w:eastAsia="zh-CN"/>
              </w:rPr>
              <w:t>工艺流程简介：</w:t>
            </w:r>
            <w:r>
              <w:rPr>
                <w:rFonts w:hint="eastAsia" w:ascii="Times New Roman" w:hAnsi="Times New Roman"/>
                <w:szCs w:val="24"/>
                <w:lang w:val="en-US" w:eastAsia="zh-CN"/>
              </w:rPr>
              <w:t>污水首先通过格栅去除水中大块的悬浮物，自流入调节池，调节和均质水量和水质，均质后的废水泵入油水分离器进行隔油处理，隔油后的废水进入混凝沉淀池，通过添加絮凝剂去除水中小块的悬浮物，出水再经活性炭吸附过滤装置去除废水中有机溶剂，过滤后进入清水池回用于车间保洁及厂区绿化。油水分离器分离出的废油、活性炭吸附过滤工段定期更换的废活性炭集中收集后，暂存危废暂存库，定期交有资质单位处置，混凝沉淀池产生的污泥进入污泥浓缩池浓缩，浓缩后的污泥经脱水机机械脱水，产生的泥饼外运处置，浓缩上清液、脱水液进入调节池处理。</w:t>
            </w:r>
          </w:p>
          <w:p w14:paraId="4FB9A166">
            <w:pPr>
              <w:pStyle w:val="20"/>
              <w:spacing w:before="0" w:beforeAutospacing="0" w:after="0" w:afterAutospacing="0" w:line="360" w:lineRule="auto"/>
              <w:ind w:firstLine="480" w:firstLineChars="200"/>
              <w:jc w:val="both"/>
              <w:outlineLvl w:val="0"/>
              <w:rPr>
                <w:rFonts w:hint="default" w:ascii="Times New Roman" w:hAnsi="Times New Roman"/>
                <w:szCs w:val="24"/>
                <w:lang w:val="en-US" w:eastAsia="zh-CN"/>
              </w:rPr>
            </w:pPr>
            <w:r>
              <w:rPr>
                <w:rFonts w:hint="eastAsia" w:ascii="Times New Roman" w:hAnsi="Times New Roman"/>
                <w:szCs w:val="24"/>
                <w:lang w:val="en-US" w:eastAsia="zh-CN"/>
              </w:rPr>
              <w:t>②污染防治措施可行性分析</w:t>
            </w:r>
          </w:p>
          <w:p w14:paraId="4C6A8D2A">
            <w:pPr>
              <w:pStyle w:val="20"/>
              <w:spacing w:before="0" w:beforeAutospacing="0" w:after="0" w:afterAutospacing="0" w:line="360" w:lineRule="auto"/>
              <w:ind w:firstLine="480" w:firstLineChars="200"/>
              <w:jc w:val="both"/>
              <w:outlineLvl w:val="0"/>
              <w:rPr>
                <w:rFonts w:hint="default" w:ascii="Times New Roman" w:hAnsi="Times New Roman" w:eastAsia="宋体"/>
                <w:szCs w:val="24"/>
                <w:lang w:val="en-US" w:eastAsia="zh-CN"/>
              </w:rPr>
            </w:pPr>
            <w:r>
              <w:rPr>
                <w:rFonts w:hint="eastAsia" w:ascii="Times New Roman" w:hAnsi="Times New Roman"/>
                <w:szCs w:val="24"/>
                <w:lang w:val="en-US" w:eastAsia="zh-CN"/>
              </w:rPr>
              <w:t>参照《排污许可证申请与核发技术规范—废弃资源加工工业》（HJ1034-2019）可知，本项目污水处理站处理工艺属于可行技术，具体分析结果见下表。</w:t>
            </w:r>
          </w:p>
          <w:p w14:paraId="1FEB9A53">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firstLine="422" w:firstLineChars="200"/>
              <w:jc w:val="center"/>
              <w:textAlignment w:val="auto"/>
              <w:outlineLvl w:val="0"/>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表4-13  废水污染防治措施可行技术一览表</w:t>
            </w:r>
          </w:p>
          <w:tbl>
            <w:tblPr>
              <w:tblStyle w:val="25"/>
              <w:tblW w:w="8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764"/>
              <w:gridCol w:w="1713"/>
              <w:gridCol w:w="2250"/>
              <w:gridCol w:w="1627"/>
              <w:gridCol w:w="679"/>
            </w:tblGrid>
            <w:tr w14:paraId="599AE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14:paraId="446DD4AC">
                  <w:pPr>
                    <w:pStyle w:val="20"/>
                    <w:spacing w:before="0" w:beforeAutospacing="0" w:after="0" w:afterAutospacing="0" w:line="240" w:lineRule="auto"/>
                    <w:jc w:val="center"/>
                    <w:outlineLvl w:val="0"/>
                    <w:rPr>
                      <w:rFonts w:hint="default" w:ascii="Times New Roman" w:hAnsi="Times New Roman"/>
                      <w:b/>
                      <w:bCs/>
                      <w:sz w:val="21"/>
                      <w:szCs w:val="21"/>
                      <w:vertAlign w:val="baseline"/>
                      <w:lang w:val="en-US" w:eastAsia="zh-CN"/>
                    </w:rPr>
                  </w:pPr>
                  <w:r>
                    <w:rPr>
                      <w:rFonts w:hint="eastAsia" w:ascii="Times New Roman" w:hAnsi="Times New Roman"/>
                      <w:b/>
                      <w:bCs/>
                      <w:sz w:val="21"/>
                      <w:szCs w:val="21"/>
                      <w:vertAlign w:val="baseline"/>
                      <w:lang w:val="en-US" w:eastAsia="zh-CN"/>
                    </w:rPr>
                    <w:t>废弃资源种类</w:t>
                  </w:r>
                </w:p>
              </w:tc>
              <w:tc>
                <w:tcPr>
                  <w:tcW w:w="764" w:type="dxa"/>
                  <w:vAlign w:val="center"/>
                </w:tcPr>
                <w:p w14:paraId="44E4D300">
                  <w:pPr>
                    <w:pStyle w:val="20"/>
                    <w:spacing w:before="0" w:beforeAutospacing="0" w:after="0" w:afterAutospacing="0" w:line="240" w:lineRule="auto"/>
                    <w:jc w:val="center"/>
                    <w:outlineLvl w:val="0"/>
                    <w:rPr>
                      <w:rFonts w:hint="default" w:ascii="Times New Roman" w:hAnsi="Times New Roman"/>
                      <w:b/>
                      <w:bCs/>
                      <w:sz w:val="21"/>
                      <w:szCs w:val="21"/>
                      <w:vertAlign w:val="baseline"/>
                      <w:lang w:val="en-US" w:eastAsia="zh-CN"/>
                    </w:rPr>
                  </w:pPr>
                  <w:r>
                    <w:rPr>
                      <w:rFonts w:hint="eastAsia" w:ascii="Times New Roman" w:hAnsi="Times New Roman"/>
                      <w:b/>
                      <w:bCs/>
                      <w:sz w:val="21"/>
                      <w:szCs w:val="21"/>
                      <w:vertAlign w:val="baseline"/>
                      <w:lang w:val="en-US" w:eastAsia="zh-CN"/>
                    </w:rPr>
                    <w:t>废水类别</w:t>
                  </w:r>
                </w:p>
              </w:tc>
              <w:tc>
                <w:tcPr>
                  <w:tcW w:w="1713" w:type="dxa"/>
                  <w:vAlign w:val="center"/>
                </w:tcPr>
                <w:p w14:paraId="6B5E0D19">
                  <w:pPr>
                    <w:pStyle w:val="20"/>
                    <w:spacing w:before="0" w:beforeAutospacing="0" w:after="0" w:afterAutospacing="0" w:line="240" w:lineRule="auto"/>
                    <w:jc w:val="center"/>
                    <w:outlineLvl w:val="0"/>
                    <w:rPr>
                      <w:rFonts w:hint="default" w:ascii="Times New Roman" w:hAnsi="Times New Roman"/>
                      <w:b/>
                      <w:bCs/>
                      <w:sz w:val="21"/>
                      <w:szCs w:val="21"/>
                      <w:vertAlign w:val="baseline"/>
                      <w:lang w:val="en-US" w:eastAsia="zh-CN"/>
                    </w:rPr>
                  </w:pPr>
                  <w:r>
                    <w:rPr>
                      <w:rFonts w:hint="eastAsia" w:ascii="Times New Roman" w:hAnsi="Times New Roman"/>
                      <w:b/>
                      <w:bCs/>
                      <w:sz w:val="21"/>
                      <w:szCs w:val="21"/>
                      <w:vertAlign w:val="baseline"/>
                      <w:lang w:val="en-US" w:eastAsia="zh-CN"/>
                    </w:rPr>
                    <w:t>污染物种类</w:t>
                  </w:r>
                </w:p>
              </w:tc>
              <w:tc>
                <w:tcPr>
                  <w:tcW w:w="2250" w:type="dxa"/>
                  <w:vAlign w:val="center"/>
                </w:tcPr>
                <w:p w14:paraId="705AF24D">
                  <w:pPr>
                    <w:pStyle w:val="20"/>
                    <w:spacing w:before="0" w:beforeAutospacing="0" w:after="0" w:afterAutospacing="0" w:line="240" w:lineRule="auto"/>
                    <w:jc w:val="center"/>
                    <w:outlineLvl w:val="0"/>
                    <w:rPr>
                      <w:rFonts w:hint="default" w:ascii="Times New Roman" w:hAnsi="Times New Roman"/>
                      <w:b/>
                      <w:bCs/>
                      <w:sz w:val="21"/>
                      <w:szCs w:val="21"/>
                      <w:vertAlign w:val="baseline"/>
                      <w:lang w:val="en-US" w:eastAsia="zh-CN"/>
                    </w:rPr>
                  </w:pPr>
                  <w:r>
                    <w:rPr>
                      <w:rFonts w:hint="eastAsia" w:ascii="Times New Roman" w:hAnsi="Times New Roman"/>
                      <w:b/>
                      <w:bCs/>
                      <w:sz w:val="21"/>
                      <w:szCs w:val="21"/>
                      <w:vertAlign w:val="baseline"/>
                      <w:lang w:val="en-US" w:eastAsia="zh-CN"/>
                    </w:rPr>
                    <w:t>可行技术</w:t>
                  </w:r>
                </w:p>
              </w:tc>
              <w:tc>
                <w:tcPr>
                  <w:tcW w:w="1627" w:type="dxa"/>
                  <w:vAlign w:val="center"/>
                </w:tcPr>
                <w:p w14:paraId="61A2565F">
                  <w:pPr>
                    <w:pStyle w:val="20"/>
                    <w:spacing w:before="0" w:beforeAutospacing="0" w:after="0" w:afterAutospacing="0" w:line="240" w:lineRule="auto"/>
                    <w:jc w:val="center"/>
                    <w:outlineLvl w:val="0"/>
                    <w:rPr>
                      <w:rFonts w:hint="default" w:ascii="Times New Roman" w:hAnsi="Times New Roman"/>
                      <w:b/>
                      <w:bCs/>
                      <w:sz w:val="21"/>
                      <w:szCs w:val="21"/>
                      <w:vertAlign w:val="baseline"/>
                      <w:lang w:val="en-US" w:eastAsia="zh-CN"/>
                    </w:rPr>
                  </w:pPr>
                  <w:r>
                    <w:rPr>
                      <w:rFonts w:hint="eastAsia" w:ascii="Times New Roman" w:hAnsi="Times New Roman"/>
                      <w:b/>
                      <w:bCs/>
                      <w:sz w:val="21"/>
                      <w:szCs w:val="21"/>
                      <w:vertAlign w:val="baseline"/>
                      <w:lang w:val="en-US" w:eastAsia="zh-CN"/>
                    </w:rPr>
                    <w:t>本项目情况</w:t>
                  </w:r>
                </w:p>
              </w:tc>
              <w:tc>
                <w:tcPr>
                  <w:tcW w:w="679" w:type="dxa"/>
                  <w:vAlign w:val="center"/>
                </w:tcPr>
                <w:p w14:paraId="1767E27A">
                  <w:pPr>
                    <w:pStyle w:val="20"/>
                    <w:spacing w:before="0" w:beforeAutospacing="0" w:after="0" w:afterAutospacing="0" w:line="240" w:lineRule="auto"/>
                    <w:jc w:val="center"/>
                    <w:outlineLvl w:val="0"/>
                    <w:rPr>
                      <w:rFonts w:hint="default" w:ascii="Times New Roman" w:hAnsi="Times New Roman"/>
                      <w:b/>
                      <w:bCs/>
                      <w:sz w:val="21"/>
                      <w:szCs w:val="21"/>
                      <w:vertAlign w:val="baseline"/>
                      <w:lang w:val="en-US" w:eastAsia="zh-CN"/>
                    </w:rPr>
                  </w:pPr>
                  <w:r>
                    <w:rPr>
                      <w:rFonts w:hint="eastAsia" w:ascii="Times New Roman" w:hAnsi="Times New Roman"/>
                      <w:b/>
                      <w:bCs/>
                      <w:sz w:val="21"/>
                      <w:szCs w:val="21"/>
                      <w:vertAlign w:val="baseline"/>
                      <w:lang w:val="en-US" w:eastAsia="zh-CN"/>
                    </w:rPr>
                    <w:t>相符性</w:t>
                  </w:r>
                </w:p>
              </w:tc>
            </w:tr>
            <w:tr w14:paraId="24BB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14:paraId="6B052D2F">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废机动车</w:t>
                  </w:r>
                </w:p>
              </w:tc>
              <w:tc>
                <w:tcPr>
                  <w:tcW w:w="764" w:type="dxa"/>
                  <w:vAlign w:val="center"/>
                </w:tcPr>
                <w:p w14:paraId="3B0688A2">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综合废水</w:t>
                  </w:r>
                </w:p>
              </w:tc>
              <w:tc>
                <w:tcPr>
                  <w:tcW w:w="1713" w:type="dxa"/>
                  <w:vAlign w:val="center"/>
                </w:tcPr>
                <w:p w14:paraId="2D0725D5">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pH、化学需氧量、石油类、氨氮、悬浮物</w:t>
                  </w:r>
                </w:p>
              </w:tc>
              <w:tc>
                <w:tcPr>
                  <w:tcW w:w="2250" w:type="dxa"/>
                  <w:vAlign w:val="center"/>
                </w:tcPr>
                <w:p w14:paraId="6E087F63">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均质+隔油池+絮凝沉淀，均质+隔油池+絮凝沉淀+过滤等组合处理技术</w:t>
                  </w:r>
                </w:p>
              </w:tc>
              <w:tc>
                <w:tcPr>
                  <w:tcW w:w="1627" w:type="dxa"/>
                  <w:vAlign w:val="center"/>
                </w:tcPr>
                <w:p w14:paraId="7C47A8A7">
                  <w:pPr>
                    <w:pStyle w:val="20"/>
                    <w:spacing w:before="0" w:beforeAutospacing="0" w:after="0" w:afterAutospacing="0" w:line="240" w:lineRule="auto"/>
                    <w:jc w:val="center"/>
                    <w:outlineLvl w:val="0"/>
                    <w:rPr>
                      <w:rFonts w:hint="eastAsia" w:ascii="Times New Roman" w:hAnsi="Times New Roman"/>
                      <w:sz w:val="21"/>
                      <w:szCs w:val="21"/>
                      <w:vertAlign w:val="baseline"/>
                      <w:lang w:val="en-US" w:eastAsia="zh-CN"/>
                    </w:rPr>
                  </w:pPr>
                  <w:r>
                    <w:rPr>
                      <w:rFonts w:hint="default" w:ascii="Times New Roman" w:hAnsi="Times New Roman" w:cs="Times New Roman"/>
                      <w:sz w:val="21"/>
                      <w:szCs w:val="21"/>
                    </w:rPr>
                    <w:t>均质+油水分离器+絮凝沉淀+吸附过滤</w:t>
                  </w:r>
                </w:p>
              </w:tc>
              <w:tc>
                <w:tcPr>
                  <w:tcW w:w="679" w:type="dxa"/>
                  <w:vAlign w:val="center"/>
                </w:tcPr>
                <w:p w14:paraId="0FFBE6E9">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符合</w:t>
                  </w:r>
                </w:p>
              </w:tc>
            </w:tr>
          </w:tbl>
          <w:p w14:paraId="6C57B0AD">
            <w:pPr>
              <w:pStyle w:val="20"/>
              <w:spacing w:before="0" w:beforeAutospacing="0" w:after="0" w:afterAutospacing="0" w:line="360" w:lineRule="auto"/>
              <w:ind w:firstLine="480" w:firstLineChars="200"/>
              <w:jc w:val="both"/>
              <w:outlineLvl w:val="0"/>
              <w:rPr>
                <w:rFonts w:hint="default" w:ascii="Times New Roman" w:hAnsi="Times New Roman"/>
                <w:szCs w:val="24"/>
                <w:lang w:val="en-US" w:eastAsia="zh-CN"/>
              </w:rPr>
            </w:pPr>
            <w:r>
              <w:rPr>
                <w:rFonts w:hint="eastAsia" w:ascii="Times New Roman" w:hAnsi="Times New Roman"/>
                <w:szCs w:val="24"/>
                <w:lang w:val="en-US" w:eastAsia="zh-CN"/>
              </w:rPr>
              <w:t>（2）生产废水回用可行性分析</w:t>
            </w:r>
          </w:p>
          <w:p w14:paraId="4A7BE0D2">
            <w:pPr>
              <w:pStyle w:val="20"/>
              <w:spacing w:before="0" w:beforeAutospacing="0" w:after="0" w:afterAutospacing="0" w:line="360" w:lineRule="auto"/>
              <w:ind w:firstLine="480" w:firstLineChars="200"/>
              <w:jc w:val="both"/>
              <w:outlineLvl w:val="0"/>
              <w:rPr>
                <w:rFonts w:hint="default" w:ascii="Times New Roman" w:hAnsi="Times New Roman"/>
                <w:szCs w:val="24"/>
                <w:lang w:val="en-US" w:eastAsia="zh-CN"/>
              </w:rPr>
            </w:pPr>
            <w:r>
              <w:rPr>
                <w:rFonts w:hint="eastAsia" w:ascii="Times New Roman" w:hAnsi="Times New Roman"/>
                <w:szCs w:val="24"/>
                <w:lang w:val="en-US" w:eastAsia="zh-CN"/>
              </w:rPr>
              <w:t>①地坪保洁废水回用可行性分析</w:t>
            </w:r>
          </w:p>
          <w:p w14:paraId="324CF616">
            <w:pPr>
              <w:pStyle w:val="20"/>
              <w:spacing w:before="0" w:beforeAutospacing="0" w:after="0" w:afterAutospacing="0" w:line="360" w:lineRule="auto"/>
              <w:ind w:firstLine="480" w:firstLineChars="200"/>
              <w:jc w:val="both"/>
              <w:outlineLvl w:val="0"/>
              <w:rPr>
                <w:rFonts w:hint="eastAsia" w:ascii="Times New Roman" w:hAnsi="Times New Roman" w:cs="Times New Roman"/>
                <w:szCs w:val="24"/>
                <w:lang w:val="en-US" w:eastAsia="zh-CN"/>
              </w:rPr>
            </w:pPr>
            <w:r>
              <w:rPr>
                <w:rFonts w:hint="eastAsia" w:ascii="Times New Roman" w:hAnsi="Times New Roman"/>
                <w:szCs w:val="24"/>
                <w:lang w:val="en-US" w:eastAsia="zh-CN"/>
              </w:rPr>
              <w:t>本项目厂区绿化面积约500m</w:t>
            </w:r>
            <w:r>
              <w:rPr>
                <w:rFonts w:hint="eastAsia" w:ascii="Times New Roman" w:hAnsi="Times New Roman"/>
                <w:szCs w:val="24"/>
                <w:vertAlign w:val="superscript"/>
                <w:lang w:val="en-US" w:eastAsia="zh-CN"/>
              </w:rPr>
              <w:t>2</w:t>
            </w:r>
            <w:r>
              <w:rPr>
                <w:rFonts w:hint="eastAsia" w:ascii="Times New Roman" w:hAnsi="Times New Roman"/>
                <w:szCs w:val="24"/>
                <w:lang w:val="en-US" w:eastAsia="zh-CN"/>
              </w:rPr>
              <w:t>，根据《安徽省行业用水定额》（DB34/T679-2019）可知，绿化用水定额为0.9m</w:t>
            </w:r>
            <w:r>
              <w:rPr>
                <w:rFonts w:hint="eastAsia" w:ascii="Times New Roman" w:hAnsi="Times New Roman"/>
                <w:szCs w:val="24"/>
                <w:vertAlign w:val="superscript"/>
                <w:lang w:val="en-US" w:eastAsia="zh-CN"/>
              </w:rPr>
              <w:t>3</w:t>
            </w:r>
            <w:r>
              <w:rPr>
                <w:rFonts w:hint="eastAsia" w:ascii="Times New Roman" w:hAnsi="Times New Roman"/>
                <w:szCs w:val="24"/>
                <w:lang w:val="en-US" w:eastAsia="zh-CN"/>
              </w:rPr>
              <w:t>/</w:t>
            </w:r>
            <w:r>
              <w:rPr>
                <w:rFonts w:hint="default" w:ascii="Times New Roman" w:hAnsi="Times New Roman" w:cs="Times New Roman"/>
                <w:szCs w:val="24"/>
                <w:lang w:val="en-US" w:eastAsia="zh-CN"/>
              </w:rPr>
              <w:t>（m</w:t>
            </w:r>
            <w:r>
              <w:rPr>
                <w:rFonts w:hint="default" w:ascii="Times New Roman" w:hAnsi="Times New Roman" w:cs="Times New Roman"/>
                <w:szCs w:val="24"/>
                <w:vertAlign w:val="superscript"/>
                <w:lang w:val="en-US" w:eastAsia="zh-CN"/>
              </w:rPr>
              <w:t>2</w:t>
            </w:r>
            <w:r>
              <w:rPr>
                <w:rFonts w:hint="default" w:ascii="Times New Roman" w:hAnsi="Times New Roman" w:cs="Times New Roman"/>
                <w:szCs w:val="24"/>
                <w:lang w:val="en-US" w:eastAsia="zh-CN"/>
              </w:rPr>
              <w:t>·a）</w:t>
            </w:r>
            <w:r>
              <w:rPr>
                <w:rFonts w:hint="eastAsia" w:ascii="Times New Roman" w:hAnsi="Times New Roman" w:cs="Times New Roman"/>
                <w:szCs w:val="24"/>
                <w:lang w:val="en-US" w:eastAsia="zh-CN"/>
              </w:rPr>
              <w:t>，则绿化用水量为450m</w:t>
            </w:r>
            <w:r>
              <w:rPr>
                <w:rFonts w:hint="eastAsia" w:ascii="Times New Roman" w:hAnsi="Times New Roman" w:cs="Times New Roman"/>
                <w:szCs w:val="24"/>
                <w:vertAlign w:val="superscript"/>
                <w:lang w:val="en-US" w:eastAsia="zh-CN"/>
              </w:rPr>
              <w:t>3</w:t>
            </w:r>
            <w:r>
              <w:rPr>
                <w:rFonts w:hint="eastAsia" w:ascii="Times New Roman" w:hAnsi="Times New Roman" w:cs="Times New Roman"/>
                <w:szCs w:val="24"/>
                <w:lang w:val="en-US" w:eastAsia="zh-CN"/>
              </w:rPr>
              <w:t>/a。根据水平衡分析可知，项目地坪保洁废水量为0.936m</w:t>
            </w:r>
            <w:r>
              <w:rPr>
                <w:rFonts w:hint="eastAsia" w:ascii="Times New Roman" w:hAnsi="Times New Roman" w:cs="Times New Roman"/>
                <w:szCs w:val="24"/>
                <w:vertAlign w:val="superscript"/>
                <w:lang w:val="en-US" w:eastAsia="zh-CN"/>
              </w:rPr>
              <w:t>3</w:t>
            </w:r>
            <w:r>
              <w:rPr>
                <w:rFonts w:hint="eastAsia" w:ascii="Times New Roman" w:hAnsi="Times New Roman" w:cs="Times New Roman"/>
                <w:szCs w:val="24"/>
                <w:lang w:val="en-US" w:eastAsia="zh-CN"/>
              </w:rPr>
              <w:t>/d，280.8m</w:t>
            </w:r>
            <w:r>
              <w:rPr>
                <w:rFonts w:hint="eastAsia" w:ascii="Times New Roman" w:hAnsi="Times New Roman" w:cs="Times New Roman"/>
                <w:szCs w:val="24"/>
                <w:vertAlign w:val="superscript"/>
                <w:lang w:val="en-US" w:eastAsia="zh-CN"/>
              </w:rPr>
              <w:t>3</w:t>
            </w:r>
            <w:r>
              <w:rPr>
                <w:rFonts w:hint="eastAsia" w:ascii="Times New Roman" w:hAnsi="Times New Roman" w:cs="Times New Roman"/>
                <w:szCs w:val="24"/>
                <w:lang w:val="en-US" w:eastAsia="zh-CN"/>
              </w:rPr>
              <w:t>/a，经自建污水处理站预处理后，可全部回用于厂区绿化，不外排。</w:t>
            </w:r>
          </w:p>
          <w:p w14:paraId="650A5D2D">
            <w:pPr>
              <w:pStyle w:val="20"/>
              <w:spacing w:before="0" w:beforeAutospacing="0" w:after="0" w:afterAutospacing="0" w:line="360" w:lineRule="auto"/>
              <w:ind w:firstLine="480" w:firstLineChars="200"/>
              <w:jc w:val="both"/>
              <w:outlineLvl w:val="0"/>
              <w:rPr>
                <w:rFonts w:hint="eastAsia" w:ascii="Times New Roman" w:hAnsi="Times New Roman"/>
                <w:szCs w:val="24"/>
                <w:lang w:val="en-US" w:eastAsia="zh-CN"/>
              </w:rPr>
            </w:pPr>
            <w:r>
              <w:rPr>
                <w:rFonts w:hint="eastAsia" w:ascii="Times New Roman" w:hAnsi="Times New Roman"/>
                <w:szCs w:val="24"/>
                <w:lang w:val="en-US" w:eastAsia="zh-CN"/>
              </w:rPr>
              <w:t>②初期雨水回用可行性分析</w:t>
            </w:r>
          </w:p>
          <w:p w14:paraId="280FA41C">
            <w:pPr>
              <w:pStyle w:val="20"/>
              <w:spacing w:before="0" w:beforeAutospacing="0" w:after="0" w:afterAutospacing="0" w:line="360" w:lineRule="auto"/>
              <w:ind w:firstLine="480" w:firstLineChars="200"/>
              <w:jc w:val="both"/>
              <w:outlineLvl w:val="0"/>
              <w:rPr>
                <w:rFonts w:hint="default" w:ascii="Times New Roman" w:hAnsi="Times New Roman" w:eastAsia="宋体" w:cs="Times New Roman"/>
                <w:sz w:val="24"/>
                <w:szCs w:val="32"/>
                <w:lang w:val="en-US" w:eastAsia="zh-CN"/>
              </w:rPr>
            </w:pPr>
            <w:r>
              <w:rPr>
                <w:rFonts w:hint="default" w:ascii="Times New Roman" w:hAnsi="Times New Roman" w:cs="Times New Roman"/>
                <w:szCs w:val="24"/>
                <w:lang w:val="en-US" w:eastAsia="zh-CN"/>
              </w:rPr>
              <w:t>根据水平衡分析可知，本项目初期雨水</w:t>
            </w:r>
            <w:r>
              <w:rPr>
                <w:rFonts w:hint="default" w:ascii="Times New Roman" w:hAnsi="Times New Roman" w:cs="Times New Roman"/>
                <w:sz w:val="24"/>
                <w:szCs w:val="32"/>
                <w:vertAlign w:val="baseline"/>
                <w:lang w:val="en-US" w:eastAsia="zh-CN"/>
              </w:rPr>
              <w:t>量</w:t>
            </w:r>
            <w:r>
              <w:rPr>
                <w:rFonts w:hint="eastAsia" w:ascii="Times New Roman" w:hAnsi="Times New Roman" w:cs="Times New Roman"/>
                <w:sz w:val="24"/>
                <w:szCs w:val="32"/>
                <w:vertAlign w:val="baseline"/>
                <w:lang w:val="en-US" w:eastAsia="zh-CN"/>
              </w:rPr>
              <w:t>约</w:t>
            </w:r>
            <w:r>
              <w:rPr>
                <w:rFonts w:hint="default" w:ascii="Times New Roman" w:hAnsi="Times New Roman" w:cs="Times New Roman"/>
                <w:sz w:val="24"/>
                <w:szCs w:val="32"/>
                <w:vertAlign w:val="baseline"/>
                <w:lang w:val="en-US" w:eastAsia="zh-CN"/>
              </w:rPr>
              <w:t>为</w:t>
            </w:r>
            <w:r>
              <w:rPr>
                <w:rFonts w:hint="default" w:ascii="Times New Roman" w:hAnsi="Times New Roman" w:cs="Times New Roman"/>
                <w:sz w:val="24"/>
                <w:szCs w:val="32"/>
                <w:lang w:val="en-US" w:eastAsia="zh-CN"/>
              </w:rPr>
              <w:t>115.84</w:t>
            </w:r>
            <w:r>
              <w:rPr>
                <w:rFonts w:hint="default" w:ascii="Times New Roman" w:hAnsi="Times New Roman" w:cs="Times New Roman"/>
                <w:sz w:val="24"/>
                <w:szCs w:val="32"/>
              </w:rPr>
              <w:t>t/次</w:t>
            </w:r>
            <w:r>
              <w:rPr>
                <w:rFonts w:hint="eastAsia" w:ascii="Times New Roman" w:hAnsi="Times New Roman" w:cs="Times New Roman"/>
                <w:sz w:val="24"/>
                <w:szCs w:val="32"/>
                <w:lang w:eastAsia="zh-CN"/>
              </w:rPr>
              <w:t>，</w:t>
            </w:r>
            <w:r>
              <w:rPr>
                <w:rFonts w:hint="eastAsia" w:ascii="Times New Roman" w:hAnsi="Times New Roman" w:cs="Times New Roman"/>
                <w:sz w:val="24"/>
                <w:szCs w:val="32"/>
                <w:lang w:val="en-US" w:eastAsia="zh-CN"/>
              </w:rPr>
              <w:t>厂区雨水排放口处配套建设1座容积150m</w:t>
            </w:r>
            <w:r>
              <w:rPr>
                <w:rFonts w:hint="eastAsia" w:ascii="Times New Roman" w:hAnsi="Times New Roman" w:cs="Times New Roman"/>
                <w:sz w:val="24"/>
                <w:szCs w:val="32"/>
                <w:vertAlign w:val="superscript"/>
                <w:lang w:val="en-US" w:eastAsia="zh-CN"/>
              </w:rPr>
              <w:t>3</w:t>
            </w:r>
            <w:r>
              <w:rPr>
                <w:rFonts w:hint="eastAsia" w:ascii="Times New Roman" w:hAnsi="Times New Roman" w:cs="Times New Roman"/>
                <w:sz w:val="24"/>
                <w:szCs w:val="32"/>
                <w:lang w:val="en-US" w:eastAsia="zh-CN"/>
              </w:rPr>
              <w:t>初期雨水收集池，可以接纳项目单次初期雨水量，初期雨水经初期雨水收集池收集后，分批次泵入厂区污水处理站预处理达标后，进入清水池暂存，再分批次回用于车间保洁及厂区绿化，清水池容积约150m</w:t>
            </w:r>
            <w:r>
              <w:rPr>
                <w:rFonts w:hint="eastAsia" w:ascii="Times New Roman" w:hAnsi="Times New Roman" w:cs="Times New Roman"/>
                <w:sz w:val="24"/>
                <w:szCs w:val="32"/>
                <w:vertAlign w:val="superscript"/>
                <w:lang w:val="en-US" w:eastAsia="zh-CN"/>
              </w:rPr>
              <w:t>3</w:t>
            </w:r>
            <w:r>
              <w:rPr>
                <w:rFonts w:hint="eastAsia" w:ascii="Times New Roman" w:hAnsi="Times New Roman" w:cs="Times New Roman"/>
                <w:sz w:val="24"/>
                <w:szCs w:val="32"/>
                <w:lang w:val="en-US" w:eastAsia="zh-CN"/>
              </w:rPr>
              <w:t>，可以容纳项目产生的地坪保洁废水和初期雨水，因此，项目废水回用方案可行。</w:t>
            </w:r>
          </w:p>
          <w:p w14:paraId="1FACBE02">
            <w:pPr>
              <w:pStyle w:val="20"/>
              <w:spacing w:before="0" w:beforeAutospacing="0" w:after="0" w:afterAutospacing="0" w:line="360" w:lineRule="auto"/>
              <w:ind w:firstLine="480" w:firstLineChars="200"/>
              <w:jc w:val="both"/>
              <w:outlineLvl w:val="0"/>
              <w:rPr>
                <w:rFonts w:ascii="Times New Roman" w:hAnsi="Times New Roman"/>
                <w:szCs w:val="24"/>
              </w:rPr>
            </w:pPr>
            <w:r>
              <w:rPr>
                <w:rFonts w:hint="eastAsia" w:ascii="Times New Roman" w:hAnsi="Times New Roman"/>
                <w:color w:val="000000"/>
                <w:szCs w:val="24"/>
              </w:rPr>
              <w:t>（</w:t>
            </w:r>
            <w:r>
              <w:rPr>
                <w:rFonts w:hint="eastAsia" w:ascii="Times New Roman" w:hAnsi="Times New Roman"/>
                <w:color w:val="000000"/>
                <w:szCs w:val="24"/>
                <w:lang w:val="en-US" w:eastAsia="zh-CN"/>
              </w:rPr>
              <w:t>3</w:t>
            </w:r>
            <w:r>
              <w:rPr>
                <w:rFonts w:hint="eastAsia" w:ascii="Times New Roman" w:hAnsi="Times New Roman"/>
                <w:color w:val="000000"/>
                <w:szCs w:val="24"/>
              </w:rPr>
              <w:t>）</w:t>
            </w:r>
            <w:r>
              <w:rPr>
                <w:rFonts w:ascii="Times New Roman" w:hAnsi="Times New Roman"/>
                <w:color w:val="000000"/>
                <w:szCs w:val="24"/>
              </w:rPr>
              <w:t>生活污</w:t>
            </w:r>
            <w:r>
              <w:rPr>
                <w:rFonts w:ascii="Times New Roman" w:hAnsi="Times New Roman"/>
                <w:szCs w:val="24"/>
              </w:rPr>
              <w:t>水</w:t>
            </w:r>
            <w:r>
              <w:rPr>
                <w:rFonts w:ascii="Times New Roman" w:hAnsi="Times New Roman"/>
                <w:bCs/>
              </w:rPr>
              <w:t>污染防治措施可行性分析</w:t>
            </w:r>
          </w:p>
          <w:p w14:paraId="3B2F5A84">
            <w:pPr>
              <w:pStyle w:val="31"/>
              <w:spacing w:line="360" w:lineRule="auto"/>
              <w:rPr>
                <w:rFonts w:hint="eastAsia" w:ascii="Times New Roman" w:hAnsi="Times New Roman" w:cs="Times New Roman"/>
                <w:sz w:val="24"/>
                <w:szCs w:val="32"/>
                <w:lang w:val="en-US" w:eastAsia="zh-CN"/>
              </w:rPr>
            </w:pPr>
            <w:r>
              <w:rPr>
                <w:rFonts w:hint="eastAsia" w:ascii="Times New Roman" w:hAnsi="Times New Roman" w:cs="Times New Roman"/>
                <w:sz w:val="24"/>
                <w:szCs w:val="32"/>
                <w:lang w:val="en-US" w:eastAsia="zh-CN"/>
              </w:rPr>
              <w:t>本项目生活污水经化粪池预处理后，定期清掏用于周边农田施肥，不外排。根据现场调查，项目选址周</w:t>
            </w:r>
            <w:r>
              <w:rPr>
                <w:rFonts w:hint="default" w:ascii="Times New Roman" w:hAnsi="Times New Roman" w:cs="Times New Roman"/>
                <w:sz w:val="24"/>
                <w:szCs w:val="32"/>
                <w:lang w:val="en-US" w:eastAsia="zh-CN"/>
              </w:rPr>
              <w:t xml:space="preserve">边分布有大面积的农田，本项目生活污水产生量为 </w:t>
            </w:r>
            <w:r>
              <w:rPr>
                <w:rFonts w:hint="eastAsia" w:ascii="Times New Roman" w:hAnsi="Times New Roman" w:cs="Times New Roman"/>
                <w:sz w:val="24"/>
                <w:szCs w:val="32"/>
                <w:lang w:val="en-US" w:eastAsia="zh-CN"/>
              </w:rPr>
              <w:t>1.92</w:t>
            </w:r>
            <w:r>
              <w:rPr>
                <w:rFonts w:hint="default" w:ascii="Times New Roman" w:hAnsi="Times New Roman" w:cs="Times New Roman"/>
                <w:sz w:val="24"/>
                <w:szCs w:val="32"/>
                <w:lang w:val="en-US" w:eastAsia="zh-CN"/>
              </w:rPr>
              <w:t>m</w:t>
            </w:r>
            <w:r>
              <w:rPr>
                <w:rFonts w:hint="default" w:ascii="Times New Roman" w:hAnsi="Times New Roman" w:cs="Times New Roman"/>
                <w:sz w:val="24"/>
                <w:szCs w:val="32"/>
                <w:vertAlign w:val="superscript"/>
                <w:lang w:val="en-US" w:eastAsia="zh-CN"/>
              </w:rPr>
              <w:t>3</w:t>
            </w:r>
            <w:r>
              <w:rPr>
                <w:rFonts w:hint="default" w:ascii="Times New Roman" w:hAnsi="Times New Roman" w:cs="Times New Roman"/>
                <w:sz w:val="24"/>
                <w:szCs w:val="32"/>
                <w:lang w:val="en-US" w:eastAsia="zh-CN"/>
              </w:rPr>
              <w:t xml:space="preserve"> /d，</w:t>
            </w:r>
            <w:r>
              <w:rPr>
                <w:rFonts w:hint="eastAsia" w:ascii="Times New Roman" w:hAnsi="Times New Roman" w:cs="Times New Roman"/>
                <w:sz w:val="24"/>
                <w:szCs w:val="32"/>
                <w:lang w:val="en-US" w:eastAsia="zh-CN"/>
              </w:rPr>
              <w:t>576m</w:t>
            </w:r>
            <w:r>
              <w:rPr>
                <w:rFonts w:hint="eastAsia" w:ascii="Times New Roman" w:hAnsi="Times New Roman" w:cs="Times New Roman"/>
                <w:sz w:val="24"/>
                <w:szCs w:val="32"/>
                <w:vertAlign w:val="superscript"/>
                <w:lang w:val="en-US" w:eastAsia="zh-CN"/>
              </w:rPr>
              <w:t>3</w:t>
            </w:r>
            <w:r>
              <w:rPr>
                <w:rFonts w:hint="eastAsia" w:ascii="Times New Roman" w:hAnsi="Times New Roman" w:cs="Times New Roman"/>
                <w:sz w:val="24"/>
                <w:szCs w:val="32"/>
                <w:lang w:val="en-US" w:eastAsia="zh-CN"/>
              </w:rPr>
              <w:t>/a，</w:t>
            </w:r>
            <w:r>
              <w:rPr>
                <w:rFonts w:hint="default" w:ascii="Times New Roman" w:hAnsi="Times New Roman" w:cs="Times New Roman"/>
                <w:sz w:val="24"/>
                <w:szCs w:val="32"/>
                <w:lang w:val="en-US" w:eastAsia="zh-CN"/>
              </w:rPr>
              <w:t>周边农田足够消纳本项目产生的生活污水。因此，本项目生活污水综合利用是可行的</w:t>
            </w:r>
            <w:r>
              <w:rPr>
                <w:rFonts w:hint="eastAsia" w:ascii="Times New Roman" w:hAnsi="Times New Roman" w:cs="Times New Roman"/>
                <w:sz w:val="24"/>
                <w:szCs w:val="32"/>
                <w:lang w:val="en-US" w:eastAsia="zh-CN"/>
              </w:rPr>
              <w:t>。</w:t>
            </w:r>
          </w:p>
          <w:p w14:paraId="78BBF421">
            <w:pPr>
              <w:pStyle w:val="31"/>
              <w:spacing w:line="360" w:lineRule="auto"/>
              <w:rPr>
                <w:rFonts w:hint="eastAsia" w:ascii="Times New Roman" w:hAnsi="Times New Roman" w:cs="Times New Roman"/>
                <w:sz w:val="24"/>
                <w:szCs w:val="32"/>
                <w:lang w:val="en-US" w:eastAsia="zh-CN"/>
              </w:rPr>
            </w:pPr>
          </w:p>
          <w:p w14:paraId="3EF76622">
            <w:pPr>
              <w:pStyle w:val="31"/>
              <w:spacing w:line="360" w:lineRule="auto"/>
              <w:rPr>
                <w:rFonts w:hint="eastAsia" w:ascii="Times New Roman" w:hAnsi="Times New Roman" w:cs="Times New Roman"/>
                <w:sz w:val="24"/>
                <w:szCs w:val="32"/>
                <w:lang w:val="en-US" w:eastAsia="zh-CN"/>
              </w:rPr>
            </w:pPr>
          </w:p>
          <w:p w14:paraId="74618C03">
            <w:pPr>
              <w:pStyle w:val="31"/>
              <w:spacing w:line="360" w:lineRule="auto"/>
              <w:rPr>
                <w:rFonts w:hint="eastAsia" w:ascii="Times New Roman" w:hAnsi="Times New Roman" w:cs="Times New Roman"/>
                <w:sz w:val="24"/>
                <w:szCs w:val="32"/>
                <w:lang w:val="en-US" w:eastAsia="zh-CN"/>
              </w:rPr>
            </w:pPr>
          </w:p>
          <w:p w14:paraId="4812643C">
            <w:pPr>
              <w:pStyle w:val="31"/>
              <w:spacing w:line="360" w:lineRule="auto"/>
              <w:rPr>
                <w:rFonts w:hint="eastAsia" w:ascii="Times New Roman" w:hAnsi="Times New Roman" w:cs="Times New Roman"/>
                <w:sz w:val="24"/>
                <w:szCs w:val="32"/>
                <w:lang w:val="en-US" w:eastAsia="zh-CN"/>
              </w:rPr>
            </w:pPr>
          </w:p>
          <w:p w14:paraId="75F496D1">
            <w:pPr>
              <w:pStyle w:val="31"/>
              <w:spacing w:line="360" w:lineRule="auto"/>
              <w:rPr>
                <w:rFonts w:hint="eastAsia" w:ascii="Times New Roman" w:hAnsi="Times New Roman" w:cs="Times New Roman"/>
                <w:sz w:val="24"/>
                <w:szCs w:val="32"/>
                <w:lang w:val="en-US" w:eastAsia="zh-CN"/>
              </w:rPr>
            </w:pPr>
          </w:p>
          <w:p w14:paraId="640F89CC">
            <w:pPr>
              <w:pStyle w:val="31"/>
              <w:spacing w:line="360" w:lineRule="auto"/>
              <w:rPr>
                <w:rFonts w:hint="eastAsia" w:ascii="Times New Roman" w:hAnsi="Times New Roman" w:cs="Times New Roman"/>
                <w:sz w:val="24"/>
                <w:szCs w:val="32"/>
                <w:lang w:val="en-US" w:eastAsia="zh-CN"/>
              </w:rPr>
            </w:pPr>
          </w:p>
          <w:p w14:paraId="6C666222">
            <w:pPr>
              <w:pStyle w:val="31"/>
              <w:spacing w:line="360" w:lineRule="auto"/>
              <w:rPr>
                <w:rFonts w:hint="default"/>
                <w:vertAlign w:val="baseline"/>
                <w:lang w:val="en-US" w:eastAsia="zh-CN"/>
              </w:rPr>
            </w:pPr>
          </w:p>
        </w:tc>
      </w:tr>
    </w:tbl>
    <w:p w14:paraId="29ED3E11">
      <w:pPr>
        <w:pStyle w:val="29"/>
        <w:rPr>
          <w:rFonts w:hint="eastAsia" w:ascii="Times New Roman" w:hAnsi="Times New Roman" w:eastAsia="宋体"/>
          <w:lang w:val="en-US" w:eastAsia="zh-CN"/>
        </w:rPr>
        <w:sectPr>
          <w:pgSz w:w="11907" w:h="16840"/>
          <w:pgMar w:top="1701" w:right="1531" w:bottom="2126" w:left="1531" w:header="851" w:footer="850" w:gutter="0"/>
          <w:pgNumType w:fmt="decimal"/>
          <w:cols w:space="0" w:num="1"/>
          <w:rtlGutter w:val="0"/>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
        <w:gridCol w:w="12823"/>
      </w:tblGrid>
      <w:tr w14:paraId="3755C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02FC9095">
            <w:pPr>
              <w:pStyle w:val="31"/>
              <w:rPr>
                <w:rFonts w:hint="eastAsia"/>
                <w:vertAlign w:val="baseline"/>
                <w:lang w:val="en-US" w:eastAsia="zh-CN"/>
              </w:rPr>
            </w:pPr>
          </w:p>
        </w:tc>
        <w:tc>
          <w:tcPr>
            <w:tcW w:w="12563" w:type="dxa"/>
          </w:tcPr>
          <w:p w14:paraId="2568E28F">
            <w:pPr>
              <w:spacing w:before="120" w:beforeLines="50" w:line="360" w:lineRule="auto"/>
              <w:jc w:val="left"/>
              <w:rPr>
                <w:b/>
                <w:color w:val="000000"/>
                <w:sz w:val="24"/>
              </w:rPr>
            </w:pPr>
            <w:r>
              <w:rPr>
                <w:b/>
                <w:color w:val="000000"/>
                <w:sz w:val="24"/>
              </w:rPr>
              <w:t>4.</w:t>
            </w:r>
            <w:r>
              <w:rPr>
                <w:rFonts w:hint="eastAsia"/>
                <w:b/>
                <w:color w:val="000000"/>
                <w:sz w:val="24"/>
              </w:rPr>
              <w:t>4</w:t>
            </w:r>
            <w:r>
              <w:rPr>
                <w:b/>
                <w:color w:val="000000"/>
                <w:sz w:val="24"/>
              </w:rPr>
              <w:t xml:space="preserve"> </w:t>
            </w:r>
            <w:r>
              <w:rPr>
                <w:rFonts w:hint="eastAsia"/>
                <w:b/>
                <w:color w:val="000000"/>
                <w:sz w:val="24"/>
              </w:rPr>
              <w:t>营运期声环境影响分析</w:t>
            </w:r>
          </w:p>
          <w:p w14:paraId="7449461E">
            <w:pPr>
              <w:pStyle w:val="20"/>
              <w:spacing w:before="0" w:beforeAutospacing="0" w:after="0" w:afterAutospacing="0" w:line="360" w:lineRule="auto"/>
              <w:jc w:val="both"/>
              <w:outlineLvl w:val="0"/>
              <w:rPr>
                <w:rFonts w:ascii="Times New Roman" w:hAnsi="Times New Roman"/>
                <w:b/>
                <w:bCs/>
                <w:snapToGrid w:val="0"/>
                <w:szCs w:val="24"/>
                <w:lang w:val="en-US" w:eastAsia="zh-CN"/>
              </w:rPr>
            </w:pPr>
            <w:r>
              <w:rPr>
                <w:rFonts w:hint="eastAsia" w:ascii="Times New Roman" w:hAnsi="Times New Roman"/>
                <w:b/>
                <w:bCs/>
                <w:snapToGrid w:val="0"/>
                <w:szCs w:val="24"/>
                <w:lang w:val="en-US" w:eastAsia="zh-CN"/>
              </w:rPr>
              <w:t>4.4.1污染源强分析</w:t>
            </w:r>
          </w:p>
          <w:p w14:paraId="4A5A6C68">
            <w:pPr>
              <w:spacing w:line="360" w:lineRule="auto"/>
              <w:ind w:firstLine="480" w:firstLineChars="200"/>
              <w:rPr>
                <w:bCs/>
                <w:sz w:val="24"/>
              </w:rPr>
            </w:pPr>
            <w:r>
              <w:rPr>
                <w:snapToGrid w:val="0"/>
                <w:sz w:val="24"/>
              </w:rPr>
              <w:t>项目营运期噪声主要为设备运行产生的噪声</w:t>
            </w:r>
            <w:r>
              <w:rPr>
                <w:bCs/>
                <w:sz w:val="24"/>
              </w:rPr>
              <w:t>，噪声源强在</w:t>
            </w:r>
            <w:r>
              <w:rPr>
                <w:rFonts w:hint="eastAsia"/>
                <w:bCs/>
                <w:sz w:val="24"/>
              </w:rPr>
              <w:t>75</w:t>
            </w:r>
            <w:r>
              <w:rPr>
                <w:bCs/>
                <w:sz w:val="24"/>
              </w:rPr>
              <w:t>-</w:t>
            </w:r>
            <w:r>
              <w:rPr>
                <w:rFonts w:hint="eastAsia"/>
                <w:bCs/>
                <w:sz w:val="24"/>
              </w:rPr>
              <w:t>90</w:t>
            </w:r>
            <w:r>
              <w:rPr>
                <w:bCs/>
                <w:sz w:val="24"/>
              </w:rPr>
              <w:t>dB（A）之间。</w:t>
            </w:r>
            <w:r>
              <w:rPr>
                <w:rFonts w:hint="eastAsia"/>
                <w:bCs/>
                <w:sz w:val="24"/>
              </w:rPr>
              <w:t>各生产设备主要</w:t>
            </w:r>
            <w:r>
              <w:rPr>
                <w:bCs/>
                <w:sz w:val="24"/>
              </w:rPr>
              <w:t>噪声源强见</w:t>
            </w:r>
            <w:r>
              <w:rPr>
                <w:rFonts w:hint="eastAsia"/>
                <w:bCs/>
                <w:sz w:val="24"/>
              </w:rPr>
              <w:t>下表</w:t>
            </w:r>
            <w:r>
              <w:rPr>
                <w:bCs/>
                <w:sz w:val="24"/>
              </w:rPr>
              <w:t>。</w:t>
            </w:r>
          </w:p>
          <w:p w14:paraId="3BDA0A03">
            <w:pPr>
              <w:pStyle w:val="20"/>
              <w:spacing w:before="0" w:beforeAutospacing="0" w:after="0" w:afterAutospacing="0" w:line="240" w:lineRule="atLeast"/>
              <w:ind w:firstLine="422" w:firstLineChars="200"/>
              <w:jc w:val="center"/>
              <w:outlineLvl w:val="0"/>
              <w:rPr>
                <w:rFonts w:ascii="Times New Roman" w:hAnsi="Times New Roman"/>
                <w:b/>
                <w:bCs/>
                <w:snapToGrid w:val="0"/>
                <w:sz w:val="21"/>
                <w:szCs w:val="21"/>
                <w:lang w:val="en-US" w:eastAsia="zh-CN"/>
              </w:rPr>
            </w:pPr>
            <w:r>
              <w:rPr>
                <w:rFonts w:ascii="Times New Roman" w:hAnsi="Times New Roman"/>
                <w:b/>
                <w:bCs/>
                <w:snapToGrid w:val="0"/>
                <w:sz w:val="21"/>
                <w:szCs w:val="21"/>
                <w:lang w:val="en-US" w:eastAsia="zh-CN"/>
              </w:rPr>
              <w:t>表4-</w:t>
            </w:r>
            <w:r>
              <w:rPr>
                <w:rFonts w:hint="eastAsia" w:ascii="Times New Roman" w:hAnsi="Times New Roman"/>
                <w:b/>
                <w:bCs/>
                <w:snapToGrid w:val="0"/>
                <w:sz w:val="21"/>
                <w:szCs w:val="21"/>
                <w:lang w:val="en-US" w:eastAsia="zh-CN"/>
              </w:rPr>
              <w:t>14</w:t>
            </w:r>
            <w:r>
              <w:rPr>
                <w:rFonts w:ascii="Times New Roman" w:hAnsi="Times New Roman"/>
                <w:b/>
                <w:bCs/>
                <w:snapToGrid w:val="0"/>
                <w:sz w:val="21"/>
                <w:szCs w:val="21"/>
                <w:lang w:val="en-US" w:eastAsia="zh-CN"/>
              </w:rPr>
              <w:t xml:space="preserve">  </w:t>
            </w:r>
            <w:r>
              <w:rPr>
                <w:rFonts w:hint="eastAsia" w:ascii="Times New Roman" w:hAnsi="Times New Roman"/>
                <w:b/>
                <w:bCs/>
                <w:snapToGrid w:val="0"/>
                <w:sz w:val="21"/>
                <w:szCs w:val="21"/>
                <w:lang w:val="en-US" w:eastAsia="zh-CN"/>
              </w:rPr>
              <w:t>工业企业噪声源强调查清单（室内声源）</w:t>
            </w:r>
            <w:r>
              <w:rPr>
                <w:rFonts w:ascii="Times New Roman" w:hAnsi="Times New Roman"/>
                <w:b/>
                <w:bCs/>
                <w:snapToGrid w:val="0"/>
                <w:sz w:val="21"/>
                <w:szCs w:val="21"/>
                <w:lang w:val="en-US" w:eastAsia="zh-CN"/>
              </w:rPr>
              <w:t xml:space="preserve">    单位</w:t>
            </w:r>
            <w:r>
              <w:rPr>
                <w:rFonts w:hint="eastAsia" w:ascii="Times New Roman" w:hAnsi="Times New Roman"/>
                <w:b/>
                <w:bCs/>
                <w:snapToGrid w:val="0"/>
                <w:sz w:val="21"/>
                <w:szCs w:val="21"/>
                <w:lang w:val="en-US" w:eastAsia="zh-CN"/>
              </w:rPr>
              <w:t>：</w:t>
            </w:r>
            <w:r>
              <w:rPr>
                <w:rFonts w:ascii="Times New Roman" w:hAnsi="Times New Roman"/>
                <w:b/>
                <w:bCs/>
                <w:snapToGrid w:val="0"/>
                <w:sz w:val="21"/>
                <w:szCs w:val="21"/>
                <w:lang w:val="en-US" w:eastAsia="zh-CN"/>
              </w:rPr>
              <w:t>dB（A）</w:t>
            </w:r>
          </w:p>
          <w:tbl>
            <w:tblPr>
              <w:tblStyle w:val="24"/>
              <w:tblW w:w="496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3"/>
              <w:gridCol w:w="569"/>
              <w:gridCol w:w="870"/>
              <w:gridCol w:w="965"/>
              <w:gridCol w:w="1283"/>
              <w:gridCol w:w="729"/>
              <w:gridCol w:w="744"/>
              <w:gridCol w:w="629"/>
              <w:gridCol w:w="1203"/>
              <w:gridCol w:w="1165"/>
              <w:gridCol w:w="980"/>
              <w:gridCol w:w="1010"/>
              <w:gridCol w:w="1081"/>
              <w:gridCol w:w="913"/>
            </w:tblGrid>
            <w:tr w14:paraId="4E07D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49" w:type="pct"/>
                  <w:vMerge w:val="restart"/>
                  <w:noWrap w:val="0"/>
                  <w:vAlign w:val="center"/>
                </w:tcPr>
                <w:p w14:paraId="319462F0">
                  <w:pPr>
                    <w:pStyle w:val="69"/>
                    <w:snapToGrid w:val="0"/>
                    <w:rPr>
                      <w:b/>
                      <w:bCs/>
                      <w:spacing w:val="-20"/>
                      <w:kern w:val="0"/>
                      <w:lang w:bidi="ar"/>
                    </w:rPr>
                  </w:pPr>
                  <w:r>
                    <w:rPr>
                      <w:b/>
                      <w:bCs/>
                      <w:spacing w:val="-20"/>
                      <w:kern w:val="0"/>
                      <w:lang w:bidi="ar"/>
                    </w:rPr>
                    <w:t>序号</w:t>
                  </w:r>
                </w:p>
              </w:tc>
              <w:tc>
                <w:tcPr>
                  <w:tcW w:w="227" w:type="pct"/>
                  <w:vMerge w:val="restart"/>
                  <w:noWrap w:val="0"/>
                  <w:vAlign w:val="center"/>
                </w:tcPr>
                <w:p w14:paraId="76D3394D">
                  <w:pPr>
                    <w:pStyle w:val="69"/>
                    <w:snapToGrid w:val="0"/>
                    <w:rPr>
                      <w:b/>
                      <w:bCs/>
                      <w:spacing w:val="-20"/>
                      <w:kern w:val="0"/>
                      <w:lang w:bidi="ar"/>
                    </w:rPr>
                  </w:pPr>
                  <w:r>
                    <w:rPr>
                      <w:b/>
                      <w:bCs/>
                      <w:spacing w:val="-20"/>
                      <w:kern w:val="0"/>
                      <w:lang w:bidi="ar"/>
                    </w:rPr>
                    <w:t>建筑</w:t>
                  </w:r>
                </w:p>
                <w:p w14:paraId="3083774B">
                  <w:pPr>
                    <w:pStyle w:val="69"/>
                    <w:snapToGrid w:val="0"/>
                    <w:rPr>
                      <w:b/>
                      <w:bCs/>
                      <w:spacing w:val="-20"/>
                      <w:kern w:val="0"/>
                      <w:lang w:bidi="ar"/>
                    </w:rPr>
                  </w:pPr>
                  <w:r>
                    <w:rPr>
                      <w:b/>
                      <w:bCs/>
                      <w:spacing w:val="-20"/>
                      <w:kern w:val="0"/>
                      <w:lang w:bidi="ar"/>
                    </w:rPr>
                    <w:t>名称</w:t>
                  </w:r>
                </w:p>
              </w:tc>
              <w:tc>
                <w:tcPr>
                  <w:tcW w:w="347" w:type="pct"/>
                  <w:vMerge w:val="restart"/>
                  <w:noWrap w:val="0"/>
                  <w:vAlign w:val="center"/>
                </w:tcPr>
                <w:p w14:paraId="641CD8C6">
                  <w:pPr>
                    <w:pStyle w:val="69"/>
                    <w:snapToGrid w:val="0"/>
                    <w:rPr>
                      <w:b/>
                      <w:bCs/>
                      <w:spacing w:val="-20"/>
                      <w:kern w:val="0"/>
                      <w:szCs w:val="21"/>
                      <w:lang w:bidi="ar"/>
                    </w:rPr>
                  </w:pPr>
                  <w:r>
                    <w:rPr>
                      <w:b/>
                      <w:bCs/>
                      <w:spacing w:val="-20"/>
                      <w:kern w:val="0"/>
                      <w:szCs w:val="21"/>
                      <w:lang w:bidi="ar"/>
                    </w:rPr>
                    <w:t>声源名称</w:t>
                  </w:r>
                </w:p>
              </w:tc>
              <w:tc>
                <w:tcPr>
                  <w:tcW w:w="385" w:type="pct"/>
                  <w:vMerge w:val="restart"/>
                  <w:noWrap w:val="0"/>
                  <w:vAlign w:val="center"/>
                </w:tcPr>
                <w:p w14:paraId="4DA50C0F">
                  <w:pPr>
                    <w:pStyle w:val="69"/>
                    <w:snapToGrid w:val="0"/>
                    <w:rPr>
                      <w:b/>
                      <w:bCs/>
                      <w:spacing w:val="-20"/>
                      <w:kern w:val="0"/>
                      <w:lang w:bidi="ar"/>
                    </w:rPr>
                  </w:pPr>
                  <w:r>
                    <w:rPr>
                      <w:b/>
                      <w:bCs/>
                      <w:spacing w:val="-20"/>
                      <w:kern w:val="0"/>
                      <w:lang w:bidi="ar"/>
                    </w:rPr>
                    <w:t>（声压级/距声源距离）/(dB(A)/m）</w:t>
                  </w:r>
                </w:p>
              </w:tc>
              <w:tc>
                <w:tcPr>
                  <w:tcW w:w="512" w:type="pct"/>
                  <w:vMerge w:val="restart"/>
                  <w:noWrap w:val="0"/>
                  <w:vAlign w:val="center"/>
                </w:tcPr>
                <w:p w14:paraId="1A4F36A2">
                  <w:pPr>
                    <w:snapToGrid w:val="0"/>
                    <w:jc w:val="center"/>
                    <w:rPr>
                      <w:b/>
                      <w:bCs/>
                      <w:spacing w:val="-20"/>
                      <w:kern w:val="0"/>
                      <w:lang w:bidi="ar"/>
                    </w:rPr>
                  </w:pPr>
                  <w:r>
                    <w:rPr>
                      <w:b/>
                      <w:bCs/>
                      <w:spacing w:val="-20"/>
                      <w:kern w:val="0"/>
                      <w:lang w:bidi="ar"/>
                    </w:rPr>
                    <w:t>声源控制措施</w:t>
                  </w:r>
                </w:p>
              </w:tc>
              <w:tc>
                <w:tcPr>
                  <w:tcW w:w="839" w:type="pct"/>
                  <w:gridSpan w:val="3"/>
                  <w:noWrap w:val="0"/>
                  <w:vAlign w:val="center"/>
                </w:tcPr>
                <w:p w14:paraId="7E77BBCB">
                  <w:pPr>
                    <w:snapToGrid w:val="0"/>
                    <w:jc w:val="center"/>
                    <w:rPr>
                      <w:b/>
                      <w:bCs/>
                      <w:spacing w:val="-20"/>
                      <w:kern w:val="0"/>
                      <w:lang w:bidi="ar"/>
                    </w:rPr>
                  </w:pPr>
                  <w:r>
                    <w:rPr>
                      <w:b/>
                      <w:bCs/>
                      <w:spacing w:val="-20"/>
                      <w:kern w:val="0"/>
                      <w:lang w:bidi="ar"/>
                    </w:rPr>
                    <w:t>空间相对位置/m</w:t>
                  </w:r>
                </w:p>
              </w:tc>
              <w:tc>
                <w:tcPr>
                  <w:tcW w:w="480" w:type="pct"/>
                  <w:vMerge w:val="restart"/>
                  <w:noWrap w:val="0"/>
                  <w:vAlign w:val="center"/>
                </w:tcPr>
                <w:p w14:paraId="5D55D5D4">
                  <w:pPr>
                    <w:pStyle w:val="69"/>
                    <w:snapToGrid w:val="0"/>
                    <w:rPr>
                      <w:b/>
                      <w:bCs/>
                      <w:spacing w:val="-20"/>
                      <w:kern w:val="0"/>
                      <w:lang w:bidi="ar"/>
                    </w:rPr>
                  </w:pPr>
                  <w:r>
                    <w:rPr>
                      <w:b/>
                      <w:bCs/>
                      <w:spacing w:val="-20"/>
                      <w:kern w:val="0"/>
                      <w:lang w:bidi="ar"/>
                    </w:rPr>
                    <w:t>距离室内边界的距离/m</w:t>
                  </w:r>
                </w:p>
              </w:tc>
              <w:tc>
                <w:tcPr>
                  <w:tcW w:w="465" w:type="pct"/>
                  <w:vMerge w:val="restart"/>
                  <w:noWrap w:val="0"/>
                  <w:vAlign w:val="center"/>
                </w:tcPr>
                <w:p w14:paraId="65586247">
                  <w:pPr>
                    <w:pStyle w:val="69"/>
                    <w:snapToGrid w:val="0"/>
                    <w:rPr>
                      <w:b/>
                      <w:bCs/>
                      <w:spacing w:val="-20"/>
                      <w:kern w:val="0"/>
                      <w:lang w:bidi="ar"/>
                    </w:rPr>
                  </w:pPr>
                  <w:r>
                    <w:rPr>
                      <w:b/>
                      <w:bCs/>
                      <w:spacing w:val="-20"/>
                      <w:kern w:val="0"/>
                      <w:lang w:bidi="ar"/>
                    </w:rPr>
                    <w:t>室内边界声级/dB（A）</w:t>
                  </w:r>
                </w:p>
              </w:tc>
              <w:tc>
                <w:tcPr>
                  <w:tcW w:w="391" w:type="pct"/>
                  <w:vMerge w:val="restart"/>
                  <w:noWrap w:val="0"/>
                  <w:vAlign w:val="center"/>
                </w:tcPr>
                <w:p w14:paraId="169EE742">
                  <w:pPr>
                    <w:pStyle w:val="69"/>
                    <w:snapToGrid w:val="0"/>
                    <w:rPr>
                      <w:b/>
                      <w:bCs/>
                      <w:spacing w:val="-20"/>
                      <w:kern w:val="0"/>
                      <w:lang w:bidi="ar"/>
                    </w:rPr>
                  </w:pPr>
                  <w:r>
                    <w:rPr>
                      <w:b/>
                      <w:bCs/>
                      <w:spacing w:val="-20"/>
                      <w:kern w:val="0"/>
                      <w:lang w:bidi="ar"/>
                    </w:rPr>
                    <w:t>运行时段/h</w:t>
                  </w:r>
                </w:p>
              </w:tc>
              <w:tc>
                <w:tcPr>
                  <w:tcW w:w="403" w:type="pct"/>
                  <w:vMerge w:val="restart"/>
                  <w:noWrap w:val="0"/>
                  <w:vAlign w:val="center"/>
                </w:tcPr>
                <w:p w14:paraId="3BAAD9A8">
                  <w:pPr>
                    <w:pStyle w:val="69"/>
                    <w:snapToGrid w:val="0"/>
                    <w:rPr>
                      <w:b/>
                      <w:bCs/>
                      <w:spacing w:val="-20"/>
                      <w:kern w:val="0"/>
                      <w:lang w:bidi="ar"/>
                    </w:rPr>
                  </w:pPr>
                  <w:r>
                    <w:rPr>
                      <w:b/>
                      <w:bCs/>
                      <w:spacing w:val="-20"/>
                      <w:kern w:val="0"/>
                      <w:lang w:bidi="ar"/>
                    </w:rPr>
                    <w:t>建筑物插入损失/dB(A)</w:t>
                  </w:r>
                </w:p>
              </w:tc>
              <w:tc>
                <w:tcPr>
                  <w:tcW w:w="795" w:type="pct"/>
                  <w:gridSpan w:val="2"/>
                  <w:noWrap w:val="0"/>
                  <w:vAlign w:val="center"/>
                </w:tcPr>
                <w:p w14:paraId="395AB026">
                  <w:pPr>
                    <w:pStyle w:val="69"/>
                    <w:snapToGrid w:val="0"/>
                    <w:rPr>
                      <w:b/>
                      <w:bCs/>
                    </w:rPr>
                  </w:pPr>
                  <w:r>
                    <w:rPr>
                      <w:b/>
                      <w:bCs/>
                      <w:spacing w:val="-20"/>
                      <w:kern w:val="0"/>
                      <w:lang w:bidi="ar"/>
                    </w:rPr>
                    <w:t>建筑物外噪声</w:t>
                  </w:r>
                </w:p>
              </w:tc>
            </w:tr>
            <w:tr w14:paraId="02196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149" w:type="pct"/>
                  <w:vMerge w:val="continue"/>
                  <w:noWrap w:val="0"/>
                  <w:vAlign w:val="center"/>
                </w:tcPr>
                <w:p w14:paraId="2A03194D">
                  <w:pPr>
                    <w:snapToGrid w:val="0"/>
                    <w:jc w:val="center"/>
                    <w:rPr>
                      <w:b/>
                      <w:bCs/>
                    </w:rPr>
                  </w:pPr>
                </w:p>
              </w:tc>
              <w:tc>
                <w:tcPr>
                  <w:tcW w:w="227" w:type="pct"/>
                  <w:vMerge w:val="continue"/>
                  <w:noWrap w:val="0"/>
                  <w:vAlign w:val="center"/>
                </w:tcPr>
                <w:p w14:paraId="0C76D6B6">
                  <w:pPr>
                    <w:snapToGrid w:val="0"/>
                    <w:jc w:val="center"/>
                    <w:rPr>
                      <w:b/>
                      <w:bCs/>
                    </w:rPr>
                  </w:pPr>
                </w:p>
              </w:tc>
              <w:tc>
                <w:tcPr>
                  <w:tcW w:w="347" w:type="pct"/>
                  <w:vMerge w:val="continue"/>
                  <w:noWrap w:val="0"/>
                  <w:vAlign w:val="center"/>
                </w:tcPr>
                <w:p w14:paraId="1DD369BD">
                  <w:pPr>
                    <w:snapToGrid w:val="0"/>
                    <w:jc w:val="center"/>
                    <w:rPr>
                      <w:b/>
                      <w:bCs/>
                      <w:szCs w:val="21"/>
                    </w:rPr>
                  </w:pPr>
                </w:p>
              </w:tc>
              <w:tc>
                <w:tcPr>
                  <w:tcW w:w="385" w:type="pct"/>
                  <w:vMerge w:val="continue"/>
                  <w:noWrap w:val="0"/>
                  <w:vAlign w:val="center"/>
                </w:tcPr>
                <w:p w14:paraId="097F09CC">
                  <w:pPr>
                    <w:snapToGrid w:val="0"/>
                    <w:jc w:val="center"/>
                    <w:rPr>
                      <w:b/>
                      <w:bCs/>
                    </w:rPr>
                  </w:pPr>
                </w:p>
              </w:tc>
              <w:tc>
                <w:tcPr>
                  <w:tcW w:w="512" w:type="pct"/>
                  <w:vMerge w:val="continue"/>
                  <w:noWrap w:val="0"/>
                  <w:vAlign w:val="center"/>
                </w:tcPr>
                <w:p w14:paraId="53AC3E97">
                  <w:pPr>
                    <w:snapToGrid w:val="0"/>
                    <w:jc w:val="center"/>
                    <w:rPr>
                      <w:b/>
                      <w:bCs/>
                      <w:spacing w:val="-20"/>
                      <w:kern w:val="0"/>
                      <w:lang w:bidi="ar"/>
                    </w:rPr>
                  </w:pPr>
                </w:p>
              </w:tc>
              <w:tc>
                <w:tcPr>
                  <w:tcW w:w="291" w:type="pct"/>
                  <w:noWrap w:val="0"/>
                  <w:vAlign w:val="center"/>
                </w:tcPr>
                <w:p w14:paraId="343654C3">
                  <w:pPr>
                    <w:snapToGrid w:val="0"/>
                    <w:jc w:val="center"/>
                    <w:rPr>
                      <w:b/>
                      <w:bCs/>
                      <w:spacing w:val="-20"/>
                      <w:kern w:val="0"/>
                      <w:lang w:bidi="ar"/>
                    </w:rPr>
                  </w:pPr>
                  <w:r>
                    <w:rPr>
                      <w:b/>
                      <w:bCs/>
                      <w:spacing w:val="-20"/>
                      <w:kern w:val="0"/>
                      <w:lang w:bidi="ar"/>
                    </w:rPr>
                    <w:t>X</w:t>
                  </w:r>
                </w:p>
              </w:tc>
              <w:tc>
                <w:tcPr>
                  <w:tcW w:w="297" w:type="pct"/>
                  <w:noWrap w:val="0"/>
                  <w:vAlign w:val="center"/>
                </w:tcPr>
                <w:p w14:paraId="0CB5313D">
                  <w:pPr>
                    <w:snapToGrid w:val="0"/>
                    <w:jc w:val="center"/>
                    <w:rPr>
                      <w:b/>
                      <w:bCs/>
                      <w:spacing w:val="-20"/>
                      <w:kern w:val="0"/>
                      <w:lang w:bidi="ar"/>
                    </w:rPr>
                  </w:pPr>
                  <w:r>
                    <w:rPr>
                      <w:b/>
                      <w:bCs/>
                      <w:spacing w:val="-20"/>
                      <w:kern w:val="0"/>
                      <w:lang w:bidi="ar"/>
                    </w:rPr>
                    <w:t>Y</w:t>
                  </w:r>
                </w:p>
              </w:tc>
              <w:tc>
                <w:tcPr>
                  <w:tcW w:w="251" w:type="pct"/>
                  <w:noWrap w:val="0"/>
                  <w:vAlign w:val="center"/>
                </w:tcPr>
                <w:p w14:paraId="7068370C">
                  <w:pPr>
                    <w:snapToGrid w:val="0"/>
                    <w:jc w:val="center"/>
                    <w:rPr>
                      <w:b/>
                      <w:bCs/>
                      <w:spacing w:val="-20"/>
                      <w:kern w:val="0"/>
                      <w:lang w:bidi="ar"/>
                    </w:rPr>
                  </w:pPr>
                  <w:r>
                    <w:rPr>
                      <w:b/>
                      <w:bCs/>
                      <w:spacing w:val="-20"/>
                      <w:kern w:val="0"/>
                      <w:lang w:bidi="ar"/>
                    </w:rPr>
                    <w:t>Z</w:t>
                  </w:r>
                </w:p>
              </w:tc>
              <w:tc>
                <w:tcPr>
                  <w:tcW w:w="480" w:type="pct"/>
                  <w:vMerge w:val="continue"/>
                  <w:noWrap w:val="0"/>
                  <w:vAlign w:val="center"/>
                </w:tcPr>
                <w:p w14:paraId="7C2096D8">
                  <w:pPr>
                    <w:snapToGrid w:val="0"/>
                    <w:jc w:val="center"/>
                    <w:rPr>
                      <w:b/>
                      <w:bCs/>
                      <w:spacing w:val="-20"/>
                      <w:kern w:val="0"/>
                      <w:lang w:bidi="ar"/>
                    </w:rPr>
                  </w:pPr>
                </w:p>
              </w:tc>
              <w:tc>
                <w:tcPr>
                  <w:tcW w:w="465" w:type="pct"/>
                  <w:vMerge w:val="continue"/>
                  <w:noWrap w:val="0"/>
                  <w:vAlign w:val="center"/>
                </w:tcPr>
                <w:p w14:paraId="6254A099">
                  <w:pPr>
                    <w:snapToGrid w:val="0"/>
                    <w:jc w:val="center"/>
                    <w:rPr>
                      <w:b/>
                      <w:bCs/>
                      <w:spacing w:val="-20"/>
                      <w:kern w:val="0"/>
                      <w:lang w:bidi="ar"/>
                    </w:rPr>
                  </w:pPr>
                </w:p>
              </w:tc>
              <w:tc>
                <w:tcPr>
                  <w:tcW w:w="391" w:type="pct"/>
                  <w:vMerge w:val="continue"/>
                  <w:noWrap w:val="0"/>
                  <w:vAlign w:val="center"/>
                </w:tcPr>
                <w:p w14:paraId="5B96A95E">
                  <w:pPr>
                    <w:snapToGrid w:val="0"/>
                    <w:jc w:val="center"/>
                    <w:rPr>
                      <w:b/>
                      <w:bCs/>
                      <w:spacing w:val="-20"/>
                      <w:kern w:val="0"/>
                      <w:lang w:bidi="ar"/>
                    </w:rPr>
                  </w:pPr>
                </w:p>
              </w:tc>
              <w:tc>
                <w:tcPr>
                  <w:tcW w:w="403" w:type="pct"/>
                  <w:vMerge w:val="continue"/>
                  <w:noWrap w:val="0"/>
                  <w:vAlign w:val="center"/>
                </w:tcPr>
                <w:p w14:paraId="76CCE080">
                  <w:pPr>
                    <w:snapToGrid w:val="0"/>
                    <w:jc w:val="center"/>
                    <w:rPr>
                      <w:b/>
                      <w:bCs/>
                      <w:spacing w:val="-20"/>
                      <w:kern w:val="0"/>
                      <w:lang w:bidi="ar"/>
                    </w:rPr>
                  </w:pPr>
                </w:p>
              </w:tc>
              <w:tc>
                <w:tcPr>
                  <w:tcW w:w="431" w:type="pct"/>
                  <w:noWrap w:val="0"/>
                  <w:vAlign w:val="center"/>
                </w:tcPr>
                <w:p w14:paraId="28E092CA">
                  <w:pPr>
                    <w:snapToGrid w:val="0"/>
                    <w:jc w:val="center"/>
                    <w:rPr>
                      <w:rFonts w:hint="eastAsia"/>
                      <w:b/>
                      <w:bCs/>
                      <w:spacing w:val="-20"/>
                      <w:kern w:val="0"/>
                      <w:lang w:bidi="ar"/>
                    </w:rPr>
                  </w:pPr>
                  <w:r>
                    <w:rPr>
                      <w:rFonts w:hint="eastAsia"/>
                      <w:b/>
                      <w:bCs/>
                      <w:spacing w:val="-20"/>
                      <w:kern w:val="0"/>
                      <w:lang w:bidi="ar"/>
                    </w:rPr>
                    <w:t>声压级/(dB(A)</w:t>
                  </w:r>
                </w:p>
              </w:tc>
              <w:tc>
                <w:tcPr>
                  <w:tcW w:w="364" w:type="pct"/>
                  <w:noWrap w:val="0"/>
                  <w:vAlign w:val="center"/>
                </w:tcPr>
                <w:p w14:paraId="5E695551">
                  <w:pPr>
                    <w:snapToGrid w:val="0"/>
                    <w:jc w:val="center"/>
                    <w:rPr>
                      <w:rFonts w:hint="eastAsia"/>
                      <w:b/>
                      <w:bCs/>
                      <w:spacing w:val="-20"/>
                      <w:kern w:val="0"/>
                      <w:lang w:bidi="ar"/>
                    </w:rPr>
                  </w:pPr>
                  <w:r>
                    <w:rPr>
                      <w:rFonts w:hint="eastAsia"/>
                      <w:b/>
                      <w:bCs/>
                    </w:rPr>
                    <w:t>建筑物外距离</w:t>
                  </w:r>
                </w:p>
              </w:tc>
            </w:tr>
            <w:tr w14:paraId="7E9B5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restart"/>
                  <w:noWrap w:val="0"/>
                  <w:vAlign w:val="center"/>
                </w:tcPr>
                <w:p w14:paraId="7729C494">
                  <w:pPr>
                    <w:snapToGrid w:val="0"/>
                    <w:jc w:val="center"/>
                  </w:pPr>
                  <w:r>
                    <w:t>1</w:t>
                  </w:r>
                </w:p>
              </w:tc>
              <w:tc>
                <w:tcPr>
                  <w:tcW w:w="227" w:type="pct"/>
                  <w:vMerge w:val="restart"/>
                  <w:noWrap w:val="0"/>
                  <w:vAlign w:val="center"/>
                </w:tcPr>
                <w:p w14:paraId="57FEF6E0">
                  <w:pPr>
                    <w:snapToGrid w:val="0"/>
                    <w:jc w:val="center"/>
                  </w:pPr>
                  <w:r>
                    <w:rPr>
                      <w:szCs w:val="21"/>
                    </w:rPr>
                    <w:t>生产车间</w:t>
                  </w:r>
                </w:p>
              </w:tc>
              <w:tc>
                <w:tcPr>
                  <w:tcW w:w="347" w:type="pct"/>
                  <w:vMerge w:val="restart"/>
                  <w:noWrap w:val="0"/>
                  <w:vAlign w:val="center"/>
                </w:tcPr>
                <w:p w14:paraId="55008E44">
                  <w:pPr>
                    <w:widowControl/>
                    <w:jc w:val="center"/>
                    <w:textAlignment w:val="center"/>
                    <w:rPr>
                      <w:spacing w:val="-20"/>
                      <w:kern w:val="0"/>
                      <w:lang w:bidi="ar"/>
                    </w:rPr>
                  </w:pPr>
                  <w:r>
                    <w:rPr>
                      <w:rFonts w:hint="eastAsia"/>
                      <w:spacing w:val="-20"/>
                      <w:kern w:val="0"/>
                      <w:lang w:val="en-US" w:eastAsia="zh-CN" w:bidi="ar"/>
                    </w:rPr>
                    <w:t>移动式四柱举升机</w:t>
                  </w:r>
                </w:p>
              </w:tc>
              <w:tc>
                <w:tcPr>
                  <w:tcW w:w="385" w:type="pct"/>
                  <w:vMerge w:val="restart"/>
                  <w:noWrap w:val="0"/>
                  <w:vAlign w:val="center"/>
                </w:tcPr>
                <w:p w14:paraId="50F11FB3">
                  <w:pPr>
                    <w:widowControl/>
                    <w:jc w:val="center"/>
                    <w:textAlignment w:val="center"/>
                  </w:pPr>
                  <w:r>
                    <w:rPr>
                      <w:rFonts w:hint="eastAsia"/>
                    </w:rPr>
                    <w:t>8</w:t>
                  </w:r>
                  <w:r>
                    <w:rPr>
                      <w:rFonts w:hint="eastAsia"/>
                      <w:lang w:val="en-US" w:eastAsia="zh-CN"/>
                    </w:rPr>
                    <w:t>0</w:t>
                  </w:r>
                  <w:r>
                    <w:rPr>
                      <w:rFonts w:hint="eastAsia"/>
                    </w:rPr>
                    <w:t>/1</w:t>
                  </w:r>
                </w:p>
              </w:tc>
              <w:tc>
                <w:tcPr>
                  <w:tcW w:w="512" w:type="pct"/>
                  <w:vMerge w:val="restart"/>
                  <w:noWrap w:val="0"/>
                  <w:vAlign w:val="center"/>
                </w:tcPr>
                <w:p w14:paraId="12DB1B12">
                  <w:pPr>
                    <w:widowControl/>
                    <w:jc w:val="center"/>
                    <w:textAlignment w:val="center"/>
                    <w:rPr>
                      <w:szCs w:val="21"/>
                    </w:rPr>
                  </w:pPr>
                  <w:r>
                    <w:rPr>
                      <w:rFonts w:hint="eastAsia"/>
                      <w:szCs w:val="21"/>
                    </w:rPr>
                    <w:t>低噪声设备、合理布局；厂房隔声距离衰减</w:t>
                  </w:r>
                </w:p>
              </w:tc>
              <w:tc>
                <w:tcPr>
                  <w:tcW w:w="291" w:type="pct"/>
                  <w:vMerge w:val="restart"/>
                  <w:noWrap w:val="0"/>
                  <w:vAlign w:val="center"/>
                </w:tcPr>
                <w:p w14:paraId="7068195F">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9.4</w:t>
                  </w:r>
                </w:p>
              </w:tc>
              <w:tc>
                <w:tcPr>
                  <w:tcW w:w="297" w:type="pct"/>
                  <w:vMerge w:val="restart"/>
                  <w:noWrap w:val="0"/>
                  <w:vAlign w:val="center"/>
                </w:tcPr>
                <w:p w14:paraId="7CBB1A7C">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30.6</w:t>
                  </w:r>
                </w:p>
              </w:tc>
              <w:tc>
                <w:tcPr>
                  <w:tcW w:w="251" w:type="pct"/>
                  <w:vMerge w:val="restart"/>
                  <w:noWrap w:val="0"/>
                  <w:vAlign w:val="center"/>
                </w:tcPr>
                <w:p w14:paraId="51D6656D">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27.2</w:t>
                  </w:r>
                </w:p>
              </w:tc>
              <w:tc>
                <w:tcPr>
                  <w:tcW w:w="480" w:type="pct"/>
                  <w:noWrap w:val="0"/>
                  <w:vAlign w:val="center"/>
                </w:tcPr>
                <w:p w14:paraId="16F1A9E5">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东：46.5</w:t>
                  </w:r>
                </w:p>
              </w:tc>
              <w:tc>
                <w:tcPr>
                  <w:tcW w:w="465" w:type="pct"/>
                  <w:noWrap w:val="0"/>
                  <w:vAlign w:val="center"/>
                </w:tcPr>
                <w:p w14:paraId="2F5D1C08">
                  <w:pPr>
                    <w:widowControl/>
                    <w:jc w:val="center"/>
                    <w:textAlignment w:val="center"/>
                    <w:rPr>
                      <w:rFonts w:hint="default" w:eastAsia="宋体"/>
                      <w:szCs w:val="21"/>
                      <w:lang w:val="en-US" w:eastAsia="zh-CN"/>
                    </w:rPr>
                  </w:pPr>
                  <w:r>
                    <w:rPr>
                      <w:rFonts w:hint="eastAsia" w:eastAsia="宋体"/>
                      <w:szCs w:val="21"/>
                      <w:lang w:val="en-US" w:eastAsia="zh-CN"/>
                    </w:rPr>
                    <w:t>46.7</w:t>
                  </w:r>
                </w:p>
              </w:tc>
              <w:tc>
                <w:tcPr>
                  <w:tcW w:w="391" w:type="pct"/>
                  <w:vMerge w:val="restart"/>
                  <w:noWrap w:val="0"/>
                  <w:vAlign w:val="center"/>
                </w:tcPr>
                <w:p w14:paraId="3E33157D">
                  <w:pPr>
                    <w:widowControl/>
                    <w:jc w:val="center"/>
                    <w:textAlignment w:val="bottom"/>
                  </w:pPr>
                  <w:r>
                    <w:rPr>
                      <w:rFonts w:hint="eastAsia"/>
                      <w:lang w:val="en-US" w:eastAsia="zh-CN"/>
                    </w:rPr>
                    <w:t>240</w:t>
                  </w:r>
                  <w:r>
                    <w:rPr>
                      <w:rFonts w:hint="eastAsia"/>
                    </w:rPr>
                    <w:t>0</w:t>
                  </w:r>
                </w:p>
              </w:tc>
              <w:tc>
                <w:tcPr>
                  <w:tcW w:w="403" w:type="pct"/>
                  <w:vMerge w:val="restart"/>
                  <w:noWrap w:val="0"/>
                  <w:vAlign w:val="center"/>
                </w:tcPr>
                <w:p w14:paraId="130830BE">
                  <w:pPr>
                    <w:widowControl/>
                    <w:jc w:val="center"/>
                    <w:textAlignment w:val="bottom"/>
                  </w:pPr>
                  <w:r>
                    <w:rPr>
                      <w:rFonts w:hint="eastAsia"/>
                    </w:rPr>
                    <w:t>15</w:t>
                  </w:r>
                </w:p>
              </w:tc>
              <w:tc>
                <w:tcPr>
                  <w:tcW w:w="431" w:type="pct"/>
                  <w:noWrap w:val="0"/>
                  <w:vAlign w:val="center"/>
                </w:tcPr>
                <w:p w14:paraId="67240459">
                  <w:pPr>
                    <w:widowControl/>
                    <w:jc w:val="center"/>
                    <w:textAlignment w:val="center"/>
                    <w:rPr>
                      <w:rFonts w:hint="default" w:eastAsia="宋体"/>
                      <w:szCs w:val="21"/>
                      <w:lang w:val="en-US" w:eastAsia="zh-CN"/>
                    </w:rPr>
                  </w:pPr>
                  <w:r>
                    <w:rPr>
                      <w:rFonts w:hint="eastAsia" w:eastAsia="宋体"/>
                      <w:szCs w:val="21"/>
                      <w:lang w:val="en-US" w:eastAsia="zh-CN"/>
                    </w:rPr>
                    <w:t>31.7</w:t>
                  </w:r>
                </w:p>
              </w:tc>
              <w:tc>
                <w:tcPr>
                  <w:tcW w:w="364" w:type="pct"/>
                  <w:noWrap w:val="0"/>
                  <w:vAlign w:val="center"/>
                </w:tcPr>
                <w:p w14:paraId="34101B2F">
                  <w:pPr>
                    <w:widowControl/>
                    <w:jc w:val="center"/>
                    <w:textAlignment w:val="bottom"/>
                  </w:pPr>
                  <w:r>
                    <w:rPr>
                      <w:rFonts w:hint="eastAsia"/>
                    </w:rPr>
                    <w:t>1</w:t>
                  </w:r>
                </w:p>
              </w:tc>
            </w:tr>
            <w:tr w14:paraId="175D0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9" w:type="pct"/>
                  <w:vMerge w:val="continue"/>
                  <w:noWrap w:val="0"/>
                  <w:vAlign w:val="center"/>
                </w:tcPr>
                <w:p w14:paraId="47B45AFD">
                  <w:pPr>
                    <w:snapToGrid w:val="0"/>
                    <w:jc w:val="center"/>
                  </w:pPr>
                </w:p>
              </w:tc>
              <w:tc>
                <w:tcPr>
                  <w:tcW w:w="227" w:type="pct"/>
                  <w:vMerge w:val="continue"/>
                  <w:noWrap w:val="0"/>
                  <w:vAlign w:val="center"/>
                </w:tcPr>
                <w:p w14:paraId="64725105">
                  <w:pPr>
                    <w:snapToGrid w:val="0"/>
                    <w:jc w:val="center"/>
                    <w:rPr>
                      <w:szCs w:val="21"/>
                    </w:rPr>
                  </w:pPr>
                </w:p>
              </w:tc>
              <w:tc>
                <w:tcPr>
                  <w:tcW w:w="347" w:type="pct"/>
                  <w:vMerge w:val="continue"/>
                  <w:noWrap w:val="0"/>
                  <w:vAlign w:val="center"/>
                </w:tcPr>
                <w:p w14:paraId="25E96610">
                  <w:pPr>
                    <w:widowControl/>
                    <w:jc w:val="center"/>
                    <w:textAlignment w:val="center"/>
                    <w:rPr>
                      <w:rFonts w:hint="eastAsia"/>
                      <w:spacing w:val="-20"/>
                      <w:kern w:val="0"/>
                      <w:lang w:bidi="ar"/>
                    </w:rPr>
                  </w:pPr>
                </w:p>
              </w:tc>
              <w:tc>
                <w:tcPr>
                  <w:tcW w:w="385" w:type="pct"/>
                  <w:vMerge w:val="continue"/>
                  <w:noWrap w:val="0"/>
                  <w:vAlign w:val="center"/>
                </w:tcPr>
                <w:p w14:paraId="0BF7F15F">
                  <w:pPr>
                    <w:widowControl/>
                    <w:jc w:val="center"/>
                    <w:textAlignment w:val="center"/>
                    <w:rPr>
                      <w:rFonts w:hint="eastAsia"/>
                      <w:kern w:val="0"/>
                      <w:szCs w:val="21"/>
                      <w:lang w:bidi="ar"/>
                    </w:rPr>
                  </w:pPr>
                </w:p>
              </w:tc>
              <w:tc>
                <w:tcPr>
                  <w:tcW w:w="512" w:type="pct"/>
                  <w:vMerge w:val="continue"/>
                  <w:noWrap w:val="0"/>
                  <w:vAlign w:val="center"/>
                </w:tcPr>
                <w:p w14:paraId="4FA1BE07">
                  <w:pPr>
                    <w:widowControl/>
                    <w:jc w:val="center"/>
                    <w:textAlignment w:val="center"/>
                    <w:rPr>
                      <w:szCs w:val="21"/>
                    </w:rPr>
                  </w:pPr>
                </w:p>
              </w:tc>
              <w:tc>
                <w:tcPr>
                  <w:tcW w:w="291" w:type="pct"/>
                  <w:vMerge w:val="continue"/>
                  <w:noWrap w:val="0"/>
                  <w:vAlign w:val="center"/>
                </w:tcPr>
                <w:p w14:paraId="273F6A32">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3C02C395">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128740BD">
                  <w:pPr>
                    <w:jc w:val="center"/>
                    <w:rPr>
                      <w:rFonts w:hint="eastAsia" w:ascii="Times New Roman" w:hAnsi="Times New Roman" w:eastAsia="宋体" w:cs="Times New Roman"/>
                      <w:sz w:val="20"/>
                      <w:lang w:val="en-US" w:eastAsia="zh-CN"/>
                    </w:rPr>
                  </w:pPr>
                </w:p>
              </w:tc>
              <w:tc>
                <w:tcPr>
                  <w:tcW w:w="480" w:type="pct"/>
                  <w:noWrap w:val="0"/>
                  <w:vAlign w:val="center"/>
                </w:tcPr>
                <w:p w14:paraId="303B15F5">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南：100.8</w:t>
                  </w:r>
                </w:p>
              </w:tc>
              <w:tc>
                <w:tcPr>
                  <w:tcW w:w="465" w:type="pct"/>
                  <w:noWrap w:val="0"/>
                  <w:vAlign w:val="center"/>
                </w:tcPr>
                <w:p w14:paraId="3BBAD329">
                  <w:pPr>
                    <w:widowControl/>
                    <w:jc w:val="center"/>
                    <w:textAlignment w:val="center"/>
                    <w:rPr>
                      <w:rFonts w:hint="default" w:eastAsia="宋体"/>
                      <w:szCs w:val="21"/>
                      <w:lang w:val="en-US" w:eastAsia="zh-CN"/>
                    </w:rPr>
                  </w:pPr>
                  <w:r>
                    <w:rPr>
                      <w:rFonts w:hint="eastAsia" w:eastAsia="宋体"/>
                      <w:szCs w:val="21"/>
                      <w:lang w:val="en-US" w:eastAsia="zh-CN"/>
                    </w:rPr>
                    <w:t>39.9</w:t>
                  </w:r>
                </w:p>
              </w:tc>
              <w:tc>
                <w:tcPr>
                  <w:tcW w:w="391" w:type="pct"/>
                  <w:vMerge w:val="continue"/>
                  <w:noWrap w:val="0"/>
                  <w:vAlign w:val="center"/>
                </w:tcPr>
                <w:p w14:paraId="07EE58EB">
                  <w:pPr>
                    <w:widowControl/>
                    <w:jc w:val="center"/>
                    <w:textAlignment w:val="bottom"/>
                    <w:rPr>
                      <w:rFonts w:hint="eastAsia"/>
                    </w:rPr>
                  </w:pPr>
                </w:p>
              </w:tc>
              <w:tc>
                <w:tcPr>
                  <w:tcW w:w="403" w:type="pct"/>
                  <w:vMerge w:val="continue"/>
                  <w:noWrap w:val="0"/>
                  <w:vAlign w:val="center"/>
                </w:tcPr>
                <w:p w14:paraId="409A7D76">
                  <w:pPr>
                    <w:widowControl/>
                    <w:jc w:val="center"/>
                    <w:textAlignment w:val="bottom"/>
                    <w:rPr>
                      <w:rFonts w:hint="eastAsia"/>
                    </w:rPr>
                  </w:pPr>
                </w:p>
              </w:tc>
              <w:tc>
                <w:tcPr>
                  <w:tcW w:w="431" w:type="pct"/>
                  <w:noWrap w:val="0"/>
                  <w:vAlign w:val="center"/>
                </w:tcPr>
                <w:p w14:paraId="06A80FD9">
                  <w:pPr>
                    <w:widowControl/>
                    <w:jc w:val="center"/>
                    <w:textAlignment w:val="center"/>
                    <w:rPr>
                      <w:rFonts w:hint="default" w:eastAsia="宋体"/>
                      <w:szCs w:val="21"/>
                      <w:lang w:val="en-US" w:eastAsia="zh-CN"/>
                    </w:rPr>
                  </w:pPr>
                  <w:r>
                    <w:rPr>
                      <w:rFonts w:hint="eastAsia" w:eastAsia="宋体"/>
                      <w:szCs w:val="21"/>
                      <w:lang w:val="en-US" w:eastAsia="zh-CN"/>
                    </w:rPr>
                    <w:t>24.9</w:t>
                  </w:r>
                </w:p>
              </w:tc>
              <w:tc>
                <w:tcPr>
                  <w:tcW w:w="364" w:type="pct"/>
                  <w:noWrap w:val="0"/>
                  <w:vAlign w:val="center"/>
                </w:tcPr>
                <w:p w14:paraId="0A1F9823">
                  <w:pPr>
                    <w:widowControl/>
                    <w:jc w:val="center"/>
                    <w:textAlignment w:val="bottom"/>
                  </w:pPr>
                  <w:r>
                    <w:rPr>
                      <w:rFonts w:hint="eastAsia"/>
                    </w:rPr>
                    <w:t>1</w:t>
                  </w:r>
                </w:p>
              </w:tc>
            </w:tr>
            <w:tr w14:paraId="4232E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continue"/>
                  <w:noWrap w:val="0"/>
                  <w:vAlign w:val="center"/>
                </w:tcPr>
                <w:p w14:paraId="4EFB9292">
                  <w:pPr>
                    <w:snapToGrid w:val="0"/>
                    <w:jc w:val="center"/>
                  </w:pPr>
                </w:p>
              </w:tc>
              <w:tc>
                <w:tcPr>
                  <w:tcW w:w="227" w:type="pct"/>
                  <w:vMerge w:val="continue"/>
                  <w:noWrap w:val="0"/>
                  <w:vAlign w:val="center"/>
                </w:tcPr>
                <w:p w14:paraId="4F3AAD98">
                  <w:pPr>
                    <w:snapToGrid w:val="0"/>
                    <w:jc w:val="center"/>
                    <w:rPr>
                      <w:szCs w:val="21"/>
                    </w:rPr>
                  </w:pPr>
                </w:p>
              </w:tc>
              <w:tc>
                <w:tcPr>
                  <w:tcW w:w="347" w:type="pct"/>
                  <w:vMerge w:val="continue"/>
                  <w:noWrap w:val="0"/>
                  <w:vAlign w:val="center"/>
                </w:tcPr>
                <w:p w14:paraId="39F0DDDB">
                  <w:pPr>
                    <w:widowControl/>
                    <w:jc w:val="center"/>
                    <w:textAlignment w:val="center"/>
                    <w:rPr>
                      <w:rFonts w:hint="eastAsia"/>
                      <w:spacing w:val="-20"/>
                      <w:kern w:val="0"/>
                      <w:lang w:bidi="ar"/>
                    </w:rPr>
                  </w:pPr>
                </w:p>
              </w:tc>
              <w:tc>
                <w:tcPr>
                  <w:tcW w:w="385" w:type="pct"/>
                  <w:vMerge w:val="continue"/>
                  <w:noWrap w:val="0"/>
                  <w:vAlign w:val="center"/>
                </w:tcPr>
                <w:p w14:paraId="6E38296E">
                  <w:pPr>
                    <w:widowControl/>
                    <w:jc w:val="center"/>
                    <w:textAlignment w:val="center"/>
                    <w:rPr>
                      <w:rFonts w:hint="eastAsia"/>
                      <w:kern w:val="0"/>
                      <w:szCs w:val="21"/>
                      <w:lang w:bidi="ar"/>
                    </w:rPr>
                  </w:pPr>
                </w:p>
              </w:tc>
              <w:tc>
                <w:tcPr>
                  <w:tcW w:w="512" w:type="pct"/>
                  <w:vMerge w:val="continue"/>
                  <w:noWrap w:val="0"/>
                  <w:vAlign w:val="center"/>
                </w:tcPr>
                <w:p w14:paraId="775D6795">
                  <w:pPr>
                    <w:widowControl/>
                    <w:jc w:val="center"/>
                    <w:textAlignment w:val="center"/>
                    <w:rPr>
                      <w:szCs w:val="21"/>
                    </w:rPr>
                  </w:pPr>
                </w:p>
              </w:tc>
              <w:tc>
                <w:tcPr>
                  <w:tcW w:w="291" w:type="pct"/>
                  <w:vMerge w:val="continue"/>
                  <w:noWrap w:val="0"/>
                  <w:vAlign w:val="center"/>
                </w:tcPr>
                <w:p w14:paraId="10271598">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5D6502B4">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29CDB504">
                  <w:pPr>
                    <w:jc w:val="center"/>
                    <w:rPr>
                      <w:rFonts w:hint="eastAsia" w:ascii="Times New Roman" w:hAnsi="Times New Roman" w:eastAsia="宋体" w:cs="Times New Roman"/>
                      <w:sz w:val="20"/>
                      <w:lang w:val="en-US" w:eastAsia="zh-CN"/>
                    </w:rPr>
                  </w:pPr>
                </w:p>
              </w:tc>
              <w:tc>
                <w:tcPr>
                  <w:tcW w:w="480" w:type="pct"/>
                  <w:noWrap w:val="0"/>
                  <w:vAlign w:val="center"/>
                </w:tcPr>
                <w:p w14:paraId="11AB24C0">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西：44.7</w:t>
                  </w:r>
                </w:p>
              </w:tc>
              <w:tc>
                <w:tcPr>
                  <w:tcW w:w="465" w:type="pct"/>
                  <w:noWrap w:val="0"/>
                  <w:vAlign w:val="center"/>
                </w:tcPr>
                <w:p w14:paraId="62ABD3AB">
                  <w:pPr>
                    <w:widowControl/>
                    <w:jc w:val="center"/>
                    <w:textAlignment w:val="center"/>
                    <w:rPr>
                      <w:rFonts w:hint="default" w:eastAsia="宋体"/>
                      <w:szCs w:val="21"/>
                      <w:lang w:val="en-US" w:eastAsia="zh-CN"/>
                    </w:rPr>
                  </w:pPr>
                  <w:r>
                    <w:rPr>
                      <w:rFonts w:hint="eastAsia" w:eastAsia="宋体"/>
                      <w:szCs w:val="21"/>
                      <w:lang w:val="en-US" w:eastAsia="zh-CN"/>
                    </w:rPr>
                    <w:t>46.9</w:t>
                  </w:r>
                </w:p>
              </w:tc>
              <w:tc>
                <w:tcPr>
                  <w:tcW w:w="391" w:type="pct"/>
                  <w:vMerge w:val="continue"/>
                  <w:noWrap w:val="0"/>
                  <w:vAlign w:val="center"/>
                </w:tcPr>
                <w:p w14:paraId="46293F0B">
                  <w:pPr>
                    <w:widowControl/>
                    <w:jc w:val="center"/>
                    <w:textAlignment w:val="bottom"/>
                    <w:rPr>
                      <w:rFonts w:hint="eastAsia"/>
                    </w:rPr>
                  </w:pPr>
                </w:p>
              </w:tc>
              <w:tc>
                <w:tcPr>
                  <w:tcW w:w="403" w:type="pct"/>
                  <w:vMerge w:val="continue"/>
                  <w:noWrap w:val="0"/>
                  <w:vAlign w:val="center"/>
                </w:tcPr>
                <w:p w14:paraId="7FCE224B">
                  <w:pPr>
                    <w:widowControl/>
                    <w:jc w:val="center"/>
                    <w:textAlignment w:val="bottom"/>
                    <w:rPr>
                      <w:rFonts w:hint="eastAsia"/>
                    </w:rPr>
                  </w:pPr>
                </w:p>
              </w:tc>
              <w:tc>
                <w:tcPr>
                  <w:tcW w:w="431" w:type="pct"/>
                  <w:noWrap w:val="0"/>
                  <w:vAlign w:val="center"/>
                </w:tcPr>
                <w:p w14:paraId="7620A871">
                  <w:pPr>
                    <w:widowControl/>
                    <w:jc w:val="center"/>
                    <w:textAlignment w:val="center"/>
                    <w:rPr>
                      <w:rFonts w:hint="default" w:eastAsia="宋体"/>
                      <w:szCs w:val="21"/>
                      <w:lang w:val="en-US" w:eastAsia="zh-CN"/>
                    </w:rPr>
                  </w:pPr>
                  <w:r>
                    <w:rPr>
                      <w:rFonts w:hint="eastAsia" w:eastAsia="宋体"/>
                      <w:szCs w:val="21"/>
                      <w:lang w:val="en-US" w:eastAsia="zh-CN"/>
                    </w:rPr>
                    <w:t>31.9</w:t>
                  </w:r>
                </w:p>
              </w:tc>
              <w:tc>
                <w:tcPr>
                  <w:tcW w:w="364" w:type="pct"/>
                  <w:noWrap w:val="0"/>
                  <w:vAlign w:val="center"/>
                </w:tcPr>
                <w:p w14:paraId="262C44CB">
                  <w:pPr>
                    <w:widowControl/>
                    <w:jc w:val="center"/>
                    <w:textAlignment w:val="bottom"/>
                  </w:pPr>
                  <w:r>
                    <w:rPr>
                      <w:rFonts w:hint="eastAsia"/>
                    </w:rPr>
                    <w:t>1</w:t>
                  </w:r>
                </w:p>
              </w:tc>
            </w:tr>
            <w:tr w14:paraId="58174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jc w:val="center"/>
              </w:trPr>
              <w:tc>
                <w:tcPr>
                  <w:tcW w:w="149" w:type="pct"/>
                  <w:vMerge w:val="continue"/>
                  <w:noWrap w:val="0"/>
                  <w:vAlign w:val="center"/>
                </w:tcPr>
                <w:p w14:paraId="79749C14">
                  <w:pPr>
                    <w:snapToGrid w:val="0"/>
                    <w:jc w:val="center"/>
                  </w:pPr>
                </w:p>
              </w:tc>
              <w:tc>
                <w:tcPr>
                  <w:tcW w:w="227" w:type="pct"/>
                  <w:vMerge w:val="continue"/>
                  <w:noWrap w:val="0"/>
                  <w:vAlign w:val="center"/>
                </w:tcPr>
                <w:p w14:paraId="013FC415">
                  <w:pPr>
                    <w:snapToGrid w:val="0"/>
                    <w:jc w:val="center"/>
                    <w:rPr>
                      <w:szCs w:val="21"/>
                    </w:rPr>
                  </w:pPr>
                </w:p>
              </w:tc>
              <w:tc>
                <w:tcPr>
                  <w:tcW w:w="347" w:type="pct"/>
                  <w:vMerge w:val="continue"/>
                  <w:noWrap w:val="0"/>
                  <w:vAlign w:val="center"/>
                </w:tcPr>
                <w:p w14:paraId="34CA2D22">
                  <w:pPr>
                    <w:widowControl/>
                    <w:jc w:val="center"/>
                    <w:textAlignment w:val="center"/>
                    <w:rPr>
                      <w:rFonts w:hint="eastAsia"/>
                      <w:spacing w:val="-20"/>
                      <w:kern w:val="0"/>
                      <w:lang w:bidi="ar"/>
                    </w:rPr>
                  </w:pPr>
                </w:p>
              </w:tc>
              <w:tc>
                <w:tcPr>
                  <w:tcW w:w="385" w:type="pct"/>
                  <w:vMerge w:val="continue"/>
                  <w:noWrap w:val="0"/>
                  <w:vAlign w:val="center"/>
                </w:tcPr>
                <w:p w14:paraId="17067520">
                  <w:pPr>
                    <w:widowControl/>
                    <w:jc w:val="center"/>
                    <w:textAlignment w:val="center"/>
                    <w:rPr>
                      <w:rFonts w:hint="eastAsia"/>
                      <w:kern w:val="0"/>
                      <w:szCs w:val="21"/>
                      <w:lang w:bidi="ar"/>
                    </w:rPr>
                  </w:pPr>
                </w:p>
              </w:tc>
              <w:tc>
                <w:tcPr>
                  <w:tcW w:w="512" w:type="pct"/>
                  <w:vMerge w:val="continue"/>
                  <w:noWrap w:val="0"/>
                  <w:vAlign w:val="center"/>
                </w:tcPr>
                <w:p w14:paraId="4EC5BFFA">
                  <w:pPr>
                    <w:widowControl/>
                    <w:jc w:val="center"/>
                    <w:textAlignment w:val="center"/>
                    <w:rPr>
                      <w:szCs w:val="21"/>
                    </w:rPr>
                  </w:pPr>
                </w:p>
              </w:tc>
              <w:tc>
                <w:tcPr>
                  <w:tcW w:w="291" w:type="pct"/>
                  <w:vMerge w:val="continue"/>
                  <w:noWrap w:val="0"/>
                  <w:vAlign w:val="center"/>
                </w:tcPr>
                <w:p w14:paraId="54422A4A">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3D03942D">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32A82EAF">
                  <w:pPr>
                    <w:jc w:val="center"/>
                    <w:rPr>
                      <w:rFonts w:hint="eastAsia" w:ascii="Times New Roman" w:hAnsi="Times New Roman" w:eastAsia="宋体" w:cs="Times New Roman"/>
                      <w:sz w:val="20"/>
                      <w:lang w:val="en-US" w:eastAsia="zh-CN"/>
                    </w:rPr>
                  </w:pPr>
                </w:p>
              </w:tc>
              <w:tc>
                <w:tcPr>
                  <w:tcW w:w="480" w:type="pct"/>
                  <w:noWrap w:val="0"/>
                  <w:vAlign w:val="center"/>
                </w:tcPr>
                <w:p w14:paraId="45C5FD60">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北：76.5</w:t>
                  </w:r>
                </w:p>
              </w:tc>
              <w:tc>
                <w:tcPr>
                  <w:tcW w:w="465" w:type="pct"/>
                  <w:noWrap w:val="0"/>
                  <w:vAlign w:val="center"/>
                </w:tcPr>
                <w:p w14:paraId="7C879F07">
                  <w:pPr>
                    <w:widowControl/>
                    <w:jc w:val="center"/>
                    <w:textAlignment w:val="center"/>
                    <w:rPr>
                      <w:rFonts w:hint="default" w:eastAsia="宋体"/>
                      <w:szCs w:val="21"/>
                      <w:lang w:val="en-US" w:eastAsia="zh-CN"/>
                    </w:rPr>
                  </w:pPr>
                  <w:r>
                    <w:rPr>
                      <w:rFonts w:hint="eastAsia" w:eastAsia="宋体"/>
                      <w:szCs w:val="21"/>
                      <w:lang w:val="en-US" w:eastAsia="zh-CN"/>
                    </w:rPr>
                    <w:t>46.3</w:t>
                  </w:r>
                </w:p>
              </w:tc>
              <w:tc>
                <w:tcPr>
                  <w:tcW w:w="391" w:type="pct"/>
                  <w:vMerge w:val="continue"/>
                  <w:noWrap w:val="0"/>
                  <w:vAlign w:val="center"/>
                </w:tcPr>
                <w:p w14:paraId="18E05F4A">
                  <w:pPr>
                    <w:widowControl/>
                    <w:jc w:val="center"/>
                    <w:textAlignment w:val="bottom"/>
                    <w:rPr>
                      <w:rFonts w:hint="eastAsia"/>
                    </w:rPr>
                  </w:pPr>
                </w:p>
              </w:tc>
              <w:tc>
                <w:tcPr>
                  <w:tcW w:w="403" w:type="pct"/>
                  <w:vMerge w:val="continue"/>
                  <w:noWrap w:val="0"/>
                  <w:vAlign w:val="center"/>
                </w:tcPr>
                <w:p w14:paraId="6EE9B916">
                  <w:pPr>
                    <w:widowControl/>
                    <w:jc w:val="center"/>
                    <w:textAlignment w:val="bottom"/>
                    <w:rPr>
                      <w:rFonts w:hint="eastAsia"/>
                    </w:rPr>
                  </w:pPr>
                </w:p>
              </w:tc>
              <w:tc>
                <w:tcPr>
                  <w:tcW w:w="431" w:type="pct"/>
                  <w:noWrap w:val="0"/>
                  <w:vAlign w:val="center"/>
                </w:tcPr>
                <w:p w14:paraId="2F3857D2">
                  <w:pPr>
                    <w:widowControl/>
                    <w:jc w:val="center"/>
                    <w:textAlignment w:val="center"/>
                    <w:rPr>
                      <w:rFonts w:hint="default" w:eastAsia="宋体"/>
                      <w:szCs w:val="21"/>
                      <w:lang w:val="en-US" w:eastAsia="zh-CN"/>
                    </w:rPr>
                  </w:pPr>
                  <w:r>
                    <w:rPr>
                      <w:rFonts w:hint="eastAsia" w:eastAsia="宋体"/>
                      <w:szCs w:val="21"/>
                      <w:lang w:val="en-US" w:eastAsia="zh-CN"/>
                    </w:rPr>
                    <w:t>31.3</w:t>
                  </w:r>
                </w:p>
              </w:tc>
              <w:tc>
                <w:tcPr>
                  <w:tcW w:w="364" w:type="pct"/>
                  <w:noWrap w:val="0"/>
                  <w:vAlign w:val="center"/>
                </w:tcPr>
                <w:p w14:paraId="2BAD17BA">
                  <w:pPr>
                    <w:widowControl/>
                    <w:jc w:val="center"/>
                    <w:textAlignment w:val="bottom"/>
                  </w:pPr>
                  <w:r>
                    <w:rPr>
                      <w:rFonts w:hint="eastAsia"/>
                    </w:rPr>
                    <w:t>1</w:t>
                  </w:r>
                </w:p>
              </w:tc>
            </w:tr>
            <w:tr w14:paraId="2D40C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restart"/>
                  <w:noWrap w:val="0"/>
                  <w:vAlign w:val="center"/>
                </w:tcPr>
                <w:p w14:paraId="76BF4F66">
                  <w:pPr>
                    <w:snapToGrid w:val="0"/>
                    <w:jc w:val="center"/>
                  </w:pPr>
                  <w:r>
                    <w:t>2</w:t>
                  </w:r>
                </w:p>
              </w:tc>
              <w:tc>
                <w:tcPr>
                  <w:tcW w:w="227" w:type="pct"/>
                  <w:vMerge w:val="continue"/>
                  <w:noWrap w:val="0"/>
                  <w:vAlign w:val="center"/>
                </w:tcPr>
                <w:p w14:paraId="789F2E59">
                  <w:pPr>
                    <w:snapToGrid w:val="0"/>
                    <w:jc w:val="center"/>
                  </w:pPr>
                </w:p>
              </w:tc>
              <w:tc>
                <w:tcPr>
                  <w:tcW w:w="347" w:type="pct"/>
                  <w:vMerge w:val="restart"/>
                  <w:noWrap w:val="0"/>
                  <w:vAlign w:val="center"/>
                </w:tcPr>
                <w:p w14:paraId="451CC113">
                  <w:pPr>
                    <w:widowControl/>
                    <w:jc w:val="center"/>
                    <w:textAlignment w:val="center"/>
                    <w:rPr>
                      <w:rFonts w:hint="eastAsia" w:eastAsia="宋体"/>
                      <w:spacing w:val="-20"/>
                      <w:kern w:val="0"/>
                      <w:lang w:val="en-US" w:eastAsia="zh-CN" w:bidi="ar"/>
                    </w:rPr>
                  </w:pPr>
                  <w:r>
                    <w:rPr>
                      <w:rFonts w:hint="eastAsia"/>
                      <w:spacing w:val="-20"/>
                      <w:kern w:val="0"/>
                      <w:lang w:val="en-US" w:eastAsia="zh-CN" w:bidi="ar"/>
                    </w:rPr>
                    <w:t>汽车举升翻转机</w:t>
                  </w:r>
                </w:p>
              </w:tc>
              <w:tc>
                <w:tcPr>
                  <w:tcW w:w="385" w:type="pct"/>
                  <w:vMerge w:val="restart"/>
                  <w:noWrap w:val="0"/>
                  <w:vAlign w:val="center"/>
                </w:tcPr>
                <w:p w14:paraId="76ECD4C3">
                  <w:pPr>
                    <w:widowControl/>
                    <w:jc w:val="center"/>
                    <w:textAlignment w:val="center"/>
                  </w:pPr>
                  <w:r>
                    <w:rPr>
                      <w:rFonts w:hint="eastAsia"/>
                    </w:rPr>
                    <w:t>8</w:t>
                  </w:r>
                  <w:r>
                    <w:rPr>
                      <w:rFonts w:hint="eastAsia"/>
                      <w:lang w:val="en-US" w:eastAsia="zh-CN"/>
                    </w:rPr>
                    <w:t>0</w:t>
                  </w:r>
                  <w:r>
                    <w:rPr>
                      <w:rFonts w:hint="eastAsia"/>
                    </w:rPr>
                    <w:t>/1</w:t>
                  </w:r>
                </w:p>
              </w:tc>
              <w:tc>
                <w:tcPr>
                  <w:tcW w:w="512" w:type="pct"/>
                  <w:vMerge w:val="continue"/>
                  <w:noWrap w:val="0"/>
                  <w:vAlign w:val="center"/>
                </w:tcPr>
                <w:p w14:paraId="573C1BF2">
                  <w:pPr>
                    <w:snapToGrid w:val="0"/>
                    <w:jc w:val="center"/>
                    <w:rPr>
                      <w:spacing w:val="-20"/>
                      <w:kern w:val="0"/>
                      <w:lang w:bidi="ar"/>
                    </w:rPr>
                  </w:pPr>
                </w:p>
              </w:tc>
              <w:tc>
                <w:tcPr>
                  <w:tcW w:w="291" w:type="pct"/>
                  <w:vMerge w:val="restart"/>
                  <w:noWrap w:val="0"/>
                  <w:vAlign w:val="center"/>
                </w:tcPr>
                <w:p w14:paraId="34289DE0">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6.5</w:t>
                  </w:r>
                </w:p>
              </w:tc>
              <w:tc>
                <w:tcPr>
                  <w:tcW w:w="297" w:type="pct"/>
                  <w:vMerge w:val="restart"/>
                  <w:noWrap w:val="0"/>
                  <w:vAlign w:val="center"/>
                </w:tcPr>
                <w:p w14:paraId="0B403FE8">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16.7</w:t>
                  </w:r>
                </w:p>
              </w:tc>
              <w:tc>
                <w:tcPr>
                  <w:tcW w:w="251" w:type="pct"/>
                  <w:vMerge w:val="restart"/>
                  <w:noWrap w:val="0"/>
                  <w:vAlign w:val="center"/>
                </w:tcPr>
                <w:p w14:paraId="46EAE4B3">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27.1</w:t>
                  </w:r>
                </w:p>
              </w:tc>
              <w:tc>
                <w:tcPr>
                  <w:tcW w:w="480" w:type="pct"/>
                  <w:noWrap w:val="0"/>
                  <w:vAlign w:val="center"/>
                </w:tcPr>
                <w:p w14:paraId="05120084">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东：46.5</w:t>
                  </w:r>
                </w:p>
              </w:tc>
              <w:tc>
                <w:tcPr>
                  <w:tcW w:w="465" w:type="pct"/>
                  <w:noWrap w:val="0"/>
                  <w:vAlign w:val="center"/>
                </w:tcPr>
                <w:p w14:paraId="5D6EC4D5">
                  <w:pPr>
                    <w:widowControl/>
                    <w:jc w:val="center"/>
                    <w:textAlignment w:val="center"/>
                    <w:rPr>
                      <w:rFonts w:hint="default" w:eastAsia="宋体"/>
                      <w:szCs w:val="21"/>
                      <w:lang w:val="en-US" w:eastAsia="zh-CN"/>
                    </w:rPr>
                  </w:pPr>
                  <w:r>
                    <w:rPr>
                      <w:rFonts w:hint="eastAsia" w:eastAsia="宋体"/>
                      <w:szCs w:val="21"/>
                      <w:lang w:val="en-US" w:eastAsia="zh-CN"/>
                    </w:rPr>
                    <w:t>46.7</w:t>
                  </w:r>
                </w:p>
              </w:tc>
              <w:tc>
                <w:tcPr>
                  <w:tcW w:w="391" w:type="pct"/>
                  <w:vMerge w:val="continue"/>
                  <w:noWrap w:val="0"/>
                  <w:vAlign w:val="center"/>
                </w:tcPr>
                <w:p w14:paraId="44EA01BE">
                  <w:pPr>
                    <w:snapToGrid w:val="0"/>
                    <w:jc w:val="center"/>
                    <w:rPr>
                      <w:spacing w:val="-20"/>
                      <w:kern w:val="0"/>
                      <w:lang w:bidi="ar"/>
                    </w:rPr>
                  </w:pPr>
                </w:p>
              </w:tc>
              <w:tc>
                <w:tcPr>
                  <w:tcW w:w="403" w:type="pct"/>
                  <w:vMerge w:val="restart"/>
                  <w:noWrap w:val="0"/>
                  <w:vAlign w:val="center"/>
                </w:tcPr>
                <w:p w14:paraId="468909D1">
                  <w:pPr>
                    <w:snapToGrid w:val="0"/>
                    <w:jc w:val="center"/>
                    <w:rPr>
                      <w:spacing w:val="-20"/>
                      <w:kern w:val="0"/>
                      <w:lang w:bidi="ar"/>
                    </w:rPr>
                  </w:pPr>
                  <w:r>
                    <w:rPr>
                      <w:rFonts w:hint="eastAsia"/>
                    </w:rPr>
                    <w:t>15</w:t>
                  </w:r>
                </w:p>
              </w:tc>
              <w:tc>
                <w:tcPr>
                  <w:tcW w:w="431" w:type="pct"/>
                  <w:noWrap w:val="0"/>
                  <w:vAlign w:val="center"/>
                </w:tcPr>
                <w:p w14:paraId="1E414B70">
                  <w:pPr>
                    <w:widowControl/>
                    <w:jc w:val="center"/>
                    <w:textAlignment w:val="center"/>
                    <w:rPr>
                      <w:rFonts w:hint="default" w:eastAsia="宋体"/>
                      <w:szCs w:val="21"/>
                      <w:lang w:val="en-US" w:eastAsia="zh-CN"/>
                    </w:rPr>
                  </w:pPr>
                  <w:r>
                    <w:rPr>
                      <w:rFonts w:hint="eastAsia" w:eastAsia="宋体"/>
                      <w:szCs w:val="21"/>
                      <w:lang w:val="en-US" w:eastAsia="zh-CN"/>
                    </w:rPr>
                    <w:t>31.7</w:t>
                  </w:r>
                </w:p>
              </w:tc>
              <w:tc>
                <w:tcPr>
                  <w:tcW w:w="364" w:type="pct"/>
                  <w:noWrap w:val="0"/>
                  <w:vAlign w:val="center"/>
                </w:tcPr>
                <w:p w14:paraId="758227D6">
                  <w:pPr>
                    <w:snapToGrid w:val="0"/>
                    <w:jc w:val="center"/>
                    <w:rPr>
                      <w:rFonts w:hint="eastAsia"/>
                      <w:spacing w:val="-20"/>
                      <w:kern w:val="0"/>
                      <w:lang w:bidi="ar"/>
                    </w:rPr>
                  </w:pPr>
                  <w:r>
                    <w:rPr>
                      <w:rFonts w:hint="eastAsia"/>
                      <w:spacing w:val="-20"/>
                      <w:kern w:val="0"/>
                      <w:lang w:bidi="ar"/>
                    </w:rPr>
                    <w:t>1</w:t>
                  </w:r>
                </w:p>
              </w:tc>
            </w:tr>
            <w:tr w14:paraId="7DB20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9" w:type="pct"/>
                  <w:vMerge w:val="continue"/>
                  <w:noWrap w:val="0"/>
                  <w:vAlign w:val="center"/>
                </w:tcPr>
                <w:p w14:paraId="3F696D01">
                  <w:pPr>
                    <w:widowControl/>
                    <w:jc w:val="center"/>
                    <w:textAlignment w:val="center"/>
                  </w:pPr>
                </w:p>
              </w:tc>
              <w:tc>
                <w:tcPr>
                  <w:tcW w:w="227" w:type="pct"/>
                  <w:vMerge w:val="continue"/>
                  <w:noWrap w:val="0"/>
                  <w:vAlign w:val="center"/>
                </w:tcPr>
                <w:p w14:paraId="1813EF26">
                  <w:pPr>
                    <w:widowControl/>
                    <w:jc w:val="center"/>
                    <w:textAlignment w:val="center"/>
                  </w:pPr>
                </w:p>
              </w:tc>
              <w:tc>
                <w:tcPr>
                  <w:tcW w:w="347" w:type="pct"/>
                  <w:vMerge w:val="continue"/>
                  <w:noWrap w:val="0"/>
                  <w:vAlign w:val="center"/>
                </w:tcPr>
                <w:p w14:paraId="047E4F5E">
                  <w:pPr>
                    <w:widowControl/>
                    <w:jc w:val="center"/>
                    <w:textAlignment w:val="center"/>
                    <w:rPr>
                      <w:szCs w:val="21"/>
                    </w:rPr>
                  </w:pPr>
                </w:p>
              </w:tc>
              <w:tc>
                <w:tcPr>
                  <w:tcW w:w="385" w:type="pct"/>
                  <w:vMerge w:val="continue"/>
                  <w:noWrap w:val="0"/>
                  <w:vAlign w:val="center"/>
                </w:tcPr>
                <w:p w14:paraId="1DDDCA80">
                  <w:pPr>
                    <w:widowControl/>
                    <w:jc w:val="center"/>
                    <w:textAlignment w:val="center"/>
                  </w:pPr>
                </w:p>
              </w:tc>
              <w:tc>
                <w:tcPr>
                  <w:tcW w:w="512" w:type="pct"/>
                  <w:vMerge w:val="continue"/>
                  <w:noWrap w:val="0"/>
                  <w:vAlign w:val="center"/>
                </w:tcPr>
                <w:p w14:paraId="19718C3B">
                  <w:pPr>
                    <w:widowControl/>
                    <w:jc w:val="center"/>
                    <w:textAlignment w:val="center"/>
                  </w:pPr>
                </w:p>
              </w:tc>
              <w:tc>
                <w:tcPr>
                  <w:tcW w:w="291" w:type="pct"/>
                  <w:vMerge w:val="continue"/>
                  <w:noWrap w:val="0"/>
                  <w:vAlign w:val="center"/>
                </w:tcPr>
                <w:p w14:paraId="2CAA9281">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5B0BB2A2">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067EC2B9">
                  <w:pPr>
                    <w:jc w:val="center"/>
                    <w:rPr>
                      <w:rFonts w:hint="eastAsia" w:ascii="Times New Roman" w:hAnsi="Times New Roman" w:eastAsia="宋体" w:cs="Times New Roman"/>
                      <w:sz w:val="20"/>
                      <w:lang w:val="en-US" w:eastAsia="zh-CN"/>
                    </w:rPr>
                  </w:pPr>
                </w:p>
              </w:tc>
              <w:tc>
                <w:tcPr>
                  <w:tcW w:w="480" w:type="pct"/>
                  <w:noWrap w:val="0"/>
                  <w:vAlign w:val="center"/>
                </w:tcPr>
                <w:p w14:paraId="21084E9B">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南：110.6</w:t>
                  </w:r>
                </w:p>
              </w:tc>
              <w:tc>
                <w:tcPr>
                  <w:tcW w:w="465" w:type="pct"/>
                  <w:noWrap w:val="0"/>
                  <w:vAlign w:val="center"/>
                </w:tcPr>
                <w:p w14:paraId="4E987C90">
                  <w:pPr>
                    <w:widowControl/>
                    <w:jc w:val="center"/>
                    <w:textAlignment w:val="center"/>
                    <w:rPr>
                      <w:rFonts w:hint="default" w:eastAsia="宋体"/>
                      <w:szCs w:val="21"/>
                      <w:lang w:val="en-US" w:eastAsia="zh-CN"/>
                    </w:rPr>
                  </w:pPr>
                  <w:r>
                    <w:rPr>
                      <w:rFonts w:hint="eastAsia" w:eastAsia="宋体"/>
                      <w:szCs w:val="21"/>
                      <w:lang w:val="en-US" w:eastAsia="zh-CN"/>
                    </w:rPr>
                    <w:t>39.1</w:t>
                  </w:r>
                </w:p>
              </w:tc>
              <w:tc>
                <w:tcPr>
                  <w:tcW w:w="391" w:type="pct"/>
                  <w:vMerge w:val="continue"/>
                  <w:noWrap w:val="0"/>
                  <w:vAlign w:val="center"/>
                </w:tcPr>
                <w:p w14:paraId="65438B83">
                  <w:pPr>
                    <w:widowControl/>
                    <w:jc w:val="center"/>
                    <w:textAlignment w:val="center"/>
                    <w:rPr>
                      <w:rFonts w:hint="eastAsia"/>
                      <w:spacing w:val="-20"/>
                      <w:kern w:val="0"/>
                      <w:lang w:bidi="ar"/>
                    </w:rPr>
                  </w:pPr>
                </w:p>
              </w:tc>
              <w:tc>
                <w:tcPr>
                  <w:tcW w:w="403" w:type="pct"/>
                  <w:vMerge w:val="continue"/>
                  <w:noWrap w:val="0"/>
                  <w:vAlign w:val="center"/>
                </w:tcPr>
                <w:p w14:paraId="4F7C31D6">
                  <w:pPr>
                    <w:widowControl/>
                    <w:jc w:val="center"/>
                    <w:textAlignment w:val="center"/>
                    <w:rPr>
                      <w:rFonts w:hint="eastAsia"/>
                      <w:spacing w:val="-20"/>
                      <w:kern w:val="0"/>
                      <w:lang w:bidi="ar"/>
                    </w:rPr>
                  </w:pPr>
                </w:p>
              </w:tc>
              <w:tc>
                <w:tcPr>
                  <w:tcW w:w="431" w:type="pct"/>
                  <w:noWrap w:val="0"/>
                  <w:vAlign w:val="center"/>
                </w:tcPr>
                <w:p w14:paraId="4D85BBC7">
                  <w:pPr>
                    <w:widowControl/>
                    <w:jc w:val="center"/>
                    <w:textAlignment w:val="center"/>
                    <w:rPr>
                      <w:rFonts w:hint="default" w:eastAsia="宋体"/>
                      <w:szCs w:val="21"/>
                      <w:lang w:val="en-US" w:eastAsia="zh-CN"/>
                    </w:rPr>
                  </w:pPr>
                  <w:r>
                    <w:rPr>
                      <w:rFonts w:hint="eastAsia" w:eastAsia="宋体"/>
                      <w:szCs w:val="21"/>
                      <w:lang w:val="en-US" w:eastAsia="zh-CN"/>
                    </w:rPr>
                    <w:t>24.1</w:t>
                  </w:r>
                </w:p>
              </w:tc>
              <w:tc>
                <w:tcPr>
                  <w:tcW w:w="364" w:type="pct"/>
                  <w:noWrap w:val="0"/>
                  <w:vAlign w:val="center"/>
                </w:tcPr>
                <w:p w14:paraId="7D41A4B9">
                  <w:pPr>
                    <w:widowControl/>
                    <w:jc w:val="center"/>
                    <w:textAlignment w:val="center"/>
                    <w:rPr>
                      <w:spacing w:val="-20"/>
                      <w:kern w:val="0"/>
                      <w:lang w:bidi="ar"/>
                    </w:rPr>
                  </w:pPr>
                  <w:r>
                    <w:rPr>
                      <w:rFonts w:hint="eastAsia"/>
                      <w:spacing w:val="-20"/>
                      <w:kern w:val="0"/>
                      <w:lang w:bidi="ar"/>
                    </w:rPr>
                    <w:t>1</w:t>
                  </w:r>
                </w:p>
              </w:tc>
            </w:tr>
            <w:tr w14:paraId="05D54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9" w:type="pct"/>
                  <w:vMerge w:val="continue"/>
                  <w:noWrap w:val="0"/>
                  <w:vAlign w:val="center"/>
                </w:tcPr>
                <w:p w14:paraId="162E8FDC">
                  <w:pPr>
                    <w:widowControl/>
                    <w:jc w:val="center"/>
                    <w:textAlignment w:val="center"/>
                    <w:rPr>
                      <w:rFonts w:hint="eastAsia"/>
                      <w:spacing w:val="-20"/>
                      <w:kern w:val="0"/>
                      <w:lang w:bidi="ar"/>
                    </w:rPr>
                  </w:pPr>
                </w:p>
              </w:tc>
              <w:tc>
                <w:tcPr>
                  <w:tcW w:w="227" w:type="pct"/>
                  <w:vMerge w:val="continue"/>
                  <w:noWrap w:val="0"/>
                  <w:vAlign w:val="center"/>
                </w:tcPr>
                <w:p w14:paraId="2D0BB15A">
                  <w:pPr>
                    <w:widowControl/>
                    <w:jc w:val="center"/>
                    <w:textAlignment w:val="center"/>
                    <w:rPr>
                      <w:rFonts w:hint="eastAsia"/>
                      <w:spacing w:val="-20"/>
                      <w:kern w:val="0"/>
                      <w:lang w:bidi="ar"/>
                    </w:rPr>
                  </w:pPr>
                </w:p>
              </w:tc>
              <w:tc>
                <w:tcPr>
                  <w:tcW w:w="347" w:type="pct"/>
                  <w:vMerge w:val="continue"/>
                  <w:noWrap w:val="0"/>
                  <w:vAlign w:val="center"/>
                </w:tcPr>
                <w:p w14:paraId="4B1A522B">
                  <w:pPr>
                    <w:widowControl/>
                    <w:jc w:val="center"/>
                    <w:textAlignment w:val="center"/>
                    <w:rPr>
                      <w:rFonts w:hint="eastAsia"/>
                      <w:spacing w:val="-20"/>
                      <w:kern w:val="0"/>
                      <w:szCs w:val="21"/>
                      <w:lang w:bidi="ar"/>
                    </w:rPr>
                  </w:pPr>
                </w:p>
              </w:tc>
              <w:tc>
                <w:tcPr>
                  <w:tcW w:w="385" w:type="pct"/>
                  <w:vMerge w:val="continue"/>
                  <w:noWrap w:val="0"/>
                  <w:vAlign w:val="center"/>
                </w:tcPr>
                <w:p w14:paraId="184C0E80">
                  <w:pPr>
                    <w:widowControl/>
                    <w:jc w:val="center"/>
                    <w:textAlignment w:val="center"/>
                    <w:rPr>
                      <w:rFonts w:hint="eastAsia"/>
                      <w:spacing w:val="-20"/>
                      <w:kern w:val="0"/>
                      <w:lang w:bidi="ar"/>
                    </w:rPr>
                  </w:pPr>
                </w:p>
              </w:tc>
              <w:tc>
                <w:tcPr>
                  <w:tcW w:w="512" w:type="pct"/>
                  <w:vMerge w:val="continue"/>
                  <w:noWrap w:val="0"/>
                  <w:vAlign w:val="center"/>
                </w:tcPr>
                <w:p w14:paraId="73705D11">
                  <w:pPr>
                    <w:widowControl/>
                    <w:jc w:val="center"/>
                    <w:textAlignment w:val="center"/>
                    <w:rPr>
                      <w:rFonts w:hint="eastAsia"/>
                      <w:spacing w:val="-20"/>
                      <w:kern w:val="0"/>
                      <w:lang w:bidi="ar"/>
                    </w:rPr>
                  </w:pPr>
                </w:p>
              </w:tc>
              <w:tc>
                <w:tcPr>
                  <w:tcW w:w="291" w:type="pct"/>
                  <w:vMerge w:val="continue"/>
                  <w:noWrap w:val="0"/>
                  <w:vAlign w:val="center"/>
                </w:tcPr>
                <w:p w14:paraId="1A7A5734">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70C6E734">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15941EDF">
                  <w:pPr>
                    <w:jc w:val="center"/>
                    <w:rPr>
                      <w:rFonts w:hint="eastAsia" w:ascii="Times New Roman" w:hAnsi="Times New Roman" w:eastAsia="宋体" w:cs="Times New Roman"/>
                      <w:sz w:val="20"/>
                      <w:lang w:val="en-US" w:eastAsia="zh-CN"/>
                    </w:rPr>
                  </w:pPr>
                </w:p>
              </w:tc>
              <w:tc>
                <w:tcPr>
                  <w:tcW w:w="480" w:type="pct"/>
                  <w:noWrap w:val="0"/>
                  <w:vAlign w:val="center"/>
                </w:tcPr>
                <w:p w14:paraId="5253DA1D">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西：44.7</w:t>
                  </w:r>
                </w:p>
              </w:tc>
              <w:tc>
                <w:tcPr>
                  <w:tcW w:w="465" w:type="pct"/>
                  <w:noWrap w:val="0"/>
                  <w:vAlign w:val="center"/>
                </w:tcPr>
                <w:p w14:paraId="428207A2">
                  <w:pPr>
                    <w:widowControl/>
                    <w:jc w:val="center"/>
                    <w:textAlignment w:val="center"/>
                    <w:rPr>
                      <w:rFonts w:hint="default" w:eastAsia="宋体"/>
                      <w:szCs w:val="21"/>
                      <w:lang w:val="en-US" w:eastAsia="zh-CN"/>
                    </w:rPr>
                  </w:pPr>
                  <w:r>
                    <w:rPr>
                      <w:rFonts w:hint="eastAsia" w:eastAsia="宋体"/>
                      <w:szCs w:val="21"/>
                      <w:lang w:val="en-US" w:eastAsia="zh-CN"/>
                    </w:rPr>
                    <w:t>46.9</w:t>
                  </w:r>
                </w:p>
              </w:tc>
              <w:tc>
                <w:tcPr>
                  <w:tcW w:w="391" w:type="pct"/>
                  <w:vMerge w:val="continue"/>
                  <w:noWrap w:val="0"/>
                  <w:vAlign w:val="center"/>
                </w:tcPr>
                <w:p w14:paraId="15AB6B8F">
                  <w:pPr>
                    <w:widowControl/>
                    <w:jc w:val="center"/>
                    <w:textAlignment w:val="center"/>
                    <w:rPr>
                      <w:rFonts w:hint="eastAsia"/>
                      <w:spacing w:val="-20"/>
                      <w:kern w:val="0"/>
                      <w:lang w:bidi="ar"/>
                    </w:rPr>
                  </w:pPr>
                </w:p>
              </w:tc>
              <w:tc>
                <w:tcPr>
                  <w:tcW w:w="403" w:type="pct"/>
                  <w:vMerge w:val="continue"/>
                  <w:noWrap w:val="0"/>
                  <w:vAlign w:val="center"/>
                </w:tcPr>
                <w:p w14:paraId="16740AA5">
                  <w:pPr>
                    <w:widowControl/>
                    <w:jc w:val="center"/>
                    <w:textAlignment w:val="center"/>
                    <w:rPr>
                      <w:rFonts w:hint="eastAsia"/>
                      <w:spacing w:val="-20"/>
                      <w:kern w:val="0"/>
                      <w:lang w:bidi="ar"/>
                    </w:rPr>
                  </w:pPr>
                </w:p>
              </w:tc>
              <w:tc>
                <w:tcPr>
                  <w:tcW w:w="431" w:type="pct"/>
                  <w:noWrap w:val="0"/>
                  <w:vAlign w:val="center"/>
                </w:tcPr>
                <w:p w14:paraId="0BBFC9C0">
                  <w:pPr>
                    <w:widowControl/>
                    <w:jc w:val="center"/>
                    <w:textAlignment w:val="center"/>
                    <w:rPr>
                      <w:rFonts w:hint="default" w:eastAsia="宋体"/>
                      <w:szCs w:val="21"/>
                      <w:lang w:val="en-US" w:eastAsia="zh-CN"/>
                    </w:rPr>
                  </w:pPr>
                  <w:r>
                    <w:rPr>
                      <w:rFonts w:hint="eastAsia" w:eastAsia="宋体"/>
                      <w:szCs w:val="21"/>
                      <w:lang w:val="en-US" w:eastAsia="zh-CN"/>
                    </w:rPr>
                    <w:t>31.9</w:t>
                  </w:r>
                </w:p>
              </w:tc>
              <w:tc>
                <w:tcPr>
                  <w:tcW w:w="364" w:type="pct"/>
                  <w:noWrap w:val="0"/>
                  <w:vAlign w:val="center"/>
                </w:tcPr>
                <w:p w14:paraId="5F1E5598">
                  <w:pPr>
                    <w:widowControl/>
                    <w:jc w:val="center"/>
                    <w:textAlignment w:val="center"/>
                    <w:rPr>
                      <w:spacing w:val="-20"/>
                      <w:kern w:val="0"/>
                      <w:lang w:bidi="ar"/>
                    </w:rPr>
                  </w:pPr>
                  <w:r>
                    <w:rPr>
                      <w:rFonts w:hint="eastAsia"/>
                      <w:spacing w:val="-20"/>
                      <w:kern w:val="0"/>
                      <w:lang w:bidi="ar"/>
                    </w:rPr>
                    <w:t>1</w:t>
                  </w:r>
                </w:p>
              </w:tc>
            </w:tr>
            <w:tr w14:paraId="10462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 w:hRule="atLeast"/>
                <w:jc w:val="center"/>
              </w:trPr>
              <w:tc>
                <w:tcPr>
                  <w:tcW w:w="149" w:type="pct"/>
                  <w:vMerge w:val="continue"/>
                  <w:noWrap w:val="0"/>
                  <w:vAlign w:val="center"/>
                </w:tcPr>
                <w:p w14:paraId="2562BEF6">
                  <w:pPr>
                    <w:widowControl/>
                    <w:jc w:val="center"/>
                    <w:textAlignment w:val="center"/>
                    <w:rPr>
                      <w:rFonts w:hint="eastAsia"/>
                      <w:spacing w:val="-20"/>
                      <w:kern w:val="0"/>
                      <w:lang w:bidi="ar"/>
                    </w:rPr>
                  </w:pPr>
                </w:p>
              </w:tc>
              <w:tc>
                <w:tcPr>
                  <w:tcW w:w="227" w:type="pct"/>
                  <w:vMerge w:val="continue"/>
                  <w:noWrap w:val="0"/>
                  <w:vAlign w:val="center"/>
                </w:tcPr>
                <w:p w14:paraId="474C2B85">
                  <w:pPr>
                    <w:widowControl/>
                    <w:jc w:val="center"/>
                    <w:textAlignment w:val="center"/>
                    <w:rPr>
                      <w:rFonts w:hint="eastAsia"/>
                      <w:spacing w:val="-20"/>
                      <w:kern w:val="0"/>
                      <w:lang w:bidi="ar"/>
                    </w:rPr>
                  </w:pPr>
                </w:p>
              </w:tc>
              <w:tc>
                <w:tcPr>
                  <w:tcW w:w="347" w:type="pct"/>
                  <w:vMerge w:val="continue"/>
                  <w:noWrap w:val="0"/>
                  <w:vAlign w:val="center"/>
                </w:tcPr>
                <w:p w14:paraId="74726D02">
                  <w:pPr>
                    <w:widowControl/>
                    <w:jc w:val="center"/>
                    <w:textAlignment w:val="center"/>
                    <w:rPr>
                      <w:rFonts w:hint="eastAsia"/>
                      <w:spacing w:val="-20"/>
                      <w:kern w:val="0"/>
                      <w:szCs w:val="21"/>
                      <w:lang w:bidi="ar"/>
                    </w:rPr>
                  </w:pPr>
                </w:p>
              </w:tc>
              <w:tc>
                <w:tcPr>
                  <w:tcW w:w="385" w:type="pct"/>
                  <w:vMerge w:val="continue"/>
                  <w:noWrap w:val="0"/>
                  <w:vAlign w:val="center"/>
                </w:tcPr>
                <w:p w14:paraId="4361D3A2">
                  <w:pPr>
                    <w:widowControl/>
                    <w:jc w:val="center"/>
                    <w:textAlignment w:val="center"/>
                    <w:rPr>
                      <w:rFonts w:hint="eastAsia"/>
                      <w:spacing w:val="-20"/>
                      <w:kern w:val="0"/>
                      <w:lang w:bidi="ar"/>
                    </w:rPr>
                  </w:pPr>
                </w:p>
              </w:tc>
              <w:tc>
                <w:tcPr>
                  <w:tcW w:w="512" w:type="pct"/>
                  <w:vMerge w:val="continue"/>
                  <w:noWrap w:val="0"/>
                  <w:vAlign w:val="center"/>
                </w:tcPr>
                <w:p w14:paraId="5D4D4078">
                  <w:pPr>
                    <w:widowControl/>
                    <w:jc w:val="center"/>
                    <w:textAlignment w:val="center"/>
                    <w:rPr>
                      <w:rFonts w:hint="eastAsia"/>
                      <w:spacing w:val="-20"/>
                      <w:kern w:val="0"/>
                      <w:lang w:bidi="ar"/>
                    </w:rPr>
                  </w:pPr>
                </w:p>
              </w:tc>
              <w:tc>
                <w:tcPr>
                  <w:tcW w:w="291" w:type="pct"/>
                  <w:vMerge w:val="continue"/>
                  <w:noWrap w:val="0"/>
                  <w:vAlign w:val="center"/>
                </w:tcPr>
                <w:p w14:paraId="1FE3A0D3">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76B931B3">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74D02516">
                  <w:pPr>
                    <w:jc w:val="center"/>
                    <w:rPr>
                      <w:rFonts w:hint="eastAsia" w:ascii="Times New Roman" w:hAnsi="Times New Roman" w:eastAsia="宋体" w:cs="Times New Roman"/>
                      <w:sz w:val="20"/>
                      <w:lang w:val="en-US" w:eastAsia="zh-CN"/>
                    </w:rPr>
                  </w:pPr>
                </w:p>
              </w:tc>
              <w:tc>
                <w:tcPr>
                  <w:tcW w:w="480" w:type="pct"/>
                  <w:noWrap w:val="0"/>
                  <w:vAlign w:val="center"/>
                </w:tcPr>
                <w:p w14:paraId="7DD79A21">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北：66.7</w:t>
                  </w:r>
                </w:p>
              </w:tc>
              <w:tc>
                <w:tcPr>
                  <w:tcW w:w="465" w:type="pct"/>
                  <w:noWrap w:val="0"/>
                  <w:vAlign w:val="center"/>
                </w:tcPr>
                <w:p w14:paraId="4FC3623B">
                  <w:pPr>
                    <w:widowControl/>
                    <w:jc w:val="center"/>
                    <w:textAlignment w:val="center"/>
                    <w:rPr>
                      <w:rFonts w:hint="default" w:eastAsia="宋体"/>
                      <w:szCs w:val="21"/>
                      <w:lang w:val="en-US" w:eastAsia="zh-CN"/>
                    </w:rPr>
                  </w:pPr>
                  <w:r>
                    <w:rPr>
                      <w:rFonts w:hint="eastAsia"/>
                      <w:szCs w:val="21"/>
                      <w:lang w:val="en-US" w:eastAsia="zh-CN"/>
                    </w:rPr>
                    <w:t>43.5</w:t>
                  </w:r>
                </w:p>
              </w:tc>
              <w:tc>
                <w:tcPr>
                  <w:tcW w:w="391" w:type="pct"/>
                  <w:vMerge w:val="continue"/>
                  <w:noWrap w:val="0"/>
                  <w:vAlign w:val="center"/>
                </w:tcPr>
                <w:p w14:paraId="3F3D12AE">
                  <w:pPr>
                    <w:widowControl/>
                    <w:jc w:val="center"/>
                    <w:textAlignment w:val="center"/>
                    <w:rPr>
                      <w:rFonts w:hint="eastAsia"/>
                      <w:spacing w:val="-20"/>
                      <w:kern w:val="0"/>
                      <w:lang w:bidi="ar"/>
                    </w:rPr>
                  </w:pPr>
                </w:p>
              </w:tc>
              <w:tc>
                <w:tcPr>
                  <w:tcW w:w="403" w:type="pct"/>
                  <w:vMerge w:val="continue"/>
                  <w:noWrap w:val="0"/>
                  <w:vAlign w:val="center"/>
                </w:tcPr>
                <w:p w14:paraId="7F737403">
                  <w:pPr>
                    <w:widowControl/>
                    <w:jc w:val="center"/>
                    <w:textAlignment w:val="center"/>
                    <w:rPr>
                      <w:rFonts w:hint="eastAsia"/>
                      <w:spacing w:val="-20"/>
                      <w:kern w:val="0"/>
                      <w:lang w:bidi="ar"/>
                    </w:rPr>
                  </w:pPr>
                </w:p>
              </w:tc>
              <w:tc>
                <w:tcPr>
                  <w:tcW w:w="431" w:type="pct"/>
                  <w:noWrap w:val="0"/>
                  <w:vAlign w:val="center"/>
                </w:tcPr>
                <w:p w14:paraId="1FD595CE">
                  <w:pPr>
                    <w:widowControl/>
                    <w:jc w:val="center"/>
                    <w:textAlignment w:val="center"/>
                    <w:rPr>
                      <w:rFonts w:hint="default" w:eastAsia="宋体"/>
                      <w:szCs w:val="21"/>
                      <w:lang w:val="en-US" w:eastAsia="zh-CN"/>
                    </w:rPr>
                  </w:pPr>
                  <w:r>
                    <w:rPr>
                      <w:rFonts w:hint="eastAsia" w:eastAsia="宋体"/>
                      <w:szCs w:val="21"/>
                      <w:lang w:val="en-US" w:eastAsia="zh-CN"/>
                    </w:rPr>
                    <w:t>28.5</w:t>
                  </w:r>
                </w:p>
              </w:tc>
              <w:tc>
                <w:tcPr>
                  <w:tcW w:w="364" w:type="pct"/>
                  <w:noWrap w:val="0"/>
                  <w:vAlign w:val="center"/>
                </w:tcPr>
                <w:p w14:paraId="0E1CE90E">
                  <w:pPr>
                    <w:widowControl/>
                    <w:jc w:val="center"/>
                    <w:textAlignment w:val="center"/>
                    <w:rPr>
                      <w:spacing w:val="-20"/>
                      <w:kern w:val="0"/>
                      <w:lang w:bidi="ar"/>
                    </w:rPr>
                  </w:pPr>
                  <w:r>
                    <w:rPr>
                      <w:rFonts w:hint="eastAsia"/>
                      <w:spacing w:val="-20"/>
                      <w:kern w:val="0"/>
                      <w:lang w:bidi="ar"/>
                    </w:rPr>
                    <w:t>1</w:t>
                  </w:r>
                </w:p>
              </w:tc>
            </w:tr>
            <w:tr w14:paraId="039CE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restart"/>
                  <w:noWrap w:val="0"/>
                  <w:vAlign w:val="center"/>
                </w:tcPr>
                <w:p w14:paraId="6D066A32">
                  <w:pPr>
                    <w:snapToGrid w:val="0"/>
                    <w:jc w:val="center"/>
                  </w:pPr>
                  <w:r>
                    <w:t>3</w:t>
                  </w:r>
                </w:p>
              </w:tc>
              <w:tc>
                <w:tcPr>
                  <w:tcW w:w="227" w:type="pct"/>
                  <w:vMerge w:val="continue"/>
                  <w:noWrap w:val="0"/>
                  <w:vAlign w:val="center"/>
                </w:tcPr>
                <w:p w14:paraId="44076B3D">
                  <w:pPr>
                    <w:snapToGrid w:val="0"/>
                    <w:jc w:val="center"/>
                  </w:pPr>
                </w:p>
              </w:tc>
              <w:tc>
                <w:tcPr>
                  <w:tcW w:w="347" w:type="pct"/>
                  <w:vMerge w:val="restart"/>
                  <w:noWrap w:val="0"/>
                  <w:vAlign w:val="center"/>
                </w:tcPr>
                <w:p w14:paraId="1B8B4CA4">
                  <w:pPr>
                    <w:widowControl/>
                    <w:jc w:val="center"/>
                    <w:textAlignment w:val="center"/>
                    <w:rPr>
                      <w:rFonts w:hint="default" w:eastAsia="宋体"/>
                      <w:spacing w:val="-20"/>
                      <w:kern w:val="0"/>
                      <w:lang w:val="en-US" w:eastAsia="zh-CN" w:bidi="ar"/>
                    </w:rPr>
                  </w:pPr>
                  <w:r>
                    <w:rPr>
                      <w:rFonts w:hint="eastAsia" w:eastAsia="宋体"/>
                      <w:spacing w:val="-20"/>
                      <w:kern w:val="0"/>
                      <w:lang w:val="en-US" w:eastAsia="zh-CN" w:bidi="ar"/>
                    </w:rPr>
                    <w:t>定柱式悬臂起重机</w:t>
                  </w:r>
                </w:p>
              </w:tc>
              <w:tc>
                <w:tcPr>
                  <w:tcW w:w="385" w:type="pct"/>
                  <w:vMerge w:val="restart"/>
                  <w:noWrap w:val="0"/>
                  <w:vAlign w:val="center"/>
                </w:tcPr>
                <w:p w14:paraId="3B5354B3">
                  <w:pPr>
                    <w:widowControl/>
                    <w:jc w:val="center"/>
                    <w:textAlignment w:val="center"/>
                  </w:pPr>
                  <w:r>
                    <w:rPr>
                      <w:rFonts w:hint="eastAsia"/>
                    </w:rPr>
                    <w:t>8</w:t>
                  </w:r>
                  <w:r>
                    <w:rPr>
                      <w:rFonts w:hint="eastAsia"/>
                      <w:lang w:val="en-US" w:eastAsia="zh-CN"/>
                    </w:rPr>
                    <w:t>5</w:t>
                  </w:r>
                  <w:r>
                    <w:rPr>
                      <w:rFonts w:hint="eastAsia"/>
                    </w:rPr>
                    <w:t>/1</w:t>
                  </w:r>
                </w:p>
              </w:tc>
              <w:tc>
                <w:tcPr>
                  <w:tcW w:w="512" w:type="pct"/>
                  <w:vMerge w:val="continue"/>
                  <w:noWrap w:val="0"/>
                  <w:vAlign w:val="center"/>
                </w:tcPr>
                <w:p w14:paraId="4C283C07">
                  <w:pPr>
                    <w:snapToGrid w:val="0"/>
                    <w:jc w:val="center"/>
                    <w:rPr>
                      <w:spacing w:val="-20"/>
                      <w:kern w:val="0"/>
                      <w:lang w:bidi="ar"/>
                    </w:rPr>
                  </w:pPr>
                </w:p>
              </w:tc>
              <w:tc>
                <w:tcPr>
                  <w:tcW w:w="291" w:type="pct"/>
                  <w:vMerge w:val="restart"/>
                  <w:noWrap w:val="0"/>
                  <w:vAlign w:val="center"/>
                </w:tcPr>
                <w:p w14:paraId="64BF301E">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22.6</w:t>
                  </w:r>
                </w:p>
              </w:tc>
              <w:tc>
                <w:tcPr>
                  <w:tcW w:w="297" w:type="pct"/>
                  <w:vMerge w:val="restart"/>
                  <w:noWrap w:val="0"/>
                  <w:vAlign w:val="center"/>
                </w:tcPr>
                <w:p w14:paraId="3AB32343">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11.4</w:t>
                  </w:r>
                </w:p>
              </w:tc>
              <w:tc>
                <w:tcPr>
                  <w:tcW w:w="251" w:type="pct"/>
                  <w:vMerge w:val="restart"/>
                  <w:noWrap w:val="0"/>
                  <w:vAlign w:val="center"/>
                </w:tcPr>
                <w:p w14:paraId="38C5FF92">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27.4</w:t>
                  </w:r>
                </w:p>
              </w:tc>
              <w:tc>
                <w:tcPr>
                  <w:tcW w:w="480" w:type="pct"/>
                  <w:noWrap w:val="0"/>
                  <w:vAlign w:val="center"/>
                </w:tcPr>
                <w:p w14:paraId="3C894CAE">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东：46.5</w:t>
                  </w:r>
                </w:p>
              </w:tc>
              <w:tc>
                <w:tcPr>
                  <w:tcW w:w="465" w:type="pct"/>
                  <w:noWrap w:val="0"/>
                  <w:vAlign w:val="center"/>
                </w:tcPr>
                <w:p w14:paraId="0784D6A0">
                  <w:pPr>
                    <w:widowControl/>
                    <w:jc w:val="center"/>
                    <w:textAlignment w:val="center"/>
                    <w:rPr>
                      <w:rFonts w:hint="default" w:eastAsia="宋体"/>
                      <w:szCs w:val="21"/>
                      <w:lang w:val="en-US" w:eastAsia="zh-CN"/>
                    </w:rPr>
                  </w:pPr>
                  <w:r>
                    <w:rPr>
                      <w:rFonts w:hint="eastAsia" w:eastAsia="宋体"/>
                      <w:szCs w:val="21"/>
                      <w:lang w:val="en-US" w:eastAsia="zh-CN"/>
                    </w:rPr>
                    <w:t>51.7</w:t>
                  </w:r>
                </w:p>
              </w:tc>
              <w:tc>
                <w:tcPr>
                  <w:tcW w:w="391" w:type="pct"/>
                  <w:vMerge w:val="continue"/>
                  <w:noWrap w:val="0"/>
                  <w:vAlign w:val="center"/>
                </w:tcPr>
                <w:p w14:paraId="37176767">
                  <w:pPr>
                    <w:snapToGrid w:val="0"/>
                    <w:jc w:val="center"/>
                    <w:rPr>
                      <w:spacing w:val="-20"/>
                      <w:kern w:val="0"/>
                      <w:lang w:bidi="ar"/>
                    </w:rPr>
                  </w:pPr>
                </w:p>
              </w:tc>
              <w:tc>
                <w:tcPr>
                  <w:tcW w:w="403" w:type="pct"/>
                  <w:vMerge w:val="restart"/>
                  <w:noWrap w:val="0"/>
                  <w:vAlign w:val="center"/>
                </w:tcPr>
                <w:p w14:paraId="770D7714">
                  <w:pPr>
                    <w:snapToGrid w:val="0"/>
                    <w:jc w:val="center"/>
                    <w:rPr>
                      <w:spacing w:val="-20"/>
                      <w:kern w:val="0"/>
                      <w:lang w:bidi="ar"/>
                    </w:rPr>
                  </w:pPr>
                  <w:r>
                    <w:rPr>
                      <w:rFonts w:hint="eastAsia"/>
                    </w:rPr>
                    <w:t>15</w:t>
                  </w:r>
                </w:p>
              </w:tc>
              <w:tc>
                <w:tcPr>
                  <w:tcW w:w="431" w:type="pct"/>
                  <w:noWrap w:val="0"/>
                  <w:vAlign w:val="center"/>
                </w:tcPr>
                <w:p w14:paraId="79505A78">
                  <w:pPr>
                    <w:widowControl/>
                    <w:jc w:val="center"/>
                    <w:textAlignment w:val="center"/>
                    <w:rPr>
                      <w:rFonts w:hint="default" w:eastAsia="宋体"/>
                      <w:szCs w:val="21"/>
                      <w:lang w:val="en-US" w:eastAsia="zh-CN"/>
                    </w:rPr>
                  </w:pPr>
                  <w:r>
                    <w:rPr>
                      <w:rFonts w:hint="eastAsia" w:eastAsia="宋体"/>
                      <w:szCs w:val="21"/>
                      <w:lang w:val="en-US" w:eastAsia="zh-CN"/>
                    </w:rPr>
                    <w:t>36.7</w:t>
                  </w:r>
                </w:p>
              </w:tc>
              <w:tc>
                <w:tcPr>
                  <w:tcW w:w="364" w:type="pct"/>
                  <w:noWrap w:val="0"/>
                  <w:vAlign w:val="center"/>
                </w:tcPr>
                <w:p w14:paraId="2B131D29">
                  <w:pPr>
                    <w:snapToGrid w:val="0"/>
                    <w:jc w:val="center"/>
                    <w:rPr>
                      <w:rFonts w:hint="eastAsia"/>
                      <w:spacing w:val="-20"/>
                      <w:kern w:val="0"/>
                      <w:lang w:bidi="ar"/>
                    </w:rPr>
                  </w:pPr>
                  <w:r>
                    <w:rPr>
                      <w:rFonts w:hint="eastAsia"/>
                      <w:spacing w:val="-20"/>
                      <w:kern w:val="0"/>
                      <w:lang w:bidi="ar"/>
                    </w:rPr>
                    <w:t>1</w:t>
                  </w:r>
                </w:p>
              </w:tc>
            </w:tr>
            <w:tr w14:paraId="7ECA1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9" w:type="pct"/>
                  <w:vMerge w:val="continue"/>
                  <w:noWrap w:val="0"/>
                  <w:vAlign w:val="center"/>
                </w:tcPr>
                <w:p w14:paraId="4AE34A8E">
                  <w:pPr>
                    <w:widowControl/>
                    <w:jc w:val="center"/>
                    <w:textAlignment w:val="center"/>
                  </w:pPr>
                </w:p>
              </w:tc>
              <w:tc>
                <w:tcPr>
                  <w:tcW w:w="227" w:type="pct"/>
                  <w:vMerge w:val="continue"/>
                  <w:noWrap w:val="0"/>
                  <w:vAlign w:val="center"/>
                </w:tcPr>
                <w:p w14:paraId="03C4A4D9">
                  <w:pPr>
                    <w:widowControl/>
                    <w:jc w:val="center"/>
                    <w:textAlignment w:val="center"/>
                  </w:pPr>
                </w:p>
              </w:tc>
              <w:tc>
                <w:tcPr>
                  <w:tcW w:w="347" w:type="pct"/>
                  <w:vMerge w:val="continue"/>
                  <w:noWrap w:val="0"/>
                  <w:vAlign w:val="center"/>
                </w:tcPr>
                <w:p w14:paraId="185DDD08">
                  <w:pPr>
                    <w:widowControl/>
                    <w:jc w:val="center"/>
                    <w:textAlignment w:val="center"/>
                    <w:rPr>
                      <w:rFonts w:hint="eastAsia"/>
                      <w:spacing w:val="-20"/>
                      <w:kern w:val="0"/>
                      <w:lang w:bidi="ar"/>
                    </w:rPr>
                  </w:pPr>
                </w:p>
              </w:tc>
              <w:tc>
                <w:tcPr>
                  <w:tcW w:w="385" w:type="pct"/>
                  <w:vMerge w:val="continue"/>
                  <w:noWrap w:val="0"/>
                  <w:vAlign w:val="center"/>
                </w:tcPr>
                <w:p w14:paraId="1207C13B">
                  <w:pPr>
                    <w:widowControl/>
                    <w:jc w:val="center"/>
                    <w:textAlignment w:val="center"/>
                  </w:pPr>
                </w:p>
              </w:tc>
              <w:tc>
                <w:tcPr>
                  <w:tcW w:w="512" w:type="pct"/>
                  <w:vMerge w:val="continue"/>
                  <w:noWrap w:val="0"/>
                  <w:vAlign w:val="center"/>
                </w:tcPr>
                <w:p w14:paraId="7FA2E0F1">
                  <w:pPr>
                    <w:widowControl/>
                    <w:jc w:val="center"/>
                    <w:textAlignment w:val="center"/>
                  </w:pPr>
                </w:p>
              </w:tc>
              <w:tc>
                <w:tcPr>
                  <w:tcW w:w="291" w:type="pct"/>
                  <w:vMerge w:val="continue"/>
                  <w:noWrap w:val="0"/>
                  <w:vAlign w:val="center"/>
                </w:tcPr>
                <w:p w14:paraId="05C3A87F">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7806138E">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347A404C">
                  <w:pPr>
                    <w:jc w:val="center"/>
                    <w:rPr>
                      <w:rFonts w:hint="eastAsia" w:ascii="Times New Roman" w:hAnsi="Times New Roman" w:eastAsia="宋体" w:cs="Times New Roman"/>
                      <w:sz w:val="20"/>
                      <w:lang w:val="en-US" w:eastAsia="zh-CN"/>
                    </w:rPr>
                  </w:pPr>
                </w:p>
              </w:tc>
              <w:tc>
                <w:tcPr>
                  <w:tcW w:w="480" w:type="pct"/>
                  <w:noWrap w:val="0"/>
                  <w:vAlign w:val="center"/>
                </w:tcPr>
                <w:p w14:paraId="5441F12A">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南：93.9</w:t>
                  </w:r>
                </w:p>
              </w:tc>
              <w:tc>
                <w:tcPr>
                  <w:tcW w:w="465" w:type="pct"/>
                  <w:noWrap w:val="0"/>
                  <w:vAlign w:val="center"/>
                </w:tcPr>
                <w:p w14:paraId="219E4400">
                  <w:pPr>
                    <w:widowControl/>
                    <w:jc w:val="center"/>
                    <w:textAlignment w:val="center"/>
                    <w:rPr>
                      <w:rFonts w:hint="default" w:eastAsia="宋体"/>
                      <w:szCs w:val="21"/>
                      <w:lang w:val="en-US" w:eastAsia="zh-CN"/>
                    </w:rPr>
                  </w:pPr>
                  <w:r>
                    <w:rPr>
                      <w:rFonts w:hint="eastAsia" w:eastAsia="宋体"/>
                      <w:szCs w:val="21"/>
                      <w:lang w:val="en-US" w:eastAsia="zh-CN"/>
                    </w:rPr>
                    <w:t>45.5</w:t>
                  </w:r>
                </w:p>
              </w:tc>
              <w:tc>
                <w:tcPr>
                  <w:tcW w:w="391" w:type="pct"/>
                  <w:vMerge w:val="continue"/>
                  <w:noWrap w:val="0"/>
                  <w:vAlign w:val="center"/>
                </w:tcPr>
                <w:p w14:paraId="1BC4A589">
                  <w:pPr>
                    <w:widowControl/>
                    <w:jc w:val="center"/>
                    <w:textAlignment w:val="center"/>
                    <w:rPr>
                      <w:rFonts w:hint="eastAsia"/>
                      <w:spacing w:val="-20"/>
                      <w:kern w:val="0"/>
                      <w:lang w:bidi="ar"/>
                    </w:rPr>
                  </w:pPr>
                </w:p>
              </w:tc>
              <w:tc>
                <w:tcPr>
                  <w:tcW w:w="403" w:type="pct"/>
                  <w:vMerge w:val="continue"/>
                  <w:noWrap w:val="0"/>
                  <w:vAlign w:val="center"/>
                </w:tcPr>
                <w:p w14:paraId="0E19F802">
                  <w:pPr>
                    <w:widowControl/>
                    <w:jc w:val="center"/>
                    <w:textAlignment w:val="center"/>
                    <w:rPr>
                      <w:rFonts w:hint="eastAsia"/>
                      <w:spacing w:val="-20"/>
                      <w:kern w:val="0"/>
                      <w:lang w:bidi="ar"/>
                    </w:rPr>
                  </w:pPr>
                </w:p>
              </w:tc>
              <w:tc>
                <w:tcPr>
                  <w:tcW w:w="431" w:type="pct"/>
                  <w:noWrap w:val="0"/>
                  <w:vAlign w:val="center"/>
                </w:tcPr>
                <w:p w14:paraId="19DE78E3">
                  <w:pPr>
                    <w:widowControl/>
                    <w:jc w:val="center"/>
                    <w:textAlignment w:val="center"/>
                    <w:rPr>
                      <w:rFonts w:hint="default" w:eastAsia="宋体"/>
                      <w:szCs w:val="21"/>
                      <w:lang w:val="en-US" w:eastAsia="zh-CN"/>
                    </w:rPr>
                  </w:pPr>
                  <w:r>
                    <w:rPr>
                      <w:rFonts w:hint="eastAsia" w:eastAsia="宋体"/>
                      <w:szCs w:val="21"/>
                      <w:lang w:val="en-US" w:eastAsia="zh-CN"/>
                    </w:rPr>
                    <w:t>30.5</w:t>
                  </w:r>
                </w:p>
              </w:tc>
              <w:tc>
                <w:tcPr>
                  <w:tcW w:w="364" w:type="pct"/>
                  <w:noWrap w:val="0"/>
                  <w:vAlign w:val="center"/>
                </w:tcPr>
                <w:p w14:paraId="166AE123">
                  <w:pPr>
                    <w:widowControl/>
                    <w:jc w:val="center"/>
                    <w:textAlignment w:val="center"/>
                    <w:rPr>
                      <w:spacing w:val="-20"/>
                      <w:kern w:val="0"/>
                      <w:lang w:bidi="ar"/>
                    </w:rPr>
                  </w:pPr>
                  <w:r>
                    <w:rPr>
                      <w:rFonts w:hint="eastAsia"/>
                      <w:spacing w:val="-20"/>
                      <w:kern w:val="0"/>
                      <w:lang w:bidi="ar"/>
                    </w:rPr>
                    <w:t>1</w:t>
                  </w:r>
                </w:p>
              </w:tc>
            </w:tr>
            <w:tr w14:paraId="304A8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continue"/>
                  <w:noWrap w:val="0"/>
                  <w:vAlign w:val="center"/>
                </w:tcPr>
                <w:p w14:paraId="3460D20E">
                  <w:pPr>
                    <w:widowControl/>
                    <w:jc w:val="center"/>
                    <w:textAlignment w:val="center"/>
                    <w:rPr>
                      <w:rFonts w:hint="eastAsia"/>
                      <w:spacing w:val="-20"/>
                      <w:kern w:val="0"/>
                      <w:lang w:bidi="ar"/>
                    </w:rPr>
                  </w:pPr>
                </w:p>
              </w:tc>
              <w:tc>
                <w:tcPr>
                  <w:tcW w:w="227" w:type="pct"/>
                  <w:vMerge w:val="continue"/>
                  <w:noWrap w:val="0"/>
                  <w:vAlign w:val="center"/>
                </w:tcPr>
                <w:p w14:paraId="6E195BA6">
                  <w:pPr>
                    <w:widowControl/>
                    <w:jc w:val="center"/>
                    <w:textAlignment w:val="center"/>
                    <w:rPr>
                      <w:rFonts w:hint="eastAsia"/>
                      <w:spacing w:val="-20"/>
                      <w:kern w:val="0"/>
                      <w:lang w:bidi="ar"/>
                    </w:rPr>
                  </w:pPr>
                </w:p>
              </w:tc>
              <w:tc>
                <w:tcPr>
                  <w:tcW w:w="347" w:type="pct"/>
                  <w:vMerge w:val="continue"/>
                  <w:noWrap w:val="0"/>
                  <w:vAlign w:val="center"/>
                </w:tcPr>
                <w:p w14:paraId="46160586">
                  <w:pPr>
                    <w:widowControl/>
                    <w:jc w:val="center"/>
                    <w:textAlignment w:val="center"/>
                    <w:rPr>
                      <w:rFonts w:hint="eastAsia"/>
                      <w:spacing w:val="-20"/>
                      <w:kern w:val="0"/>
                      <w:lang w:bidi="ar"/>
                    </w:rPr>
                  </w:pPr>
                </w:p>
              </w:tc>
              <w:tc>
                <w:tcPr>
                  <w:tcW w:w="385" w:type="pct"/>
                  <w:vMerge w:val="continue"/>
                  <w:noWrap w:val="0"/>
                  <w:vAlign w:val="center"/>
                </w:tcPr>
                <w:p w14:paraId="6467A6A2">
                  <w:pPr>
                    <w:widowControl/>
                    <w:jc w:val="center"/>
                    <w:textAlignment w:val="center"/>
                    <w:rPr>
                      <w:rFonts w:hint="eastAsia"/>
                      <w:spacing w:val="-20"/>
                      <w:kern w:val="0"/>
                      <w:lang w:bidi="ar"/>
                    </w:rPr>
                  </w:pPr>
                </w:p>
              </w:tc>
              <w:tc>
                <w:tcPr>
                  <w:tcW w:w="512" w:type="pct"/>
                  <w:vMerge w:val="continue"/>
                  <w:noWrap w:val="0"/>
                  <w:vAlign w:val="center"/>
                </w:tcPr>
                <w:p w14:paraId="2294EEFB">
                  <w:pPr>
                    <w:widowControl/>
                    <w:jc w:val="center"/>
                    <w:textAlignment w:val="center"/>
                    <w:rPr>
                      <w:rFonts w:hint="eastAsia"/>
                      <w:spacing w:val="-20"/>
                      <w:kern w:val="0"/>
                      <w:lang w:bidi="ar"/>
                    </w:rPr>
                  </w:pPr>
                </w:p>
              </w:tc>
              <w:tc>
                <w:tcPr>
                  <w:tcW w:w="291" w:type="pct"/>
                  <w:vMerge w:val="continue"/>
                  <w:noWrap w:val="0"/>
                  <w:vAlign w:val="center"/>
                </w:tcPr>
                <w:p w14:paraId="6ADEFED6">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1ED771DD">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17B5C62F">
                  <w:pPr>
                    <w:jc w:val="center"/>
                    <w:rPr>
                      <w:rFonts w:hint="eastAsia" w:ascii="Times New Roman" w:hAnsi="Times New Roman" w:eastAsia="宋体" w:cs="Times New Roman"/>
                      <w:sz w:val="20"/>
                      <w:lang w:val="en-US" w:eastAsia="zh-CN"/>
                    </w:rPr>
                  </w:pPr>
                </w:p>
              </w:tc>
              <w:tc>
                <w:tcPr>
                  <w:tcW w:w="480" w:type="pct"/>
                  <w:noWrap w:val="0"/>
                  <w:vAlign w:val="center"/>
                </w:tcPr>
                <w:p w14:paraId="74ADA455">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西：44.7</w:t>
                  </w:r>
                </w:p>
              </w:tc>
              <w:tc>
                <w:tcPr>
                  <w:tcW w:w="465" w:type="pct"/>
                  <w:noWrap w:val="0"/>
                  <w:vAlign w:val="center"/>
                </w:tcPr>
                <w:p w14:paraId="1A650D13">
                  <w:pPr>
                    <w:widowControl/>
                    <w:jc w:val="center"/>
                    <w:textAlignment w:val="center"/>
                    <w:rPr>
                      <w:rFonts w:hint="default" w:eastAsia="宋体"/>
                      <w:szCs w:val="21"/>
                      <w:lang w:val="en-US" w:eastAsia="zh-CN"/>
                    </w:rPr>
                  </w:pPr>
                  <w:r>
                    <w:rPr>
                      <w:rFonts w:hint="eastAsia" w:eastAsia="宋体"/>
                      <w:szCs w:val="21"/>
                      <w:lang w:val="en-US" w:eastAsia="zh-CN"/>
                    </w:rPr>
                    <w:t>51.9</w:t>
                  </w:r>
                </w:p>
              </w:tc>
              <w:tc>
                <w:tcPr>
                  <w:tcW w:w="391" w:type="pct"/>
                  <w:vMerge w:val="continue"/>
                  <w:noWrap w:val="0"/>
                  <w:vAlign w:val="center"/>
                </w:tcPr>
                <w:p w14:paraId="5FAB19CB">
                  <w:pPr>
                    <w:widowControl/>
                    <w:jc w:val="center"/>
                    <w:textAlignment w:val="center"/>
                    <w:rPr>
                      <w:rFonts w:hint="eastAsia"/>
                      <w:spacing w:val="-20"/>
                      <w:kern w:val="0"/>
                      <w:lang w:bidi="ar"/>
                    </w:rPr>
                  </w:pPr>
                </w:p>
              </w:tc>
              <w:tc>
                <w:tcPr>
                  <w:tcW w:w="403" w:type="pct"/>
                  <w:vMerge w:val="continue"/>
                  <w:noWrap w:val="0"/>
                  <w:vAlign w:val="center"/>
                </w:tcPr>
                <w:p w14:paraId="11273122">
                  <w:pPr>
                    <w:widowControl/>
                    <w:jc w:val="center"/>
                    <w:textAlignment w:val="center"/>
                    <w:rPr>
                      <w:rFonts w:hint="eastAsia"/>
                      <w:spacing w:val="-20"/>
                      <w:kern w:val="0"/>
                      <w:lang w:bidi="ar"/>
                    </w:rPr>
                  </w:pPr>
                </w:p>
              </w:tc>
              <w:tc>
                <w:tcPr>
                  <w:tcW w:w="431" w:type="pct"/>
                  <w:noWrap w:val="0"/>
                  <w:vAlign w:val="center"/>
                </w:tcPr>
                <w:p w14:paraId="5FCD8F58">
                  <w:pPr>
                    <w:widowControl/>
                    <w:jc w:val="center"/>
                    <w:textAlignment w:val="center"/>
                    <w:rPr>
                      <w:rFonts w:hint="default" w:eastAsia="宋体"/>
                      <w:szCs w:val="21"/>
                      <w:lang w:val="en-US" w:eastAsia="zh-CN"/>
                    </w:rPr>
                  </w:pPr>
                  <w:r>
                    <w:rPr>
                      <w:rFonts w:hint="eastAsia" w:eastAsia="宋体"/>
                      <w:szCs w:val="21"/>
                      <w:lang w:val="en-US" w:eastAsia="zh-CN"/>
                    </w:rPr>
                    <w:t>36.9</w:t>
                  </w:r>
                </w:p>
              </w:tc>
              <w:tc>
                <w:tcPr>
                  <w:tcW w:w="364" w:type="pct"/>
                  <w:noWrap w:val="0"/>
                  <w:vAlign w:val="center"/>
                </w:tcPr>
                <w:p w14:paraId="37C1E690">
                  <w:pPr>
                    <w:widowControl/>
                    <w:jc w:val="center"/>
                    <w:textAlignment w:val="center"/>
                    <w:rPr>
                      <w:spacing w:val="-20"/>
                      <w:kern w:val="0"/>
                      <w:lang w:bidi="ar"/>
                    </w:rPr>
                  </w:pPr>
                  <w:r>
                    <w:rPr>
                      <w:rFonts w:hint="eastAsia"/>
                      <w:spacing w:val="-20"/>
                      <w:kern w:val="0"/>
                      <w:lang w:bidi="ar"/>
                    </w:rPr>
                    <w:t>1</w:t>
                  </w:r>
                </w:p>
              </w:tc>
            </w:tr>
            <w:tr w14:paraId="18D4C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continue"/>
                  <w:noWrap w:val="0"/>
                  <w:vAlign w:val="center"/>
                </w:tcPr>
                <w:p w14:paraId="2747B8A8">
                  <w:pPr>
                    <w:widowControl/>
                    <w:jc w:val="center"/>
                    <w:textAlignment w:val="center"/>
                    <w:rPr>
                      <w:rFonts w:hint="eastAsia"/>
                      <w:spacing w:val="-20"/>
                      <w:kern w:val="0"/>
                      <w:lang w:bidi="ar"/>
                    </w:rPr>
                  </w:pPr>
                </w:p>
              </w:tc>
              <w:tc>
                <w:tcPr>
                  <w:tcW w:w="227" w:type="pct"/>
                  <w:vMerge w:val="continue"/>
                  <w:noWrap w:val="0"/>
                  <w:vAlign w:val="center"/>
                </w:tcPr>
                <w:p w14:paraId="05CF1B5E">
                  <w:pPr>
                    <w:widowControl/>
                    <w:jc w:val="center"/>
                    <w:textAlignment w:val="center"/>
                    <w:rPr>
                      <w:rFonts w:hint="eastAsia"/>
                      <w:spacing w:val="-20"/>
                      <w:kern w:val="0"/>
                      <w:lang w:bidi="ar"/>
                    </w:rPr>
                  </w:pPr>
                </w:p>
              </w:tc>
              <w:tc>
                <w:tcPr>
                  <w:tcW w:w="347" w:type="pct"/>
                  <w:vMerge w:val="continue"/>
                  <w:noWrap w:val="0"/>
                  <w:vAlign w:val="center"/>
                </w:tcPr>
                <w:p w14:paraId="32EEE17F">
                  <w:pPr>
                    <w:widowControl/>
                    <w:jc w:val="center"/>
                    <w:textAlignment w:val="center"/>
                    <w:rPr>
                      <w:rFonts w:hint="eastAsia"/>
                      <w:spacing w:val="-20"/>
                      <w:kern w:val="0"/>
                      <w:lang w:bidi="ar"/>
                    </w:rPr>
                  </w:pPr>
                </w:p>
              </w:tc>
              <w:tc>
                <w:tcPr>
                  <w:tcW w:w="385" w:type="pct"/>
                  <w:vMerge w:val="continue"/>
                  <w:noWrap w:val="0"/>
                  <w:vAlign w:val="center"/>
                </w:tcPr>
                <w:p w14:paraId="2F1F5485">
                  <w:pPr>
                    <w:widowControl/>
                    <w:jc w:val="center"/>
                    <w:textAlignment w:val="center"/>
                    <w:rPr>
                      <w:rFonts w:hint="eastAsia"/>
                      <w:spacing w:val="-20"/>
                      <w:kern w:val="0"/>
                      <w:lang w:bidi="ar"/>
                    </w:rPr>
                  </w:pPr>
                </w:p>
              </w:tc>
              <w:tc>
                <w:tcPr>
                  <w:tcW w:w="512" w:type="pct"/>
                  <w:vMerge w:val="continue"/>
                  <w:noWrap w:val="0"/>
                  <w:vAlign w:val="center"/>
                </w:tcPr>
                <w:p w14:paraId="2C257060">
                  <w:pPr>
                    <w:widowControl/>
                    <w:jc w:val="center"/>
                    <w:textAlignment w:val="center"/>
                    <w:rPr>
                      <w:rFonts w:hint="eastAsia"/>
                      <w:spacing w:val="-20"/>
                      <w:kern w:val="0"/>
                      <w:lang w:bidi="ar"/>
                    </w:rPr>
                  </w:pPr>
                </w:p>
              </w:tc>
              <w:tc>
                <w:tcPr>
                  <w:tcW w:w="291" w:type="pct"/>
                  <w:vMerge w:val="continue"/>
                  <w:noWrap w:val="0"/>
                  <w:vAlign w:val="center"/>
                </w:tcPr>
                <w:p w14:paraId="24B71534">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49DB100B">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2B25F8DC">
                  <w:pPr>
                    <w:jc w:val="center"/>
                    <w:rPr>
                      <w:rFonts w:hint="eastAsia" w:ascii="Times New Roman" w:hAnsi="Times New Roman" w:eastAsia="宋体" w:cs="Times New Roman"/>
                      <w:sz w:val="20"/>
                      <w:lang w:val="en-US" w:eastAsia="zh-CN"/>
                    </w:rPr>
                  </w:pPr>
                </w:p>
              </w:tc>
              <w:tc>
                <w:tcPr>
                  <w:tcW w:w="480" w:type="pct"/>
                  <w:noWrap w:val="0"/>
                  <w:vAlign w:val="center"/>
                </w:tcPr>
                <w:p w14:paraId="6A17C83E">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北：83.4</w:t>
                  </w:r>
                </w:p>
              </w:tc>
              <w:tc>
                <w:tcPr>
                  <w:tcW w:w="465" w:type="pct"/>
                  <w:noWrap w:val="0"/>
                  <w:vAlign w:val="center"/>
                </w:tcPr>
                <w:p w14:paraId="0C713BB8">
                  <w:pPr>
                    <w:widowControl/>
                    <w:jc w:val="center"/>
                    <w:textAlignment w:val="center"/>
                    <w:rPr>
                      <w:rFonts w:hint="default" w:eastAsia="宋体"/>
                      <w:szCs w:val="21"/>
                      <w:lang w:val="en-US" w:eastAsia="zh-CN"/>
                    </w:rPr>
                  </w:pPr>
                  <w:r>
                    <w:rPr>
                      <w:rFonts w:hint="eastAsia" w:eastAsia="宋体"/>
                      <w:szCs w:val="21"/>
                      <w:lang w:val="en-US" w:eastAsia="zh-CN"/>
                    </w:rPr>
                    <w:t>46.6</w:t>
                  </w:r>
                </w:p>
              </w:tc>
              <w:tc>
                <w:tcPr>
                  <w:tcW w:w="391" w:type="pct"/>
                  <w:vMerge w:val="continue"/>
                  <w:noWrap w:val="0"/>
                  <w:vAlign w:val="center"/>
                </w:tcPr>
                <w:p w14:paraId="0CF4A808">
                  <w:pPr>
                    <w:widowControl/>
                    <w:jc w:val="center"/>
                    <w:textAlignment w:val="center"/>
                    <w:rPr>
                      <w:rFonts w:hint="eastAsia"/>
                      <w:spacing w:val="-20"/>
                      <w:kern w:val="0"/>
                      <w:lang w:bidi="ar"/>
                    </w:rPr>
                  </w:pPr>
                </w:p>
              </w:tc>
              <w:tc>
                <w:tcPr>
                  <w:tcW w:w="403" w:type="pct"/>
                  <w:vMerge w:val="continue"/>
                  <w:noWrap w:val="0"/>
                  <w:vAlign w:val="center"/>
                </w:tcPr>
                <w:p w14:paraId="16C13B26">
                  <w:pPr>
                    <w:widowControl/>
                    <w:jc w:val="center"/>
                    <w:textAlignment w:val="center"/>
                    <w:rPr>
                      <w:rFonts w:hint="eastAsia"/>
                      <w:spacing w:val="-20"/>
                      <w:kern w:val="0"/>
                      <w:lang w:bidi="ar"/>
                    </w:rPr>
                  </w:pPr>
                </w:p>
              </w:tc>
              <w:tc>
                <w:tcPr>
                  <w:tcW w:w="431" w:type="pct"/>
                  <w:noWrap w:val="0"/>
                  <w:vAlign w:val="center"/>
                </w:tcPr>
                <w:p w14:paraId="7969FB2C">
                  <w:pPr>
                    <w:widowControl/>
                    <w:jc w:val="center"/>
                    <w:textAlignment w:val="center"/>
                    <w:rPr>
                      <w:rFonts w:hint="default" w:eastAsia="宋体"/>
                      <w:szCs w:val="21"/>
                      <w:lang w:val="en-US" w:eastAsia="zh-CN"/>
                    </w:rPr>
                  </w:pPr>
                  <w:r>
                    <w:rPr>
                      <w:rFonts w:hint="eastAsia" w:eastAsia="宋体"/>
                      <w:szCs w:val="21"/>
                      <w:lang w:val="en-US" w:eastAsia="zh-CN"/>
                    </w:rPr>
                    <w:t>31.6</w:t>
                  </w:r>
                </w:p>
              </w:tc>
              <w:tc>
                <w:tcPr>
                  <w:tcW w:w="364" w:type="pct"/>
                  <w:noWrap w:val="0"/>
                  <w:vAlign w:val="center"/>
                </w:tcPr>
                <w:p w14:paraId="2D7C8A1F">
                  <w:pPr>
                    <w:widowControl/>
                    <w:jc w:val="center"/>
                    <w:textAlignment w:val="center"/>
                    <w:rPr>
                      <w:spacing w:val="-20"/>
                      <w:kern w:val="0"/>
                      <w:lang w:bidi="ar"/>
                    </w:rPr>
                  </w:pPr>
                  <w:r>
                    <w:rPr>
                      <w:rFonts w:hint="eastAsia"/>
                      <w:spacing w:val="-20"/>
                      <w:kern w:val="0"/>
                      <w:lang w:bidi="ar"/>
                    </w:rPr>
                    <w:t>1</w:t>
                  </w:r>
                </w:p>
              </w:tc>
            </w:tr>
            <w:tr w14:paraId="68F55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restart"/>
                  <w:noWrap w:val="0"/>
                  <w:vAlign w:val="center"/>
                </w:tcPr>
                <w:p w14:paraId="234EF0EE">
                  <w:pPr>
                    <w:widowControl/>
                    <w:jc w:val="center"/>
                    <w:textAlignment w:val="center"/>
                    <w:rPr>
                      <w:spacing w:val="-20"/>
                      <w:kern w:val="0"/>
                      <w:lang w:bidi="ar"/>
                    </w:rPr>
                  </w:pPr>
                  <w:r>
                    <w:rPr>
                      <w:rFonts w:hint="eastAsia"/>
                      <w:spacing w:val="-20"/>
                      <w:kern w:val="0"/>
                      <w:lang w:bidi="ar"/>
                    </w:rPr>
                    <w:t>4</w:t>
                  </w:r>
                </w:p>
              </w:tc>
              <w:tc>
                <w:tcPr>
                  <w:tcW w:w="227" w:type="pct"/>
                  <w:vMerge w:val="continue"/>
                  <w:noWrap w:val="0"/>
                  <w:vAlign w:val="center"/>
                </w:tcPr>
                <w:p w14:paraId="0022F6C7">
                  <w:pPr>
                    <w:widowControl/>
                    <w:jc w:val="center"/>
                    <w:textAlignment w:val="center"/>
                    <w:rPr>
                      <w:rFonts w:hint="eastAsia"/>
                      <w:spacing w:val="-20"/>
                      <w:kern w:val="0"/>
                      <w:lang w:bidi="ar"/>
                    </w:rPr>
                  </w:pPr>
                </w:p>
              </w:tc>
              <w:tc>
                <w:tcPr>
                  <w:tcW w:w="347" w:type="pct"/>
                  <w:vMerge w:val="restart"/>
                  <w:noWrap w:val="0"/>
                  <w:vAlign w:val="center"/>
                </w:tcPr>
                <w:p w14:paraId="42E745AB">
                  <w:pPr>
                    <w:widowControl/>
                    <w:jc w:val="center"/>
                    <w:textAlignment w:val="center"/>
                    <w:rPr>
                      <w:rFonts w:hint="default" w:eastAsia="宋体"/>
                      <w:spacing w:val="-20"/>
                      <w:kern w:val="0"/>
                      <w:lang w:val="en-US" w:eastAsia="zh-CN" w:bidi="ar"/>
                    </w:rPr>
                  </w:pPr>
                  <w:r>
                    <w:rPr>
                      <w:rFonts w:hint="eastAsia" w:eastAsia="宋体"/>
                      <w:spacing w:val="-20"/>
                      <w:kern w:val="0"/>
                      <w:lang w:val="en-US" w:eastAsia="zh-CN" w:bidi="ar"/>
                    </w:rPr>
                    <w:t>液压剪</w:t>
                  </w:r>
                </w:p>
              </w:tc>
              <w:tc>
                <w:tcPr>
                  <w:tcW w:w="385" w:type="pct"/>
                  <w:vMerge w:val="restart"/>
                  <w:noWrap w:val="0"/>
                  <w:vAlign w:val="center"/>
                </w:tcPr>
                <w:p w14:paraId="27BF03D5">
                  <w:pPr>
                    <w:widowControl/>
                    <w:jc w:val="center"/>
                    <w:textAlignment w:val="center"/>
                  </w:pPr>
                  <w:r>
                    <w:rPr>
                      <w:rFonts w:hint="eastAsia"/>
                    </w:rPr>
                    <w:t>8</w:t>
                  </w:r>
                  <w:r>
                    <w:rPr>
                      <w:rFonts w:hint="eastAsia"/>
                      <w:lang w:val="en-US" w:eastAsia="zh-CN"/>
                    </w:rPr>
                    <w:t>5</w:t>
                  </w:r>
                  <w:r>
                    <w:rPr>
                      <w:rFonts w:hint="eastAsia"/>
                    </w:rPr>
                    <w:t>/1</w:t>
                  </w:r>
                </w:p>
              </w:tc>
              <w:tc>
                <w:tcPr>
                  <w:tcW w:w="512" w:type="pct"/>
                  <w:vMerge w:val="continue"/>
                  <w:noWrap w:val="0"/>
                  <w:vAlign w:val="center"/>
                </w:tcPr>
                <w:p w14:paraId="4662DB66">
                  <w:pPr>
                    <w:widowControl/>
                    <w:jc w:val="center"/>
                    <w:textAlignment w:val="center"/>
                    <w:rPr>
                      <w:rFonts w:hint="eastAsia"/>
                      <w:spacing w:val="-20"/>
                      <w:kern w:val="0"/>
                      <w:lang w:bidi="ar"/>
                    </w:rPr>
                  </w:pPr>
                </w:p>
              </w:tc>
              <w:tc>
                <w:tcPr>
                  <w:tcW w:w="291" w:type="pct"/>
                  <w:vMerge w:val="restart"/>
                  <w:noWrap w:val="0"/>
                  <w:vAlign w:val="center"/>
                </w:tcPr>
                <w:p w14:paraId="7924416B">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24.1</w:t>
                  </w:r>
                </w:p>
              </w:tc>
              <w:tc>
                <w:tcPr>
                  <w:tcW w:w="297" w:type="pct"/>
                  <w:vMerge w:val="restart"/>
                  <w:noWrap w:val="0"/>
                  <w:vAlign w:val="center"/>
                </w:tcPr>
                <w:p w14:paraId="53A1C5A6">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19.1</w:t>
                  </w:r>
                </w:p>
              </w:tc>
              <w:tc>
                <w:tcPr>
                  <w:tcW w:w="251" w:type="pct"/>
                  <w:vMerge w:val="restart"/>
                  <w:noWrap w:val="0"/>
                  <w:vAlign w:val="center"/>
                </w:tcPr>
                <w:p w14:paraId="027E6323">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27.3</w:t>
                  </w:r>
                </w:p>
              </w:tc>
              <w:tc>
                <w:tcPr>
                  <w:tcW w:w="480" w:type="pct"/>
                  <w:noWrap w:val="0"/>
                  <w:vAlign w:val="center"/>
                </w:tcPr>
                <w:p w14:paraId="204B8D19">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东：27.9</w:t>
                  </w:r>
                </w:p>
              </w:tc>
              <w:tc>
                <w:tcPr>
                  <w:tcW w:w="465" w:type="pct"/>
                  <w:noWrap w:val="0"/>
                  <w:vAlign w:val="center"/>
                </w:tcPr>
                <w:p w14:paraId="0E743F52">
                  <w:pPr>
                    <w:widowControl/>
                    <w:jc w:val="center"/>
                    <w:textAlignment w:val="center"/>
                    <w:rPr>
                      <w:rFonts w:hint="default" w:eastAsia="宋体"/>
                      <w:szCs w:val="21"/>
                      <w:lang w:val="en-US" w:eastAsia="zh-CN"/>
                    </w:rPr>
                  </w:pPr>
                  <w:r>
                    <w:rPr>
                      <w:rFonts w:hint="eastAsia" w:eastAsia="宋体"/>
                      <w:szCs w:val="21"/>
                      <w:lang w:val="en-US" w:eastAsia="zh-CN"/>
                    </w:rPr>
                    <w:t>56.1</w:t>
                  </w:r>
                </w:p>
              </w:tc>
              <w:tc>
                <w:tcPr>
                  <w:tcW w:w="391" w:type="pct"/>
                  <w:vMerge w:val="continue"/>
                  <w:noWrap w:val="0"/>
                  <w:vAlign w:val="center"/>
                </w:tcPr>
                <w:p w14:paraId="28A5B09C">
                  <w:pPr>
                    <w:widowControl/>
                    <w:jc w:val="center"/>
                    <w:textAlignment w:val="center"/>
                    <w:rPr>
                      <w:rFonts w:hint="eastAsia"/>
                      <w:spacing w:val="-20"/>
                      <w:kern w:val="0"/>
                      <w:lang w:bidi="ar"/>
                    </w:rPr>
                  </w:pPr>
                </w:p>
              </w:tc>
              <w:tc>
                <w:tcPr>
                  <w:tcW w:w="403" w:type="pct"/>
                  <w:vMerge w:val="restart"/>
                  <w:noWrap w:val="0"/>
                  <w:vAlign w:val="center"/>
                </w:tcPr>
                <w:p w14:paraId="437EDA8B">
                  <w:pPr>
                    <w:widowControl/>
                    <w:jc w:val="center"/>
                    <w:textAlignment w:val="center"/>
                    <w:rPr>
                      <w:rFonts w:hint="eastAsia"/>
                      <w:spacing w:val="-20"/>
                      <w:kern w:val="0"/>
                      <w:lang w:bidi="ar"/>
                    </w:rPr>
                  </w:pPr>
                  <w:r>
                    <w:rPr>
                      <w:rFonts w:hint="eastAsia"/>
                    </w:rPr>
                    <w:t>15</w:t>
                  </w:r>
                </w:p>
              </w:tc>
              <w:tc>
                <w:tcPr>
                  <w:tcW w:w="431" w:type="pct"/>
                  <w:noWrap w:val="0"/>
                  <w:vAlign w:val="center"/>
                </w:tcPr>
                <w:p w14:paraId="52948D74">
                  <w:pPr>
                    <w:widowControl/>
                    <w:jc w:val="center"/>
                    <w:textAlignment w:val="center"/>
                    <w:rPr>
                      <w:rFonts w:hint="default" w:eastAsia="宋体"/>
                      <w:szCs w:val="21"/>
                      <w:lang w:val="en-US" w:eastAsia="zh-CN"/>
                    </w:rPr>
                  </w:pPr>
                  <w:r>
                    <w:rPr>
                      <w:rFonts w:hint="eastAsia" w:eastAsia="宋体"/>
                      <w:szCs w:val="21"/>
                      <w:lang w:val="en-US" w:eastAsia="zh-CN"/>
                    </w:rPr>
                    <w:t>41.1</w:t>
                  </w:r>
                </w:p>
              </w:tc>
              <w:tc>
                <w:tcPr>
                  <w:tcW w:w="364" w:type="pct"/>
                  <w:noWrap w:val="0"/>
                  <w:vAlign w:val="center"/>
                </w:tcPr>
                <w:p w14:paraId="02F763C9">
                  <w:pPr>
                    <w:widowControl/>
                    <w:jc w:val="center"/>
                    <w:textAlignment w:val="center"/>
                    <w:rPr>
                      <w:rFonts w:hint="eastAsia"/>
                      <w:spacing w:val="-20"/>
                      <w:kern w:val="0"/>
                      <w:lang w:bidi="ar"/>
                    </w:rPr>
                  </w:pPr>
                  <w:r>
                    <w:rPr>
                      <w:rFonts w:hint="eastAsia"/>
                      <w:spacing w:val="-20"/>
                      <w:kern w:val="0"/>
                      <w:lang w:bidi="ar"/>
                    </w:rPr>
                    <w:t>1</w:t>
                  </w:r>
                </w:p>
              </w:tc>
            </w:tr>
            <w:tr w14:paraId="3DAE9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continue"/>
                  <w:noWrap w:val="0"/>
                  <w:vAlign w:val="center"/>
                </w:tcPr>
                <w:p w14:paraId="2E5A7348">
                  <w:pPr>
                    <w:widowControl/>
                    <w:jc w:val="center"/>
                    <w:textAlignment w:val="center"/>
                  </w:pPr>
                </w:p>
              </w:tc>
              <w:tc>
                <w:tcPr>
                  <w:tcW w:w="227" w:type="pct"/>
                  <w:vMerge w:val="continue"/>
                  <w:noWrap w:val="0"/>
                  <w:vAlign w:val="center"/>
                </w:tcPr>
                <w:p w14:paraId="3A97EA66">
                  <w:pPr>
                    <w:widowControl/>
                    <w:jc w:val="center"/>
                    <w:textAlignment w:val="center"/>
                  </w:pPr>
                </w:p>
              </w:tc>
              <w:tc>
                <w:tcPr>
                  <w:tcW w:w="347" w:type="pct"/>
                  <w:vMerge w:val="continue"/>
                  <w:noWrap w:val="0"/>
                  <w:vAlign w:val="center"/>
                </w:tcPr>
                <w:p w14:paraId="0F9B8570">
                  <w:pPr>
                    <w:widowControl/>
                    <w:jc w:val="center"/>
                    <w:textAlignment w:val="center"/>
                  </w:pPr>
                </w:p>
              </w:tc>
              <w:tc>
                <w:tcPr>
                  <w:tcW w:w="385" w:type="pct"/>
                  <w:vMerge w:val="continue"/>
                  <w:noWrap w:val="0"/>
                  <w:vAlign w:val="center"/>
                </w:tcPr>
                <w:p w14:paraId="6D77AE06">
                  <w:pPr>
                    <w:widowControl/>
                    <w:jc w:val="center"/>
                    <w:textAlignment w:val="center"/>
                    <w:rPr>
                      <w:rFonts w:hint="eastAsia"/>
                    </w:rPr>
                  </w:pPr>
                </w:p>
              </w:tc>
              <w:tc>
                <w:tcPr>
                  <w:tcW w:w="512" w:type="pct"/>
                  <w:vMerge w:val="continue"/>
                  <w:noWrap w:val="0"/>
                  <w:vAlign w:val="center"/>
                </w:tcPr>
                <w:p w14:paraId="0634933E">
                  <w:pPr>
                    <w:widowControl/>
                    <w:jc w:val="center"/>
                    <w:textAlignment w:val="center"/>
                  </w:pPr>
                </w:p>
              </w:tc>
              <w:tc>
                <w:tcPr>
                  <w:tcW w:w="291" w:type="pct"/>
                  <w:vMerge w:val="continue"/>
                  <w:noWrap w:val="0"/>
                  <w:vAlign w:val="center"/>
                </w:tcPr>
                <w:p w14:paraId="2391359C">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329C0856">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68DFF47D">
                  <w:pPr>
                    <w:jc w:val="center"/>
                    <w:rPr>
                      <w:rFonts w:hint="eastAsia" w:ascii="Times New Roman" w:hAnsi="Times New Roman" w:eastAsia="宋体" w:cs="Times New Roman"/>
                      <w:sz w:val="20"/>
                      <w:lang w:val="en-US" w:eastAsia="zh-CN"/>
                    </w:rPr>
                  </w:pPr>
                </w:p>
              </w:tc>
              <w:tc>
                <w:tcPr>
                  <w:tcW w:w="480" w:type="pct"/>
                  <w:noWrap w:val="0"/>
                  <w:vAlign w:val="center"/>
                </w:tcPr>
                <w:p w14:paraId="1C10FD07">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南：106.4</w:t>
                  </w:r>
                </w:p>
              </w:tc>
              <w:tc>
                <w:tcPr>
                  <w:tcW w:w="465" w:type="pct"/>
                  <w:noWrap w:val="0"/>
                  <w:vAlign w:val="center"/>
                </w:tcPr>
                <w:p w14:paraId="633D8D53">
                  <w:pPr>
                    <w:widowControl/>
                    <w:jc w:val="center"/>
                    <w:textAlignment w:val="center"/>
                    <w:rPr>
                      <w:rFonts w:hint="default" w:eastAsia="宋体"/>
                      <w:szCs w:val="21"/>
                      <w:lang w:val="en-US" w:eastAsia="zh-CN"/>
                    </w:rPr>
                  </w:pPr>
                  <w:r>
                    <w:rPr>
                      <w:rFonts w:hint="eastAsia" w:eastAsia="宋体"/>
                      <w:szCs w:val="21"/>
                      <w:lang w:val="en-US" w:eastAsia="zh-CN"/>
                    </w:rPr>
                    <w:t>44.5</w:t>
                  </w:r>
                </w:p>
              </w:tc>
              <w:tc>
                <w:tcPr>
                  <w:tcW w:w="391" w:type="pct"/>
                  <w:vMerge w:val="continue"/>
                  <w:noWrap w:val="0"/>
                  <w:vAlign w:val="center"/>
                </w:tcPr>
                <w:p w14:paraId="322BE6D9">
                  <w:pPr>
                    <w:widowControl/>
                    <w:jc w:val="center"/>
                    <w:textAlignment w:val="center"/>
                    <w:rPr>
                      <w:rFonts w:hint="eastAsia"/>
                      <w:spacing w:val="-20"/>
                      <w:kern w:val="0"/>
                      <w:lang w:bidi="ar"/>
                    </w:rPr>
                  </w:pPr>
                </w:p>
              </w:tc>
              <w:tc>
                <w:tcPr>
                  <w:tcW w:w="403" w:type="pct"/>
                  <w:vMerge w:val="continue"/>
                  <w:noWrap w:val="0"/>
                  <w:vAlign w:val="center"/>
                </w:tcPr>
                <w:p w14:paraId="36A3DE3C">
                  <w:pPr>
                    <w:widowControl/>
                    <w:jc w:val="center"/>
                    <w:textAlignment w:val="center"/>
                    <w:rPr>
                      <w:rFonts w:hint="eastAsia"/>
                      <w:spacing w:val="-20"/>
                      <w:kern w:val="0"/>
                      <w:lang w:bidi="ar"/>
                    </w:rPr>
                  </w:pPr>
                </w:p>
              </w:tc>
              <w:tc>
                <w:tcPr>
                  <w:tcW w:w="431" w:type="pct"/>
                  <w:noWrap w:val="0"/>
                  <w:vAlign w:val="center"/>
                </w:tcPr>
                <w:p w14:paraId="057E26E0">
                  <w:pPr>
                    <w:widowControl/>
                    <w:jc w:val="center"/>
                    <w:textAlignment w:val="center"/>
                    <w:rPr>
                      <w:rFonts w:hint="default" w:eastAsia="宋体"/>
                      <w:szCs w:val="21"/>
                      <w:lang w:val="en-US" w:eastAsia="zh-CN"/>
                    </w:rPr>
                  </w:pPr>
                  <w:r>
                    <w:rPr>
                      <w:rFonts w:hint="eastAsia" w:eastAsia="宋体"/>
                      <w:szCs w:val="21"/>
                      <w:lang w:val="en-US" w:eastAsia="zh-CN"/>
                    </w:rPr>
                    <w:t>29.5</w:t>
                  </w:r>
                </w:p>
              </w:tc>
              <w:tc>
                <w:tcPr>
                  <w:tcW w:w="364" w:type="pct"/>
                  <w:noWrap w:val="0"/>
                  <w:vAlign w:val="center"/>
                </w:tcPr>
                <w:p w14:paraId="64B8EC2E">
                  <w:pPr>
                    <w:widowControl/>
                    <w:jc w:val="center"/>
                    <w:textAlignment w:val="center"/>
                    <w:rPr>
                      <w:rFonts w:hint="eastAsia"/>
                      <w:spacing w:val="-20"/>
                      <w:kern w:val="0"/>
                      <w:lang w:bidi="ar"/>
                    </w:rPr>
                  </w:pPr>
                  <w:r>
                    <w:rPr>
                      <w:rFonts w:hint="eastAsia"/>
                      <w:spacing w:val="-20"/>
                      <w:kern w:val="0"/>
                      <w:lang w:bidi="ar"/>
                    </w:rPr>
                    <w:t>1</w:t>
                  </w:r>
                </w:p>
              </w:tc>
            </w:tr>
            <w:tr w14:paraId="4D68D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continue"/>
                  <w:noWrap w:val="0"/>
                  <w:vAlign w:val="center"/>
                </w:tcPr>
                <w:p w14:paraId="53DDA991">
                  <w:pPr>
                    <w:widowControl/>
                    <w:jc w:val="center"/>
                    <w:textAlignment w:val="center"/>
                    <w:rPr>
                      <w:rFonts w:hint="eastAsia"/>
                      <w:spacing w:val="-20"/>
                      <w:kern w:val="0"/>
                      <w:lang w:bidi="ar"/>
                    </w:rPr>
                  </w:pPr>
                </w:p>
              </w:tc>
              <w:tc>
                <w:tcPr>
                  <w:tcW w:w="227" w:type="pct"/>
                  <w:vMerge w:val="continue"/>
                  <w:noWrap w:val="0"/>
                  <w:vAlign w:val="center"/>
                </w:tcPr>
                <w:p w14:paraId="3271064C">
                  <w:pPr>
                    <w:widowControl/>
                    <w:jc w:val="center"/>
                    <w:textAlignment w:val="center"/>
                    <w:rPr>
                      <w:rFonts w:hint="eastAsia"/>
                      <w:spacing w:val="-20"/>
                      <w:kern w:val="0"/>
                      <w:lang w:bidi="ar"/>
                    </w:rPr>
                  </w:pPr>
                </w:p>
              </w:tc>
              <w:tc>
                <w:tcPr>
                  <w:tcW w:w="347" w:type="pct"/>
                  <w:vMerge w:val="continue"/>
                  <w:noWrap w:val="0"/>
                  <w:vAlign w:val="center"/>
                </w:tcPr>
                <w:p w14:paraId="7BC81B4B">
                  <w:pPr>
                    <w:widowControl/>
                    <w:jc w:val="center"/>
                    <w:textAlignment w:val="center"/>
                    <w:rPr>
                      <w:rFonts w:hint="eastAsia"/>
                      <w:spacing w:val="-20"/>
                      <w:kern w:val="0"/>
                      <w:lang w:bidi="ar"/>
                    </w:rPr>
                  </w:pPr>
                </w:p>
              </w:tc>
              <w:tc>
                <w:tcPr>
                  <w:tcW w:w="385" w:type="pct"/>
                  <w:vMerge w:val="continue"/>
                  <w:noWrap w:val="0"/>
                  <w:vAlign w:val="center"/>
                </w:tcPr>
                <w:p w14:paraId="2891A51D">
                  <w:pPr>
                    <w:widowControl/>
                    <w:jc w:val="center"/>
                    <w:textAlignment w:val="center"/>
                    <w:rPr>
                      <w:rFonts w:hint="eastAsia"/>
                    </w:rPr>
                  </w:pPr>
                </w:p>
              </w:tc>
              <w:tc>
                <w:tcPr>
                  <w:tcW w:w="512" w:type="pct"/>
                  <w:vMerge w:val="continue"/>
                  <w:noWrap w:val="0"/>
                  <w:vAlign w:val="center"/>
                </w:tcPr>
                <w:p w14:paraId="24076FF6">
                  <w:pPr>
                    <w:widowControl/>
                    <w:jc w:val="center"/>
                    <w:textAlignment w:val="center"/>
                    <w:rPr>
                      <w:rFonts w:hint="eastAsia"/>
                      <w:spacing w:val="-20"/>
                      <w:kern w:val="0"/>
                      <w:lang w:bidi="ar"/>
                    </w:rPr>
                  </w:pPr>
                </w:p>
              </w:tc>
              <w:tc>
                <w:tcPr>
                  <w:tcW w:w="291" w:type="pct"/>
                  <w:vMerge w:val="continue"/>
                  <w:noWrap w:val="0"/>
                  <w:vAlign w:val="center"/>
                </w:tcPr>
                <w:p w14:paraId="2C7C5C1D">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2728249C">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59B48403">
                  <w:pPr>
                    <w:jc w:val="center"/>
                    <w:rPr>
                      <w:rFonts w:hint="eastAsia" w:ascii="Times New Roman" w:hAnsi="Times New Roman" w:eastAsia="宋体" w:cs="Times New Roman"/>
                      <w:sz w:val="20"/>
                      <w:lang w:val="en-US" w:eastAsia="zh-CN"/>
                    </w:rPr>
                  </w:pPr>
                </w:p>
              </w:tc>
              <w:tc>
                <w:tcPr>
                  <w:tcW w:w="480" w:type="pct"/>
                  <w:noWrap w:val="0"/>
                  <w:vAlign w:val="center"/>
                </w:tcPr>
                <w:p w14:paraId="7363D4A1">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西：63.3</w:t>
                  </w:r>
                </w:p>
              </w:tc>
              <w:tc>
                <w:tcPr>
                  <w:tcW w:w="465" w:type="pct"/>
                  <w:noWrap w:val="0"/>
                  <w:vAlign w:val="center"/>
                </w:tcPr>
                <w:p w14:paraId="2AFEB59D">
                  <w:pPr>
                    <w:widowControl/>
                    <w:jc w:val="center"/>
                    <w:textAlignment w:val="center"/>
                    <w:rPr>
                      <w:rFonts w:hint="default" w:eastAsia="宋体"/>
                      <w:szCs w:val="21"/>
                      <w:lang w:val="en-US" w:eastAsia="zh-CN"/>
                    </w:rPr>
                  </w:pPr>
                  <w:r>
                    <w:rPr>
                      <w:rFonts w:hint="eastAsia"/>
                      <w:szCs w:val="21"/>
                      <w:lang w:val="en-US" w:eastAsia="zh-CN"/>
                    </w:rPr>
                    <w:t>49.0</w:t>
                  </w:r>
                </w:p>
              </w:tc>
              <w:tc>
                <w:tcPr>
                  <w:tcW w:w="391" w:type="pct"/>
                  <w:vMerge w:val="continue"/>
                  <w:noWrap w:val="0"/>
                  <w:vAlign w:val="center"/>
                </w:tcPr>
                <w:p w14:paraId="7D9DBFF8">
                  <w:pPr>
                    <w:widowControl/>
                    <w:jc w:val="center"/>
                    <w:textAlignment w:val="center"/>
                    <w:rPr>
                      <w:rFonts w:hint="eastAsia"/>
                      <w:spacing w:val="-20"/>
                      <w:kern w:val="0"/>
                      <w:lang w:bidi="ar"/>
                    </w:rPr>
                  </w:pPr>
                </w:p>
              </w:tc>
              <w:tc>
                <w:tcPr>
                  <w:tcW w:w="403" w:type="pct"/>
                  <w:vMerge w:val="continue"/>
                  <w:noWrap w:val="0"/>
                  <w:vAlign w:val="center"/>
                </w:tcPr>
                <w:p w14:paraId="10CE52EC">
                  <w:pPr>
                    <w:widowControl/>
                    <w:jc w:val="center"/>
                    <w:textAlignment w:val="center"/>
                    <w:rPr>
                      <w:rFonts w:hint="eastAsia"/>
                      <w:spacing w:val="-20"/>
                      <w:kern w:val="0"/>
                      <w:lang w:bidi="ar"/>
                    </w:rPr>
                  </w:pPr>
                </w:p>
              </w:tc>
              <w:tc>
                <w:tcPr>
                  <w:tcW w:w="431" w:type="pct"/>
                  <w:noWrap w:val="0"/>
                  <w:vAlign w:val="center"/>
                </w:tcPr>
                <w:p w14:paraId="6DF94897">
                  <w:pPr>
                    <w:widowControl/>
                    <w:jc w:val="center"/>
                    <w:textAlignment w:val="center"/>
                    <w:rPr>
                      <w:rFonts w:hint="default" w:eastAsia="宋体"/>
                      <w:szCs w:val="21"/>
                      <w:lang w:val="en-US" w:eastAsia="zh-CN"/>
                    </w:rPr>
                  </w:pPr>
                  <w:r>
                    <w:rPr>
                      <w:rFonts w:hint="eastAsia" w:eastAsia="宋体"/>
                      <w:szCs w:val="21"/>
                      <w:lang w:val="en-US" w:eastAsia="zh-CN"/>
                    </w:rPr>
                    <w:t>34.0</w:t>
                  </w:r>
                </w:p>
              </w:tc>
              <w:tc>
                <w:tcPr>
                  <w:tcW w:w="364" w:type="pct"/>
                  <w:noWrap w:val="0"/>
                  <w:vAlign w:val="center"/>
                </w:tcPr>
                <w:p w14:paraId="6F2BF443">
                  <w:pPr>
                    <w:widowControl/>
                    <w:jc w:val="center"/>
                    <w:textAlignment w:val="center"/>
                    <w:rPr>
                      <w:rFonts w:hint="eastAsia"/>
                      <w:spacing w:val="-20"/>
                      <w:kern w:val="0"/>
                      <w:lang w:bidi="ar"/>
                    </w:rPr>
                  </w:pPr>
                  <w:r>
                    <w:rPr>
                      <w:rFonts w:hint="eastAsia"/>
                      <w:spacing w:val="-20"/>
                      <w:kern w:val="0"/>
                      <w:lang w:bidi="ar"/>
                    </w:rPr>
                    <w:t>1</w:t>
                  </w:r>
                </w:p>
              </w:tc>
            </w:tr>
            <w:tr w14:paraId="4DB64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continue"/>
                  <w:noWrap w:val="0"/>
                  <w:vAlign w:val="center"/>
                </w:tcPr>
                <w:p w14:paraId="468022BB">
                  <w:pPr>
                    <w:widowControl/>
                    <w:jc w:val="center"/>
                    <w:textAlignment w:val="center"/>
                    <w:rPr>
                      <w:rFonts w:hint="eastAsia"/>
                      <w:spacing w:val="-20"/>
                      <w:kern w:val="0"/>
                      <w:lang w:bidi="ar"/>
                    </w:rPr>
                  </w:pPr>
                </w:p>
              </w:tc>
              <w:tc>
                <w:tcPr>
                  <w:tcW w:w="227" w:type="pct"/>
                  <w:vMerge w:val="continue"/>
                  <w:noWrap w:val="0"/>
                  <w:vAlign w:val="center"/>
                </w:tcPr>
                <w:p w14:paraId="28CC65F6">
                  <w:pPr>
                    <w:widowControl/>
                    <w:jc w:val="center"/>
                    <w:textAlignment w:val="center"/>
                    <w:rPr>
                      <w:rFonts w:hint="eastAsia"/>
                      <w:spacing w:val="-20"/>
                      <w:kern w:val="0"/>
                      <w:lang w:bidi="ar"/>
                    </w:rPr>
                  </w:pPr>
                </w:p>
              </w:tc>
              <w:tc>
                <w:tcPr>
                  <w:tcW w:w="347" w:type="pct"/>
                  <w:vMerge w:val="continue"/>
                  <w:noWrap w:val="0"/>
                  <w:vAlign w:val="center"/>
                </w:tcPr>
                <w:p w14:paraId="4BC798B1">
                  <w:pPr>
                    <w:widowControl/>
                    <w:jc w:val="center"/>
                    <w:textAlignment w:val="center"/>
                    <w:rPr>
                      <w:rFonts w:hint="eastAsia"/>
                      <w:spacing w:val="-20"/>
                      <w:kern w:val="0"/>
                      <w:lang w:bidi="ar"/>
                    </w:rPr>
                  </w:pPr>
                </w:p>
              </w:tc>
              <w:tc>
                <w:tcPr>
                  <w:tcW w:w="385" w:type="pct"/>
                  <w:vMerge w:val="continue"/>
                  <w:noWrap w:val="0"/>
                  <w:vAlign w:val="center"/>
                </w:tcPr>
                <w:p w14:paraId="06082542">
                  <w:pPr>
                    <w:widowControl/>
                    <w:jc w:val="center"/>
                    <w:textAlignment w:val="center"/>
                    <w:rPr>
                      <w:rFonts w:hint="eastAsia"/>
                    </w:rPr>
                  </w:pPr>
                </w:p>
              </w:tc>
              <w:tc>
                <w:tcPr>
                  <w:tcW w:w="512" w:type="pct"/>
                  <w:vMerge w:val="continue"/>
                  <w:noWrap w:val="0"/>
                  <w:vAlign w:val="center"/>
                </w:tcPr>
                <w:p w14:paraId="2714F079">
                  <w:pPr>
                    <w:widowControl/>
                    <w:jc w:val="center"/>
                    <w:textAlignment w:val="center"/>
                    <w:rPr>
                      <w:rFonts w:hint="eastAsia"/>
                      <w:spacing w:val="-20"/>
                      <w:kern w:val="0"/>
                      <w:lang w:bidi="ar"/>
                    </w:rPr>
                  </w:pPr>
                </w:p>
              </w:tc>
              <w:tc>
                <w:tcPr>
                  <w:tcW w:w="291" w:type="pct"/>
                  <w:vMerge w:val="continue"/>
                  <w:noWrap w:val="0"/>
                  <w:vAlign w:val="center"/>
                </w:tcPr>
                <w:p w14:paraId="7220EF37">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03504D0F">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36A78B62">
                  <w:pPr>
                    <w:jc w:val="center"/>
                    <w:rPr>
                      <w:rFonts w:hint="eastAsia" w:ascii="Times New Roman" w:hAnsi="Times New Roman" w:eastAsia="宋体" w:cs="Times New Roman"/>
                      <w:sz w:val="20"/>
                      <w:lang w:val="en-US" w:eastAsia="zh-CN"/>
                    </w:rPr>
                  </w:pPr>
                </w:p>
              </w:tc>
              <w:tc>
                <w:tcPr>
                  <w:tcW w:w="480" w:type="pct"/>
                  <w:noWrap w:val="0"/>
                  <w:vAlign w:val="center"/>
                </w:tcPr>
                <w:p w14:paraId="01C3C42F">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北：70.9</w:t>
                  </w:r>
                </w:p>
              </w:tc>
              <w:tc>
                <w:tcPr>
                  <w:tcW w:w="465" w:type="pct"/>
                  <w:noWrap w:val="0"/>
                  <w:vAlign w:val="center"/>
                </w:tcPr>
                <w:p w14:paraId="07221CB0">
                  <w:pPr>
                    <w:widowControl/>
                    <w:jc w:val="center"/>
                    <w:textAlignment w:val="center"/>
                    <w:rPr>
                      <w:rFonts w:hint="default" w:eastAsia="宋体"/>
                      <w:szCs w:val="21"/>
                      <w:lang w:val="en-US" w:eastAsia="zh-CN"/>
                    </w:rPr>
                  </w:pPr>
                  <w:r>
                    <w:rPr>
                      <w:rFonts w:hint="eastAsia" w:eastAsia="宋体"/>
                      <w:szCs w:val="21"/>
                      <w:lang w:val="en-US" w:eastAsia="zh-CN"/>
                    </w:rPr>
                    <w:t>48.0</w:t>
                  </w:r>
                </w:p>
              </w:tc>
              <w:tc>
                <w:tcPr>
                  <w:tcW w:w="391" w:type="pct"/>
                  <w:vMerge w:val="continue"/>
                  <w:noWrap w:val="0"/>
                  <w:vAlign w:val="center"/>
                </w:tcPr>
                <w:p w14:paraId="4F2D3FFD">
                  <w:pPr>
                    <w:widowControl/>
                    <w:jc w:val="center"/>
                    <w:textAlignment w:val="center"/>
                    <w:rPr>
                      <w:rFonts w:hint="eastAsia"/>
                      <w:spacing w:val="-20"/>
                      <w:kern w:val="0"/>
                      <w:lang w:bidi="ar"/>
                    </w:rPr>
                  </w:pPr>
                </w:p>
              </w:tc>
              <w:tc>
                <w:tcPr>
                  <w:tcW w:w="403" w:type="pct"/>
                  <w:vMerge w:val="continue"/>
                  <w:noWrap w:val="0"/>
                  <w:vAlign w:val="center"/>
                </w:tcPr>
                <w:p w14:paraId="6A797A97">
                  <w:pPr>
                    <w:widowControl/>
                    <w:jc w:val="center"/>
                    <w:textAlignment w:val="center"/>
                    <w:rPr>
                      <w:rFonts w:hint="eastAsia"/>
                      <w:spacing w:val="-20"/>
                      <w:kern w:val="0"/>
                      <w:lang w:bidi="ar"/>
                    </w:rPr>
                  </w:pPr>
                </w:p>
              </w:tc>
              <w:tc>
                <w:tcPr>
                  <w:tcW w:w="431" w:type="pct"/>
                  <w:noWrap w:val="0"/>
                  <w:vAlign w:val="center"/>
                </w:tcPr>
                <w:p w14:paraId="1953DC61">
                  <w:pPr>
                    <w:widowControl/>
                    <w:jc w:val="center"/>
                    <w:textAlignment w:val="center"/>
                    <w:rPr>
                      <w:rFonts w:hint="default" w:eastAsia="宋体"/>
                      <w:szCs w:val="21"/>
                      <w:lang w:val="en-US" w:eastAsia="zh-CN"/>
                    </w:rPr>
                  </w:pPr>
                  <w:r>
                    <w:rPr>
                      <w:rFonts w:hint="eastAsia" w:eastAsia="宋体"/>
                      <w:szCs w:val="21"/>
                      <w:lang w:val="en-US" w:eastAsia="zh-CN"/>
                    </w:rPr>
                    <w:t>33.0</w:t>
                  </w:r>
                </w:p>
              </w:tc>
              <w:tc>
                <w:tcPr>
                  <w:tcW w:w="364" w:type="pct"/>
                  <w:noWrap w:val="0"/>
                  <w:vAlign w:val="center"/>
                </w:tcPr>
                <w:p w14:paraId="178082C1">
                  <w:pPr>
                    <w:widowControl/>
                    <w:jc w:val="center"/>
                    <w:textAlignment w:val="center"/>
                    <w:rPr>
                      <w:rFonts w:hint="eastAsia"/>
                      <w:spacing w:val="-20"/>
                      <w:kern w:val="0"/>
                      <w:lang w:bidi="ar"/>
                    </w:rPr>
                  </w:pPr>
                  <w:r>
                    <w:rPr>
                      <w:rFonts w:hint="eastAsia"/>
                      <w:spacing w:val="-20"/>
                      <w:kern w:val="0"/>
                      <w:lang w:bidi="ar"/>
                    </w:rPr>
                    <w:t>1</w:t>
                  </w:r>
                </w:p>
              </w:tc>
            </w:tr>
            <w:tr w14:paraId="02E12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 w:hRule="atLeast"/>
                <w:jc w:val="center"/>
              </w:trPr>
              <w:tc>
                <w:tcPr>
                  <w:tcW w:w="149" w:type="pct"/>
                  <w:vMerge w:val="restart"/>
                  <w:noWrap w:val="0"/>
                  <w:vAlign w:val="center"/>
                </w:tcPr>
                <w:p w14:paraId="377E1890">
                  <w:pPr>
                    <w:widowControl/>
                    <w:jc w:val="center"/>
                    <w:textAlignment w:val="center"/>
                    <w:rPr>
                      <w:spacing w:val="-20"/>
                      <w:kern w:val="0"/>
                      <w:lang w:bidi="ar"/>
                    </w:rPr>
                  </w:pPr>
                  <w:r>
                    <w:rPr>
                      <w:rFonts w:hint="eastAsia"/>
                      <w:spacing w:val="-20"/>
                      <w:kern w:val="0"/>
                      <w:lang w:bidi="ar"/>
                    </w:rPr>
                    <w:t>5</w:t>
                  </w:r>
                </w:p>
              </w:tc>
              <w:tc>
                <w:tcPr>
                  <w:tcW w:w="227" w:type="pct"/>
                  <w:vMerge w:val="continue"/>
                  <w:noWrap w:val="0"/>
                  <w:vAlign w:val="center"/>
                </w:tcPr>
                <w:p w14:paraId="2491BEED">
                  <w:pPr>
                    <w:widowControl/>
                    <w:jc w:val="center"/>
                    <w:textAlignment w:val="center"/>
                    <w:rPr>
                      <w:rFonts w:hint="eastAsia"/>
                      <w:spacing w:val="-20"/>
                      <w:kern w:val="0"/>
                      <w:lang w:bidi="ar"/>
                    </w:rPr>
                  </w:pPr>
                </w:p>
              </w:tc>
              <w:tc>
                <w:tcPr>
                  <w:tcW w:w="347" w:type="pct"/>
                  <w:vMerge w:val="restart"/>
                  <w:noWrap w:val="0"/>
                  <w:vAlign w:val="center"/>
                </w:tcPr>
                <w:p w14:paraId="72AF9081">
                  <w:pPr>
                    <w:widowControl/>
                    <w:jc w:val="center"/>
                    <w:textAlignment w:val="center"/>
                    <w:rPr>
                      <w:rFonts w:hint="default" w:eastAsia="宋体"/>
                      <w:spacing w:val="-20"/>
                      <w:kern w:val="0"/>
                      <w:lang w:val="en-US" w:eastAsia="zh-CN" w:bidi="ar"/>
                    </w:rPr>
                  </w:pPr>
                  <w:r>
                    <w:rPr>
                      <w:rFonts w:hint="eastAsia" w:eastAsia="宋体"/>
                      <w:spacing w:val="-20"/>
                      <w:kern w:val="0"/>
                      <w:lang w:val="en-US" w:eastAsia="zh-CN" w:bidi="ar"/>
                    </w:rPr>
                    <w:t>等离子切割机</w:t>
                  </w:r>
                </w:p>
              </w:tc>
              <w:tc>
                <w:tcPr>
                  <w:tcW w:w="385" w:type="pct"/>
                  <w:vMerge w:val="restart"/>
                  <w:noWrap w:val="0"/>
                  <w:vAlign w:val="center"/>
                </w:tcPr>
                <w:p w14:paraId="26B13956">
                  <w:pPr>
                    <w:widowControl/>
                    <w:jc w:val="center"/>
                    <w:textAlignment w:val="center"/>
                  </w:pPr>
                  <w:r>
                    <w:rPr>
                      <w:rFonts w:hint="eastAsia"/>
                      <w:lang w:val="en-US" w:eastAsia="zh-CN"/>
                    </w:rPr>
                    <w:t>75</w:t>
                  </w:r>
                  <w:r>
                    <w:rPr>
                      <w:rFonts w:hint="eastAsia"/>
                    </w:rPr>
                    <w:t>/1</w:t>
                  </w:r>
                </w:p>
              </w:tc>
              <w:tc>
                <w:tcPr>
                  <w:tcW w:w="512" w:type="pct"/>
                  <w:vMerge w:val="continue"/>
                  <w:noWrap w:val="0"/>
                  <w:vAlign w:val="center"/>
                </w:tcPr>
                <w:p w14:paraId="3BC7FB47">
                  <w:pPr>
                    <w:widowControl/>
                    <w:jc w:val="center"/>
                    <w:textAlignment w:val="center"/>
                    <w:rPr>
                      <w:rFonts w:hint="eastAsia"/>
                      <w:spacing w:val="-20"/>
                      <w:kern w:val="0"/>
                      <w:lang w:bidi="ar"/>
                    </w:rPr>
                  </w:pPr>
                </w:p>
              </w:tc>
              <w:tc>
                <w:tcPr>
                  <w:tcW w:w="291" w:type="pct"/>
                  <w:vMerge w:val="restart"/>
                  <w:noWrap w:val="0"/>
                  <w:vAlign w:val="center"/>
                </w:tcPr>
                <w:p w14:paraId="0B8745AD">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20.4</w:t>
                  </w:r>
                </w:p>
              </w:tc>
              <w:tc>
                <w:tcPr>
                  <w:tcW w:w="297" w:type="pct"/>
                  <w:vMerge w:val="restart"/>
                  <w:noWrap w:val="0"/>
                  <w:vAlign w:val="center"/>
                </w:tcPr>
                <w:p w14:paraId="117E9332">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0.7</w:t>
                  </w:r>
                </w:p>
              </w:tc>
              <w:tc>
                <w:tcPr>
                  <w:tcW w:w="251" w:type="pct"/>
                  <w:vMerge w:val="restart"/>
                  <w:noWrap w:val="0"/>
                  <w:vAlign w:val="center"/>
                </w:tcPr>
                <w:p w14:paraId="77EF5840">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27.5</w:t>
                  </w:r>
                </w:p>
              </w:tc>
              <w:tc>
                <w:tcPr>
                  <w:tcW w:w="480" w:type="pct"/>
                  <w:noWrap w:val="0"/>
                  <w:vAlign w:val="center"/>
                </w:tcPr>
                <w:p w14:paraId="777279B1">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东：27.9</w:t>
                  </w:r>
                </w:p>
              </w:tc>
              <w:tc>
                <w:tcPr>
                  <w:tcW w:w="465" w:type="pct"/>
                  <w:noWrap w:val="0"/>
                  <w:vAlign w:val="center"/>
                </w:tcPr>
                <w:p w14:paraId="44F660BB">
                  <w:pPr>
                    <w:widowControl/>
                    <w:jc w:val="center"/>
                    <w:textAlignment w:val="center"/>
                    <w:rPr>
                      <w:rFonts w:hint="default" w:eastAsia="宋体"/>
                      <w:szCs w:val="21"/>
                      <w:lang w:val="en-US" w:eastAsia="zh-CN"/>
                    </w:rPr>
                  </w:pPr>
                  <w:r>
                    <w:rPr>
                      <w:rFonts w:hint="eastAsia" w:eastAsia="宋体"/>
                      <w:szCs w:val="21"/>
                      <w:lang w:val="en-US" w:eastAsia="zh-CN"/>
                    </w:rPr>
                    <w:t>46.1</w:t>
                  </w:r>
                </w:p>
              </w:tc>
              <w:tc>
                <w:tcPr>
                  <w:tcW w:w="391" w:type="pct"/>
                  <w:vMerge w:val="continue"/>
                  <w:noWrap w:val="0"/>
                  <w:vAlign w:val="center"/>
                </w:tcPr>
                <w:p w14:paraId="3ACDF59B">
                  <w:pPr>
                    <w:widowControl/>
                    <w:jc w:val="center"/>
                    <w:textAlignment w:val="center"/>
                    <w:rPr>
                      <w:rFonts w:hint="eastAsia"/>
                      <w:spacing w:val="-20"/>
                      <w:kern w:val="0"/>
                      <w:lang w:bidi="ar"/>
                    </w:rPr>
                  </w:pPr>
                </w:p>
              </w:tc>
              <w:tc>
                <w:tcPr>
                  <w:tcW w:w="403" w:type="pct"/>
                  <w:vMerge w:val="restart"/>
                  <w:noWrap w:val="0"/>
                  <w:vAlign w:val="center"/>
                </w:tcPr>
                <w:p w14:paraId="40C2A756">
                  <w:pPr>
                    <w:widowControl/>
                    <w:jc w:val="center"/>
                    <w:textAlignment w:val="center"/>
                    <w:rPr>
                      <w:spacing w:val="-20"/>
                      <w:kern w:val="0"/>
                      <w:lang w:bidi="ar"/>
                    </w:rPr>
                  </w:pPr>
                  <w:r>
                    <w:rPr>
                      <w:rFonts w:hint="eastAsia"/>
                      <w:spacing w:val="-20"/>
                      <w:kern w:val="0"/>
                      <w:lang w:bidi="ar"/>
                    </w:rPr>
                    <w:t>15</w:t>
                  </w:r>
                </w:p>
              </w:tc>
              <w:tc>
                <w:tcPr>
                  <w:tcW w:w="431" w:type="pct"/>
                  <w:noWrap w:val="0"/>
                  <w:vAlign w:val="center"/>
                </w:tcPr>
                <w:p w14:paraId="20B1EF63">
                  <w:pPr>
                    <w:widowControl/>
                    <w:jc w:val="center"/>
                    <w:textAlignment w:val="center"/>
                    <w:rPr>
                      <w:rFonts w:hint="default" w:eastAsia="宋体"/>
                      <w:szCs w:val="21"/>
                      <w:lang w:val="en-US" w:eastAsia="zh-CN"/>
                    </w:rPr>
                  </w:pPr>
                  <w:r>
                    <w:rPr>
                      <w:rFonts w:hint="eastAsia" w:eastAsia="宋体"/>
                      <w:szCs w:val="21"/>
                      <w:lang w:val="en-US" w:eastAsia="zh-CN"/>
                    </w:rPr>
                    <w:t>31.1</w:t>
                  </w:r>
                </w:p>
              </w:tc>
              <w:tc>
                <w:tcPr>
                  <w:tcW w:w="364" w:type="pct"/>
                  <w:noWrap w:val="0"/>
                  <w:vAlign w:val="center"/>
                </w:tcPr>
                <w:p w14:paraId="0C9EA994">
                  <w:pPr>
                    <w:widowControl/>
                    <w:jc w:val="center"/>
                    <w:textAlignment w:val="center"/>
                    <w:rPr>
                      <w:spacing w:val="-20"/>
                      <w:kern w:val="0"/>
                      <w:lang w:bidi="ar"/>
                    </w:rPr>
                  </w:pPr>
                  <w:r>
                    <w:rPr>
                      <w:rFonts w:hint="eastAsia"/>
                      <w:spacing w:val="-20"/>
                      <w:kern w:val="0"/>
                      <w:lang w:bidi="ar"/>
                    </w:rPr>
                    <w:t>1</w:t>
                  </w:r>
                </w:p>
              </w:tc>
            </w:tr>
            <w:tr w14:paraId="12346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continue"/>
                  <w:noWrap w:val="0"/>
                  <w:vAlign w:val="center"/>
                </w:tcPr>
                <w:p w14:paraId="0E1CC631">
                  <w:pPr>
                    <w:widowControl/>
                    <w:jc w:val="center"/>
                    <w:textAlignment w:val="center"/>
                    <w:rPr>
                      <w:rFonts w:hint="eastAsia"/>
                      <w:spacing w:val="-20"/>
                      <w:kern w:val="0"/>
                      <w:lang w:bidi="ar"/>
                    </w:rPr>
                  </w:pPr>
                </w:p>
              </w:tc>
              <w:tc>
                <w:tcPr>
                  <w:tcW w:w="227" w:type="pct"/>
                  <w:vMerge w:val="continue"/>
                  <w:noWrap w:val="0"/>
                  <w:vAlign w:val="center"/>
                </w:tcPr>
                <w:p w14:paraId="2377779F">
                  <w:pPr>
                    <w:widowControl/>
                    <w:jc w:val="center"/>
                    <w:textAlignment w:val="center"/>
                    <w:rPr>
                      <w:rFonts w:hint="eastAsia"/>
                      <w:spacing w:val="-20"/>
                      <w:kern w:val="0"/>
                      <w:lang w:bidi="ar"/>
                    </w:rPr>
                  </w:pPr>
                </w:p>
              </w:tc>
              <w:tc>
                <w:tcPr>
                  <w:tcW w:w="347" w:type="pct"/>
                  <w:vMerge w:val="continue"/>
                  <w:noWrap w:val="0"/>
                  <w:vAlign w:val="center"/>
                </w:tcPr>
                <w:p w14:paraId="0D8DC122">
                  <w:pPr>
                    <w:widowControl/>
                    <w:jc w:val="center"/>
                    <w:textAlignment w:val="center"/>
                    <w:rPr>
                      <w:rFonts w:hint="eastAsia"/>
                      <w:spacing w:val="-20"/>
                      <w:kern w:val="0"/>
                      <w:lang w:bidi="ar"/>
                    </w:rPr>
                  </w:pPr>
                </w:p>
              </w:tc>
              <w:tc>
                <w:tcPr>
                  <w:tcW w:w="385" w:type="pct"/>
                  <w:vMerge w:val="continue"/>
                  <w:noWrap w:val="0"/>
                  <w:vAlign w:val="center"/>
                </w:tcPr>
                <w:p w14:paraId="24E9479C">
                  <w:pPr>
                    <w:widowControl/>
                    <w:jc w:val="center"/>
                    <w:textAlignment w:val="center"/>
                    <w:rPr>
                      <w:rFonts w:hint="eastAsia"/>
                    </w:rPr>
                  </w:pPr>
                </w:p>
              </w:tc>
              <w:tc>
                <w:tcPr>
                  <w:tcW w:w="512" w:type="pct"/>
                  <w:vMerge w:val="continue"/>
                  <w:noWrap w:val="0"/>
                  <w:vAlign w:val="center"/>
                </w:tcPr>
                <w:p w14:paraId="0EDB5C1E">
                  <w:pPr>
                    <w:widowControl/>
                    <w:jc w:val="center"/>
                    <w:textAlignment w:val="center"/>
                    <w:rPr>
                      <w:rFonts w:hint="eastAsia"/>
                      <w:spacing w:val="-20"/>
                      <w:kern w:val="0"/>
                      <w:lang w:bidi="ar"/>
                    </w:rPr>
                  </w:pPr>
                </w:p>
              </w:tc>
              <w:tc>
                <w:tcPr>
                  <w:tcW w:w="291" w:type="pct"/>
                  <w:vMerge w:val="continue"/>
                  <w:noWrap w:val="0"/>
                  <w:vAlign w:val="center"/>
                </w:tcPr>
                <w:p w14:paraId="39EE4819">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0A2BB904">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46A2EA94">
                  <w:pPr>
                    <w:jc w:val="center"/>
                    <w:rPr>
                      <w:rFonts w:hint="eastAsia" w:ascii="Times New Roman" w:hAnsi="Times New Roman" w:eastAsia="宋体" w:cs="Times New Roman"/>
                      <w:sz w:val="20"/>
                      <w:lang w:val="en-US" w:eastAsia="zh-CN"/>
                    </w:rPr>
                  </w:pPr>
                </w:p>
              </w:tc>
              <w:tc>
                <w:tcPr>
                  <w:tcW w:w="480" w:type="pct"/>
                  <w:noWrap w:val="0"/>
                  <w:vAlign w:val="center"/>
                </w:tcPr>
                <w:p w14:paraId="4B6EAF1F">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南：114.2</w:t>
                  </w:r>
                </w:p>
              </w:tc>
              <w:tc>
                <w:tcPr>
                  <w:tcW w:w="465" w:type="pct"/>
                  <w:noWrap w:val="0"/>
                  <w:vAlign w:val="center"/>
                </w:tcPr>
                <w:p w14:paraId="14F5528D">
                  <w:pPr>
                    <w:widowControl/>
                    <w:jc w:val="center"/>
                    <w:textAlignment w:val="center"/>
                    <w:rPr>
                      <w:rFonts w:hint="default" w:eastAsia="宋体"/>
                      <w:szCs w:val="21"/>
                      <w:lang w:val="en-US" w:eastAsia="zh-CN"/>
                    </w:rPr>
                  </w:pPr>
                  <w:r>
                    <w:rPr>
                      <w:rFonts w:hint="eastAsia" w:eastAsia="宋体"/>
                      <w:szCs w:val="21"/>
                      <w:lang w:val="en-US" w:eastAsia="zh-CN"/>
                    </w:rPr>
                    <w:t>33.8</w:t>
                  </w:r>
                </w:p>
              </w:tc>
              <w:tc>
                <w:tcPr>
                  <w:tcW w:w="391" w:type="pct"/>
                  <w:vMerge w:val="continue"/>
                  <w:noWrap w:val="0"/>
                  <w:vAlign w:val="center"/>
                </w:tcPr>
                <w:p w14:paraId="39C6D906">
                  <w:pPr>
                    <w:widowControl/>
                    <w:jc w:val="center"/>
                    <w:textAlignment w:val="center"/>
                    <w:rPr>
                      <w:rFonts w:hint="eastAsia"/>
                      <w:spacing w:val="-20"/>
                      <w:kern w:val="0"/>
                      <w:lang w:bidi="ar"/>
                    </w:rPr>
                  </w:pPr>
                </w:p>
              </w:tc>
              <w:tc>
                <w:tcPr>
                  <w:tcW w:w="403" w:type="pct"/>
                  <w:vMerge w:val="continue"/>
                  <w:noWrap w:val="0"/>
                  <w:vAlign w:val="center"/>
                </w:tcPr>
                <w:p w14:paraId="42EB3A68">
                  <w:pPr>
                    <w:widowControl/>
                    <w:jc w:val="center"/>
                    <w:textAlignment w:val="center"/>
                    <w:rPr>
                      <w:rFonts w:hint="eastAsia"/>
                      <w:spacing w:val="-20"/>
                      <w:kern w:val="0"/>
                      <w:lang w:bidi="ar"/>
                    </w:rPr>
                  </w:pPr>
                </w:p>
              </w:tc>
              <w:tc>
                <w:tcPr>
                  <w:tcW w:w="431" w:type="pct"/>
                  <w:noWrap w:val="0"/>
                  <w:vAlign w:val="center"/>
                </w:tcPr>
                <w:p w14:paraId="2E5030A6">
                  <w:pPr>
                    <w:widowControl/>
                    <w:jc w:val="center"/>
                    <w:textAlignment w:val="center"/>
                    <w:rPr>
                      <w:rFonts w:hint="default" w:eastAsia="宋体"/>
                      <w:szCs w:val="21"/>
                      <w:lang w:val="en-US" w:eastAsia="zh-CN"/>
                    </w:rPr>
                  </w:pPr>
                  <w:r>
                    <w:rPr>
                      <w:rFonts w:hint="eastAsia" w:eastAsia="宋体"/>
                      <w:szCs w:val="21"/>
                      <w:lang w:val="en-US" w:eastAsia="zh-CN"/>
                    </w:rPr>
                    <w:t>18.8</w:t>
                  </w:r>
                </w:p>
              </w:tc>
              <w:tc>
                <w:tcPr>
                  <w:tcW w:w="364" w:type="pct"/>
                  <w:noWrap w:val="0"/>
                  <w:vAlign w:val="center"/>
                </w:tcPr>
                <w:p w14:paraId="67D906E7">
                  <w:pPr>
                    <w:widowControl/>
                    <w:jc w:val="center"/>
                    <w:textAlignment w:val="center"/>
                    <w:rPr>
                      <w:spacing w:val="-20"/>
                      <w:kern w:val="0"/>
                      <w:lang w:bidi="ar"/>
                    </w:rPr>
                  </w:pPr>
                  <w:r>
                    <w:rPr>
                      <w:rFonts w:hint="eastAsia"/>
                      <w:spacing w:val="-20"/>
                      <w:kern w:val="0"/>
                      <w:lang w:bidi="ar"/>
                    </w:rPr>
                    <w:t>1</w:t>
                  </w:r>
                </w:p>
              </w:tc>
            </w:tr>
            <w:tr w14:paraId="09850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continue"/>
                  <w:noWrap w:val="0"/>
                  <w:vAlign w:val="center"/>
                </w:tcPr>
                <w:p w14:paraId="1B88738D">
                  <w:pPr>
                    <w:widowControl/>
                    <w:jc w:val="center"/>
                    <w:textAlignment w:val="center"/>
                    <w:rPr>
                      <w:rFonts w:hint="eastAsia"/>
                      <w:spacing w:val="-20"/>
                      <w:kern w:val="0"/>
                      <w:lang w:bidi="ar"/>
                    </w:rPr>
                  </w:pPr>
                </w:p>
              </w:tc>
              <w:tc>
                <w:tcPr>
                  <w:tcW w:w="227" w:type="pct"/>
                  <w:vMerge w:val="continue"/>
                  <w:noWrap w:val="0"/>
                  <w:vAlign w:val="center"/>
                </w:tcPr>
                <w:p w14:paraId="403C31E9">
                  <w:pPr>
                    <w:widowControl/>
                    <w:jc w:val="center"/>
                    <w:textAlignment w:val="center"/>
                    <w:rPr>
                      <w:rFonts w:hint="eastAsia"/>
                      <w:spacing w:val="-20"/>
                      <w:kern w:val="0"/>
                      <w:lang w:bidi="ar"/>
                    </w:rPr>
                  </w:pPr>
                </w:p>
              </w:tc>
              <w:tc>
                <w:tcPr>
                  <w:tcW w:w="347" w:type="pct"/>
                  <w:vMerge w:val="continue"/>
                  <w:noWrap w:val="0"/>
                  <w:vAlign w:val="center"/>
                </w:tcPr>
                <w:p w14:paraId="1985E6F5">
                  <w:pPr>
                    <w:widowControl/>
                    <w:jc w:val="center"/>
                    <w:textAlignment w:val="center"/>
                    <w:rPr>
                      <w:rFonts w:hint="eastAsia"/>
                      <w:spacing w:val="-20"/>
                      <w:kern w:val="0"/>
                      <w:lang w:bidi="ar"/>
                    </w:rPr>
                  </w:pPr>
                </w:p>
              </w:tc>
              <w:tc>
                <w:tcPr>
                  <w:tcW w:w="385" w:type="pct"/>
                  <w:vMerge w:val="continue"/>
                  <w:noWrap w:val="0"/>
                  <w:vAlign w:val="center"/>
                </w:tcPr>
                <w:p w14:paraId="27A94BC8">
                  <w:pPr>
                    <w:widowControl/>
                    <w:jc w:val="center"/>
                    <w:textAlignment w:val="center"/>
                    <w:rPr>
                      <w:rFonts w:hint="eastAsia"/>
                    </w:rPr>
                  </w:pPr>
                </w:p>
              </w:tc>
              <w:tc>
                <w:tcPr>
                  <w:tcW w:w="512" w:type="pct"/>
                  <w:vMerge w:val="continue"/>
                  <w:noWrap w:val="0"/>
                  <w:vAlign w:val="center"/>
                </w:tcPr>
                <w:p w14:paraId="12630901">
                  <w:pPr>
                    <w:widowControl/>
                    <w:jc w:val="center"/>
                    <w:textAlignment w:val="center"/>
                    <w:rPr>
                      <w:rFonts w:hint="eastAsia"/>
                      <w:spacing w:val="-20"/>
                      <w:kern w:val="0"/>
                      <w:lang w:bidi="ar"/>
                    </w:rPr>
                  </w:pPr>
                </w:p>
              </w:tc>
              <w:tc>
                <w:tcPr>
                  <w:tcW w:w="291" w:type="pct"/>
                  <w:vMerge w:val="continue"/>
                  <w:noWrap w:val="0"/>
                  <w:vAlign w:val="center"/>
                </w:tcPr>
                <w:p w14:paraId="7D2F9181">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38955DA0">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2DD8D8AD">
                  <w:pPr>
                    <w:jc w:val="center"/>
                    <w:rPr>
                      <w:rFonts w:hint="eastAsia" w:ascii="Times New Roman" w:hAnsi="Times New Roman" w:eastAsia="宋体" w:cs="Times New Roman"/>
                      <w:sz w:val="20"/>
                      <w:lang w:val="en-US" w:eastAsia="zh-CN"/>
                    </w:rPr>
                  </w:pPr>
                </w:p>
              </w:tc>
              <w:tc>
                <w:tcPr>
                  <w:tcW w:w="480" w:type="pct"/>
                  <w:noWrap w:val="0"/>
                  <w:vAlign w:val="center"/>
                </w:tcPr>
                <w:p w14:paraId="681E9B78">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西：63.3</w:t>
                  </w:r>
                </w:p>
              </w:tc>
              <w:tc>
                <w:tcPr>
                  <w:tcW w:w="465" w:type="pct"/>
                  <w:noWrap w:val="0"/>
                  <w:vAlign w:val="center"/>
                </w:tcPr>
                <w:p w14:paraId="1E916123">
                  <w:pPr>
                    <w:widowControl/>
                    <w:jc w:val="center"/>
                    <w:textAlignment w:val="center"/>
                    <w:rPr>
                      <w:rFonts w:hint="default" w:eastAsia="宋体"/>
                      <w:szCs w:val="21"/>
                      <w:lang w:val="en-US" w:eastAsia="zh-CN"/>
                    </w:rPr>
                  </w:pPr>
                  <w:r>
                    <w:rPr>
                      <w:rFonts w:hint="eastAsia" w:eastAsia="宋体"/>
                      <w:szCs w:val="21"/>
                      <w:lang w:val="en-US" w:eastAsia="zh-CN"/>
                    </w:rPr>
                    <w:t>39.0</w:t>
                  </w:r>
                </w:p>
              </w:tc>
              <w:tc>
                <w:tcPr>
                  <w:tcW w:w="391" w:type="pct"/>
                  <w:vMerge w:val="continue"/>
                  <w:noWrap w:val="0"/>
                  <w:vAlign w:val="center"/>
                </w:tcPr>
                <w:p w14:paraId="3FB9263C">
                  <w:pPr>
                    <w:widowControl/>
                    <w:jc w:val="center"/>
                    <w:textAlignment w:val="center"/>
                    <w:rPr>
                      <w:rFonts w:hint="eastAsia"/>
                      <w:spacing w:val="-20"/>
                      <w:kern w:val="0"/>
                      <w:lang w:bidi="ar"/>
                    </w:rPr>
                  </w:pPr>
                </w:p>
              </w:tc>
              <w:tc>
                <w:tcPr>
                  <w:tcW w:w="403" w:type="pct"/>
                  <w:vMerge w:val="continue"/>
                  <w:noWrap w:val="0"/>
                  <w:vAlign w:val="center"/>
                </w:tcPr>
                <w:p w14:paraId="3D1AD750">
                  <w:pPr>
                    <w:widowControl/>
                    <w:jc w:val="center"/>
                    <w:textAlignment w:val="center"/>
                    <w:rPr>
                      <w:rFonts w:hint="eastAsia"/>
                      <w:spacing w:val="-20"/>
                      <w:kern w:val="0"/>
                      <w:lang w:bidi="ar"/>
                    </w:rPr>
                  </w:pPr>
                </w:p>
              </w:tc>
              <w:tc>
                <w:tcPr>
                  <w:tcW w:w="431" w:type="pct"/>
                  <w:noWrap w:val="0"/>
                  <w:vAlign w:val="center"/>
                </w:tcPr>
                <w:p w14:paraId="7732E2E0">
                  <w:pPr>
                    <w:widowControl/>
                    <w:jc w:val="center"/>
                    <w:textAlignment w:val="center"/>
                    <w:rPr>
                      <w:rFonts w:hint="default" w:eastAsia="宋体"/>
                      <w:szCs w:val="21"/>
                      <w:lang w:val="en-US" w:eastAsia="zh-CN"/>
                    </w:rPr>
                  </w:pPr>
                  <w:r>
                    <w:rPr>
                      <w:rFonts w:hint="eastAsia" w:eastAsia="宋体"/>
                      <w:szCs w:val="21"/>
                      <w:lang w:val="en-US" w:eastAsia="zh-CN"/>
                    </w:rPr>
                    <w:t>24.0</w:t>
                  </w:r>
                </w:p>
              </w:tc>
              <w:tc>
                <w:tcPr>
                  <w:tcW w:w="364" w:type="pct"/>
                  <w:noWrap w:val="0"/>
                  <w:vAlign w:val="center"/>
                </w:tcPr>
                <w:p w14:paraId="0A7EA749">
                  <w:pPr>
                    <w:widowControl/>
                    <w:jc w:val="center"/>
                    <w:textAlignment w:val="center"/>
                    <w:rPr>
                      <w:spacing w:val="-20"/>
                      <w:kern w:val="0"/>
                      <w:lang w:bidi="ar"/>
                    </w:rPr>
                  </w:pPr>
                  <w:r>
                    <w:rPr>
                      <w:rFonts w:hint="eastAsia"/>
                      <w:spacing w:val="-20"/>
                      <w:kern w:val="0"/>
                      <w:lang w:bidi="ar"/>
                    </w:rPr>
                    <w:t>1</w:t>
                  </w:r>
                </w:p>
              </w:tc>
            </w:tr>
            <w:tr w14:paraId="0A359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9" w:type="pct"/>
                  <w:vMerge w:val="continue"/>
                  <w:noWrap w:val="0"/>
                  <w:vAlign w:val="center"/>
                </w:tcPr>
                <w:p w14:paraId="5F90D0AD">
                  <w:pPr>
                    <w:widowControl/>
                    <w:jc w:val="center"/>
                    <w:textAlignment w:val="center"/>
                    <w:rPr>
                      <w:rFonts w:hint="eastAsia"/>
                      <w:spacing w:val="-20"/>
                      <w:kern w:val="0"/>
                      <w:lang w:bidi="ar"/>
                    </w:rPr>
                  </w:pPr>
                </w:p>
              </w:tc>
              <w:tc>
                <w:tcPr>
                  <w:tcW w:w="227" w:type="pct"/>
                  <w:vMerge w:val="continue"/>
                  <w:noWrap w:val="0"/>
                  <w:vAlign w:val="center"/>
                </w:tcPr>
                <w:p w14:paraId="2DE86B13">
                  <w:pPr>
                    <w:widowControl/>
                    <w:jc w:val="center"/>
                    <w:textAlignment w:val="center"/>
                    <w:rPr>
                      <w:rFonts w:hint="eastAsia"/>
                      <w:spacing w:val="-20"/>
                      <w:kern w:val="0"/>
                      <w:lang w:bidi="ar"/>
                    </w:rPr>
                  </w:pPr>
                </w:p>
              </w:tc>
              <w:tc>
                <w:tcPr>
                  <w:tcW w:w="347" w:type="pct"/>
                  <w:vMerge w:val="continue"/>
                  <w:noWrap w:val="0"/>
                  <w:vAlign w:val="center"/>
                </w:tcPr>
                <w:p w14:paraId="06768FFA">
                  <w:pPr>
                    <w:widowControl/>
                    <w:jc w:val="center"/>
                    <w:textAlignment w:val="center"/>
                    <w:rPr>
                      <w:rFonts w:hint="eastAsia"/>
                      <w:spacing w:val="-20"/>
                      <w:kern w:val="0"/>
                      <w:lang w:bidi="ar"/>
                    </w:rPr>
                  </w:pPr>
                </w:p>
              </w:tc>
              <w:tc>
                <w:tcPr>
                  <w:tcW w:w="385" w:type="pct"/>
                  <w:vMerge w:val="continue"/>
                  <w:noWrap w:val="0"/>
                  <w:vAlign w:val="center"/>
                </w:tcPr>
                <w:p w14:paraId="27540ABF">
                  <w:pPr>
                    <w:widowControl/>
                    <w:jc w:val="center"/>
                    <w:textAlignment w:val="center"/>
                    <w:rPr>
                      <w:rFonts w:hint="eastAsia"/>
                    </w:rPr>
                  </w:pPr>
                </w:p>
              </w:tc>
              <w:tc>
                <w:tcPr>
                  <w:tcW w:w="512" w:type="pct"/>
                  <w:vMerge w:val="continue"/>
                  <w:noWrap w:val="0"/>
                  <w:vAlign w:val="center"/>
                </w:tcPr>
                <w:p w14:paraId="67064517">
                  <w:pPr>
                    <w:widowControl/>
                    <w:jc w:val="center"/>
                    <w:textAlignment w:val="center"/>
                    <w:rPr>
                      <w:rFonts w:hint="eastAsia"/>
                      <w:spacing w:val="-20"/>
                      <w:kern w:val="0"/>
                      <w:lang w:bidi="ar"/>
                    </w:rPr>
                  </w:pPr>
                </w:p>
              </w:tc>
              <w:tc>
                <w:tcPr>
                  <w:tcW w:w="291" w:type="pct"/>
                  <w:vMerge w:val="continue"/>
                  <w:noWrap w:val="0"/>
                  <w:vAlign w:val="center"/>
                </w:tcPr>
                <w:p w14:paraId="14E910AB">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648ADD33">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28CD6E63">
                  <w:pPr>
                    <w:jc w:val="center"/>
                    <w:rPr>
                      <w:rFonts w:hint="eastAsia" w:ascii="Times New Roman" w:hAnsi="Times New Roman" w:eastAsia="宋体" w:cs="Times New Roman"/>
                      <w:sz w:val="20"/>
                      <w:lang w:val="en-US" w:eastAsia="zh-CN"/>
                    </w:rPr>
                  </w:pPr>
                </w:p>
              </w:tc>
              <w:tc>
                <w:tcPr>
                  <w:tcW w:w="480" w:type="pct"/>
                  <w:noWrap w:val="0"/>
                  <w:vAlign w:val="center"/>
                </w:tcPr>
                <w:p w14:paraId="00DD2B80">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北：63.1</w:t>
                  </w:r>
                </w:p>
              </w:tc>
              <w:tc>
                <w:tcPr>
                  <w:tcW w:w="465" w:type="pct"/>
                  <w:noWrap w:val="0"/>
                  <w:vAlign w:val="center"/>
                </w:tcPr>
                <w:p w14:paraId="65EFF383">
                  <w:pPr>
                    <w:widowControl/>
                    <w:jc w:val="center"/>
                    <w:textAlignment w:val="center"/>
                    <w:rPr>
                      <w:rFonts w:hint="default" w:eastAsia="宋体"/>
                      <w:szCs w:val="21"/>
                      <w:lang w:val="en-US" w:eastAsia="zh-CN"/>
                    </w:rPr>
                  </w:pPr>
                  <w:r>
                    <w:rPr>
                      <w:rFonts w:hint="eastAsia" w:eastAsia="宋体"/>
                      <w:szCs w:val="21"/>
                      <w:lang w:val="en-US" w:eastAsia="zh-CN"/>
                    </w:rPr>
                    <w:t>39.0</w:t>
                  </w:r>
                </w:p>
              </w:tc>
              <w:tc>
                <w:tcPr>
                  <w:tcW w:w="391" w:type="pct"/>
                  <w:vMerge w:val="continue"/>
                  <w:noWrap w:val="0"/>
                  <w:vAlign w:val="center"/>
                </w:tcPr>
                <w:p w14:paraId="2E6089BE">
                  <w:pPr>
                    <w:widowControl/>
                    <w:jc w:val="center"/>
                    <w:textAlignment w:val="center"/>
                    <w:rPr>
                      <w:rFonts w:hint="eastAsia"/>
                      <w:spacing w:val="-20"/>
                      <w:kern w:val="0"/>
                      <w:lang w:bidi="ar"/>
                    </w:rPr>
                  </w:pPr>
                </w:p>
              </w:tc>
              <w:tc>
                <w:tcPr>
                  <w:tcW w:w="403" w:type="pct"/>
                  <w:vMerge w:val="continue"/>
                  <w:noWrap w:val="0"/>
                  <w:vAlign w:val="center"/>
                </w:tcPr>
                <w:p w14:paraId="53416B31">
                  <w:pPr>
                    <w:widowControl/>
                    <w:jc w:val="center"/>
                    <w:textAlignment w:val="center"/>
                    <w:rPr>
                      <w:rFonts w:hint="eastAsia"/>
                      <w:spacing w:val="-20"/>
                      <w:kern w:val="0"/>
                      <w:lang w:bidi="ar"/>
                    </w:rPr>
                  </w:pPr>
                </w:p>
              </w:tc>
              <w:tc>
                <w:tcPr>
                  <w:tcW w:w="431" w:type="pct"/>
                  <w:noWrap w:val="0"/>
                  <w:vAlign w:val="center"/>
                </w:tcPr>
                <w:p w14:paraId="0907273D">
                  <w:pPr>
                    <w:widowControl/>
                    <w:jc w:val="center"/>
                    <w:textAlignment w:val="center"/>
                    <w:rPr>
                      <w:rFonts w:hint="default" w:eastAsia="宋体"/>
                      <w:szCs w:val="21"/>
                      <w:lang w:val="en-US" w:eastAsia="zh-CN"/>
                    </w:rPr>
                  </w:pPr>
                  <w:r>
                    <w:rPr>
                      <w:rFonts w:hint="eastAsia" w:eastAsia="宋体"/>
                      <w:szCs w:val="21"/>
                      <w:lang w:val="en-US" w:eastAsia="zh-CN"/>
                    </w:rPr>
                    <w:t>24.0</w:t>
                  </w:r>
                </w:p>
              </w:tc>
              <w:tc>
                <w:tcPr>
                  <w:tcW w:w="364" w:type="pct"/>
                  <w:noWrap w:val="0"/>
                  <w:vAlign w:val="center"/>
                </w:tcPr>
                <w:p w14:paraId="0B48E084">
                  <w:pPr>
                    <w:widowControl/>
                    <w:jc w:val="center"/>
                    <w:textAlignment w:val="center"/>
                    <w:rPr>
                      <w:spacing w:val="-20"/>
                      <w:kern w:val="0"/>
                      <w:lang w:bidi="ar"/>
                    </w:rPr>
                  </w:pPr>
                  <w:r>
                    <w:rPr>
                      <w:rFonts w:hint="eastAsia"/>
                      <w:spacing w:val="-20"/>
                      <w:kern w:val="0"/>
                      <w:lang w:bidi="ar"/>
                    </w:rPr>
                    <w:t>1</w:t>
                  </w:r>
                </w:p>
              </w:tc>
            </w:tr>
            <w:tr w14:paraId="5EA5F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restart"/>
                  <w:noWrap w:val="0"/>
                  <w:vAlign w:val="center"/>
                </w:tcPr>
                <w:p w14:paraId="1EE33CB3">
                  <w:pPr>
                    <w:widowControl/>
                    <w:jc w:val="center"/>
                    <w:textAlignment w:val="center"/>
                    <w:rPr>
                      <w:rFonts w:hint="eastAsia" w:eastAsia="宋体"/>
                      <w:spacing w:val="-20"/>
                      <w:kern w:val="0"/>
                      <w:lang w:val="en-US" w:eastAsia="zh-CN" w:bidi="ar"/>
                    </w:rPr>
                  </w:pPr>
                  <w:r>
                    <w:rPr>
                      <w:rFonts w:hint="eastAsia"/>
                      <w:spacing w:val="-20"/>
                      <w:kern w:val="0"/>
                      <w:lang w:val="en-US" w:eastAsia="zh-CN" w:bidi="ar"/>
                    </w:rPr>
                    <w:t>6</w:t>
                  </w:r>
                </w:p>
              </w:tc>
              <w:tc>
                <w:tcPr>
                  <w:tcW w:w="227" w:type="pct"/>
                  <w:vMerge w:val="continue"/>
                  <w:noWrap w:val="0"/>
                  <w:vAlign w:val="center"/>
                </w:tcPr>
                <w:p w14:paraId="61BE6775">
                  <w:pPr>
                    <w:widowControl/>
                    <w:jc w:val="center"/>
                    <w:textAlignment w:val="center"/>
                    <w:rPr>
                      <w:rFonts w:hint="eastAsia"/>
                      <w:spacing w:val="-20"/>
                      <w:kern w:val="0"/>
                      <w:lang w:bidi="ar"/>
                    </w:rPr>
                  </w:pPr>
                </w:p>
              </w:tc>
              <w:tc>
                <w:tcPr>
                  <w:tcW w:w="347" w:type="pct"/>
                  <w:vMerge w:val="restart"/>
                  <w:noWrap w:val="0"/>
                  <w:vAlign w:val="center"/>
                </w:tcPr>
                <w:p w14:paraId="59DE1D5F">
                  <w:pPr>
                    <w:widowControl/>
                    <w:jc w:val="center"/>
                    <w:textAlignment w:val="center"/>
                    <w:rPr>
                      <w:rFonts w:hint="default" w:eastAsia="宋体"/>
                      <w:spacing w:val="-20"/>
                      <w:kern w:val="0"/>
                      <w:lang w:val="en-US" w:eastAsia="zh-CN" w:bidi="ar"/>
                    </w:rPr>
                  </w:pPr>
                  <w:r>
                    <w:rPr>
                      <w:rFonts w:hint="eastAsia" w:eastAsia="宋体"/>
                      <w:spacing w:val="-20"/>
                      <w:kern w:val="0"/>
                      <w:lang w:val="en-US" w:eastAsia="zh-CN" w:bidi="ar"/>
                    </w:rPr>
                    <w:t>液压金属打包机</w:t>
                  </w:r>
                </w:p>
              </w:tc>
              <w:tc>
                <w:tcPr>
                  <w:tcW w:w="385" w:type="pct"/>
                  <w:vMerge w:val="restart"/>
                  <w:noWrap w:val="0"/>
                  <w:vAlign w:val="center"/>
                </w:tcPr>
                <w:p w14:paraId="0EAC9F66">
                  <w:pPr>
                    <w:widowControl/>
                    <w:jc w:val="center"/>
                    <w:textAlignment w:val="center"/>
                    <w:rPr>
                      <w:rFonts w:hint="eastAsia"/>
                    </w:rPr>
                  </w:pPr>
                  <w:r>
                    <w:rPr>
                      <w:rFonts w:hint="eastAsia"/>
                      <w:lang w:val="en-US" w:eastAsia="zh-CN"/>
                    </w:rPr>
                    <w:t>80</w:t>
                  </w:r>
                  <w:r>
                    <w:rPr>
                      <w:rFonts w:hint="eastAsia"/>
                    </w:rPr>
                    <w:t>/1</w:t>
                  </w:r>
                </w:p>
              </w:tc>
              <w:tc>
                <w:tcPr>
                  <w:tcW w:w="512" w:type="pct"/>
                  <w:vMerge w:val="continue"/>
                  <w:noWrap w:val="0"/>
                  <w:vAlign w:val="center"/>
                </w:tcPr>
                <w:p w14:paraId="23F17E59">
                  <w:pPr>
                    <w:widowControl/>
                    <w:jc w:val="center"/>
                    <w:textAlignment w:val="center"/>
                    <w:rPr>
                      <w:rFonts w:hint="eastAsia"/>
                      <w:spacing w:val="-20"/>
                      <w:kern w:val="0"/>
                      <w:lang w:bidi="ar"/>
                    </w:rPr>
                  </w:pPr>
                </w:p>
              </w:tc>
              <w:tc>
                <w:tcPr>
                  <w:tcW w:w="291" w:type="pct"/>
                  <w:vMerge w:val="restart"/>
                  <w:noWrap w:val="0"/>
                  <w:vAlign w:val="center"/>
                </w:tcPr>
                <w:p w14:paraId="7C2775CE">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13.9</w:t>
                  </w:r>
                </w:p>
              </w:tc>
              <w:tc>
                <w:tcPr>
                  <w:tcW w:w="297" w:type="pct"/>
                  <w:vMerge w:val="restart"/>
                  <w:noWrap w:val="0"/>
                  <w:vAlign w:val="center"/>
                </w:tcPr>
                <w:p w14:paraId="0D6F9162">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50.5</w:t>
                  </w:r>
                </w:p>
              </w:tc>
              <w:tc>
                <w:tcPr>
                  <w:tcW w:w="251" w:type="pct"/>
                  <w:vMerge w:val="restart"/>
                  <w:noWrap w:val="0"/>
                  <w:vAlign w:val="center"/>
                </w:tcPr>
                <w:p w14:paraId="6FFF102D">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27.2</w:t>
                  </w:r>
                </w:p>
              </w:tc>
              <w:tc>
                <w:tcPr>
                  <w:tcW w:w="480" w:type="pct"/>
                  <w:noWrap w:val="0"/>
                  <w:vAlign w:val="center"/>
                </w:tcPr>
                <w:p w14:paraId="4C802795">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东：46.5</w:t>
                  </w:r>
                </w:p>
              </w:tc>
              <w:tc>
                <w:tcPr>
                  <w:tcW w:w="465" w:type="pct"/>
                  <w:noWrap w:val="0"/>
                  <w:vAlign w:val="center"/>
                </w:tcPr>
                <w:p w14:paraId="6CF632AD">
                  <w:pPr>
                    <w:widowControl/>
                    <w:jc w:val="center"/>
                    <w:textAlignment w:val="center"/>
                    <w:rPr>
                      <w:rFonts w:hint="default" w:eastAsia="宋体"/>
                      <w:szCs w:val="21"/>
                      <w:lang w:val="en-US" w:eastAsia="zh-CN"/>
                    </w:rPr>
                  </w:pPr>
                  <w:r>
                    <w:rPr>
                      <w:rFonts w:hint="eastAsia" w:eastAsia="宋体"/>
                      <w:szCs w:val="21"/>
                      <w:lang w:val="en-US" w:eastAsia="zh-CN"/>
                    </w:rPr>
                    <w:t>46.7</w:t>
                  </w:r>
                </w:p>
              </w:tc>
              <w:tc>
                <w:tcPr>
                  <w:tcW w:w="391" w:type="pct"/>
                  <w:vMerge w:val="continue"/>
                  <w:noWrap w:val="0"/>
                  <w:vAlign w:val="center"/>
                </w:tcPr>
                <w:p w14:paraId="569BBF8E">
                  <w:pPr>
                    <w:widowControl/>
                    <w:jc w:val="center"/>
                    <w:textAlignment w:val="center"/>
                    <w:rPr>
                      <w:rFonts w:hint="eastAsia"/>
                      <w:spacing w:val="-20"/>
                      <w:kern w:val="0"/>
                      <w:lang w:bidi="ar"/>
                    </w:rPr>
                  </w:pPr>
                </w:p>
              </w:tc>
              <w:tc>
                <w:tcPr>
                  <w:tcW w:w="403" w:type="pct"/>
                  <w:vMerge w:val="restart"/>
                  <w:noWrap w:val="0"/>
                  <w:vAlign w:val="center"/>
                </w:tcPr>
                <w:p w14:paraId="3FFA9A86">
                  <w:pPr>
                    <w:widowControl/>
                    <w:jc w:val="center"/>
                    <w:textAlignment w:val="center"/>
                    <w:rPr>
                      <w:rFonts w:hint="eastAsia"/>
                      <w:spacing w:val="-20"/>
                      <w:kern w:val="0"/>
                      <w:lang w:bidi="ar"/>
                    </w:rPr>
                  </w:pPr>
                  <w:r>
                    <w:rPr>
                      <w:rFonts w:hint="eastAsia"/>
                      <w:spacing w:val="-20"/>
                      <w:kern w:val="0"/>
                      <w:lang w:bidi="ar"/>
                    </w:rPr>
                    <w:t>15</w:t>
                  </w:r>
                </w:p>
              </w:tc>
              <w:tc>
                <w:tcPr>
                  <w:tcW w:w="431" w:type="pct"/>
                  <w:noWrap w:val="0"/>
                  <w:vAlign w:val="center"/>
                </w:tcPr>
                <w:p w14:paraId="00366C15">
                  <w:pPr>
                    <w:widowControl/>
                    <w:jc w:val="center"/>
                    <w:textAlignment w:val="center"/>
                    <w:rPr>
                      <w:rFonts w:hint="default" w:eastAsia="宋体"/>
                      <w:szCs w:val="21"/>
                      <w:lang w:val="en-US" w:eastAsia="zh-CN"/>
                    </w:rPr>
                  </w:pPr>
                  <w:r>
                    <w:rPr>
                      <w:rFonts w:hint="eastAsia" w:eastAsia="宋体"/>
                      <w:szCs w:val="21"/>
                      <w:lang w:val="en-US" w:eastAsia="zh-CN"/>
                    </w:rPr>
                    <w:t>31.7</w:t>
                  </w:r>
                </w:p>
              </w:tc>
              <w:tc>
                <w:tcPr>
                  <w:tcW w:w="364" w:type="pct"/>
                  <w:noWrap w:val="0"/>
                  <w:vAlign w:val="center"/>
                </w:tcPr>
                <w:p w14:paraId="31EDC568">
                  <w:pPr>
                    <w:widowControl/>
                    <w:jc w:val="center"/>
                    <w:textAlignment w:val="center"/>
                    <w:rPr>
                      <w:rFonts w:hint="eastAsia"/>
                      <w:spacing w:val="-20"/>
                      <w:kern w:val="0"/>
                      <w:lang w:bidi="ar"/>
                    </w:rPr>
                  </w:pPr>
                  <w:r>
                    <w:rPr>
                      <w:rFonts w:hint="eastAsia"/>
                      <w:spacing w:val="-20"/>
                      <w:kern w:val="0"/>
                      <w:lang w:bidi="ar"/>
                    </w:rPr>
                    <w:t>1</w:t>
                  </w:r>
                </w:p>
              </w:tc>
            </w:tr>
            <w:tr w14:paraId="0414C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continue"/>
                  <w:noWrap w:val="0"/>
                  <w:vAlign w:val="center"/>
                </w:tcPr>
                <w:p w14:paraId="1B087A60">
                  <w:pPr>
                    <w:widowControl/>
                    <w:jc w:val="center"/>
                    <w:textAlignment w:val="center"/>
                    <w:rPr>
                      <w:rFonts w:hint="eastAsia"/>
                      <w:spacing w:val="-20"/>
                      <w:kern w:val="0"/>
                      <w:lang w:bidi="ar"/>
                    </w:rPr>
                  </w:pPr>
                </w:p>
              </w:tc>
              <w:tc>
                <w:tcPr>
                  <w:tcW w:w="227" w:type="pct"/>
                  <w:vMerge w:val="continue"/>
                  <w:noWrap w:val="0"/>
                  <w:vAlign w:val="center"/>
                </w:tcPr>
                <w:p w14:paraId="64DD038E">
                  <w:pPr>
                    <w:widowControl/>
                    <w:jc w:val="center"/>
                    <w:textAlignment w:val="center"/>
                    <w:rPr>
                      <w:rFonts w:hint="eastAsia"/>
                      <w:spacing w:val="-20"/>
                      <w:kern w:val="0"/>
                      <w:lang w:bidi="ar"/>
                    </w:rPr>
                  </w:pPr>
                </w:p>
              </w:tc>
              <w:tc>
                <w:tcPr>
                  <w:tcW w:w="347" w:type="pct"/>
                  <w:vMerge w:val="continue"/>
                  <w:noWrap w:val="0"/>
                  <w:vAlign w:val="center"/>
                </w:tcPr>
                <w:p w14:paraId="703B7080">
                  <w:pPr>
                    <w:widowControl/>
                    <w:jc w:val="center"/>
                    <w:textAlignment w:val="center"/>
                    <w:rPr>
                      <w:rFonts w:hint="eastAsia"/>
                      <w:spacing w:val="-20"/>
                      <w:kern w:val="0"/>
                      <w:lang w:bidi="ar"/>
                    </w:rPr>
                  </w:pPr>
                </w:p>
              </w:tc>
              <w:tc>
                <w:tcPr>
                  <w:tcW w:w="385" w:type="pct"/>
                  <w:vMerge w:val="continue"/>
                  <w:noWrap w:val="0"/>
                  <w:vAlign w:val="center"/>
                </w:tcPr>
                <w:p w14:paraId="247F3AC6">
                  <w:pPr>
                    <w:widowControl/>
                    <w:jc w:val="center"/>
                    <w:textAlignment w:val="center"/>
                    <w:rPr>
                      <w:rFonts w:hint="eastAsia"/>
                    </w:rPr>
                  </w:pPr>
                </w:p>
              </w:tc>
              <w:tc>
                <w:tcPr>
                  <w:tcW w:w="512" w:type="pct"/>
                  <w:vMerge w:val="continue"/>
                  <w:noWrap w:val="0"/>
                  <w:vAlign w:val="center"/>
                </w:tcPr>
                <w:p w14:paraId="6482B095">
                  <w:pPr>
                    <w:widowControl/>
                    <w:jc w:val="center"/>
                    <w:textAlignment w:val="center"/>
                    <w:rPr>
                      <w:rFonts w:hint="eastAsia"/>
                      <w:spacing w:val="-20"/>
                      <w:kern w:val="0"/>
                      <w:lang w:bidi="ar"/>
                    </w:rPr>
                  </w:pPr>
                </w:p>
              </w:tc>
              <w:tc>
                <w:tcPr>
                  <w:tcW w:w="291" w:type="pct"/>
                  <w:vMerge w:val="continue"/>
                  <w:noWrap w:val="0"/>
                  <w:vAlign w:val="center"/>
                </w:tcPr>
                <w:p w14:paraId="1077A1E5">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77D1E4E7">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289E364C">
                  <w:pPr>
                    <w:jc w:val="center"/>
                    <w:rPr>
                      <w:rFonts w:hint="eastAsia" w:ascii="Times New Roman" w:hAnsi="Times New Roman" w:eastAsia="宋体" w:cs="Times New Roman"/>
                      <w:sz w:val="20"/>
                      <w:lang w:val="en-US" w:eastAsia="zh-CN"/>
                    </w:rPr>
                  </w:pPr>
                </w:p>
              </w:tc>
              <w:tc>
                <w:tcPr>
                  <w:tcW w:w="480" w:type="pct"/>
                  <w:noWrap w:val="0"/>
                  <w:vAlign w:val="center"/>
                </w:tcPr>
                <w:p w14:paraId="3AC43073">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南：142.5</w:t>
                  </w:r>
                </w:p>
              </w:tc>
              <w:tc>
                <w:tcPr>
                  <w:tcW w:w="465" w:type="pct"/>
                  <w:noWrap w:val="0"/>
                  <w:vAlign w:val="center"/>
                </w:tcPr>
                <w:p w14:paraId="003AC751">
                  <w:pPr>
                    <w:widowControl/>
                    <w:jc w:val="center"/>
                    <w:textAlignment w:val="center"/>
                    <w:rPr>
                      <w:rFonts w:hint="default" w:eastAsia="宋体"/>
                      <w:szCs w:val="21"/>
                      <w:lang w:val="en-US" w:eastAsia="zh-CN"/>
                    </w:rPr>
                  </w:pPr>
                  <w:r>
                    <w:rPr>
                      <w:rFonts w:hint="eastAsia"/>
                      <w:szCs w:val="21"/>
                      <w:lang w:val="en-US" w:eastAsia="zh-CN"/>
                    </w:rPr>
                    <w:t>36.9</w:t>
                  </w:r>
                </w:p>
              </w:tc>
              <w:tc>
                <w:tcPr>
                  <w:tcW w:w="391" w:type="pct"/>
                  <w:vMerge w:val="continue"/>
                  <w:noWrap w:val="0"/>
                  <w:vAlign w:val="center"/>
                </w:tcPr>
                <w:p w14:paraId="04E19364">
                  <w:pPr>
                    <w:widowControl/>
                    <w:jc w:val="center"/>
                    <w:textAlignment w:val="center"/>
                    <w:rPr>
                      <w:rFonts w:hint="eastAsia"/>
                      <w:spacing w:val="-20"/>
                      <w:kern w:val="0"/>
                      <w:lang w:bidi="ar"/>
                    </w:rPr>
                  </w:pPr>
                </w:p>
              </w:tc>
              <w:tc>
                <w:tcPr>
                  <w:tcW w:w="403" w:type="pct"/>
                  <w:vMerge w:val="continue"/>
                  <w:noWrap w:val="0"/>
                  <w:vAlign w:val="center"/>
                </w:tcPr>
                <w:p w14:paraId="5061CAF9">
                  <w:pPr>
                    <w:widowControl/>
                    <w:jc w:val="center"/>
                    <w:textAlignment w:val="center"/>
                    <w:rPr>
                      <w:rFonts w:hint="eastAsia"/>
                      <w:spacing w:val="-20"/>
                      <w:kern w:val="0"/>
                      <w:lang w:bidi="ar"/>
                    </w:rPr>
                  </w:pPr>
                </w:p>
              </w:tc>
              <w:tc>
                <w:tcPr>
                  <w:tcW w:w="431" w:type="pct"/>
                  <w:noWrap w:val="0"/>
                  <w:vAlign w:val="center"/>
                </w:tcPr>
                <w:p w14:paraId="4573D67C">
                  <w:pPr>
                    <w:widowControl/>
                    <w:jc w:val="center"/>
                    <w:textAlignment w:val="center"/>
                    <w:rPr>
                      <w:rFonts w:hint="default" w:eastAsia="宋体"/>
                      <w:szCs w:val="21"/>
                      <w:lang w:val="en-US" w:eastAsia="zh-CN"/>
                    </w:rPr>
                  </w:pPr>
                  <w:r>
                    <w:rPr>
                      <w:rFonts w:hint="eastAsia" w:eastAsia="宋体"/>
                      <w:szCs w:val="21"/>
                      <w:lang w:val="en-US" w:eastAsia="zh-CN"/>
                    </w:rPr>
                    <w:t>21.9</w:t>
                  </w:r>
                </w:p>
              </w:tc>
              <w:tc>
                <w:tcPr>
                  <w:tcW w:w="364" w:type="pct"/>
                  <w:noWrap w:val="0"/>
                  <w:vAlign w:val="center"/>
                </w:tcPr>
                <w:p w14:paraId="2DB90D8A">
                  <w:pPr>
                    <w:widowControl/>
                    <w:jc w:val="center"/>
                    <w:textAlignment w:val="center"/>
                    <w:rPr>
                      <w:rFonts w:hint="eastAsia"/>
                      <w:spacing w:val="-20"/>
                      <w:kern w:val="0"/>
                      <w:lang w:bidi="ar"/>
                    </w:rPr>
                  </w:pPr>
                  <w:r>
                    <w:rPr>
                      <w:rFonts w:hint="eastAsia"/>
                      <w:spacing w:val="-20"/>
                      <w:kern w:val="0"/>
                      <w:lang w:bidi="ar"/>
                    </w:rPr>
                    <w:t>1</w:t>
                  </w:r>
                </w:p>
              </w:tc>
            </w:tr>
            <w:tr w14:paraId="3003E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continue"/>
                  <w:noWrap w:val="0"/>
                  <w:vAlign w:val="center"/>
                </w:tcPr>
                <w:p w14:paraId="11A98074">
                  <w:pPr>
                    <w:widowControl/>
                    <w:jc w:val="center"/>
                    <w:textAlignment w:val="center"/>
                    <w:rPr>
                      <w:rFonts w:hint="eastAsia"/>
                      <w:spacing w:val="-20"/>
                      <w:kern w:val="0"/>
                      <w:lang w:bidi="ar"/>
                    </w:rPr>
                  </w:pPr>
                </w:p>
              </w:tc>
              <w:tc>
                <w:tcPr>
                  <w:tcW w:w="227" w:type="pct"/>
                  <w:vMerge w:val="continue"/>
                  <w:noWrap w:val="0"/>
                  <w:vAlign w:val="center"/>
                </w:tcPr>
                <w:p w14:paraId="1F41F17B">
                  <w:pPr>
                    <w:widowControl/>
                    <w:jc w:val="center"/>
                    <w:textAlignment w:val="center"/>
                    <w:rPr>
                      <w:rFonts w:hint="eastAsia"/>
                      <w:spacing w:val="-20"/>
                      <w:kern w:val="0"/>
                      <w:lang w:bidi="ar"/>
                    </w:rPr>
                  </w:pPr>
                </w:p>
              </w:tc>
              <w:tc>
                <w:tcPr>
                  <w:tcW w:w="347" w:type="pct"/>
                  <w:vMerge w:val="continue"/>
                  <w:noWrap w:val="0"/>
                  <w:vAlign w:val="center"/>
                </w:tcPr>
                <w:p w14:paraId="50ECDA47">
                  <w:pPr>
                    <w:widowControl/>
                    <w:jc w:val="center"/>
                    <w:textAlignment w:val="center"/>
                    <w:rPr>
                      <w:rFonts w:hint="eastAsia"/>
                      <w:spacing w:val="-20"/>
                      <w:kern w:val="0"/>
                      <w:lang w:bidi="ar"/>
                    </w:rPr>
                  </w:pPr>
                </w:p>
              </w:tc>
              <w:tc>
                <w:tcPr>
                  <w:tcW w:w="385" w:type="pct"/>
                  <w:vMerge w:val="continue"/>
                  <w:noWrap w:val="0"/>
                  <w:vAlign w:val="center"/>
                </w:tcPr>
                <w:p w14:paraId="0625F6F1">
                  <w:pPr>
                    <w:widowControl/>
                    <w:jc w:val="center"/>
                    <w:textAlignment w:val="center"/>
                    <w:rPr>
                      <w:rFonts w:hint="eastAsia"/>
                    </w:rPr>
                  </w:pPr>
                </w:p>
              </w:tc>
              <w:tc>
                <w:tcPr>
                  <w:tcW w:w="512" w:type="pct"/>
                  <w:vMerge w:val="continue"/>
                  <w:noWrap w:val="0"/>
                  <w:vAlign w:val="center"/>
                </w:tcPr>
                <w:p w14:paraId="0C5E0497">
                  <w:pPr>
                    <w:widowControl/>
                    <w:jc w:val="center"/>
                    <w:textAlignment w:val="center"/>
                    <w:rPr>
                      <w:rFonts w:hint="eastAsia"/>
                      <w:spacing w:val="-20"/>
                      <w:kern w:val="0"/>
                      <w:lang w:bidi="ar"/>
                    </w:rPr>
                  </w:pPr>
                </w:p>
              </w:tc>
              <w:tc>
                <w:tcPr>
                  <w:tcW w:w="291" w:type="pct"/>
                  <w:vMerge w:val="continue"/>
                  <w:noWrap w:val="0"/>
                  <w:vAlign w:val="center"/>
                </w:tcPr>
                <w:p w14:paraId="48EE5BB1">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18C758D3">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2089CA30">
                  <w:pPr>
                    <w:jc w:val="center"/>
                    <w:rPr>
                      <w:rFonts w:hint="eastAsia" w:ascii="Times New Roman" w:hAnsi="Times New Roman" w:eastAsia="宋体" w:cs="Times New Roman"/>
                      <w:sz w:val="20"/>
                      <w:lang w:val="en-US" w:eastAsia="zh-CN"/>
                    </w:rPr>
                  </w:pPr>
                </w:p>
              </w:tc>
              <w:tc>
                <w:tcPr>
                  <w:tcW w:w="480" w:type="pct"/>
                  <w:noWrap w:val="0"/>
                  <w:vAlign w:val="center"/>
                </w:tcPr>
                <w:p w14:paraId="312910BC">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西：44.7</w:t>
                  </w:r>
                </w:p>
              </w:tc>
              <w:tc>
                <w:tcPr>
                  <w:tcW w:w="465" w:type="pct"/>
                  <w:noWrap w:val="0"/>
                  <w:vAlign w:val="center"/>
                </w:tcPr>
                <w:p w14:paraId="054FE49D">
                  <w:pPr>
                    <w:widowControl/>
                    <w:jc w:val="center"/>
                    <w:textAlignment w:val="center"/>
                    <w:rPr>
                      <w:rFonts w:hint="default" w:eastAsia="宋体"/>
                      <w:szCs w:val="21"/>
                      <w:lang w:val="en-US" w:eastAsia="zh-CN"/>
                    </w:rPr>
                  </w:pPr>
                  <w:r>
                    <w:rPr>
                      <w:rFonts w:hint="eastAsia" w:eastAsia="宋体"/>
                      <w:szCs w:val="21"/>
                      <w:lang w:val="en-US" w:eastAsia="zh-CN"/>
                    </w:rPr>
                    <w:t>46.9</w:t>
                  </w:r>
                </w:p>
              </w:tc>
              <w:tc>
                <w:tcPr>
                  <w:tcW w:w="391" w:type="pct"/>
                  <w:vMerge w:val="continue"/>
                  <w:noWrap w:val="0"/>
                  <w:vAlign w:val="center"/>
                </w:tcPr>
                <w:p w14:paraId="119FB78E">
                  <w:pPr>
                    <w:widowControl/>
                    <w:jc w:val="center"/>
                    <w:textAlignment w:val="center"/>
                    <w:rPr>
                      <w:rFonts w:hint="eastAsia"/>
                      <w:spacing w:val="-20"/>
                      <w:kern w:val="0"/>
                      <w:lang w:bidi="ar"/>
                    </w:rPr>
                  </w:pPr>
                </w:p>
              </w:tc>
              <w:tc>
                <w:tcPr>
                  <w:tcW w:w="403" w:type="pct"/>
                  <w:vMerge w:val="continue"/>
                  <w:noWrap w:val="0"/>
                  <w:vAlign w:val="center"/>
                </w:tcPr>
                <w:p w14:paraId="2A13D20D">
                  <w:pPr>
                    <w:widowControl/>
                    <w:jc w:val="center"/>
                    <w:textAlignment w:val="center"/>
                    <w:rPr>
                      <w:rFonts w:hint="eastAsia"/>
                      <w:spacing w:val="-20"/>
                      <w:kern w:val="0"/>
                      <w:lang w:bidi="ar"/>
                    </w:rPr>
                  </w:pPr>
                </w:p>
              </w:tc>
              <w:tc>
                <w:tcPr>
                  <w:tcW w:w="431" w:type="pct"/>
                  <w:noWrap w:val="0"/>
                  <w:vAlign w:val="center"/>
                </w:tcPr>
                <w:p w14:paraId="1B601183">
                  <w:pPr>
                    <w:widowControl/>
                    <w:jc w:val="center"/>
                    <w:textAlignment w:val="center"/>
                    <w:rPr>
                      <w:rFonts w:hint="default" w:eastAsia="宋体"/>
                      <w:szCs w:val="21"/>
                      <w:lang w:val="en-US" w:eastAsia="zh-CN"/>
                    </w:rPr>
                  </w:pPr>
                  <w:r>
                    <w:rPr>
                      <w:rFonts w:hint="eastAsia" w:eastAsia="宋体"/>
                      <w:szCs w:val="21"/>
                      <w:lang w:val="en-US" w:eastAsia="zh-CN"/>
                    </w:rPr>
                    <w:t>31.9</w:t>
                  </w:r>
                </w:p>
              </w:tc>
              <w:tc>
                <w:tcPr>
                  <w:tcW w:w="364" w:type="pct"/>
                  <w:noWrap w:val="0"/>
                  <w:vAlign w:val="center"/>
                </w:tcPr>
                <w:p w14:paraId="0D899CE9">
                  <w:pPr>
                    <w:widowControl/>
                    <w:jc w:val="center"/>
                    <w:textAlignment w:val="center"/>
                    <w:rPr>
                      <w:rFonts w:hint="eastAsia"/>
                      <w:spacing w:val="-20"/>
                      <w:kern w:val="0"/>
                      <w:lang w:bidi="ar"/>
                    </w:rPr>
                  </w:pPr>
                  <w:r>
                    <w:rPr>
                      <w:rFonts w:hint="eastAsia"/>
                      <w:spacing w:val="-20"/>
                      <w:kern w:val="0"/>
                      <w:lang w:bidi="ar"/>
                    </w:rPr>
                    <w:t>1</w:t>
                  </w:r>
                </w:p>
              </w:tc>
            </w:tr>
            <w:tr w14:paraId="65FE9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149" w:type="pct"/>
                  <w:vMerge w:val="continue"/>
                  <w:noWrap w:val="0"/>
                  <w:vAlign w:val="center"/>
                </w:tcPr>
                <w:p w14:paraId="57AB1C83">
                  <w:pPr>
                    <w:widowControl/>
                    <w:jc w:val="center"/>
                    <w:textAlignment w:val="center"/>
                    <w:rPr>
                      <w:rFonts w:hint="eastAsia"/>
                      <w:spacing w:val="-20"/>
                      <w:kern w:val="0"/>
                      <w:lang w:bidi="ar"/>
                    </w:rPr>
                  </w:pPr>
                </w:p>
              </w:tc>
              <w:tc>
                <w:tcPr>
                  <w:tcW w:w="227" w:type="pct"/>
                  <w:vMerge w:val="continue"/>
                  <w:noWrap w:val="0"/>
                  <w:vAlign w:val="center"/>
                </w:tcPr>
                <w:p w14:paraId="1BF64D4B">
                  <w:pPr>
                    <w:widowControl/>
                    <w:jc w:val="center"/>
                    <w:textAlignment w:val="center"/>
                    <w:rPr>
                      <w:rFonts w:hint="eastAsia"/>
                      <w:spacing w:val="-20"/>
                      <w:kern w:val="0"/>
                      <w:lang w:bidi="ar"/>
                    </w:rPr>
                  </w:pPr>
                </w:p>
              </w:tc>
              <w:tc>
                <w:tcPr>
                  <w:tcW w:w="347" w:type="pct"/>
                  <w:vMerge w:val="continue"/>
                  <w:noWrap w:val="0"/>
                  <w:vAlign w:val="center"/>
                </w:tcPr>
                <w:p w14:paraId="000CF78F">
                  <w:pPr>
                    <w:widowControl/>
                    <w:jc w:val="center"/>
                    <w:textAlignment w:val="center"/>
                    <w:rPr>
                      <w:rFonts w:hint="eastAsia"/>
                      <w:spacing w:val="-20"/>
                      <w:kern w:val="0"/>
                      <w:lang w:bidi="ar"/>
                    </w:rPr>
                  </w:pPr>
                </w:p>
              </w:tc>
              <w:tc>
                <w:tcPr>
                  <w:tcW w:w="385" w:type="pct"/>
                  <w:vMerge w:val="continue"/>
                  <w:noWrap w:val="0"/>
                  <w:vAlign w:val="center"/>
                </w:tcPr>
                <w:p w14:paraId="283C49ED">
                  <w:pPr>
                    <w:widowControl/>
                    <w:jc w:val="center"/>
                    <w:textAlignment w:val="center"/>
                    <w:rPr>
                      <w:rFonts w:hint="eastAsia"/>
                    </w:rPr>
                  </w:pPr>
                </w:p>
              </w:tc>
              <w:tc>
                <w:tcPr>
                  <w:tcW w:w="512" w:type="pct"/>
                  <w:vMerge w:val="continue"/>
                  <w:noWrap w:val="0"/>
                  <w:vAlign w:val="center"/>
                </w:tcPr>
                <w:p w14:paraId="2453F041">
                  <w:pPr>
                    <w:widowControl/>
                    <w:jc w:val="center"/>
                    <w:textAlignment w:val="center"/>
                    <w:rPr>
                      <w:rFonts w:hint="eastAsia"/>
                      <w:spacing w:val="-20"/>
                      <w:kern w:val="0"/>
                      <w:lang w:bidi="ar"/>
                    </w:rPr>
                  </w:pPr>
                </w:p>
              </w:tc>
              <w:tc>
                <w:tcPr>
                  <w:tcW w:w="291" w:type="pct"/>
                  <w:vMerge w:val="continue"/>
                  <w:noWrap w:val="0"/>
                  <w:vAlign w:val="center"/>
                </w:tcPr>
                <w:p w14:paraId="12D82E0A">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363CFED5">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55D24393">
                  <w:pPr>
                    <w:jc w:val="center"/>
                    <w:rPr>
                      <w:rFonts w:hint="eastAsia" w:ascii="Times New Roman" w:hAnsi="Times New Roman" w:eastAsia="宋体" w:cs="Times New Roman"/>
                      <w:sz w:val="20"/>
                      <w:lang w:val="en-US" w:eastAsia="zh-CN"/>
                    </w:rPr>
                  </w:pPr>
                </w:p>
              </w:tc>
              <w:tc>
                <w:tcPr>
                  <w:tcW w:w="480" w:type="pct"/>
                  <w:noWrap w:val="0"/>
                  <w:vAlign w:val="center"/>
                </w:tcPr>
                <w:p w14:paraId="0A99B854">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北：34.8</w:t>
                  </w:r>
                </w:p>
              </w:tc>
              <w:tc>
                <w:tcPr>
                  <w:tcW w:w="465" w:type="pct"/>
                  <w:noWrap w:val="0"/>
                  <w:vAlign w:val="center"/>
                </w:tcPr>
                <w:p w14:paraId="4C99FA31">
                  <w:pPr>
                    <w:widowControl/>
                    <w:jc w:val="center"/>
                    <w:textAlignment w:val="center"/>
                    <w:rPr>
                      <w:rFonts w:hint="default" w:eastAsia="宋体"/>
                      <w:szCs w:val="21"/>
                      <w:lang w:val="en-US" w:eastAsia="zh-CN"/>
                    </w:rPr>
                  </w:pPr>
                  <w:r>
                    <w:rPr>
                      <w:rFonts w:hint="eastAsia"/>
                      <w:szCs w:val="21"/>
                      <w:lang w:val="en-US" w:eastAsia="zh-CN"/>
                    </w:rPr>
                    <w:t>49.2</w:t>
                  </w:r>
                </w:p>
              </w:tc>
              <w:tc>
                <w:tcPr>
                  <w:tcW w:w="391" w:type="pct"/>
                  <w:vMerge w:val="continue"/>
                  <w:noWrap w:val="0"/>
                  <w:vAlign w:val="center"/>
                </w:tcPr>
                <w:p w14:paraId="1094AAC7">
                  <w:pPr>
                    <w:widowControl/>
                    <w:jc w:val="center"/>
                    <w:textAlignment w:val="center"/>
                    <w:rPr>
                      <w:rFonts w:hint="eastAsia"/>
                      <w:spacing w:val="-20"/>
                      <w:kern w:val="0"/>
                      <w:lang w:bidi="ar"/>
                    </w:rPr>
                  </w:pPr>
                </w:p>
              </w:tc>
              <w:tc>
                <w:tcPr>
                  <w:tcW w:w="403" w:type="pct"/>
                  <w:vMerge w:val="continue"/>
                  <w:noWrap w:val="0"/>
                  <w:vAlign w:val="center"/>
                </w:tcPr>
                <w:p w14:paraId="2D6EF479">
                  <w:pPr>
                    <w:widowControl/>
                    <w:jc w:val="center"/>
                    <w:textAlignment w:val="center"/>
                    <w:rPr>
                      <w:rFonts w:hint="eastAsia"/>
                      <w:spacing w:val="-20"/>
                      <w:kern w:val="0"/>
                      <w:lang w:bidi="ar"/>
                    </w:rPr>
                  </w:pPr>
                </w:p>
              </w:tc>
              <w:tc>
                <w:tcPr>
                  <w:tcW w:w="431" w:type="pct"/>
                  <w:noWrap w:val="0"/>
                  <w:vAlign w:val="center"/>
                </w:tcPr>
                <w:p w14:paraId="5EE486C2">
                  <w:pPr>
                    <w:widowControl/>
                    <w:jc w:val="center"/>
                    <w:textAlignment w:val="center"/>
                    <w:rPr>
                      <w:rFonts w:hint="default" w:eastAsia="宋体"/>
                      <w:szCs w:val="21"/>
                      <w:lang w:val="en-US" w:eastAsia="zh-CN"/>
                    </w:rPr>
                  </w:pPr>
                  <w:r>
                    <w:rPr>
                      <w:rFonts w:hint="eastAsia" w:eastAsia="宋体"/>
                      <w:szCs w:val="21"/>
                      <w:lang w:val="en-US" w:eastAsia="zh-CN"/>
                    </w:rPr>
                    <w:t>34.2</w:t>
                  </w:r>
                </w:p>
              </w:tc>
              <w:tc>
                <w:tcPr>
                  <w:tcW w:w="364" w:type="pct"/>
                  <w:noWrap w:val="0"/>
                  <w:vAlign w:val="center"/>
                </w:tcPr>
                <w:p w14:paraId="0D89903E">
                  <w:pPr>
                    <w:widowControl/>
                    <w:jc w:val="center"/>
                    <w:textAlignment w:val="center"/>
                    <w:rPr>
                      <w:rFonts w:hint="eastAsia"/>
                      <w:spacing w:val="-20"/>
                      <w:kern w:val="0"/>
                      <w:lang w:bidi="ar"/>
                    </w:rPr>
                  </w:pPr>
                  <w:r>
                    <w:rPr>
                      <w:rFonts w:hint="eastAsia"/>
                      <w:spacing w:val="-20"/>
                      <w:kern w:val="0"/>
                      <w:lang w:bidi="ar"/>
                    </w:rPr>
                    <w:t>1</w:t>
                  </w:r>
                </w:p>
              </w:tc>
            </w:tr>
            <w:tr w14:paraId="03127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restart"/>
                  <w:noWrap w:val="0"/>
                  <w:vAlign w:val="center"/>
                </w:tcPr>
                <w:p w14:paraId="68DB6418">
                  <w:pPr>
                    <w:widowControl/>
                    <w:jc w:val="center"/>
                    <w:textAlignment w:val="center"/>
                    <w:rPr>
                      <w:rFonts w:hint="eastAsia" w:eastAsia="宋体"/>
                      <w:spacing w:val="-20"/>
                      <w:kern w:val="0"/>
                      <w:lang w:val="en-US" w:eastAsia="zh-CN" w:bidi="ar"/>
                    </w:rPr>
                  </w:pPr>
                  <w:r>
                    <w:rPr>
                      <w:rFonts w:hint="eastAsia"/>
                      <w:spacing w:val="-20"/>
                      <w:kern w:val="0"/>
                      <w:lang w:val="en-US" w:eastAsia="zh-CN" w:bidi="ar"/>
                    </w:rPr>
                    <w:t>7</w:t>
                  </w:r>
                </w:p>
              </w:tc>
              <w:tc>
                <w:tcPr>
                  <w:tcW w:w="227" w:type="pct"/>
                  <w:vMerge w:val="continue"/>
                  <w:noWrap w:val="0"/>
                  <w:vAlign w:val="center"/>
                </w:tcPr>
                <w:p w14:paraId="6A0548E2">
                  <w:pPr>
                    <w:widowControl/>
                    <w:jc w:val="center"/>
                    <w:textAlignment w:val="center"/>
                    <w:rPr>
                      <w:rFonts w:hint="eastAsia"/>
                      <w:spacing w:val="-20"/>
                      <w:kern w:val="0"/>
                      <w:lang w:bidi="ar"/>
                    </w:rPr>
                  </w:pPr>
                </w:p>
              </w:tc>
              <w:tc>
                <w:tcPr>
                  <w:tcW w:w="347" w:type="pct"/>
                  <w:vMerge w:val="restart"/>
                  <w:noWrap w:val="0"/>
                  <w:vAlign w:val="center"/>
                </w:tcPr>
                <w:p w14:paraId="5E6B1FF9">
                  <w:pPr>
                    <w:widowControl/>
                    <w:jc w:val="center"/>
                    <w:textAlignment w:val="center"/>
                    <w:rPr>
                      <w:rFonts w:hint="default" w:eastAsia="宋体"/>
                      <w:spacing w:val="-20"/>
                      <w:kern w:val="0"/>
                      <w:lang w:val="en-US" w:eastAsia="zh-CN" w:bidi="ar"/>
                    </w:rPr>
                  </w:pPr>
                  <w:r>
                    <w:rPr>
                      <w:rFonts w:hint="eastAsia" w:eastAsia="宋体"/>
                      <w:spacing w:val="-20"/>
                      <w:kern w:val="0"/>
                      <w:lang w:val="en-US" w:eastAsia="zh-CN" w:bidi="ar"/>
                    </w:rPr>
                    <w:t>鳄鱼式剪断机</w:t>
                  </w:r>
                </w:p>
              </w:tc>
              <w:tc>
                <w:tcPr>
                  <w:tcW w:w="385" w:type="pct"/>
                  <w:vMerge w:val="restart"/>
                  <w:noWrap w:val="0"/>
                  <w:vAlign w:val="center"/>
                </w:tcPr>
                <w:p w14:paraId="67943B5C">
                  <w:pPr>
                    <w:widowControl/>
                    <w:jc w:val="center"/>
                    <w:textAlignment w:val="center"/>
                    <w:rPr>
                      <w:rFonts w:hint="eastAsia"/>
                    </w:rPr>
                  </w:pPr>
                  <w:r>
                    <w:rPr>
                      <w:rFonts w:hint="eastAsia"/>
                      <w:lang w:val="en-US" w:eastAsia="zh-CN"/>
                    </w:rPr>
                    <w:t>90</w:t>
                  </w:r>
                  <w:r>
                    <w:rPr>
                      <w:rFonts w:hint="eastAsia"/>
                    </w:rPr>
                    <w:t>/1</w:t>
                  </w:r>
                </w:p>
              </w:tc>
              <w:tc>
                <w:tcPr>
                  <w:tcW w:w="512" w:type="pct"/>
                  <w:vMerge w:val="continue"/>
                  <w:noWrap w:val="0"/>
                  <w:vAlign w:val="center"/>
                </w:tcPr>
                <w:p w14:paraId="7E1D81D5">
                  <w:pPr>
                    <w:widowControl/>
                    <w:jc w:val="center"/>
                    <w:textAlignment w:val="center"/>
                    <w:rPr>
                      <w:rFonts w:hint="eastAsia"/>
                      <w:spacing w:val="-20"/>
                      <w:kern w:val="0"/>
                      <w:lang w:bidi="ar"/>
                    </w:rPr>
                  </w:pPr>
                </w:p>
              </w:tc>
              <w:tc>
                <w:tcPr>
                  <w:tcW w:w="291" w:type="pct"/>
                  <w:vMerge w:val="restart"/>
                  <w:noWrap w:val="0"/>
                  <w:vAlign w:val="center"/>
                </w:tcPr>
                <w:p w14:paraId="21EE9F2D">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5.0</w:t>
                  </w:r>
                </w:p>
              </w:tc>
              <w:tc>
                <w:tcPr>
                  <w:tcW w:w="297" w:type="pct"/>
                  <w:vMerge w:val="restart"/>
                  <w:noWrap w:val="0"/>
                  <w:vAlign w:val="center"/>
                </w:tcPr>
                <w:p w14:paraId="19C275B1">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8.7</w:t>
                  </w:r>
                </w:p>
              </w:tc>
              <w:tc>
                <w:tcPr>
                  <w:tcW w:w="251" w:type="pct"/>
                  <w:vMerge w:val="restart"/>
                  <w:noWrap w:val="0"/>
                  <w:vAlign w:val="center"/>
                </w:tcPr>
                <w:p w14:paraId="3A482A43">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27.2</w:t>
                  </w:r>
                </w:p>
              </w:tc>
              <w:tc>
                <w:tcPr>
                  <w:tcW w:w="1203" w:type="dxa"/>
                  <w:noWrap w:val="0"/>
                  <w:vAlign w:val="center"/>
                </w:tcPr>
                <w:p w14:paraId="4253C733">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东：27.9</w:t>
                  </w:r>
                </w:p>
              </w:tc>
              <w:tc>
                <w:tcPr>
                  <w:tcW w:w="465" w:type="pct"/>
                  <w:noWrap w:val="0"/>
                  <w:vAlign w:val="center"/>
                </w:tcPr>
                <w:p w14:paraId="640DE4D6">
                  <w:pPr>
                    <w:widowControl/>
                    <w:jc w:val="center"/>
                    <w:textAlignment w:val="center"/>
                    <w:rPr>
                      <w:rFonts w:hint="default" w:eastAsia="宋体"/>
                      <w:szCs w:val="21"/>
                      <w:lang w:val="en-US" w:eastAsia="zh-CN"/>
                    </w:rPr>
                  </w:pPr>
                  <w:r>
                    <w:rPr>
                      <w:rFonts w:hint="eastAsia" w:eastAsia="宋体"/>
                      <w:szCs w:val="21"/>
                      <w:lang w:val="en-US" w:eastAsia="zh-CN"/>
                    </w:rPr>
                    <w:t>61.1</w:t>
                  </w:r>
                </w:p>
              </w:tc>
              <w:tc>
                <w:tcPr>
                  <w:tcW w:w="391" w:type="pct"/>
                  <w:vMerge w:val="continue"/>
                  <w:noWrap w:val="0"/>
                  <w:vAlign w:val="center"/>
                </w:tcPr>
                <w:p w14:paraId="54D60FCC">
                  <w:pPr>
                    <w:widowControl/>
                    <w:jc w:val="center"/>
                    <w:textAlignment w:val="center"/>
                    <w:rPr>
                      <w:rFonts w:hint="eastAsia"/>
                      <w:spacing w:val="-20"/>
                      <w:kern w:val="0"/>
                      <w:lang w:bidi="ar"/>
                    </w:rPr>
                  </w:pPr>
                </w:p>
              </w:tc>
              <w:tc>
                <w:tcPr>
                  <w:tcW w:w="403" w:type="pct"/>
                  <w:vMerge w:val="restart"/>
                  <w:noWrap w:val="0"/>
                  <w:vAlign w:val="center"/>
                </w:tcPr>
                <w:p w14:paraId="6C91BE42">
                  <w:pPr>
                    <w:widowControl/>
                    <w:jc w:val="center"/>
                    <w:textAlignment w:val="center"/>
                    <w:rPr>
                      <w:rFonts w:hint="eastAsia"/>
                      <w:spacing w:val="-20"/>
                      <w:kern w:val="0"/>
                      <w:lang w:bidi="ar"/>
                    </w:rPr>
                  </w:pPr>
                  <w:r>
                    <w:rPr>
                      <w:rFonts w:hint="eastAsia"/>
                      <w:spacing w:val="-20"/>
                      <w:kern w:val="0"/>
                      <w:lang w:bidi="ar"/>
                    </w:rPr>
                    <w:t>15</w:t>
                  </w:r>
                </w:p>
              </w:tc>
              <w:tc>
                <w:tcPr>
                  <w:tcW w:w="431" w:type="pct"/>
                  <w:noWrap w:val="0"/>
                  <w:vAlign w:val="center"/>
                </w:tcPr>
                <w:p w14:paraId="17DFBB17">
                  <w:pPr>
                    <w:widowControl/>
                    <w:jc w:val="center"/>
                    <w:textAlignment w:val="center"/>
                    <w:rPr>
                      <w:rFonts w:hint="default" w:eastAsia="宋体"/>
                      <w:szCs w:val="21"/>
                      <w:lang w:val="en-US" w:eastAsia="zh-CN"/>
                    </w:rPr>
                  </w:pPr>
                  <w:r>
                    <w:rPr>
                      <w:rFonts w:hint="eastAsia" w:eastAsia="宋体"/>
                      <w:szCs w:val="21"/>
                      <w:lang w:val="en-US" w:eastAsia="zh-CN"/>
                    </w:rPr>
                    <w:t>46.1</w:t>
                  </w:r>
                </w:p>
              </w:tc>
              <w:tc>
                <w:tcPr>
                  <w:tcW w:w="364" w:type="pct"/>
                  <w:noWrap w:val="0"/>
                  <w:vAlign w:val="center"/>
                </w:tcPr>
                <w:p w14:paraId="368C4B22">
                  <w:pPr>
                    <w:widowControl/>
                    <w:jc w:val="center"/>
                    <w:textAlignment w:val="center"/>
                    <w:rPr>
                      <w:rFonts w:hint="eastAsia"/>
                      <w:spacing w:val="-20"/>
                      <w:kern w:val="0"/>
                      <w:lang w:bidi="ar"/>
                    </w:rPr>
                  </w:pPr>
                  <w:r>
                    <w:rPr>
                      <w:rFonts w:hint="eastAsia"/>
                      <w:spacing w:val="-20"/>
                      <w:kern w:val="0"/>
                      <w:lang w:bidi="ar"/>
                    </w:rPr>
                    <w:t>1</w:t>
                  </w:r>
                </w:p>
              </w:tc>
            </w:tr>
            <w:tr w14:paraId="1B77D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continue"/>
                  <w:noWrap w:val="0"/>
                  <w:vAlign w:val="center"/>
                </w:tcPr>
                <w:p w14:paraId="46590FBA">
                  <w:pPr>
                    <w:widowControl/>
                    <w:jc w:val="center"/>
                    <w:textAlignment w:val="center"/>
                    <w:rPr>
                      <w:rFonts w:hint="eastAsia"/>
                      <w:spacing w:val="-20"/>
                      <w:kern w:val="0"/>
                      <w:lang w:bidi="ar"/>
                    </w:rPr>
                  </w:pPr>
                </w:p>
              </w:tc>
              <w:tc>
                <w:tcPr>
                  <w:tcW w:w="227" w:type="pct"/>
                  <w:vMerge w:val="continue"/>
                  <w:noWrap w:val="0"/>
                  <w:vAlign w:val="center"/>
                </w:tcPr>
                <w:p w14:paraId="52F94194">
                  <w:pPr>
                    <w:widowControl/>
                    <w:jc w:val="center"/>
                    <w:textAlignment w:val="center"/>
                    <w:rPr>
                      <w:rFonts w:hint="eastAsia"/>
                      <w:spacing w:val="-20"/>
                      <w:kern w:val="0"/>
                      <w:lang w:bidi="ar"/>
                    </w:rPr>
                  </w:pPr>
                </w:p>
              </w:tc>
              <w:tc>
                <w:tcPr>
                  <w:tcW w:w="347" w:type="pct"/>
                  <w:vMerge w:val="continue"/>
                  <w:noWrap w:val="0"/>
                  <w:vAlign w:val="center"/>
                </w:tcPr>
                <w:p w14:paraId="7F11D6A7">
                  <w:pPr>
                    <w:widowControl/>
                    <w:jc w:val="center"/>
                    <w:textAlignment w:val="center"/>
                    <w:rPr>
                      <w:rFonts w:hint="eastAsia"/>
                      <w:spacing w:val="-20"/>
                      <w:kern w:val="0"/>
                      <w:lang w:bidi="ar"/>
                    </w:rPr>
                  </w:pPr>
                </w:p>
              </w:tc>
              <w:tc>
                <w:tcPr>
                  <w:tcW w:w="385" w:type="pct"/>
                  <w:vMerge w:val="continue"/>
                  <w:noWrap w:val="0"/>
                  <w:vAlign w:val="center"/>
                </w:tcPr>
                <w:p w14:paraId="36443200">
                  <w:pPr>
                    <w:widowControl/>
                    <w:jc w:val="center"/>
                    <w:textAlignment w:val="center"/>
                    <w:rPr>
                      <w:rFonts w:hint="eastAsia"/>
                    </w:rPr>
                  </w:pPr>
                </w:p>
              </w:tc>
              <w:tc>
                <w:tcPr>
                  <w:tcW w:w="512" w:type="pct"/>
                  <w:vMerge w:val="continue"/>
                  <w:noWrap w:val="0"/>
                  <w:vAlign w:val="center"/>
                </w:tcPr>
                <w:p w14:paraId="7D500B16">
                  <w:pPr>
                    <w:widowControl/>
                    <w:jc w:val="center"/>
                    <w:textAlignment w:val="center"/>
                    <w:rPr>
                      <w:rFonts w:hint="eastAsia"/>
                      <w:spacing w:val="-20"/>
                      <w:kern w:val="0"/>
                      <w:lang w:bidi="ar"/>
                    </w:rPr>
                  </w:pPr>
                </w:p>
              </w:tc>
              <w:tc>
                <w:tcPr>
                  <w:tcW w:w="291" w:type="pct"/>
                  <w:vMerge w:val="continue"/>
                  <w:noWrap w:val="0"/>
                  <w:vAlign w:val="center"/>
                </w:tcPr>
                <w:p w14:paraId="2425D8DA">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68E3C763">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2591F130">
                  <w:pPr>
                    <w:jc w:val="center"/>
                    <w:rPr>
                      <w:rFonts w:hint="eastAsia" w:ascii="Times New Roman" w:hAnsi="Times New Roman" w:eastAsia="宋体" w:cs="Times New Roman"/>
                      <w:sz w:val="20"/>
                      <w:lang w:val="en-US" w:eastAsia="zh-CN"/>
                    </w:rPr>
                  </w:pPr>
                </w:p>
              </w:tc>
              <w:tc>
                <w:tcPr>
                  <w:tcW w:w="1203" w:type="dxa"/>
                  <w:noWrap w:val="0"/>
                  <w:vAlign w:val="center"/>
                </w:tcPr>
                <w:p w14:paraId="3AF21A29">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南：125.5</w:t>
                  </w:r>
                </w:p>
              </w:tc>
              <w:tc>
                <w:tcPr>
                  <w:tcW w:w="465" w:type="pct"/>
                  <w:noWrap w:val="0"/>
                  <w:vAlign w:val="center"/>
                </w:tcPr>
                <w:p w14:paraId="3C866056">
                  <w:pPr>
                    <w:widowControl/>
                    <w:jc w:val="center"/>
                    <w:textAlignment w:val="center"/>
                    <w:rPr>
                      <w:rFonts w:hint="default" w:eastAsia="宋体"/>
                      <w:szCs w:val="21"/>
                      <w:lang w:val="en-US" w:eastAsia="zh-CN"/>
                    </w:rPr>
                  </w:pPr>
                  <w:r>
                    <w:rPr>
                      <w:rFonts w:hint="eastAsia"/>
                      <w:szCs w:val="21"/>
                      <w:lang w:val="en-US" w:eastAsia="zh-CN"/>
                    </w:rPr>
                    <w:t>48.0</w:t>
                  </w:r>
                </w:p>
              </w:tc>
              <w:tc>
                <w:tcPr>
                  <w:tcW w:w="391" w:type="pct"/>
                  <w:vMerge w:val="continue"/>
                  <w:noWrap w:val="0"/>
                  <w:vAlign w:val="center"/>
                </w:tcPr>
                <w:p w14:paraId="7FA821FC">
                  <w:pPr>
                    <w:widowControl/>
                    <w:jc w:val="center"/>
                    <w:textAlignment w:val="center"/>
                    <w:rPr>
                      <w:rFonts w:hint="eastAsia"/>
                      <w:spacing w:val="-20"/>
                      <w:kern w:val="0"/>
                      <w:lang w:bidi="ar"/>
                    </w:rPr>
                  </w:pPr>
                </w:p>
              </w:tc>
              <w:tc>
                <w:tcPr>
                  <w:tcW w:w="403" w:type="pct"/>
                  <w:vMerge w:val="continue"/>
                  <w:noWrap w:val="0"/>
                  <w:vAlign w:val="center"/>
                </w:tcPr>
                <w:p w14:paraId="0E92D724">
                  <w:pPr>
                    <w:widowControl/>
                    <w:jc w:val="center"/>
                    <w:textAlignment w:val="center"/>
                    <w:rPr>
                      <w:rFonts w:hint="eastAsia"/>
                      <w:spacing w:val="-20"/>
                      <w:kern w:val="0"/>
                      <w:lang w:bidi="ar"/>
                    </w:rPr>
                  </w:pPr>
                </w:p>
              </w:tc>
              <w:tc>
                <w:tcPr>
                  <w:tcW w:w="431" w:type="pct"/>
                  <w:noWrap w:val="0"/>
                  <w:vAlign w:val="center"/>
                </w:tcPr>
                <w:p w14:paraId="5E7D830C">
                  <w:pPr>
                    <w:widowControl/>
                    <w:jc w:val="center"/>
                    <w:textAlignment w:val="center"/>
                    <w:rPr>
                      <w:rFonts w:hint="default" w:eastAsia="宋体"/>
                      <w:szCs w:val="21"/>
                      <w:lang w:val="en-US" w:eastAsia="zh-CN"/>
                    </w:rPr>
                  </w:pPr>
                  <w:r>
                    <w:rPr>
                      <w:rFonts w:hint="eastAsia" w:eastAsia="宋体"/>
                      <w:szCs w:val="21"/>
                      <w:lang w:val="en-US" w:eastAsia="zh-CN"/>
                    </w:rPr>
                    <w:t>33.0</w:t>
                  </w:r>
                </w:p>
              </w:tc>
              <w:tc>
                <w:tcPr>
                  <w:tcW w:w="364" w:type="pct"/>
                  <w:noWrap w:val="0"/>
                  <w:vAlign w:val="center"/>
                </w:tcPr>
                <w:p w14:paraId="3CF47ACE">
                  <w:pPr>
                    <w:widowControl/>
                    <w:jc w:val="center"/>
                    <w:textAlignment w:val="center"/>
                    <w:rPr>
                      <w:rFonts w:hint="eastAsia"/>
                      <w:spacing w:val="-20"/>
                      <w:kern w:val="0"/>
                      <w:lang w:bidi="ar"/>
                    </w:rPr>
                  </w:pPr>
                  <w:r>
                    <w:rPr>
                      <w:rFonts w:hint="eastAsia"/>
                      <w:spacing w:val="-20"/>
                      <w:kern w:val="0"/>
                      <w:lang w:bidi="ar"/>
                    </w:rPr>
                    <w:t>1</w:t>
                  </w:r>
                </w:p>
              </w:tc>
            </w:tr>
            <w:tr w14:paraId="0CB47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continue"/>
                  <w:noWrap w:val="0"/>
                  <w:vAlign w:val="center"/>
                </w:tcPr>
                <w:p w14:paraId="609CCE7C">
                  <w:pPr>
                    <w:widowControl/>
                    <w:jc w:val="center"/>
                    <w:textAlignment w:val="center"/>
                    <w:rPr>
                      <w:rFonts w:hint="eastAsia"/>
                      <w:spacing w:val="-20"/>
                      <w:kern w:val="0"/>
                      <w:lang w:bidi="ar"/>
                    </w:rPr>
                  </w:pPr>
                </w:p>
              </w:tc>
              <w:tc>
                <w:tcPr>
                  <w:tcW w:w="227" w:type="pct"/>
                  <w:vMerge w:val="continue"/>
                  <w:noWrap w:val="0"/>
                  <w:vAlign w:val="center"/>
                </w:tcPr>
                <w:p w14:paraId="0423C91E">
                  <w:pPr>
                    <w:widowControl/>
                    <w:jc w:val="center"/>
                    <w:textAlignment w:val="center"/>
                    <w:rPr>
                      <w:rFonts w:hint="eastAsia"/>
                      <w:spacing w:val="-20"/>
                      <w:kern w:val="0"/>
                      <w:lang w:bidi="ar"/>
                    </w:rPr>
                  </w:pPr>
                </w:p>
              </w:tc>
              <w:tc>
                <w:tcPr>
                  <w:tcW w:w="347" w:type="pct"/>
                  <w:vMerge w:val="continue"/>
                  <w:noWrap w:val="0"/>
                  <w:vAlign w:val="center"/>
                </w:tcPr>
                <w:p w14:paraId="6FE0D925">
                  <w:pPr>
                    <w:widowControl/>
                    <w:jc w:val="center"/>
                    <w:textAlignment w:val="center"/>
                    <w:rPr>
                      <w:rFonts w:hint="eastAsia"/>
                      <w:spacing w:val="-20"/>
                      <w:kern w:val="0"/>
                      <w:lang w:bidi="ar"/>
                    </w:rPr>
                  </w:pPr>
                </w:p>
              </w:tc>
              <w:tc>
                <w:tcPr>
                  <w:tcW w:w="385" w:type="pct"/>
                  <w:vMerge w:val="continue"/>
                  <w:noWrap w:val="0"/>
                  <w:vAlign w:val="center"/>
                </w:tcPr>
                <w:p w14:paraId="7AFC6D11">
                  <w:pPr>
                    <w:widowControl/>
                    <w:jc w:val="center"/>
                    <w:textAlignment w:val="center"/>
                    <w:rPr>
                      <w:rFonts w:hint="eastAsia"/>
                    </w:rPr>
                  </w:pPr>
                </w:p>
              </w:tc>
              <w:tc>
                <w:tcPr>
                  <w:tcW w:w="512" w:type="pct"/>
                  <w:vMerge w:val="continue"/>
                  <w:noWrap w:val="0"/>
                  <w:vAlign w:val="center"/>
                </w:tcPr>
                <w:p w14:paraId="3E7CF38C">
                  <w:pPr>
                    <w:widowControl/>
                    <w:jc w:val="center"/>
                    <w:textAlignment w:val="center"/>
                    <w:rPr>
                      <w:rFonts w:hint="eastAsia"/>
                      <w:spacing w:val="-20"/>
                      <w:kern w:val="0"/>
                      <w:lang w:bidi="ar"/>
                    </w:rPr>
                  </w:pPr>
                </w:p>
              </w:tc>
              <w:tc>
                <w:tcPr>
                  <w:tcW w:w="291" w:type="pct"/>
                  <w:vMerge w:val="continue"/>
                  <w:noWrap w:val="0"/>
                  <w:vAlign w:val="center"/>
                </w:tcPr>
                <w:p w14:paraId="1B28F5CD">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44601445">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60624222">
                  <w:pPr>
                    <w:jc w:val="center"/>
                    <w:rPr>
                      <w:rFonts w:hint="eastAsia" w:ascii="Times New Roman" w:hAnsi="Times New Roman" w:eastAsia="宋体" w:cs="Times New Roman"/>
                      <w:sz w:val="20"/>
                      <w:lang w:val="en-US" w:eastAsia="zh-CN"/>
                    </w:rPr>
                  </w:pPr>
                </w:p>
              </w:tc>
              <w:tc>
                <w:tcPr>
                  <w:tcW w:w="1203" w:type="dxa"/>
                  <w:noWrap w:val="0"/>
                  <w:vAlign w:val="center"/>
                </w:tcPr>
                <w:p w14:paraId="601C851D">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西：63.3</w:t>
                  </w:r>
                </w:p>
              </w:tc>
              <w:tc>
                <w:tcPr>
                  <w:tcW w:w="465" w:type="pct"/>
                  <w:noWrap w:val="0"/>
                  <w:vAlign w:val="center"/>
                </w:tcPr>
                <w:p w14:paraId="664E38E8">
                  <w:pPr>
                    <w:widowControl/>
                    <w:jc w:val="center"/>
                    <w:textAlignment w:val="center"/>
                    <w:rPr>
                      <w:rFonts w:hint="default" w:eastAsia="宋体"/>
                      <w:szCs w:val="21"/>
                      <w:lang w:val="en-US" w:eastAsia="zh-CN"/>
                    </w:rPr>
                  </w:pPr>
                  <w:r>
                    <w:rPr>
                      <w:rFonts w:hint="eastAsia" w:eastAsia="宋体"/>
                      <w:szCs w:val="21"/>
                      <w:lang w:val="en-US" w:eastAsia="zh-CN"/>
                    </w:rPr>
                    <w:t>53.9</w:t>
                  </w:r>
                </w:p>
              </w:tc>
              <w:tc>
                <w:tcPr>
                  <w:tcW w:w="391" w:type="pct"/>
                  <w:vMerge w:val="continue"/>
                  <w:noWrap w:val="0"/>
                  <w:vAlign w:val="center"/>
                </w:tcPr>
                <w:p w14:paraId="71F7CEBF">
                  <w:pPr>
                    <w:widowControl/>
                    <w:jc w:val="center"/>
                    <w:textAlignment w:val="center"/>
                    <w:rPr>
                      <w:rFonts w:hint="eastAsia"/>
                      <w:spacing w:val="-20"/>
                      <w:kern w:val="0"/>
                      <w:lang w:bidi="ar"/>
                    </w:rPr>
                  </w:pPr>
                </w:p>
              </w:tc>
              <w:tc>
                <w:tcPr>
                  <w:tcW w:w="403" w:type="pct"/>
                  <w:vMerge w:val="continue"/>
                  <w:noWrap w:val="0"/>
                  <w:vAlign w:val="center"/>
                </w:tcPr>
                <w:p w14:paraId="3D75B645">
                  <w:pPr>
                    <w:widowControl/>
                    <w:jc w:val="center"/>
                    <w:textAlignment w:val="center"/>
                    <w:rPr>
                      <w:rFonts w:hint="eastAsia"/>
                      <w:spacing w:val="-20"/>
                      <w:kern w:val="0"/>
                      <w:lang w:bidi="ar"/>
                    </w:rPr>
                  </w:pPr>
                </w:p>
              </w:tc>
              <w:tc>
                <w:tcPr>
                  <w:tcW w:w="431" w:type="pct"/>
                  <w:noWrap w:val="0"/>
                  <w:vAlign w:val="center"/>
                </w:tcPr>
                <w:p w14:paraId="6F4643E0">
                  <w:pPr>
                    <w:widowControl/>
                    <w:jc w:val="center"/>
                    <w:textAlignment w:val="center"/>
                    <w:rPr>
                      <w:rFonts w:hint="default" w:eastAsia="宋体"/>
                      <w:szCs w:val="21"/>
                      <w:lang w:val="en-US" w:eastAsia="zh-CN"/>
                    </w:rPr>
                  </w:pPr>
                  <w:r>
                    <w:rPr>
                      <w:rFonts w:hint="eastAsia" w:eastAsia="宋体"/>
                      <w:szCs w:val="21"/>
                      <w:lang w:val="en-US" w:eastAsia="zh-CN"/>
                    </w:rPr>
                    <w:t>38.9</w:t>
                  </w:r>
                </w:p>
              </w:tc>
              <w:tc>
                <w:tcPr>
                  <w:tcW w:w="364" w:type="pct"/>
                  <w:noWrap w:val="0"/>
                  <w:vAlign w:val="center"/>
                </w:tcPr>
                <w:p w14:paraId="0090002F">
                  <w:pPr>
                    <w:widowControl/>
                    <w:jc w:val="center"/>
                    <w:textAlignment w:val="center"/>
                    <w:rPr>
                      <w:rFonts w:hint="eastAsia"/>
                      <w:spacing w:val="-20"/>
                      <w:kern w:val="0"/>
                      <w:lang w:bidi="ar"/>
                    </w:rPr>
                  </w:pPr>
                  <w:r>
                    <w:rPr>
                      <w:rFonts w:hint="eastAsia"/>
                      <w:spacing w:val="-20"/>
                      <w:kern w:val="0"/>
                      <w:lang w:bidi="ar"/>
                    </w:rPr>
                    <w:t>1</w:t>
                  </w:r>
                </w:p>
              </w:tc>
            </w:tr>
            <w:tr w14:paraId="06CC7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continue"/>
                  <w:noWrap w:val="0"/>
                  <w:vAlign w:val="center"/>
                </w:tcPr>
                <w:p w14:paraId="2860FDA1">
                  <w:pPr>
                    <w:widowControl/>
                    <w:jc w:val="center"/>
                    <w:textAlignment w:val="center"/>
                    <w:rPr>
                      <w:rFonts w:hint="eastAsia"/>
                      <w:spacing w:val="-20"/>
                      <w:kern w:val="0"/>
                      <w:lang w:bidi="ar"/>
                    </w:rPr>
                  </w:pPr>
                </w:p>
              </w:tc>
              <w:tc>
                <w:tcPr>
                  <w:tcW w:w="227" w:type="pct"/>
                  <w:vMerge w:val="continue"/>
                  <w:noWrap w:val="0"/>
                  <w:vAlign w:val="center"/>
                </w:tcPr>
                <w:p w14:paraId="28332B4B">
                  <w:pPr>
                    <w:widowControl/>
                    <w:jc w:val="center"/>
                    <w:textAlignment w:val="center"/>
                    <w:rPr>
                      <w:rFonts w:hint="eastAsia"/>
                      <w:spacing w:val="-20"/>
                      <w:kern w:val="0"/>
                      <w:lang w:bidi="ar"/>
                    </w:rPr>
                  </w:pPr>
                </w:p>
              </w:tc>
              <w:tc>
                <w:tcPr>
                  <w:tcW w:w="347" w:type="pct"/>
                  <w:vMerge w:val="continue"/>
                  <w:noWrap w:val="0"/>
                  <w:vAlign w:val="center"/>
                </w:tcPr>
                <w:p w14:paraId="64C2A5FD">
                  <w:pPr>
                    <w:widowControl/>
                    <w:jc w:val="center"/>
                    <w:textAlignment w:val="center"/>
                    <w:rPr>
                      <w:rFonts w:hint="eastAsia"/>
                      <w:spacing w:val="-20"/>
                      <w:kern w:val="0"/>
                      <w:lang w:bidi="ar"/>
                    </w:rPr>
                  </w:pPr>
                </w:p>
              </w:tc>
              <w:tc>
                <w:tcPr>
                  <w:tcW w:w="385" w:type="pct"/>
                  <w:vMerge w:val="continue"/>
                  <w:noWrap w:val="0"/>
                  <w:vAlign w:val="center"/>
                </w:tcPr>
                <w:p w14:paraId="576098B1">
                  <w:pPr>
                    <w:widowControl/>
                    <w:jc w:val="center"/>
                    <w:textAlignment w:val="center"/>
                    <w:rPr>
                      <w:rFonts w:hint="eastAsia"/>
                    </w:rPr>
                  </w:pPr>
                </w:p>
              </w:tc>
              <w:tc>
                <w:tcPr>
                  <w:tcW w:w="512" w:type="pct"/>
                  <w:vMerge w:val="continue"/>
                  <w:noWrap w:val="0"/>
                  <w:vAlign w:val="center"/>
                </w:tcPr>
                <w:p w14:paraId="09A9F0F3">
                  <w:pPr>
                    <w:widowControl/>
                    <w:jc w:val="center"/>
                    <w:textAlignment w:val="center"/>
                    <w:rPr>
                      <w:rFonts w:hint="eastAsia"/>
                      <w:spacing w:val="-20"/>
                      <w:kern w:val="0"/>
                      <w:lang w:bidi="ar"/>
                    </w:rPr>
                  </w:pPr>
                </w:p>
              </w:tc>
              <w:tc>
                <w:tcPr>
                  <w:tcW w:w="291" w:type="pct"/>
                  <w:vMerge w:val="continue"/>
                  <w:noWrap w:val="0"/>
                  <w:vAlign w:val="center"/>
                </w:tcPr>
                <w:p w14:paraId="0E1D6C3F">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4AF8A5A8">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5047525F">
                  <w:pPr>
                    <w:jc w:val="center"/>
                    <w:rPr>
                      <w:rFonts w:hint="eastAsia" w:ascii="Times New Roman" w:hAnsi="Times New Roman" w:eastAsia="宋体" w:cs="Times New Roman"/>
                      <w:sz w:val="20"/>
                      <w:lang w:val="en-US" w:eastAsia="zh-CN"/>
                    </w:rPr>
                  </w:pPr>
                </w:p>
              </w:tc>
              <w:tc>
                <w:tcPr>
                  <w:tcW w:w="1203" w:type="dxa"/>
                  <w:noWrap w:val="0"/>
                  <w:vAlign w:val="center"/>
                </w:tcPr>
                <w:p w14:paraId="2A01A06C">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北：51.8</w:t>
                  </w:r>
                </w:p>
              </w:tc>
              <w:tc>
                <w:tcPr>
                  <w:tcW w:w="465" w:type="pct"/>
                  <w:noWrap w:val="0"/>
                  <w:vAlign w:val="center"/>
                </w:tcPr>
                <w:p w14:paraId="05CE73FE">
                  <w:pPr>
                    <w:widowControl/>
                    <w:jc w:val="center"/>
                    <w:textAlignment w:val="center"/>
                    <w:rPr>
                      <w:rFonts w:hint="default" w:eastAsia="宋体"/>
                      <w:szCs w:val="21"/>
                      <w:lang w:val="en-US" w:eastAsia="zh-CN"/>
                    </w:rPr>
                  </w:pPr>
                  <w:r>
                    <w:rPr>
                      <w:rFonts w:hint="eastAsia"/>
                      <w:szCs w:val="21"/>
                      <w:lang w:val="en-US" w:eastAsia="zh-CN"/>
                    </w:rPr>
                    <w:t>55.7</w:t>
                  </w:r>
                </w:p>
              </w:tc>
              <w:tc>
                <w:tcPr>
                  <w:tcW w:w="391" w:type="pct"/>
                  <w:vMerge w:val="continue"/>
                  <w:noWrap w:val="0"/>
                  <w:vAlign w:val="center"/>
                </w:tcPr>
                <w:p w14:paraId="3133F11D">
                  <w:pPr>
                    <w:widowControl/>
                    <w:jc w:val="center"/>
                    <w:textAlignment w:val="center"/>
                    <w:rPr>
                      <w:rFonts w:hint="eastAsia"/>
                      <w:spacing w:val="-20"/>
                      <w:kern w:val="0"/>
                      <w:lang w:bidi="ar"/>
                    </w:rPr>
                  </w:pPr>
                </w:p>
              </w:tc>
              <w:tc>
                <w:tcPr>
                  <w:tcW w:w="403" w:type="pct"/>
                  <w:vMerge w:val="continue"/>
                  <w:noWrap w:val="0"/>
                  <w:vAlign w:val="center"/>
                </w:tcPr>
                <w:p w14:paraId="4341263A">
                  <w:pPr>
                    <w:widowControl/>
                    <w:jc w:val="center"/>
                    <w:textAlignment w:val="center"/>
                    <w:rPr>
                      <w:rFonts w:hint="eastAsia"/>
                      <w:spacing w:val="-20"/>
                      <w:kern w:val="0"/>
                      <w:lang w:bidi="ar"/>
                    </w:rPr>
                  </w:pPr>
                </w:p>
              </w:tc>
              <w:tc>
                <w:tcPr>
                  <w:tcW w:w="431" w:type="pct"/>
                  <w:noWrap w:val="0"/>
                  <w:vAlign w:val="center"/>
                </w:tcPr>
                <w:p w14:paraId="5A6DFE25">
                  <w:pPr>
                    <w:widowControl/>
                    <w:jc w:val="center"/>
                    <w:textAlignment w:val="center"/>
                    <w:rPr>
                      <w:rFonts w:hint="default" w:eastAsia="宋体"/>
                      <w:szCs w:val="21"/>
                      <w:lang w:val="en-US" w:eastAsia="zh-CN"/>
                    </w:rPr>
                  </w:pPr>
                  <w:r>
                    <w:rPr>
                      <w:rFonts w:hint="eastAsia" w:eastAsia="宋体"/>
                      <w:szCs w:val="21"/>
                      <w:lang w:val="en-US" w:eastAsia="zh-CN"/>
                    </w:rPr>
                    <w:t>40.7</w:t>
                  </w:r>
                </w:p>
              </w:tc>
              <w:tc>
                <w:tcPr>
                  <w:tcW w:w="364" w:type="pct"/>
                  <w:noWrap w:val="0"/>
                  <w:vAlign w:val="center"/>
                </w:tcPr>
                <w:p w14:paraId="276E473C">
                  <w:pPr>
                    <w:widowControl/>
                    <w:jc w:val="center"/>
                    <w:textAlignment w:val="center"/>
                    <w:rPr>
                      <w:rFonts w:hint="eastAsia"/>
                      <w:spacing w:val="-20"/>
                      <w:kern w:val="0"/>
                      <w:lang w:bidi="ar"/>
                    </w:rPr>
                  </w:pPr>
                  <w:r>
                    <w:rPr>
                      <w:rFonts w:hint="eastAsia"/>
                      <w:spacing w:val="-20"/>
                      <w:kern w:val="0"/>
                      <w:lang w:bidi="ar"/>
                    </w:rPr>
                    <w:t>1</w:t>
                  </w:r>
                </w:p>
              </w:tc>
            </w:tr>
            <w:tr w14:paraId="6A66D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restart"/>
                  <w:noWrap w:val="0"/>
                  <w:vAlign w:val="center"/>
                </w:tcPr>
                <w:p w14:paraId="5208EC00">
                  <w:pPr>
                    <w:widowControl/>
                    <w:jc w:val="center"/>
                    <w:textAlignment w:val="center"/>
                    <w:rPr>
                      <w:rFonts w:hint="eastAsia" w:eastAsia="宋体"/>
                      <w:spacing w:val="-20"/>
                      <w:kern w:val="0"/>
                      <w:lang w:val="en-US" w:eastAsia="zh-CN" w:bidi="ar"/>
                    </w:rPr>
                  </w:pPr>
                  <w:r>
                    <w:rPr>
                      <w:rFonts w:hint="eastAsia"/>
                      <w:spacing w:val="-20"/>
                      <w:kern w:val="0"/>
                      <w:lang w:val="en-US" w:eastAsia="zh-CN" w:bidi="ar"/>
                    </w:rPr>
                    <w:t>8</w:t>
                  </w:r>
                </w:p>
              </w:tc>
              <w:tc>
                <w:tcPr>
                  <w:tcW w:w="227" w:type="pct"/>
                  <w:vMerge w:val="continue"/>
                  <w:noWrap w:val="0"/>
                  <w:vAlign w:val="center"/>
                </w:tcPr>
                <w:p w14:paraId="6FA98C16">
                  <w:pPr>
                    <w:widowControl/>
                    <w:jc w:val="center"/>
                    <w:textAlignment w:val="center"/>
                    <w:rPr>
                      <w:rFonts w:hint="eastAsia"/>
                      <w:spacing w:val="-20"/>
                      <w:kern w:val="0"/>
                      <w:lang w:bidi="ar"/>
                    </w:rPr>
                  </w:pPr>
                </w:p>
              </w:tc>
              <w:tc>
                <w:tcPr>
                  <w:tcW w:w="347" w:type="pct"/>
                  <w:vMerge w:val="restart"/>
                  <w:noWrap w:val="0"/>
                  <w:vAlign w:val="center"/>
                </w:tcPr>
                <w:p w14:paraId="6DE5816D">
                  <w:pPr>
                    <w:widowControl/>
                    <w:jc w:val="center"/>
                    <w:textAlignment w:val="center"/>
                    <w:rPr>
                      <w:rFonts w:hint="default" w:eastAsia="宋体"/>
                      <w:spacing w:val="-20"/>
                      <w:kern w:val="0"/>
                      <w:lang w:val="en-US" w:eastAsia="zh-CN" w:bidi="ar"/>
                    </w:rPr>
                  </w:pPr>
                  <w:r>
                    <w:rPr>
                      <w:rFonts w:hint="eastAsia"/>
                      <w:spacing w:val="-20"/>
                      <w:kern w:val="0"/>
                      <w:lang w:val="en-US" w:eastAsia="zh-CN" w:bidi="ar"/>
                    </w:rPr>
                    <w:t>安全气囊引爆装置</w:t>
                  </w:r>
                </w:p>
              </w:tc>
              <w:tc>
                <w:tcPr>
                  <w:tcW w:w="385" w:type="pct"/>
                  <w:vMerge w:val="restart"/>
                  <w:noWrap w:val="0"/>
                  <w:vAlign w:val="center"/>
                </w:tcPr>
                <w:p w14:paraId="1EE13E6C">
                  <w:pPr>
                    <w:widowControl/>
                    <w:jc w:val="center"/>
                    <w:textAlignment w:val="center"/>
                    <w:rPr>
                      <w:rFonts w:hint="eastAsia"/>
                    </w:rPr>
                  </w:pPr>
                  <w:r>
                    <w:rPr>
                      <w:rFonts w:hint="eastAsia"/>
                    </w:rPr>
                    <w:t>8</w:t>
                  </w:r>
                  <w:r>
                    <w:rPr>
                      <w:rFonts w:hint="eastAsia"/>
                      <w:lang w:val="en-US" w:eastAsia="zh-CN"/>
                    </w:rPr>
                    <w:t>5</w:t>
                  </w:r>
                  <w:r>
                    <w:rPr>
                      <w:rFonts w:hint="eastAsia"/>
                    </w:rPr>
                    <w:t>/1</w:t>
                  </w:r>
                </w:p>
              </w:tc>
              <w:tc>
                <w:tcPr>
                  <w:tcW w:w="512" w:type="pct"/>
                  <w:vMerge w:val="continue"/>
                  <w:noWrap w:val="0"/>
                  <w:vAlign w:val="center"/>
                </w:tcPr>
                <w:p w14:paraId="75538046">
                  <w:pPr>
                    <w:widowControl/>
                    <w:jc w:val="center"/>
                    <w:textAlignment w:val="center"/>
                    <w:rPr>
                      <w:rFonts w:hint="eastAsia"/>
                      <w:spacing w:val="-20"/>
                      <w:kern w:val="0"/>
                      <w:lang w:bidi="ar"/>
                    </w:rPr>
                  </w:pPr>
                </w:p>
              </w:tc>
              <w:tc>
                <w:tcPr>
                  <w:tcW w:w="291" w:type="pct"/>
                  <w:vMerge w:val="restart"/>
                  <w:noWrap w:val="0"/>
                  <w:vAlign w:val="center"/>
                </w:tcPr>
                <w:p w14:paraId="0C4335A8">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4.5</w:t>
                  </w:r>
                </w:p>
              </w:tc>
              <w:tc>
                <w:tcPr>
                  <w:tcW w:w="297" w:type="pct"/>
                  <w:vMerge w:val="restart"/>
                  <w:noWrap w:val="0"/>
                  <w:vAlign w:val="center"/>
                </w:tcPr>
                <w:p w14:paraId="14548780">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-27.4</w:t>
                  </w:r>
                </w:p>
              </w:tc>
              <w:tc>
                <w:tcPr>
                  <w:tcW w:w="251" w:type="pct"/>
                  <w:vMerge w:val="restart"/>
                  <w:noWrap w:val="0"/>
                  <w:vAlign w:val="center"/>
                </w:tcPr>
                <w:p w14:paraId="7EAA146F">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27.5</w:t>
                  </w:r>
                </w:p>
              </w:tc>
              <w:tc>
                <w:tcPr>
                  <w:tcW w:w="480" w:type="pct"/>
                  <w:noWrap w:val="0"/>
                  <w:vAlign w:val="center"/>
                </w:tcPr>
                <w:p w14:paraId="4CC71C1E">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东：38.7</w:t>
                  </w:r>
                </w:p>
              </w:tc>
              <w:tc>
                <w:tcPr>
                  <w:tcW w:w="465" w:type="pct"/>
                  <w:noWrap w:val="0"/>
                  <w:vAlign w:val="center"/>
                </w:tcPr>
                <w:p w14:paraId="6CF57B45">
                  <w:pPr>
                    <w:widowControl/>
                    <w:jc w:val="center"/>
                    <w:textAlignment w:val="center"/>
                    <w:rPr>
                      <w:rFonts w:hint="default" w:eastAsia="宋体"/>
                      <w:szCs w:val="21"/>
                      <w:lang w:val="en-US" w:eastAsia="zh-CN"/>
                    </w:rPr>
                  </w:pPr>
                  <w:r>
                    <w:rPr>
                      <w:rFonts w:hint="eastAsia" w:eastAsia="宋体"/>
                      <w:szCs w:val="21"/>
                      <w:lang w:val="en-US" w:eastAsia="zh-CN"/>
                    </w:rPr>
                    <w:t>53.2</w:t>
                  </w:r>
                </w:p>
              </w:tc>
              <w:tc>
                <w:tcPr>
                  <w:tcW w:w="391" w:type="pct"/>
                  <w:vMerge w:val="continue"/>
                  <w:noWrap w:val="0"/>
                  <w:vAlign w:val="center"/>
                </w:tcPr>
                <w:p w14:paraId="56435775">
                  <w:pPr>
                    <w:widowControl/>
                    <w:jc w:val="center"/>
                    <w:textAlignment w:val="center"/>
                    <w:rPr>
                      <w:rFonts w:hint="eastAsia"/>
                      <w:spacing w:val="-20"/>
                      <w:kern w:val="0"/>
                      <w:lang w:bidi="ar"/>
                    </w:rPr>
                  </w:pPr>
                </w:p>
              </w:tc>
              <w:tc>
                <w:tcPr>
                  <w:tcW w:w="403" w:type="pct"/>
                  <w:vMerge w:val="restart"/>
                  <w:noWrap w:val="0"/>
                  <w:vAlign w:val="center"/>
                </w:tcPr>
                <w:p w14:paraId="19F935DF">
                  <w:pPr>
                    <w:widowControl/>
                    <w:jc w:val="center"/>
                    <w:textAlignment w:val="center"/>
                    <w:rPr>
                      <w:rFonts w:hint="eastAsia"/>
                      <w:spacing w:val="-20"/>
                      <w:kern w:val="0"/>
                      <w:lang w:bidi="ar"/>
                    </w:rPr>
                  </w:pPr>
                  <w:r>
                    <w:rPr>
                      <w:rFonts w:hint="eastAsia"/>
                      <w:spacing w:val="-20"/>
                      <w:kern w:val="0"/>
                      <w:lang w:bidi="ar"/>
                    </w:rPr>
                    <w:t>15</w:t>
                  </w:r>
                </w:p>
              </w:tc>
              <w:tc>
                <w:tcPr>
                  <w:tcW w:w="431" w:type="pct"/>
                  <w:noWrap w:val="0"/>
                  <w:vAlign w:val="center"/>
                </w:tcPr>
                <w:p w14:paraId="2C3FDA1B">
                  <w:pPr>
                    <w:widowControl/>
                    <w:jc w:val="center"/>
                    <w:textAlignment w:val="center"/>
                    <w:rPr>
                      <w:rFonts w:hint="default" w:eastAsia="宋体"/>
                      <w:szCs w:val="21"/>
                      <w:lang w:val="en-US" w:eastAsia="zh-CN"/>
                    </w:rPr>
                  </w:pPr>
                  <w:r>
                    <w:rPr>
                      <w:rFonts w:hint="eastAsia" w:eastAsia="宋体"/>
                      <w:szCs w:val="21"/>
                      <w:lang w:val="en-US" w:eastAsia="zh-CN"/>
                    </w:rPr>
                    <w:t>38.2</w:t>
                  </w:r>
                </w:p>
              </w:tc>
              <w:tc>
                <w:tcPr>
                  <w:tcW w:w="364" w:type="pct"/>
                  <w:noWrap w:val="0"/>
                  <w:vAlign w:val="center"/>
                </w:tcPr>
                <w:p w14:paraId="14F3D2E6">
                  <w:pPr>
                    <w:widowControl/>
                    <w:jc w:val="center"/>
                    <w:textAlignment w:val="center"/>
                    <w:rPr>
                      <w:rFonts w:hint="eastAsia"/>
                      <w:spacing w:val="-20"/>
                      <w:kern w:val="0"/>
                      <w:lang w:bidi="ar"/>
                    </w:rPr>
                  </w:pPr>
                  <w:r>
                    <w:rPr>
                      <w:rFonts w:hint="eastAsia"/>
                      <w:spacing w:val="-20"/>
                      <w:kern w:val="0"/>
                      <w:lang w:bidi="ar"/>
                    </w:rPr>
                    <w:t>1</w:t>
                  </w:r>
                </w:p>
              </w:tc>
            </w:tr>
            <w:tr w14:paraId="25D6B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continue"/>
                  <w:noWrap w:val="0"/>
                  <w:vAlign w:val="center"/>
                </w:tcPr>
                <w:p w14:paraId="768354C8">
                  <w:pPr>
                    <w:widowControl/>
                    <w:jc w:val="center"/>
                    <w:textAlignment w:val="center"/>
                    <w:rPr>
                      <w:rFonts w:hint="eastAsia"/>
                      <w:spacing w:val="-20"/>
                      <w:kern w:val="0"/>
                      <w:lang w:bidi="ar"/>
                    </w:rPr>
                  </w:pPr>
                </w:p>
              </w:tc>
              <w:tc>
                <w:tcPr>
                  <w:tcW w:w="227" w:type="pct"/>
                  <w:vMerge w:val="continue"/>
                  <w:noWrap w:val="0"/>
                  <w:vAlign w:val="center"/>
                </w:tcPr>
                <w:p w14:paraId="491E5048">
                  <w:pPr>
                    <w:widowControl/>
                    <w:jc w:val="center"/>
                    <w:textAlignment w:val="center"/>
                    <w:rPr>
                      <w:rFonts w:hint="eastAsia"/>
                      <w:spacing w:val="-20"/>
                      <w:kern w:val="0"/>
                      <w:lang w:bidi="ar"/>
                    </w:rPr>
                  </w:pPr>
                </w:p>
              </w:tc>
              <w:tc>
                <w:tcPr>
                  <w:tcW w:w="347" w:type="pct"/>
                  <w:vMerge w:val="continue"/>
                  <w:noWrap w:val="0"/>
                  <w:vAlign w:val="center"/>
                </w:tcPr>
                <w:p w14:paraId="5F5E0D78">
                  <w:pPr>
                    <w:widowControl/>
                    <w:jc w:val="center"/>
                    <w:textAlignment w:val="center"/>
                    <w:rPr>
                      <w:rFonts w:hint="eastAsia"/>
                      <w:spacing w:val="-20"/>
                      <w:kern w:val="0"/>
                      <w:lang w:bidi="ar"/>
                    </w:rPr>
                  </w:pPr>
                </w:p>
              </w:tc>
              <w:tc>
                <w:tcPr>
                  <w:tcW w:w="385" w:type="pct"/>
                  <w:vMerge w:val="continue"/>
                  <w:noWrap w:val="0"/>
                  <w:vAlign w:val="center"/>
                </w:tcPr>
                <w:p w14:paraId="5A62BB68">
                  <w:pPr>
                    <w:widowControl/>
                    <w:jc w:val="center"/>
                    <w:textAlignment w:val="center"/>
                    <w:rPr>
                      <w:rFonts w:hint="eastAsia"/>
                    </w:rPr>
                  </w:pPr>
                </w:p>
              </w:tc>
              <w:tc>
                <w:tcPr>
                  <w:tcW w:w="512" w:type="pct"/>
                  <w:vMerge w:val="continue"/>
                  <w:noWrap w:val="0"/>
                  <w:vAlign w:val="center"/>
                </w:tcPr>
                <w:p w14:paraId="076ADC8F">
                  <w:pPr>
                    <w:widowControl/>
                    <w:jc w:val="center"/>
                    <w:textAlignment w:val="center"/>
                    <w:rPr>
                      <w:rFonts w:hint="eastAsia"/>
                      <w:spacing w:val="-20"/>
                      <w:kern w:val="0"/>
                      <w:lang w:bidi="ar"/>
                    </w:rPr>
                  </w:pPr>
                </w:p>
              </w:tc>
              <w:tc>
                <w:tcPr>
                  <w:tcW w:w="291" w:type="pct"/>
                  <w:vMerge w:val="continue"/>
                  <w:noWrap w:val="0"/>
                  <w:vAlign w:val="center"/>
                </w:tcPr>
                <w:p w14:paraId="495D2E2C">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6FD4665C">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776212AF">
                  <w:pPr>
                    <w:jc w:val="center"/>
                    <w:rPr>
                      <w:rFonts w:hint="eastAsia" w:ascii="Times New Roman" w:hAnsi="Times New Roman" w:eastAsia="宋体" w:cs="Times New Roman"/>
                      <w:sz w:val="20"/>
                      <w:lang w:val="en-US" w:eastAsia="zh-CN"/>
                    </w:rPr>
                  </w:pPr>
                </w:p>
              </w:tc>
              <w:tc>
                <w:tcPr>
                  <w:tcW w:w="480" w:type="pct"/>
                  <w:noWrap w:val="0"/>
                  <w:vAlign w:val="center"/>
                </w:tcPr>
                <w:p w14:paraId="2388EC66">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南：65.9</w:t>
                  </w:r>
                </w:p>
              </w:tc>
              <w:tc>
                <w:tcPr>
                  <w:tcW w:w="465" w:type="pct"/>
                  <w:noWrap w:val="0"/>
                  <w:vAlign w:val="center"/>
                </w:tcPr>
                <w:p w14:paraId="05B2E00B">
                  <w:pPr>
                    <w:widowControl/>
                    <w:jc w:val="center"/>
                    <w:textAlignment w:val="center"/>
                    <w:rPr>
                      <w:rFonts w:hint="default" w:eastAsia="宋体"/>
                      <w:szCs w:val="21"/>
                      <w:lang w:val="en-US" w:eastAsia="zh-CN"/>
                    </w:rPr>
                  </w:pPr>
                  <w:r>
                    <w:rPr>
                      <w:rFonts w:hint="eastAsia" w:eastAsia="宋体"/>
                      <w:szCs w:val="21"/>
                      <w:lang w:val="en-US" w:eastAsia="zh-CN"/>
                    </w:rPr>
                    <w:t>48.6</w:t>
                  </w:r>
                </w:p>
              </w:tc>
              <w:tc>
                <w:tcPr>
                  <w:tcW w:w="391" w:type="pct"/>
                  <w:vMerge w:val="continue"/>
                  <w:noWrap w:val="0"/>
                  <w:vAlign w:val="center"/>
                </w:tcPr>
                <w:p w14:paraId="1A73703C">
                  <w:pPr>
                    <w:widowControl/>
                    <w:jc w:val="center"/>
                    <w:textAlignment w:val="center"/>
                    <w:rPr>
                      <w:rFonts w:hint="eastAsia"/>
                      <w:spacing w:val="-20"/>
                      <w:kern w:val="0"/>
                      <w:lang w:bidi="ar"/>
                    </w:rPr>
                  </w:pPr>
                </w:p>
              </w:tc>
              <w:tc>
                <w:tcPr>
                  <w:tcW w:w="403" w:type="pct"/>
                  <w:vMerge w:val="continue"/>
                  <w:noWrap w:val="0"/>
                  <w:vAlign w:val="center"/>
                </w:tcPr>
                <w:p w14:paraId="5E893B84">
                  <w:pPr>
                    <w:widowControl/>
                    <w:jc w:val="center"/>
                    <w:textAlignment w:val="center"/>
                    <w:rPr>
                      <w:rFonts w:hint="eastAsia"/>
                      <w:spacing w:val="-20"/>
                      <w:kern w:val="0"/>
                      <w:lang w:bidi="ar"/>
                    </w:rPr>
                  </w:pPr>
                </w:p>
              </w:tc>
              <w:tc>
                <w:tcPr>
                  <w:tcW w:w="431" w:type="pct"/>
                  <w:noWrap w:val="0"/>
                  <w:vAlign w:val="center"/>
                </w:tcPr>
                <w:p w14:paraId="20ECC3DD">
                  <w:pPr>
                    <w:widowControl/>
                    <w:jc w:val="center"/>
                    <w:textAlignment w:val="center"/>
                    <w:rPr>
                      <w:rFonts w:hint="default" w:eastAsia="宋体"/>
                      <w:szCs w:val="21"/>
                      <w:lang w:val="en-US" w:eastAsia="zh-CN"/>
                    </w:rPr>
                  </w:pPr>
                  <w:r>
                    <w:rPr>
                      <w:rFonts w:hint="eastAsia" w:eastAsia="宋体"/>
                      <w:szCs w:val="21"/>
                      <w:lang w:val="en-US" w:eastAsia="zh-CN"/>
                    </w:rPr>
                    <w:t>33.6</w:t>
                  </w:r>
                </w:p>
              </w:tc>
              <w:tc>
                <w:tcPr>
                  <w:tcW w:w="364" w:type="pct"/>
                  <w:noWrap w:val="0"/>
                  <w:vAlign w:val="center"/>
                </w:tcPr>
                <w:p w14:paraId="0B288A01">
                  <w:pPr>
                    <w:widowControl/>
                    <w:jc w:val="center"/>
                    <w:textAlignment w:val="center"/>
                    <w:rPr>
                      <w:rFonts w:hint="eastAsia"/>
                      <w:spacing w:val="-20"/>
                      <w:kern w:val="0"/>
                      <w:lang w:bidi="ar"/>
                    </w:rPr>
                  </w:pPr>
                  <w:r>
                    <w:rPr>
                      <w:rFonts w:hint="eastAsia"/>
                      <w:spacing w:val="-20"/>
                      <w:kern w:val="0"/>
                      <w:lang w:bidi="ar"/>
                    </w:rPr>
                    <w:t>1</w:t>
                  </w:r>
                </w:p>
              </w:tc>
            </w:tr>
            <w:tr w14:paraId="67F71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continue"/>
                  <w:noWrap w:val="0"/>
                  <w:vAlign w:val="center"/>
                </w:tcPr>
                <w:p w14:paraId="3B49F0D2">
                  <w:pPr>
                    <w:widowControl/>
                    <w:jc w:val="center"/>
                    <w:textAlignment w:val="center"/>
                    <w:rPr>
                      <w:rFonts w:hint="eastAsia"/>
                      <w:spacing w:val="-20"/>
                      <w:kern w:val="0"/>
                      <w:lang w:bidi="ar"/>
                    </w:rPr>
                  </w:pPr>
                </w:p>
              </w:tc>
              <w:tc>
                <w:tcPr>
                  <w:tcW w:w="227" w:type="pct"/>
                  <w:vMerge w:val="continue"/>
                  <w:noWrap w:val="0"/>
                  <w:vAlign w:val="center"/>
                </w:tcPr>
                <w:p w14:paraId="413EBFC2">
                  <w:pPr>
                    <w:widowControl/>
                    <w:jc w:val="center"/>
                    <w:textAlignment w:val="center"/>
                    <w:rPr>
                      <w:rFonts w:hint="eastAsia"/>
                      <w:spacing w:val="-20"/>
                      <w:kern w:val="0"/>
                      <w:lang w:bidi="ar"/>
                    </w:rPr>
                  </w:pPr>
                </w:p>
              </w:tc>
              <w:tc>
                <w:tcPr>
                  <w:tcW w:w="347" w:type="pct"/>
                  <w:vMerge w:val="continue"/>
                  <w:noWrap w:val="0"/>
                  <w:vAlign w:val="center"/>
                </w:tcPr>
                <w:p w14:paraId="2CB767D5">
                  <w:pPr>
                    <w:widowControl/>
                    <w:jc w:val="center"/>
                    <w:textAlignment w:val="center"/>
                    <w:rPr>
                      <w:rFonts w:hint="eastAsia"/>
                      <w:spacing w:val="-20"/>
                      <w:kern w:val="0"/>
                      <w:lang w:bidi="ar"/>
                    </w:rPr>
                  </w:pPr>
                </w:p>
              </w:tc>
              <w:tc>
                <w:tcPr>
                  <w:tcW w:w="385" w:type="pct"/>
                  <w:vMerge w:val="continue"/>
                  <w:noWrap w:val="0"/>
                  <w:vAlign w:val="center"/>
                </w:tcPr>
                <w:p w14:paraId="1AACB730">
                  <w:pPr>
                    <w:widowControl/>
                    <w:jc w:val="center"/>
                    <w:textAlignment w:val="center"/>
                    <w:rPr>
                      <w:rFonts w:hint="eastAsia"/>
                    </w:rPr>
                  </w:pPr>
                </w:p>
              </w:tc>
              <w:tc>
                <w:tcPr>
                  <w:tcW w:w="512" w:type="pct"/>
                  <w:vMerge w:val="continue"/>
                  <w:noWrap w:val="0"/>
                  <w:vAlign w:val="center"/>
                </w:tcPr>
                <w:p w14:paraId="360F7087">
                  <w:pPr>
                    <w:widowControl/>
                    <w:jc w:val="center"/>
                    <w:textAlignment w:val="center"/>
                    <w:rPr>
                      <w:rFonts w:hint="eastAsia"/>
                      <w:spacing w:val="-20"/>
                      <w:kern w:val="0"/>
                      <w:lang w:bidi="ar"/>
                    </w:rPr>
                  </w:pPr>
                </w:p>
              </w:tc>
              <w:tc>
                <w:tcPr>
                  <w:tcW w:w="291" w:type="pct"/>
                  <w:vMerge w:val="continue"/>
                  <w:noWrap w:val="0"/>
                  <w:vAlign w:val="center"/>
                </w:tcPr>
                <w:p w14:paraId="7517BDEC">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1630E511">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0D959E1E">
                  <w:pPr>
                    <w:jc w:val="center"/>
                    <w:rPr>
                      <w:rFonts w:hint="eastAsia" w:ascii="Times New Roman" w:hAnsi="Times New Roman" w:eastAsia="宋体" w:cs="Times New Roman"/>
                      <w:sz w:val="20"/>
                      <w:lang w:val="en-US" w:eastAsia="zh-CN"/>
                    </w:rPr>
                  </w:pPr>
                </w:p>
              </w:tc>
              <w:tc>
                <w:tcPr>
                  <w:tcW w:w="480" w:type="pct"/>
                  <w:noWrap w:val="0"/>
                  <w:vAlign w:val="center"/>
                </w:tcPr>
                <w:p w14:paraId="63031847">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西：52.5</w:t>
                  </w:r>
                </w:p>
              </w:tc>
              <w:tc>
                <w:tcPr>
                  <w:tcW w:w="465" w:type="pct"/>
                  <w:noWrap w:val="0"/>
                  <w:vAlign w:val="center"/>
                </w:tcPr>
                <w:p w14:paraId="5D8C0B6A">
                  <w:pPr>
                    <w:widowControl/>
                    <w:jc w:val="center"/>
                    <w:textAlignment w:val="center"/>
                    <w:rPr>
                      <w:rFonts w:hint="default" w:eastAsia="宋体"/>
                      <w:szCs w:val="21"/>
                      <w:lang w:val="en-US" w:eastAsia="zh-CN"/>
                    </w:rPr>
                  </w:pPr>
                  <w:r>
                    <w:rPr>
                      <w:rFonts w:hint="eastAsia" w:eastAsia="宋体"/>
                      <w:szCs w:val="21"/>
                      <w:lang w:val="en-US" w:eastAsia="zh-CN"/>
                    </w:rPr>
                    <w:t>50.6</w:t>
                  </w:r>
                </w:p>
              </w:tc>
              <w:tc>
                <w:tcPr>
                  <w:tcW w:w="391" w:type="pct"/>
                  <w:vMerge w:val="continue"/>
                  <w:noWrap w:val="0"/>
                  <w:vAlign w:val="center"/>
                </w:tcPr>
                <w:p w14:paraId="01B5ED5D">
                  <w:pPr>
                    <w:widowControl/>
                    <w:jc w:val="center"/>
                    <w:textAlignment w:val="center"/>
                    <w:rPr>
                      <w:rFonts w:hint="eastAsia"/>
                      <w:spacing w:val="-20"/>
                      <w:kern w:val="0"/>
                      <w:lang w:bidi="ar"/>
                    </w:rPr>
                  </w:pPr>
                </w:p>
              </w:tc>
              <w:tc>
                <w:tcPr>
                  <w:tcW w:w="403" w:type="pct"/>
                  <w:vMerge w:val="continue"/>
                  <w:noWrap w:val="0"/>
                  <w:vAlign w:val="center"/>
                </w:tcPr>
                <w:p w14:paraId="106DDDD8">
                  <w:pPr>
                    <w:widowControl/>
                    <w:jc w:val="center"/>
                    <w:textAlignment w:val="center"/>
                    <w:rPr>
                      <w:rFonts w:hint="eastAsia"/>
                      <w:spacing w:val="-20"/>
                      <w:kern w:val="0"/>
                      <w:lang w:bidi="ar"/>
                    </w:rPr>
                  </w:pPr>
                </w:p>
              </w:tc>
              <w:tc>
                <w:tcPr>
                  <w:tcW w:w="431" w:type="pct"/>
                  <w:noWrap w:val="0"/>
                  <w:vAlign w:val="center"/>
                </w:tcPr>
                <w:p w14:paraId="6DD80CC4">
                  <w:pPr>
                    <w:widowControl/>
                    <w:jc w:val="center"/>
                    <w:textAlignment w:val="center"/>
                    <w:rPr>
                      <w:rFonts w:hint="default" w:eastAsia="宋体"/>
                      <w:szCs w:val="21"/>
                      <w:lang w:val="en-US" w:eastAsia="zh-CN"/>
                    </w:rPr>
                  </w:pPr>
                  <w:r>
                    <w:rPr>
                      <w:rFonts w:hint="eastAsia" w:eastAsia="宋体"/>
                      <w:szCs w:val="21"/>
                      <w:lang w:val="en-US" w:eastAsia="zh-CN"/>
                    </w:rPr>
                    <w:t>35.6</w:t>
                  </w:r>
                </w:p>
              </w:tc>
              <w:tc>
                <w:tcPr>
                  <w:tcW w:w="364" w:type="pct"/>
                  <w:noWrap w:val="0"/>
                  <w:vAlign w:val="center"/>
                </w:tcPr>
                <w:p w14:paraId="3F7B7FE0">
                  <w:pPr>
                    <w:widowControl/>
                    <w:jc w:val="center"/>
                    <w:textAlignment w:val="center"/>
                    <w:rPr>
                      <w:rFonts w:hint="eastAsia"/>
                      <w:spacing w:val="-20"/>
                      <w:kern w:val="0"/>
                      <w:lang w:bidi="ar"/>
                    </w:rPr>
                  </w:pPr>
                  <w:r>
                    <w:rPr>
                      <w:rFonts w:hint="eastAsia"/>
                      <w:spacing w:val="-20"/>
                      <w:kern w:val="0"/>
                      <w:lang w:bidi="ar"/>
                    </w:rPr>
                    <w:t>1</w:t>
                  </w:r>
                </w:p>
              </w:tc>
            </w:tr>
            <w:tr w14:paraId="6EE82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jc w:val="center"/>
              </w:trPr>
              <w:tc>
                <w:tcPr>
                  <w:tcW w:w="149" w:type="pct"/>
                  <w:vMerge w:val="continue"/>
                  <w:noWrap w:val="0"/>
                  <w:vAlign w:val="center"/>
                </w:tcPr>
                <w:p w14:paraId="5E9B3C3F">
                  <w:pPr>
                    <w:widowControl/>
                    <w:jc w:val="center"/>
                    <w:textAlignment w:val="center"/>
                    <w:rPr>
                      <w:rFonts w:hint="eastAsia"/>
                      <w:spacing w:val="-20"/>
                      <w:kern w:val="0"/>
                      <w:lang w:bidi="ar"/>
                    </w:rPr>
                  </w:pPr>
                </w:p>
              </w:tc>
              <w:tc>
                <w:tcPr>
                  <w:tcW w:w="227" w:type="pct"/>
                  <w:vMerge w:val="continue"/>
                  <w:noWrap w:val="0"/>
                  <w:vAlign w:val="center"/>
                </w:tcPr>
                <w:p w14:paraId="7DF07F2F">
                  <w:pPr>
                    <w:widowControl/>
                    <w:jc w:val="center"/>
                    <w:textAlignment w:val="center"/>
                    <w:rPr>
                      <w:rFonts w:hint="eastAsia"/>
                      <w:spacing w:val="-20"/>
                      <w:kern w:val="0"/>
                      <w:lang w:bidi="ar"/>
                    </w:rPr>
                  </w:pPr>
                </w:p>
              </w:tc>
              <w:tc>
                <w:tcPr>
                  <w:tcW w:w="347" w:type="pct"/>
                  <w:vMerge w:val="continue"/>
                  <w:noWrap w:val="0"/>
                  <w:vAlign w:val="center"/>
                </w:tcPr>
                <w:p w14:paraId="655C1A46">
                  <w:pPr>
                    <w:widowControl/>
                    <w:jc w:val="center"/>
                    <w:textAlignment w:val="center"/>
                    <w:rPr>
                      <w:rFonts w:hint="eastAsia"/>
                      <w:spacing w:val="-20"/>
                      <w:kern w:val="0"/>
                      <w:lang w:bidi="ar"/>
                    </w:rPr>
                  </w:pPr>
                </w:p>
              </w:tc>
              <w:tc>
                <w:tcPr>
                  <w:tcW w:w="385" w:type="pct"/>
                  <w:vMerge w:val="continue"/>
                  <w:noWrap w:val="0"/>
                  <w:vAlign w:val="center"/>
                </w:tcPr>
                <w:p w14:paraId="1A74743F">
                  <w:pPr>
                    <w:widowControl/>
                    <w:jc w:val="center"/>
                    <w:textAlignment w:val="center"/>
                    <w:rPr>
                      <w:rFonts w:hint="eastAsia"/>
                    </w:rPr>
                  </w:pPr>
                </w:p>
              </w:tc>
              <w:tc>
                <w:tcPr>
                  <w:tcW w:w="512" w:type="pct"/>
                  <w:vMerge w:val="continue"/>
                  <w:noWrap w:val="0"/>
                  <w:vAlign w:val="center"/>
                </w:tcPr>
                <w:p w14:paraId="140D0DED">
                  <w:pPr>
                    <w:widowControl/>
                    <w:jc w:val="center"/>
                    <w:textAlignment w:val="center"/>
                    <w:rPr>
                      <w:rFonts w:hint="eastAsia"/>
                      <w:spacing w:val="-20"/>
                      <w:kern w:val="0"/>
                      <w:lang w:bidi="ar"/>
                    </w:rPr>
                  </w:pPr>
                </w:p>
              </w:tc>
              <w:tc>
                <w:tcPr>
                  <w:tcW w:w="291" w:type="pct"/>
                  <w:vMerge w:val="continue"/>
                  <w:noWrap w:val="0"/>
                  <w:vAlign w:val="center"/>
                </w:tcPr>
                <w:p w14:paraId="044A45CC">
                  <w:pPr>
                    <w:jc w:val="center"/>
                    <w:rPr>
                      <w:rFonts w:hint="eastAsia" w:ascii="Times New Roman" w:hAnsi="Times New Roman" w:eastAsia="宋体" w:cs="Times New Roman"/>
                      <w:sz w:val="20"/>
                      <w:lang w:val="en-US" w:eastAsia="zh-CN"/>
                    </w:rPr>
                  </w:pPr>
                </w:p>
              </w:tc>
              <w:tc>
                <w:tcPr>
                  <w:tcW w:w="297" w:type="pct"/>
                  <w:vMerge w:val="continue"/>
                  <w:noWrap w:val="0"/>
                  <w:vAlign w:val="center"/>
                </w:tcPr>
                <w:p w14:paraId="4195DFBF">
                  <w:pPr>
                    <w:jc w:val="center"/>
                    <w:rPr>
                      <w:rFonts w:hint="eastAsia" w:ascii="Times New Roman" w:hAnsi="Times New Roman" w:eastAsia="宋体" w:cs="Times New Roman"/>
                      <w:sz w:val="20"/>
                      <w:lang w:val="en-US" w:eastAsia="zh-CN"/>
                    </w:rPr>
                  </w:pPr>
                </w:p>
              </w:tc>
              <w:tc>
                <w:tcPr>
                  <w:tcW w:w="251" w:type="pct"/>
                  <w:vMerge w:val="continue"/>
                  <w:noWrap w:val="0"/>
                  <w:vAlign w:val="center"/>
                </w:tcPr>
                <w:p w14:paraId="004E63F8">
                  <w:pPr>
                    <w:jc w:val="center"/>
                    <w:rPr>
                      <w:rFonts w:hint="eastAsia" w:ascii="Times New Roman" w:hAnsi="Times New Roman" w:eastAsia="宋体" w:cs="Times New Roman"/>
                      <w:sz w:val="20"/>
                      <w:lang w:val="en-US" w:eastAsia="zh-CN"/>
                    </w:rPr>
                  </w:pPr>
                </w:p>
              </w:tc>
              <w:tc>
                <w:tcPr>
                  <w:tcW w:w="480" w:type="pct"/>
                  <w:noWrap w:val="0"/>
                  <w:vAlign w:val="center"/>
                </w:tcPr>
                <w:p w14:paraId="245D75AB">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北：111.4</w:t>
                  </w:r>
                </w:p>
              </w:tc>
              <w:tc>
                <w:tcPr>
                  <w:tcW w:w="465" w:type="pct"/>
                  <w:noWrap w:val="0"/>
                  <w:vAlign w:val="center"/>
                </w:tcPr>
                <w:p w14:paraId="2E3F2990">
                  <w:pPr>
                    <w:widowControl/>
                    <w:jc w:val="center"/>
                    <w:textAlignment w:val="center"/>
                    <w:rPr>
                      <w:rFonts w:hint="default" w:eastAsia="宋体"/>
                      <w:szCs w:val="21"/>
                      <w:lang w:val="en-US" w:eastAsia="zh-CN"/>
                    </w:rPr>
                  </w:pPr>
                  <w:r>
                    <w:rPr>
                      <w:rFonts w:hint="eastAsia" w:eastAsia="宋体"/>
                      <w:szCs w:val="21"/>
                      <w:lang w:val="en-US" w:eastAsia="zh-CN"/>
                    </w:rPr>
                    <w:t>44.1</w:t>
                  </w:r>
                </w:p>
              </w:tc>
              <w:tc>
                <w:tcPr>
                  <w:tcW w:w="391" w:type="pct"/>
                  <w:vMerge w:val="continue"/>
                  <w:noWrap w:val="0"/>
                  <w:vAlign w:val="center"/>
                </w:tcPr>
                <w:p w14:paraId="0C39C990">
                  <w:pPr>
                    <w:widowControl/>
                    <w:jc w:val="center"/>
                    <w:textAlignment w:val="center"/>
                    <w:rPr>
                      <w:rFonts w:hint="eastAsia"/>
                      <w:spacing w:val="-20"/>
                      <w:kern w:val="0"/>
                      <w:lang w:bidi="ar"/>
                    </w:rPr>
                  </w:pPr>
                </w:p>
              </w:tc>
              <w:tc>
                <w:tcPr>
                  <w:tcW w:w="403" w:type="pct"/>
                  <w:vMerge w:val="continue"/>
                  <w:noWrap w:val="0"/>
                  <w:vAlign w:val="center"/>
                </w:tcPr>
                <w:p w14:paraId="074FBF6B">
                  <w:pPr>
                    <w:widowControl/>
                    <w:jc w:val="center"/>
                    <w:textAlignment w:val="center"/>
                    <w:rPr>
                      <w:rFonts w:hint="eastAsia"/>
                      <w:spacing w:val="-20"/>
                      <w:kern w:val="0"/>
                      <w:lang w:bidi="ar"/>
                    </w:rPr>
                  </w:pPr>
                </w:p>
              </w:tc>
              <w:tc>
                <w:tcPr>
                  <w:tcW w:w="431" w:type="pct"/>
                  <w:noWrap w:val="0"/>
                  <w:vAlign w:val="center"/>
                </w:tcPr>
                <w:p w14:paraId="65F67C2C">
                  <w:pPr>
                    <w:widowControl/>
                    <w:jc w:val="center"/>
                    <w:textAlignment w:val="center"/>
                    <w:rPr>
                      <w:rFonts w:hint="default" w:eastAsia="宋体"/>
                      <w:szCs w:val="21"/>
                      <w:lang w:val="en-US" w:eastAsia="zh-CN"/>
                    </w:rPr>
                  </w:pPr>
                  <w:r>
                    <w:rPr>
                      <w:rFonts w:hint="eastAsia" w:eastAsia="宋体"/>
                      <w:szCs w:val="21"/>
                      <w:lang w:val="en-US" w:eastAsia="zh-CN"/>
                    </w:rPr>
                    <w:t>29.1</w:t>
                  </w:r>
                </w:p>
              </w:tc>
              <w:tc>
                <w:tcPr>
                  <w:tcW w:w="364" w:type="pct"/>
                  <w:noWrap w:val="0"/>
                  <w:vAlign w:val="center"/>
                </w:tcPr>
                <w:p w14:paraId="5BB7A54D">
                  <w:pPr>
                    <w:widowControl/>
                    <w:jc w:val="center"/>
                    <w:textAlignment w:val="center"/>
                    <w:rPr>
                      <w:rFonts w:hint="eastAsia"/>
                      <w:spacing w:val="-20"/>
                      <w:kern w:val="0"/>
                      <w:lang w:bidi="ar"/>
                    </w:rPr>
                  </w:pPr>
                  <w:r>
                    <w:rPr>
                      <w:rFonts w:hint="eastAsia"/>
                      <w:spacing w:val="-20"/>
                      <w:kern w:val="0"/>
                      <w:lang w:bidi="ar"/>
                    </w:rPr>
                    <w:t>1</w:t>
                  </w:r>
                </w:p>
              </w:tc>
            </w:tr>
          </w:tbl>
          <w:p w14:paraId="6EC3361E">
            <w:pPr>
              <w:rPr>
                <w:rFonts w:hint="eastAsia"/>
                <w:bCs/>
                <w:szCs w:val="21"/>
              </w:rPr>
            </w:pPr>
            <w:r>
              <w:rPr>
                <w:rFonts w:hint="eastAsia"/>
                <w:bCs/>
                <w:szCs w:val="21"/>
              </w:rPr>
              <w:t>备注：</w:t>
            </w:r>
            <w:r>
              <w:rPr>
                <w:bCs/>
                <w:szCs w:val="21"/>
              </w:rPr>
              <w:t>表中坐标以厂界中心（</w:t>
            </w:r>
            <w:bookmarkStart w:id="1" w:name="PO_8"/>
            <w:r>
              <w:rPr>
                <w:bCs/>
                <w:szCs w:val="21"/>
              </w:rPr>
              <w:t>11</w:t>
            </w:r>
            <w:r>
              <w:rPr>
                <w:rFonts w:hint="eastAsia"/>
                <w:bCs/>
                <w:szCs w:val="21"/>
                <w:lang w:val="en-US" w:eastAsia="zh-CN"/>
              </w:rPr>
              <w:t>7</w:t>
            </w:r>
            <w:r>
              <w:rPr>
                <w:bCs/>
                <w:szCs w:val="21"/>
              </w:rPr>
              <w:t>.</w:t>
            </w:r>
            <w:r>
              <w:rPr>
                <w:rFonts w:hint="eastAsia"/>
                <w:bCs/>
                <w:szCs w:val="21"/>
                <w:lang w:val="en-US" w:eastAsia="zh-CN"/>
              </w:rPr>
              <w:t>085584</w:t>
            </w:r>
            <w:r>
              <w:rPr>
                <w:rFonts w:hint="eastAsia"/>
                <w:bCs/>
                <w:szCs w:val="21"/>
              </w:rPr>
              <w:t>，</w:t>
            </w:r>
            <w:r>
              <w:rPr>
                <w:bCs/>
                <w:szCs w:val="21"/>
              </w:rPr>
              <w:t>3</w:t>
            </w:r>
            <w:bookmarkEnd w:id="1"/>
            <w:r>
              <w:rPr>
                <w:rFonts w:hint="eastAsia"/>
                <w:bCs/>
                <w:szCs w:val="21"/>
                <w:lang w:val="en-US" w:eastAsia="zh-CN"/>
              </w:rPr>
              <w:t>3</w:t>
            </w:r>
            <w:r>
              <w:rPr>
                <w:rFonts w:hint="eastAsia"/>
                <w:bCs/>
                <w:szCs w:val="21"/>
              </w:rPr>
              <w:t>.</w:t>
            </w:r>
            <w:r>
              <w:rPr>
                <w:rFonts w:hint="eastAsia"/>
                <w:bCs/>
                <w:szCs w:val="21"/>
                <w:lang w:val="en-US" w:eastAsia="zh-CN"/>
              </w:rPr>
              <w:t>615258</w:t>
            </w:r>
            <w:r>
              <w:rPr>
                <w:bCs/>
                <w:szCs w:val="21"/>
              </w:rPr>
              <w:t>）为坐标原点，正东向为X轴正方向，正北向为Y轴正方向</w:t>
            </w:r>
            <w:r>
              <w:rPr>
                <w:rFonts w:hint="eastAsia"/>
                <w:bCs/>
                <w:szCs w:val="21"/>
              </w:rPr>
              <w:t>。</w:t>
            </w:r>
          </w:p>
          <w:p w14:paraId="43E3990A">
            <w:pPr>
              <w:rPr>
                <w:rFonts w:hint="eastAsia"/>
                <w:bCs/>
                <w:szCs w:val="21"/>
              </w:rPr>
            </w:pPr>
          </w:p>
          <w:p w14:paraId="0E9DE5BC">
            <w:pPr>
              <w:pStyle w:val="20"/>
              <w:spacing w:before="0" w:beforeAutospacing="0" w:after="0" w:afterAutospacing="0" w:line="240" w:lineRule="atLeast"/>
              <w:ind w:firstLine="422" w:firstLineChars="200"/>
              <w:jc w:val="center"/>
              <w:outlineLvl w:val="9"/>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 xml:space="preserve">表4-15  </w:t>
            </w:r>
            <w:r>
              <w:rPr>
                <w:rFonts w:hint="eastAsia" w:ascii="Times New Roman" w:hAnsi="Times New Roman"/>
                <w:b/>
                <w:bCs/>
                <w:snapToGrid w:val="0"/>
                <w:sz w:val="21"/>
                <w:szCs w:val="21"/>
                <w:lang w:val="en-US" w:eastAsia="zh-CN"/>
              </w:rPr>
              <w:t>工业企业噪声源强调查清单（室外声源）</w:t>
            </w:r>
            <w:r>
              <w:rPr>
                <w:rFonts w:ascii="Times New Roman" w:hAnsi="Times New Roman"/>
                <w:b/>
                <w:bCs/>
                <w:snapToGrid w:val="0"/>
                <w:sz w:val="21"/>
                <w:szCs w:val="21"/>
              </w:rPr>
              <w:t xml:space="preserve">    单位</w:t>
            </w:r>
            <w:r>
              <w:rPr>
                <w:rFonts w:hint="eastAsia" w:ascii="Times New Roman" w:hAnsi="Times New Roman"/>
                <w:b/>
                <w:bCs/>
                <w:snapToGrid w:val="0"/>
                <w:sz w:val="21"/>
                <w:szCs w:val="21"/>
                <w:lang w:eastAsia="zh-CN"/>
              </w:rPr>
              <w:t>：</w:t>
            </w:r>
            <w:r>
              <w:rPr>
                <w:rFonts w:ascii="Times New Roman" w:hAnsi="Times New Roman"/>
                <w:b/>
                <w:bCs/>
                <w:snapToGrid w:val="0"/>
                <w:sz w:val="21"/>
                <w:szCs w:val="21"/>
              </w:rPr>
              <w:t>dB（A）</w:t>
            </w:r>
          </w:p>
          <w:tbl>
            <w:tblPr>
              <w:tblStyle w:val="25"/>
              <w:tblW w:w="125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756"/>
              <w:gridCol w:w="1781"/>
              <w:gridCol w:w="1207"/>
              <w:gridCol w:w="1373"/>
              <w:gridCol w:w="1327"/>
              <w:gridCol w:w="1200"/>
              <w:gridCol w:w="1719"/>
              <w:gridCol w:w="1519"/>
            </w:tblGrid>
            <w:tr w14:paraId="53D6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715" w:type="dxa"/>
                  <w:vMerge w:val="restart"/>
                  <w:noWrap w:val="0"/>
                  <w:vAlign w:val="center"/>
                </w:tcPr>
                <w:p w14:paraId="1C8563AA">
                  <w:pPr>
                    <w:pStyle w:val="2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756" w:type="dxa"/>
                  <w:vMerge w:val="restart"/>
                  <w:noWrap w:val="0"/>
                  <w:vAlign w:val="center"/>
                </w:tcPr>
                <w:p w14:paraId="40C75C73">
                  <w:pPr>
                    <w:pStyle w:val="2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声源名称</w:t>
                  </w:r>
                </w:p>
              </w:tc>
              <w:tc>
                <w:tcPr>
                  <w:tcW w:w="1781" w:type="dxa"/>
                  <w:vMerge w:val="restart"/>
                  <w:noWrap w:val="0"/>
                  <w:vAlign w:val="center"/>
                </w:tcPr>
                <w:p w14:paraId="496A0D65">
                  <w:pPr>
                    <w:pStyle w:val="2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声源数量（台</w:t>
                  </w:r>
                  <w:r>
                    <w:rPr>
                      <w:rFonts w:hint="eastAsia" w:ascii="Times New Roman" w:hAnsi="Times New Roman" w:eastAsia="宋体" w:cs="Times New Roman"/>
                      <w:b/>
                      <w:bCs/>
                      <w:sz w:val="21"/>
                      <w:szCs w:val="21"/>
                      <w:vertAlign w:val="baseline"/>
                      <w:lang w:val="en-US" w:eastAsia="zh-CN"/>
                    </w:rPr>
                    <w:t>/座</w:t>
                  </w:r>
                  <w:r>
                    <w:rPr>
                      <w:rFonts w:hint="default" w:ascii="Times New Roman" w:hAnsi="Times New Roman" w:eastAsia="宋体" w:cs="Times New Roman"/>
                      <w:b/>
                      <w:bCs/>
                      <w:sz w:val="21"/>
                      <w:szCs w:val="21"/>
                      <w:vertAlign w:val="baseline"/>
                      <w:lang w:val="en-US" w:eastAsia="zh-CN"/>
                    </w:rPr>
                    <w:t>）</w:t>
                  </w:r>
                </w:p>
              </w:tc>
              <w:tc>
                <w:tcPr>
                  <w:tcW w:w="3907" w:type="dxa"/>
                  <w:gridSpan w:val="3"/>
                  <w:noWrap w:val="0"/>
                  <w:vAlign w:val="center"/>
                </w:tcPr>
                <w:p w14:paraId="0C4190B4">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空间相对位置/m</w:t>
                  </w:r>
                </w:p>
              </w:tc>
              <w:tc>
                <w:tcPr>
                  <w:tcW w:w="1200" w:type="dxa"/>
                  <w:vMerge w:val="restart"/>
                  <w:noWrap w:val="0"/>
                  <w:vAlign w:val="center"/>
                </w:tcPr>
                <w:p w14:paraId="4705E577">
                  <w:pPr>
                    <w:pStyle w:val="2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声源源强</w:t>
                  </w:r>
                </w:p>
              </w:tc>
              <w:tc>
                <w:tcPr>
                  <w:tcW w:w="1719" w:type="dxa"/>
                  <w:vMerge w:val="restart"/>
                  <w:noWrap w:val="0"/>
                  <w:vAlign w:val="center"/>
                </w:tcPr>
                <w:p w14:paraId="2625DE2B">
                  <w:pPr>
                    <w:pStyle w:val="2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声源控制措施</w:t>
                  </w:r>
                </w:p>
              </w:tc>
              <w:tc>
                <w:tcPr>
                  <w:tcW w:w="1519" w:type="dxa"/>
                  <w:vMerge w:val="restart"/>
                  <w:noWrap w:val="0"/>
                  <w:vAlign w:val="center"/>
                </w:tcPr>
                <w:p w14:paraId="675DC2F8">
                  <w:pPr>
                    <w:pStyle w:val="2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运行时段</w:t>
                  </w:r>
                </w:p>
              </w:tc>
            </w:tr>
            <w:tr w14:paraId="03AB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715" w:type="dxa"/>
                  <w:vMerge w:val="continue"/>
                  <w:noWrap w:val="0"/>
                  <w:vAlign w:val="center"/>
                </w:tcPr>
                <w:p w14:paraId="626FEFCD">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p>
              </w:tc>
              <w:tc>
                <w:tcPr>
                  <w:tcW w:w="1756" w:type="dxa"/>
                  <w:vMerge w:val="continue"/>
                  <w:noWrap w:val="0"/>
                  <w:vAlign w:val="center"/>
                </w:tcPr>
                <w:p w14:paraId="0E7A6F04">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p>
              </w:tc>
              <w:tc>
                <w:tcPr>
                  <w:tcW w:w="1781" w:type="dxa"/>
                  <w:vMerge w:val="continue"/>
                  <w:noWrap w:val="0"/>
                  <w:vAlign w:val="center"/>
                </w:tcPr>
                <w:p w14:paraId="098013B3">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p>
              </w:tc>
              <w:tc>
                <w:tcPr>
                  <w:tcW w:w="1207" w:type="dxa"/>
                  <w:noWrap w:val="0"/>
                  <w:vAlign w:val="center"/>
                </w:tcPr>
                <w:p w14:paraId="69FAA1CE">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X</w:t>
                  </w:r>
                </w:p>
              </w:tc>
              <w:tc>
                <w:tcPr>
                  <w:tcW w:w="1373" w:type="dxa"/>
                  <w:noWrap w:val="0"/>
                  <w:vAlign w:val="center"/>
                </w:tcPr>
                <w:p w14:paraId="75B42D83">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Y</w:t>
                  </w:r>
                </w:p>
              </w:tc>
              <w:tc>
                <w:tcPr>
                  <w:tcW w:w="1327" w:type="dxa"/>
                  <w:noWrap w:val="0"/>
                  <w:vAlign w:val="center"/>
                </w:tcPr>
                <w:p w14:paraId="1E0D7126">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Z</w:t>
                  </w:r>
                </w:p>
              </w:tc>
              <w:tc>
                <w:tcPr>
                  <w:tcW w:w="1200" w:type="dxa"/>
                  <w:vMerge w:val="continue"/>
                  <w:noWrap w:val="0"/>
                  <w:vAlign w:val="center"/>
                </w:tcPr>
                <w:p w14:paraId="497C0426">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p>
              </w:tc>
              <w:tc>
                <w:tcPr>
                  <w:tcW w:w="1719" w:type="dxa"/>
                  <w:vMerge w:val="continue"/>
                  <w:noWrap w:val="0"/>
                  <w:vAlign w:val="center"/>
                </w:tcPr>
                <w:p w14:paraId="10DF4AA8">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p>
              </w:tc>
              <w:tc>
                <w:tcPr>
                  <w:tcW w:w="1519" w:type="dxa"/>
                  <w:vMerge w:val="continue"/>
                  <w:noWrap w:val="0"/>
                  <w:vAlign w:val="center"/>
                </w:tcPr>
                <w:p w14:paraId="3F3A4983">
                  <w:pPr>
                    <w:pStyle w:val="2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p>
              </w:tc>
            </w:tr>
            <w:tr w14:paraId="02FE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715" w:type="dxa"/>
                  <w:noWrap w:val="0"/>
                  <w:vAlign w:val="center"/>
                </w:tcPr>
                <w:p w14:paraId="68C592AC">
                  <w:pPr>
                    <w:pStyle w:val="2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c>
                <w:tcPr>
                  <w:tcW w:w="1756" w:type="dxa"/>
                  <w:noWrap w:val="0"/>
                  <w:vAlign w:val="center"/>
                </w:tcPr>
                <w:p w14:paraId="3EC807FC">
                  <w:pPr>
                    <w:pStyle w:val="2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风机</w:t>
                  </w:r>
                </w:p>
              </w:tc>
              <w:tc>
                <w:tcPr>
                  <w:tcW w:w="1781" w:type="dxa"/>
                  <w:noWrap w:val="0"/>
                  <w:vAlign w:val="center"/>
                </w:tcPr>
                <w:p w14:paraId="7C10CD3E">
                  <w:pPr>
                    <w:pStyle w:val="2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3</w:t>
                  </w:r>
                </w:p>
              </w:tc>
              <w:tc>
                <w:tcPr>
                  <w:tcW w:w="1207" w:type="dxa"/>
                  <w:noWrap w:val="0"/>
                  <w:vAlign w:val="center"/>
                </w:tcPr>
                <w:p w14:paraId="02865DAA">
                  <w:pPr>
                    <w:pStyle w:val="2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eastAsia="宋体" w:cs="Times New Roman"/>
                      <w:b w:val="0"/>
                      <w:bCs w:val="0"/>
                      <w:sz w:val="21"/>
                      <w:szCs w:val="21"/>
                      <w:vertAlign w:val="baseline"/>
                      <w:lang w:val="en-US" w:eastAsia="zh-CN"/>
                    </w:rPr>
                    <w:t>28.8</w:t>
                  </w:r>
                </w:p>
              </w:tc>
              <w:tc>
                <w:tcPr>
                  <w:tcW w:w="1373" w:type="dxa"/>
                  <w:noWrap w:val="0"/>
                  <w:vAlign w:val="center"/>
                </w:tcPr>
                <w:p w14:paraId="2ABED4A0">
                  <w:pPr>
                    <w:pStyle w:val="2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eastAsia="宋体" w:cs="Times New Roman"/>
                      <w:b w:val="0"/>
                      <w:bCs w:val="0"/>
                      <w:sz w:val="21"/>
                      <w:szCs w:val="21"/>
                      <w:vertAlign w:val="baseline"/>
                      <w:lang w:val="en-US" w:eastAsia="zh-CN"/>
                    </w:rPr>
                    <w:t>14.9</w:t>
                  </w:r>
                </w:p>
              </w:tc>
              <w:tc>
                <w:tcPr>
                  <w:tcW w:w="1327" w:type="dxa"/>
                  <w:noWrap w:val="0"/>
                  <w:vAlign w:val="center"/>
                </w:tcPr>
                <w:p w14:paraId="7A91326A">
                  <w:pPr>
                    <w:pStyle w:val="2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eastAsia="宋体" w:cs="Times New Roman"/>
                      <w:b w:val="0"/>
                      <w:bCs w:val="0"/>
                      <w:sz w:val="21"/>
                      <w:szCs w:val="21"/>
                      <w:vertAlign w:val="baseline"/>
                      <w:lang w:val="en-US" w:eastAsia="zh-CN"/>
                    </w:rPr>
                    <w:t>27.4</w:t>
                  </w:r>
                </w:p>
              </w:tc>
              <w:tc>
                <w:tcPr>
                  <w:tcW w:w="1200" w:type="dxa"/>
                  <w:noWrap w:val="0"/>
                  <w:vAlign w:val="center"/>
                </w:tcPr>
                <w:p w14:paraId="4B09E5E8">
                  <w:pPr>
                    <w:pStyle w:val="2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eastAsia="宋体" w:cs="Times New Roman"/>
                      <w:b w:val="0"/>
                      <w:bCs w:val="0"/>
                      <w:sz w:val="21"/>
                      <w:szCs w:val="21"/>
                      <w:vertAlign w:val="baseline"/>
                      <w:lang w:val="en-US" w:eastAsia="zh-CN"/>
                    </w:rPr>
                    <w:t>90</w:t>
                  </w:r>
                </w:p>
              </w:tc>
              <w:tc>
                <w:tcPr>
                  <w:tcW w:w="1719" w:type="dxa"/>
                  <w:noWrap w:val="0"/>
                  <w:vAlign w:val="center"/>
                </w:tcPr>
                <w:p w14:paraId="26418783">
                  <w:pPr>
                    <w:pStyle w:val="2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选用低噪声设备、</w:t>
                  </w:r>
                  <w:r>
                    <w:rPr>
                      <w:rFonts w:hint="eastAsia" w:ascii="Times New Roman" w:hAnsi="Times New Roman" w:eastAsia="宋体" w:cs="Times New Roman"/>
                      <w:b w:val="0"/>
                      <w:bCs w:val="0"/>
                      <w:sz w:val="21"/>
                      <w:szCs w:val="21"/>
                      <w:vertAlign w:val="baseline"/>
                      <w:lang w:val="en-US" w:eastAsia="zh-CN"/>
                    </w:rPr>
                    <w:t>设置隔声罩</w:t>
                  </w:r>
                </w:p>
              </w:tc>
              <w:tc>
                <w:tcPr>
                  <w:tcW w:w="1519" w:type="dxa"/>
                  <w:noWrap w:val="0"/>
                  <w:vAlign w:val="center"/>
                </w:tcPr>
                <w:p w14:paraId="40109DE3">
                  <w:pPr>
                    <w:pStyle w:val="2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昼间连续运行</w:t>
                  </w:r>
                </w:p>
              </w:tc>
            </w:tr>
            <w:tr w14:paraId="2EF95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715" w:type="dxa"/>
                  <w:noWrap w:val="0"/>
                  <w:vAlign w:val="center"/>
                </w:tcPr>
                <w:p w14:paraId="00CE4C27">
                  <w:pPr>
                    <w:pStyle w:val="2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w:t>
                  </w:r>
                </w:p>
              </w:tc>
              <w:tc>
                <w:tcPr>
                  <w:tcW w:w="1756" w:type="dxa"/>
                  <w:noWrap w:val="0"/>
                  <w:vAlign w:val="center"/>
                </w:tcPr>
                <w:p w14:paraId="76DAE557">
                  <w:pPr>
                    <w:pStyle w:val="2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污水处理站</w:t>
                  </w:r>
                </w:p>
              </w:tc>
              <w:tc>
                <w:tcPr>
                  <w:tcW w:w="1781" w:type="dxa"/>
                  <w:noWrap w:val="0"/>
                  <w:vAlign w:val="center"/>
                </w:tcPr>
                <w:p w14:paraId="7AA98701">
                  <w:pPr>
                    <w:pStyle w:val="2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1</w:t>
                  </w:r>
                </w:p>
              </w:tc>
              <w:tc>
                <w:tcPr>
                  <w:tcW w:w="1207" w:type="dxa"/>
                  <w:noWrap w:val="0"/>
                  <w:vAlign w:val="center"/>
                </w:tcPr>
                <w:p w14:paraId="4C8CF11A">
                  <w:pPr>
                    <w:pStyle w:val="2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eastAsia="宋体" w:cs="Times New Roman"/>
                      <w:b w:val="0"/>
                      <w:bCs w:val="0"/>
                      <w:sz w:val="21"/>
                      <w:szCs w:val="21"/>
                      <w:vertAlign w:val="baseline"/>
                      <w:lang w:val="en-US" w:eastAsia="zh-CN"/>
                    </w:rPr>
                  </w:pPr>
                  <w:r>
                    <w:rPr>
                      <w:rFonts w:hint="eastAsia" w:ascii="Times New Roman" w:eastAsia="宋体" w:cs="Times New Roman"/>
                      <w:b w:val="0"/>
                      <w:bCs w:val="0"/>
                      <w:sz w:val="21"/>
                      <w:szCs w:val="21"/>
                      <w:vertAlign w:val="baseline"/>
                      <w:lang w:val="en-US" w:eastAsia="zh-CN"/>
                    </w:rPr>
                    <w:t>-8.0</w:t>
                  </w:r>
                </w:p>
              </w:tc>
              <w:tc>
                <w:tcPr>
                  <w:tcW w:w="1373" w:type="dxa"/>
                  <w:noWrap w:val="0"/>
                  <w:vAlign w:val="center"/>
                </w:tcPr>
                <w:p w14:paraId="315945BE">
                  <w:pPr>
                    <w:pStyle w:val="2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eastAsia="宋体" w:cs="Times New Roman"/>
                      <w:b w:val="0"/>
                      <w:bCs w:val="0"/>
                      <w:sz w:val="21"/>
                      <w:szCs w:val="21"/>
                      <w:vertAlign w:val="baseline"/>
                      <w:lang w:val="en-US" w:eastAsia="zh-CN"/>
                    </w:rPr>
                  </w:pPr>
                  <w:r>
                    <w:rPr>
                      <w:rFonts w:hint="eastAsia" w:ascii="Times New Roman" w:eastAsia="宋体" w:cs="Times New Roman"/>
                      <w:b w:val="0"/>
                      <w:bCs w:val="0"/>
                      <w:sz w:val="21"/>
                      <w:szCs w:val="21"/>
                      <w:vertAlign w:val="baseline"/>
                      <w:lang w:val="en-US" w:eastAsia="zh-CN"/>
                    </w:rPr>
                    <w:t>88.3</w:t>
                  </w:r>
                </w:p>
              </w:tc>
              <w:tc>
                <w:tcPr>
                  <w:tcW w:w="1327" w:type="dxa"/>
                  <w:noWrap w:val="0"/>
                  <w:vAlign w:val="center"/>
                </w:tcPr>
                <w:p w14:paraId="31C68180">
                  <w:pPr>
                    <w:pStyle w:val="2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eastAsia="宋体" w:cs="Times New Roman"/>
                      <w:b w:val="0"/>
                      <w:bCs w:val="0"/>
                      <w:sz w:val="21"/>
                      <w:szCs w:val="21"/>
                      <w:vertAlign w:val="baseline"/>
                      <w:lang w:val="en-US" w:eastAsia="zh-CN"/>
                    </w:rPr>
                  </w:pPr>
                  <w:r>
                    <w:rPr>
                      <w:rFonts w:hint="eastAsia" w:ascii="Times New Roman" w:eastAsia="宋体" w:cs="Times New Roman"/>
                      <w:b w:val="0"/>
                      <w:bCs w:val="0"/>
                      <w:sz w:val="21"/>
                      <w:szCs w:val="21"/>
                      <w:vertAlign w:val="baseline"/>
                      <w:lang w:val="en-US" w:eastAsia="zh-CN"/>
                    </w:rPr>
                    <w:t>26.8</w:t>
                  </w:r>
                </w:p>
              </w:tc>
              <w:tc>
                <w:tcPr>
                  <w:tcW w:w="1200" w:type="dxa"/>
                  <w:noWrap w:val="0"/>
                  <w:vAlign w:val="center"/>
                </w:tcPr>
                <w:p w14:paraId="310217E3">
                  <w:pPr>
                    <w:pStyle w:val="2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eastAsia="宋体" w:cs="Times New Roman"/>
                      <w:b w:val="0"/>
                      <w:bCs w:val="0"/>
                      <w:sz w:val="21"/>
                      <w:szCs w:val="21"/>
                      <w:vertAlign w:val="baseline"/>
                      <w:lang w:val="en-US" w:eastAsia="zh-CN"/>
                    </w:rPr>
                  </w:pPr>
                  <w:r>
                    <w:rPr>
                      <w:rFonts w:hint="eastAsia" w:ascii="Times New Roman" w:eastAsia="宋体" w:cs="Times New Roman"/>
                      <w:b w:val="0"/>
                      <w:bCs w:val="0"/>
                      <w:sz w:val="21"/>
                      <w:szCs w:val="21"/>
                      <w:vertAlign w:val="baseline"/>
                      <w:lang w:val="en-US" w:eastAsia="zh-CN"/>
                    </w:rPr>
                    <w:t>80</w:t>
                  </w:r>
                </w:p>
              </w:tc>
              <w:tc>
                <w:tcPr>
                  <w:tcW w:w="1719" w:type="dxa"/>
                  <w:noWrap w:val="0"/>
                  <w:vAlign w:val="center"/>
                </w:tcPr>
                <w:p w14:paraId="127F04D3">
                  <w:pPr>
                    <w:pStyle w:val="2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池体实行封闭处理，四周安装隔声罩</w:t>
                  </w:r>
                </w:p>
              </w:tc>
              <w:tc>
                <w:tcPr>
                  <w:tcW w:w="1519" w:type="dxa"/>
                  <w:noWrap w:val="0"/>
                  <w:vAlign w:val="center"/>
                </w:tcPr>
                <w:p w14:paraId="17BC20C7">
                  <w:pPr>
                    <w:pStyle w:val="2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昼</w:t>
                  </w:r>
                  <w:r>
                    <w:rPr>
                      <w:rFonts w:hint="eastAsia" w:ascii="Times New Roman" w:hAnsi="Times New Roman" w:eastAsia="宋体" w:cs="Times New Roman"/>
                      <w:b w:val="0"/>
                      <w:bCs w:val="0"/>
                      <w:sz w:val="21"/>
                      <w:szCs w:val="21"/>
                      <w:vertAlign w:val="baseline"/>
                      <w:lang w:val="en-US" w:eastAsia="zh-CN"/>
                    </w:rPr>
                    <w:t>间</w:t>
                  </w:r>
                  <w:r>
                    <w:rPr>
                      <w:rFonts w:hint="default" w:ascii="Times New Roman" w:hAnsi="Times New Roman" w:eastAsia="宋体" w:cs="Times New Roman"/>
                      <w:b w:val="0"/>
                      <w:bCs w:val="0"/>
                      <w:sz w:val="21"/>
                      <w:szCs w:val="21"/>
                      <w:vertAlign w:val="baseline"/>
                      <w:lang w:val="en-US" w:eastAsia="zh-CN"/>
                    </w:rPr>
                    <w:t>连续运行</w:t>
                  </w:r>
                </w:p>
              </w:tc>
            </w:tr>
          </w:tbl>
          <w:p w14:paraId="349885E7">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ascii="Times New Roman" w:hAnsi="Times New Roman" w:eastAsia="黑体"/>
                <w:snapToGrid w:val="0"/>
                <w:sz w:val="30"/>
                <w:szCs w:val="30"/>
                <w:vertAlign w:val="baseline"/>
                <w:lang w:val="en-US" w:eastAsia="zh-CN"/>
              </w:rPr>
            </w:pPr>
            <w:r>
              <w:rPr>
                <w:rFonts w:hint="eastAsia" w:ascii="Times New Roman" w:hAnsi="Times New Roman" w:eastAsia="宋体" w:cs="Times New Roman"/>
                <w:b w:val="0"/>
                <w:bCs/>
                <w:sz w:val="21"/>
                <w:szCs w:val="21"/>
                <w:lang w:val="en-US" w:eastAsia="zh-CN"/>
              </w:rPr>
              <w:t>备注：</w:t>
            </w:r>
            <w:r>
              <w:rPr>
                <w:rFonts w:hint="default" w:ascii="Times New Roman" w:hAnsi="Times New Roman" w:eastAsia="宋体" w:cs="Times New Roman"/>
                <w:b w:val="0"/>
                <w:bCs/>
                <w:sz w:val="21"/>
                <w:szCs w:val="21"/>
                <w:lang w:val="en-US" w:eastAsia="zh-CN"/>
              </w:rPr>
              <w:t>表中坐标以</w:t>
            </w:r>
            <w:r>
              <w:rPr>
                <w:rFonts w:hint="eastAsia" w:ascii="Times New Roman" w:hAnsi="Times New Roman" w:eastAsia="宋体" w:cs="Times New Roman"/>
                <w:b w:val="0"/>
                <w:bCs/>
                <w:sz w:val="21"/>
                <w:szCs w:val="21"/>
                <w:lang w:val="en-US" w:eastAsia="zh-CN"/>
              </w:rPr>
              <w:t>厂</w:t>
            </w:r>
            <w:r>
              <w:rPr>
                <w:rFonts w:hint="eastAsia" w:ascii="Times New Roman" w:hAnsi="Times New Roman" w:eastAsia="宋体" w:cs="Times New Roman"/>
                <w:bCs/>
                <w:kern w:val="2"/>
                <w:sz w:val="21"/>
                <w:szCs w:val="21"/>
                <w:lang w:val="en-US" w:eastAsia="zh-CN" w:bidi="ar-SA"/>
              </w:rPr>
              <w:t>址</w:t>
            </w:r>
            <w:r>
              <w:rPr>
                <w:rFonts w:hint="default" w:ascii="Times New Roman" w:hAnsi="Times New Roman" w:eastAsia="宋体" w:cs="Times New Roman"/>
                <w:bCs/>
                <w:kern w:val="2"/>
                <w:sz w:val="21"/>
                <w:szCs w:val="21"/>
                <w:lang w:val="en-US" w:eastAsia="zh-CN" w:bidi="ar-SA"/>
              </w:rPr>
              <w:t>中心（</w:t>
            </w:r>
            <w:r>
              <w:rPr>
                <w:rFonts w:hint="eastAsia" w:ascii="Times New Roman" w:hAnsi="Times New Roman" w:eastAsia="宋体" w:cs="Times New Roman"/>
                <w:bCs/>
                <w:kern w:val="2"/>
                <w:sz w:val="21"/>
                <w:szCs w:val="21"/>
                <w:lang w:val="en-US" w:eastAsia="zh-CN" w:bidi="ar-SA"/>
              </w:rPr>
              <w:t>117.085584，33.615258</w:t>
            </w:r>
            <w:r>
              <w:rPr>
                <w:rFonts w:hint="default" w:ascii="Times New Roman" w:hAnsi="Times New Roman" w:eastAsia="宋体" w:cs="Times New Roman"/>
                <w:bCs/>
                <w:kern w:val="2"/>
                <w:sz w:val="21"/>
                <w:szCs w:val="21"/>
                <w:lang w:val="en-US" w:eastAsia="zh-CN" w:bidi="ar-SA"/>
              </w:rPr>
              <w:t>）</w:t>
            </w:r>
            <w:r>
              <w:rPr>
                <w:rFonts w:hint="default" w:ascii="Times New Roman" w:hAnsi="Times New Roman" w:eastAsia="宋体" w:cs="Times New Roman"/>
                <w:b w:val="0"/>
                <w:bCs/>
                <w:sz w:val="21"/>
                <w:szCs w:val="21"/>
                <w:lang w:val="en-US" w:eastAsia="zh-CN"/>
              </w:rPr>
              <w:t>为坐标原点，正东向为X轴正方向，正北向为Y轴正方向</w:t>
            </w:r>
            <w:r>
              <w:rPr>
                <w:rFonts w:hint="default" w:ascii="Times New Roman" w:hAnsi="Times New Roman" w:cs="Times New Roman"/>
                <w:b w:val="0"/>
                <w:bCs/>
                <w:sz w:val="21"/>
                <w:szCs w:val="21"/>
                <w:lang w:val="en-US" w:eastAsia="zh-CN"/>
              </w:rPr>
              <w:t>，Z为</w:t>
            </w:r>
            <w:r>
              <w:rPr>
                <w:rFonts w:hint="eastAsia" w:cs="Times New Roman"/>
                <w:b w:val="0"/>
                <w:bCs/>
                <w:sz w:val="21"/>
                <w:szCs w:val="21"/>
                <w:lang w:val="en-US" w:eastAsia="zh-CN"/>
              </w:rPr>
              <w:t>高程</w:t>
            </w:r>
            <w:r>
              <w:rPr>
                <w:rFonts w:hint="eastAsia" w:ascii="Times New Roman" w:hAnsi="Times New Roman" w:eastAsia="宋体" w:cs="Times New Roman"/>
                <w:b w:val="0"/>
                <w:bCs/>
                <w:sz w:val="21"/>
                <w:szCs w:val="21"/>
                <w:lang w:val="en-US" w:eastAsia="zh-CN"/>
              </w:rPr>
              <w:t>。</w:t>
            </w:r>
          </w:p>
          <w:p w14:paraId="02D88AA7">
            <w:pPr>
              <w:rPr>
                <w:rFonts w:hint="eastAsia"/>
                <w:bCs/>
                <w:szCs w:val="21"/>
              </w:rPr>
            </w:pPr>
          </w:p>
          <w:p w14:paraId="7B508164">
            <w:pPr>
              <w:rPr>
                <w:rFonts w:hint="eastAsia"/>
                <w:bCs/>
                <w:szCs w:val="21"/>
              </w:rPr>
            </w:pPr>
          </w:p>
          <w:p w14:paraId="470A4B44">
            <w:pPr>
              <w:rPr>
                <w:rFonts w:hint="eastAsia"/>
                <w:bCs/>
                <w:szCs w:val="21"/>
              </w:rPr>
            </w:pPr>
          </w:p>
          <w:p w14:paraId="2357E198">
            <w:pPr>
              <w:rPr>
                <w:rFonts w:hint="eastAsia"/>
                <w:bCs/>
                <w:szCs w:val="21"/>
              </w:rPr>
            </w:pPr>
          </w:p>
          <w:p w14:paraId="65EF8770">
            <w:pPr>
              <w:rPr>
                <w:rFonts w:hint="eastAsia"/>
                <w:bCs/>
                <w:szCs w:val="21"/>
              </w:rPr>
            </w:pPr>
          </w:p>
          <w:p w14:paraId="7C5B4DFD">
            <w:pPr>
              <w:rPr>
                <w:rFonts w:hint="eastAsia"/>
                <w:bCs/>
                <w:szCs w:val="21"/>
              </w:rPr>
            </w:pPr>
          </w:p>
          <w:p w14:paraId="028016B3">
            <w:pPr>
              <w:pStyle w:val="31"/>
              <w:ind w:left="0" w:leftChars="0" w:firstLine="0" w:firstLineChars="0"/>
              <w:rPr>
                <w:rFonts w:hint="eastAsia"/>
                <w:vertAlign w:val="baseline"/>
                <w:lang w:val="en-US" w:eastAsia="zh-CN"/>
              </w:rPr>
            </w:pPr>
          </w:p>
        </w:tc>
      </w:tr>
    </w:tbl>
    <w:p w14:paraId="506C3625">
      <w:pPr>
        <w:pStyle w:val="29"/>
        <w:rPr>
          <w:rFonts w:hint="eastAsia" w:ascii="Times New Roman" w:hAnsi="Times New Roman" w:eastAsia="宋体"/>
          <w:lang w:val="en-US" w:eastAsia="zh-CN"/>
        </w:rPr>
        <w:sectPr>
          <w:pgSz w:w="16840" w:h="11907" w:orient="landscape"/>
          <w:pgMar w:top="1531" w:right="1701" w:bottom="1531" w:left="2127" w:header="851" w:footer="850" w:gutter="0"/>
          <w:pgNumType w:fmt="decimal"/>
          <w:cols w:space="0" w:num="1"/>
          <w:rtlGutter w:val="0"/>
          <w:docGrid w:linePitch="312" w:charSpace="0"/>
        </w:sectPr>
      </w:pPr>
    </w:p>
    <w:tbl>
      <w:tblPr>
        <w:tblStyle w:val="24"/>
        <w:tblW w:w="9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8184"/>
      </w:tblGrid>
      <w:tr w14:paraId="07102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0" w:type="dxa"/>
            <w:noWrap w:val="0"/>
            <w:vAlign w:val="top"/>
          </w:tcPr>
          <w:p w14:paraId="50514E67">
            <w:pPr>
              <w:pStyle w:val="20"/>
              <w:jc w:val="center"/>
              <w:outlineLvl w:val="0"/>
              <w:rPr>
                <w:rFonts w:hint="eastAsia" w:ascii="Times New Roman" w:hAnsi="Times New Roman"/>
                <w:snapToGrid w:val="0"/>
                <w:sz w:val="30"/>
                <w:szCs w:val="30"/>
              </w:rPr>
            </w:pPr>
          </w:p>
        </w:tc>
        <w:tc>
          <w:tcPr>
            <w:tcW w:w="8184" w:type="dxa"/>
            <w:noWrap w:val="0"/>
            <w:vAlign w:val="top"/>
          </w:tcPr>
          <w:p w14:paraId="762C7778">
            <w:pPr>
              <w:spacing w:line="360" w:lineRule="auto"/>
              <w:rPr>
                <w:b/>
                <w:bCs/>
                <w:sz w:val="24"/>
              </w:rPr>
            </w:pPr>
            <w:r>
              <w:rPr>
                <w:rFonts w:hint="eastAsia"/>
                <w:b/>
                <w:bCs/>
                <w:sz w:val="24"/>
              </w:rPr>
              <w:t>4.4.2</w:t>
            </w:r>
            <w:r>
              <w:rPr>
                <w:rFonts w:hint="eastAsia"/>
                <w:b/>
                <w:bCs/>
                <w:snapToGrid w:val="0"/>
                <w:sz w:val="24"/>
                <w:szCs w:val="32"/>
              </w:rPr>
              <w:t>厂界</w:t>
            </w:r>
            <w:r>
              <w:rPr>
                <w:b/>
                <w:bCs/>
                <w:snapToGrid w:val="0"/>
                <w:sz w:val="24"/>
                <w:szCs w:val="32"/>
              </w:rPr>
              <w:t>达标情况分析</w:t>
            </w:r>
          </w:p>
          <w:p w14:paraId="7A74E9C8">
            <w:pPr>
              <w:spacing w:line="360" w:lineRule="auto"/>
              <w:ind w:firstLine="480" w:firstLineChars="200"/>
              <w:rPr>
                <w:sz w:val="24"/>
              </w:rPr>
            </w:pPr>
            <w:r>
              <w:rPr>
                <w:sz w:val="24"/>
              </w:rPr>
              <w:t>建设单位通过对高噪声设备安装减震垫，厂房隔声等措施降低营运期噪声对周边环境的影响。本次环评采用《环境影响评价技术导则 声环境》（HJ2.4-2</w:t>
            </w:r>
            <w:r>
              <w:rPr>
                <w:rFonts w:hint="eastAsia"/>
                <w:sz w:val="24"/>
              </w:rPr>
              <w:t>021</w:t>
            </w:r>
            <w:r>
              <w:rPr>
                <w:sz w:val="24"/>
              </w:rPr>
              <w:t>）中推荐模式对营运期厂界噪声进行预测，</w:t>
            </w:r>
            <w:r>
              <w:rPr>
                <w:rFonts w:hint="eastAsia"/>
                <w:sz w:val="24"/>
              </w:rPr>
              <w:t>预测方法如下。</w:t>
            </w:r>
          </w:p>
          <w:p w14:paraId="462D5150">
            <w:pPr>
              <w:spacing w:line="360" w:lineRule="auto"/>
              <w:ind w:left="523"/>
              <w:rPr>
                <w:snapToGrid w:val="0"/>
                <w:kern w:val="0"/>
                <w:sz w:val="24"/>
              </w:rPr>
            </w:pPr>
            <w:r>
              <w:rPr>
                <w:snapToGrid w:val="0"/>
                <w:kern w:val="0"/>
                <w:sz w:val="24"/>
              </w:rPr>
              <w:t>（1）室内声源等效室外声源声功率级计算方法</w:t>
            </w:r>
          </w:p>
          <w:p w14:paraId="50DB63A4">
            <w:pPr>
              <w:spacing w:line="360" w:lineRule="auto"/>
              <w:ind w:firstLine="496" w:firstLineChars="200"/>
              <w:rPr>
                <w:kern w:val="0"/>
                <w:sz w:val="24"/>
              </w:rPr>
            </w:pPr>
            <w:r>
              <w:rPr>
                <w:rFonts w:hint="eastAsia" w:ascii="宋体" w:hAnsi="宋体" w:cs="宋体"/>
                <w:spacing w:val="4"/>
                <w:sz w:val="24"/>
              </w:rPr>
              <w:t>①</w:t>
            </w:r>
            <w:r>
              <w:rPr>
                <w:spacing w:val="4"/>
                <w:sz w:val="24"/>
              </w:rPr>
              <w:t>计算某一室内声源靠近围护结构处产生的倍频带声压级或</w:t>
            </w:r>
            <w:r>
              <w:rPr>
                <w:sz w:val="24"/>
              </w:rPr>
              <w:t>A</w:t>
            </w:r>
            <w:r>
              <w:rPr>
                <w:spacing w:val="4"/>
                <w:sz w:val="24"/>
              </w:rPr>
              <w:t>声级</w:t>
            </w:r>
            <w:r>
              <w:rPr>
                <w:spacing w:val="2"/>
                <w:sz w:val="24"/>
              </w:rPr>
              <w:t>：</w:t>
            </w:r>
          </w:p>
          <w:p w14:paraId="0E061AC6">
            <w:pPr>
              <w:tabs>
                <w:tab w:val="left" w:pos="-160"/>
              </w:tabs>
              <w:spacing w:line="360" w:lineRule="auto"/>
              <w:ind w:firstLine="480" w:firstLineChars="200"/>
              <w:jc w:val="center"/>
              <w:rPr>
                <w:snapToGrid w:val="0"/>
                <w:kern w:val="0"/>
                <w:sz w:val="24"/>
              </w:rPr>
            </w:pPr>
            <w:r>
              <w:rPr>
                <w:rFonts w:hint="eastAsia"/>
                <w:i/>
                <w:iCs/>
                <w:snapToGrid w:val="0"/>
                <w:kern w:val="0"/>
                <w:sz w:val="24"/>
              </w:rPr>
              <w:t>L</w:t>
            </w:r>
            <w:r>
              <w:rPr>
                <w:rFonts w:hint="eastAsia"/>
                <w:i/>
                <w:iCs/>
                <w:snapToGrid w:val="0"/>
                <w:kern w:val="0"/>
                <w:sz w:val="24"/>
                <w:vertAlign w:val="subscript"/>
              </w:rPr>
              <w:t>pl</w:t>
            </w:r>
            <w:r>
              <w:rPr>
                <w:rFonts w:hint="eastAsia"/>
                <w:i/>
                <w:iCs/>
                <w:snapToGrid w:val="0"/>
                <w:kern w:val="0"/>
                <w:sz w:val="24"/>
              </w:rPr>
              <w:t>=L</w:t>
            </w:r>
            <w:r>
              <w:rPr>
                <w:rFonts w:hint="eastAsia"/>
                <w:i/>
                <w:iCs/>
                <w:snapToGrid w:val="0"/>
                <w:kern w:val="0"/>
                <w:sz w:val="24"/>
                <w:vertAlign w:val="subscript"/>
              </w:rPr>
              <w:t>w</w:t>
            </w:r>
            <w:r>
              <w:rPr>
                <w:rFonts w:hint="eastAsia"/>
                <w:i/>
                <w:iCs/>
                <w:snapToGrid w:val="0"/>
                <w:kern w:val="0"/>
                <w:sz w:val="24"/>
              </w:rPr>
              <w:t>+10lg（</w:t>
            </w:r>
            <w:r>
              <w:rPr>
                <w:rFonts w:hint="eastAsia"/>
                <w:i/>
                <w:iCs/>
                <w:snapToGrid w:val="0"/>
                <w:kern w:val="0"/>
                <w:position w:val="-24"/>
                <w:sz w:val="24"/>
              </w:rPr>
              <w:object>
                <v:shape id="_x0000_i1028" o:spt="75" type="#_x0000_t75" style="height:31pt;width:51pt;" o:ole="t" filled="f" o:preferrelative="t" stroked="f" coordsize="21600,21600">
                  <v:path/>
                  <v:fill on="f" focussize="0,0"/>
                  <v:stroke on="f"/>
                  <v:imagedata r:id="rId28" o:title=""/>
                  <o:lock v:ext="edit" aspectratio="t"/>
                  <w10:wrap type="none"/>
                  <w10:anchorlock/>
                </v:shape>
                <o:OLEObject Type="Embed" ProgID="Equation.KSEE3" ShapeID="_x0000_i1028" DrawAspect="Content" ObjectID="_1468075728" r:id="rId27">
                  <o:LockedField>false</o:LockedField>
                </o:OLEObject>
              </w:object>
            </w:r>
            <w:r>
              <w:rPr>
                <w:rFonts w:hint="eastAsia"/>
                <w:snapToGrid w:val="0"/>
                <w:kern w:val="0"/>
                <w:sz w:val="24"/>
              </w:rPr>
              <w:t>）</w:t>
            </w:r>
          </w:p>
          <w:p w14:paraId="4412A011">
            <w:pPr>
              <w:tabs>
                <w:tab w:val="left" w:pos="-160"/>
              </w:tabs>
              <w:spacing w:line="360" w:lineRule="auto"/>
              <w:ind w:firstLine="480" w:firstLineChars="200"/>
              <w:rPr>
                <w:snapToGrid w:val="0"/>
                <w:kern w:val="0"/>
                <w:sz w:val="24"/>
              </w:rPr>
            </w:pPr>
            <w:r>
              <w:rPr>
                <w:snapToGrid w:val="0"/>
                <w:kern w:val="0"/>
                <w:sz w:val="24"/>
              </w:rPr>
              <w:t xml:space="preserve">式中： </w:t>
            </w:r>
            <w:r>
              <w:rPr>
                <w:i/>
                <w:iCs/>
                <w:snapToGrid w:val="0"/>
                <w:kern w:val="0"/>
                <w:sz w:val="24"/>
              </w:rPr>
              <w:t>L</w:t>
            </w:r>
            <w:r>
              <w:rPr>
                <w:i/>
                <w:iCs/>
                <w:snapToGrid w:val="0"/>
                <w:kern w:val="0"/>
                <w:sz w:val="24"/>
                <w:vertAlign w:val="subscript"/>
              </w:rPr>
              <w:t>p1</w:t>
            </w:r>
            <w:r>
              <w:rPr>
                <w:snapToGrid w:val="0"/>
                <w:kern w:val="0"/>
                <w:sz w:val="24"/>
              </w:rPr>
              <w:t>—靠近开口处</w:t>
            </w:r>
            <w:r>
              <w:rPr>
                <w:rFonts w:hint="eastAsia"/>
                <w:snapToGrid w:val="0"/>
                <w:kern w:val="0"/>
                <w:sz w:val="24"/>
              </w:rPr>
              <w:t>（</w:t>
            </w:r>
            <w:r>
              <w:rPr>
                <w:snapToGrid w:val="0"/>
                <w:kern w:val="0"/>
                <w:sz w:val="24"/>
              </w:rPr>
              <w:t>或窗户</w:t>
            </w:r>
            <w:r>
              <w:rPr>
                <w:rFonts w:hint="eastAsia"/>
                <w:snapToGrid w:val="0"/>
                <w:kern w:val="0"/>
                <w:sz w:val="24"/>
              </w:rPr>
              <w:t>）</w:t>
            </w:r>
            <w:r>
              <w:rPr>
                <w:snapToGrid w:val="0"/>
                <w:kern w:val="0"/>
                <w:sz w:val="24"/>
              </w:rPr>
              <w:t>室内某倍频带声压级或A声级，dB；</w:t>
            </w:r>
          </w:p>
          <w:p w14:paraId="113B3C61">
            <w:pPr>
              <w:tabs>
                <w:tab w:val="left" w:pos="-160"/>
              </w:tabs>
              <w:spacing w:line="360" w:lineRule="auto"/>
              <w:ind w:firstLine="1200" w:firstLineChars="500"/>
              <w:rPr>
                <w:snapToGrid w:val="0"/>
                <w:kern w:val="0"/>
                <w:sz w:val="24"/>
              </w:rPr>
            </w:pPr>
            <w:r>
              <w:rPr>
                <w:i/>
                <w:iCs/>
                <w:snapToGrid w:val="0"/>
                <w:kern w:val="0"/>
                <w:sz w:val="24"/>
              </w:rPr>
              <w:t>L</w:t>
            </w:r>
            <w:r>
              <w:rPr>
                <w:i/>
                <w:iCs/>
                <w:snapToGrid w:val="0"/>
                <w:kern w:val="0"/>
                <w:sz w:val="24"/>
                <w:vertAlign w:val="subscript"/>
              </w:rPr>
              <w:t>w</w:t>
            </w:r>
            <w:r>
              <w:rPr>
                <w:snapToGrid w:val="0"/>
                <w:kern w:val="0"/>
                <w:sz w:val="24"/>
              </w:rPr>
              <w:t xml:space="preserve"> — 点声源声功率级</w:t>
            </w:r>
            <w:r>
              <w:rPr>
                <w:rFonts w:hint="eastAsia"/>
                <w:snapToGrid w:val="0"/>
                <w:kern w:val="0"/>
                <w:sz w:val="24"/>
              </w:rPr>
              <w:t>（</w:t>
            </w:r>
            <w:r>
              <w:rPr>
                <w:snapToGrid w:val="0"/>
                <w:kern w:val="0"/>
                <w:sz w:val="24"/>
              </w:rPr>
              <w:t>A计权或倍频带</w:t>
            </w:r>
            <w:r>
              <w:rPr>
                <w:rFonts w:hint="eastAsia"/>
                <w:snapToGrid w:val="0"/>
                <w:kern w:val="0"/>
                <w:sz w:val="24"/>
              </w:rPr>
              <w:t>），</w:t>
            </w:r>
            <w:r>
              <w:rPr>
                <w:snapToGrid w:val="0"/>
                <w:kern w:val="0"/>
                <w:sz w:val="24"/>
              </w:rPr>
              <w:t>dB；</w:t>
            </w:r>
          </w:p>
          <w:p w14:paraId="45BF4A0A">
            <w:pPr>
              <w:tabs>
                <w:tab w:val="left" w:pos="-160"/>
              </w:tabs>
              <w:spacing w:line="360" w:lineRule="auto"/>
              <w:ind w:firstLine="1200" w:firstLineChars="500"/>
              <w:rPr>
                <w:snapToGrid w:val="0"/>
                <w:kern w:val="0"/>
                <w:sz w:val="24"/>
              </w:rPr>
            </w:pPr>
            <w:r>
              <w:rPr>
                <w:i/>
                <w:iCs/>
                <w:snapToGrid w:val="0"/>
                <w:kern w:val="0"/>
                <w:sz w:val="24"/>
              </w:rPr>
              <w:t>Q</w:t>
            </w:r>
            <w:r>
              <w:rPr>
                <w:snapToGrid w:val="0"/>
                <w:kern w:val="0"/>
                <w:sz w:val="24"/>
              </w:rPr>
              <w:t xml:space="preserve"> —指向性因数；通常对无指向性声源，当声源放在房间中心时，</w:t>
            </w:r>
            <w:r>
              <w:rPr>
                <w:i/>
                <w:iCs/>
                <w:snapToGrid w:val="0"/>
                <w:kern w:val="0"/>
                <w:sz w:val="24"/>
              </w:rPr>
              <w:t>Q</w:t>
            </w:r>
            <w:r>
              <w:rPr>
                <w:snapToGrid w:val="0"/>
                <w:kern w:val="0"/>
                <w:sz w:val="24"/>
              </w:rPr>
              <w:t>=1；当放在一面墙的中心时，</w:t>
            </w:r>
            <w:r>
              <w:rPr>
                <w:i/>
                <w:iCs/>
                <w:snapToGrid w:val="0"/>
                <w:kern w:val="0"/>
                <w:sz w:val="24"/>
              </w:rPr>
              <w:t>Q</w:t>
            </w:r>
            <w:r>
              <w:rPr>
                <w:snapToGrid w:val="0"/>
                <w:kern w:val="0"/>
                <w:sz w:val="24"/>
              </w:rPr>
              <w:t>=2；当放在两面墙夹角处时，</w:t>
            </w:r>
            <w:r>
              <w:rPr>
                <w:i/>
                <w:iCs/>
                <w:snapToGrid w:val="0"/>
                <w:kern w:val="0"/>
                <w:sz w:val="24"/>
              </w:rPr>
              <w:t>Q</w:t>
            </w:r>
            <w:r>
              <w:rPr>
                <w:snapToGrid w:val="0"/>
                <w:kern w:val="0"/>
                <w:sz w:val="24"/>
              </w:rPr>
              <w:t>=4；当放在三面墙夹角处时，</w:t>
            </w:r>
            <w:r>
              <w:rPr>
                <w:i/>
                <w:iCs/>
                <w:snapToGrid w:val="0"/>
                <w:kern w:val="0"/>
                <w:sz w:val="24"/>
              </w:rPr>
              <w:t>Q</w:t>
            </w:r>
            <w:r>
              <w:rPr>
                <w:snapToGrid w:val="0"/>
                <w:kern w:val="0"/>
                <w:sz w:val="24"/>
              </w:rPr>
              <w:t>=8；</w:t>
            </w:r>
          </w:p>
          <w:p w14:paraId="46A4EAA9">
            <w:pPr>
              <w:tabs>
                <w:tab w:val="left" w:pos="-160"/>
              </w:tabs>
              <w:spacing w:line="360" w:lineRule="auto"/>
              <w:ind w:firstLine="1200" w:firstLineChars="500"/>
              <w:rPr>
                <w:snapToGrid w:val="0"/>
                <w:kern w:val="0"/>
                <w:sz w:val="24"/>
              </w:rPr>
            </w:pPr>
            <w:r>
              <w:rPr>
                <w:i/>
                <w:iCs/>
                <w:snapToGrid w:val="0"/>
                <w:kern w:val="0"/>
                <w:sz w:val="24"/>
              </w:rPr>
              <w:t>R</w:t>
            </w:r>
            <w:r>
              <w:rPr>
                <w:snapToGrid w:val="0"/>
                <w:kern w:val="0"/>
                <w:sz w:val="24"/>
              </w:rPr>
              <w:t>—房间常数；</w:t>
            </w:r>
            <w:r>
              <w:rPr>
                <w:i/>
                <w:iCs/>
                <w:snapToGrid w:val="0"/>
                <w:kern w:val="0"/>
                <w:sz w:val="24"/>
              </w:rPr>
              <w:t>R</w:t>
            </w:r>
            <w:r>
              <w:rPr>
                <w:snapToGrid w:val="0"/>
                <w:kern w:val="0"/>
                <w:sz w:val="24"/>
              </w:rPr>
              <w:t xml:space="preserve"> = </w:t>
            </w:r>
            <w:r>
              <w:rPr>
                <w:i/>
                <w:iCs/>
                <w:snapToGrid w:val="0"/>
                <w:kern w:val="0"/>
                <w:sz w:val="24"/>
              </w:rPr>
              <w:t>S</w:t>
            </w:r>
            <w:r>
              <w:rPr>
                <w:i/>
                <w:iCs/>
                <w:snapToGrid w:val="0"/>
                <w:kern w:val="0"/>
                <w:sz w:val="24"/>
                <w:vertAlign w:val="subscript"/>
              </w:rPr>
              <w:t>a</w:t>
            </w:r>
            <w:r>
              <w:rPr>
                <w:i/>
                <w:iCs/>
                <w:snapToGrid w:val="0"/>
                <w:kern w:val="0"/>
                <w:sz w:val="24"/>
              </w:rPr>
              <w:t>/ (1-a)</w:t>
            </w:r>
            <w:r>
              <w:rPr>
                <w:snapToGrid w:val="0"/>
                <w:kern w:val="0"/>
                <w:sz w:val="24"/>
              </w:rPr>
              <w:t xml:space="preserve"> ，S为房间内表面面积，m</w:t>
            </w:r>
            <w:r>
              <w:rPr>
                <w:snapToGrid w:val="0"/>
                <w:kern w:val="0"/>
                <w:sz w:val="24"/>
                <w:vertAlign w:val="superscript"/>
              </w:rPr>
              <w:t>2</w:t>
            </w:r>
            <w:r>
              <w:rPr>
                <w:snapToGrid w:val="0"/>
                <w:kern w:val="0"/>
                <w:sz w:val="24"/>
              </w:rPr>
              <w:t xml:space="preserve"> ；</w:t>
            </w:r>
            <w:r>
              <w:rPr>
                <w:i/>
                <w:iCs/>
                <w:snapToGrid w:val="0"/>
                <w:kern w:val="0"/>
                <w:sz w:val="24"/>
              </w:rPr>
              <w:t>α</w:t>
            </w:r>
            <w:r>
              <w:rPr>
                <w:snapToGrid w:val="0"/>
                <w:kern w:val="0"/>
                <w:sz w:val="24"/>
              </w:rPr>
              <w:t>为平均吸声系数；</w:t>
            </w:r>
          </w:p>
          <w:p w14:paraId="134F6278">
            <w:pPr>
              <w:tabs>
                <w:tab w:val="left" w:pos="-160"/>
              </w:tabs>
              <w:spacing w:line="360" w:lineRule="auto"/>
              <w:ind w:firstLine="1200" w:firstLineChars="500"/>
              <w:rPr>
                <w:snapToGrid w:val="0"/>
                <w:kern w:val="0"/>
                <w:sz w:val="24"/>
              </w:rPr>
            </w:pPr>
            <w:r>
              <w:rPr>
                <w:i/>
                <w:iCs/>
                <w:snapToGrid w:val="0"/>
                <w:kern w:val="0"/>
                <w:sz w:val="24"/>
              </w:rPr>
              <w:t>r</w:t>
            </w:r>
            <w:r>
              <w:rPr>
                <w:snapToGrid w:val="0"/>
                <w:kern w:val="0"/>
                <w:sz w:val="24"/>
              </w:rPr>
              <w:t xml:space="preserve"> —声源到靠近围护结构某点处的距离，m。</w:t>
            </w:r>
          </w:p>
          <w:p w14:paraId="53AB0159">
            <w:pPr>
              <w:tabs>
                <w:tab w:val="left" w:pos="-160"/>
              </w:tabs>
              <w:spacing w:line="360" w:lineRule="auto"/>
              <w:ind w:firstLine="480" w:firstLineChars="200"/>
              <w:rPr>
                <w:snapToGrid w:val="0"/>
                <w:kern w:val="0"/>
                <w:sz w:val="24"/>
              </w:rPr>
            </w:pPr>
            <w:r>
              <w:rPr>
                <w:rFonts w:hint="eastAsia" w:ascii="宋体" w:hAnsi="宋体" w:cs="宋体"/>
                <w:snapToGrid w:val="0"/>
                <w:kern w:val="0"/>
                <w:sz w:val="24"/>
              </w:rPr>
              <w:t>②</w:t>
            </w:r>
            <w:r>
              <w:rPr>
                <w:snapToGrid w:val="0"/>
                <w:kern w:val="0"/>
                <w:sz w:val="24"/>
              </w:rPr>
              <w:t>计算出所有室内声源在围护结构处产生的 i 倍频带叠加声压级：</w:t>
            </w:r>
          </w:p>
          <w:p w14:paraId="77F12645">
            <w:pPr>
              <w:tabs>
                <w:tab w:val="left" w:pos="-160"/>
              </w:tabs>
              <w:spacing w:line="360" w:lineRule="auto"/>
              <w:ind w:firstLine="480" w:firstLineChars="200"/>
              <w:jc w:val="center"/>
              <w:rPr>
                <w:rFonts w:hint="eastAsia"/>
                <w:snapToGrid w:val="0"/>
                <w:kern w:val="0"/>
                <w:sz w:val="24"/>
              </w:rPr>
            </w:pPr>
            <w:r>
              <w:rPr>
                <w:snapToGrid w:val="0"/>
                <w:kern w:val="0"/>
                <w:position w:val="-30"/>
                <w:sz w:val="24"/>
              </w:rPr>
              <w:object>
                <v:shape id="_x0000_i1029" o:spt="75" type="#_x0000_t75" style="height:35pt;width:126pt;" o:ole="t" filled="f" o:preferrelative="t" stroked="f" coordsize="21600,21600">
                  <v:path/>
                  <v:fill on="f" focussize="0,0"/>
                  <v:stroke on="f"/>
                  <v:imagedata r:id="rId30" o:title=""/>
                  <o:lock v:ext="edit" aspectratio="t"/>
                  <w10:wrap type="none"/>
                  <w10:anchorlock/>
                </v:shape>
                <o:OLEObject Type="Embed" ProgID="Equation.KSEE3" ShapeID="_x0000_i1029" DrawAspect="Content" ObjectID="_1468075729" r:id="rId29">
                  <o:LockedField>false</o:LockedField>
                </o:OLEObject>
              </w:object>
            </w:r>
          </w:p>
          <w:p w14:paraId="1DC80C78">
            <w:pPr>
              <w:spacing w:line="360" w:lineRule="auto"/>
              <w:ind w:left="3" w:firstLine="636" w:firstLineChars="300"/>
              <w:rPr>
                <w:kern w:val="0"/>
                <w:sz w:val="24"/>
              </w:rPr>
            </w:pPr>
            <w:r>
              <w:rPr>
                <w:spacing w:val="-14"/>
                <w:sz w:val="24"/>
              </w:rPr>
              <w:t>式中：</w:t>
            </w:r>
            <w:r>
              <w:rPr>
                <w:i/>
                <w:iCs/>
                <w:spacing w:val="-14"/>
                <w:sz w:val="24"/>
              </w:rPr>
              <w:t xml:space="preserve"> </w:t>
            </w:r>
            <w:r>
              <w:rPr>
                <w:i/>
                <w:iCs/>
                <w:spacing w:val="-7"/>
                <w:position w:val="1"/>
                <w:sz w:val="24"/>
              </w:rPr>
              <w:t>L</w:t>
            </w:r>
            <w:r>
              <w:rPr>
                <w:i/>
                <w:iCs/>
                <w:spacing w:val="-7"/>
                <w:position w:val="-4"/>
                <w:sz w:val="24"/>
                <w:vertAlign w:val="subscript"/>
              </w:rPr>
              <w:t>p</w:t>
            </w:r>
            <w:r>
              <w:rPr>
                <w:i/>
                <w:iCs/>
                <w:spacing w:val="-8"/>
                <w:position w:val="-4"/>
                <w:sz w:val="24"/>
                <w:vertAlign w:val="subscript"/>
              </w:rPr>
              <w:t>1</w:t>
            </w:r>
            <w:r>
              <w:rPr>
                <w:i/>
                <w:iCs/>
                <w:spacing w:val="-7"/>
                <w:position w:val="-4"/>
                <w:sz w:val="24"/>
                <w:vertAlign w:val="subscript"/>
              </w:rPr>
              <w:t>i</w:t>
            </w:r>
            <w:r>
              <w:rPr>
                <w:i/>
                <w:iCs/>
                <w:spacing w:val="-7"/>
                <w:position w:val="-4"/>
                <w:sz w:val="24"/>
              </w:rPr>
              <w:t xml:space="preserve"> </w:t>
            </w:r>
            <w:r>
              <w:rPr>
                <w:i/>
                <w:iCs/>
                <w:spacing w:val="-7"/>
                <w:sz w:val="24"/>
              </w:rPr>
              <w:t>(</w:t>
            </w:r>
            <w:r>
              <w:rPr>
                <w:i/>
                <w:iCs/>
                <w:spacing w:val="-7"/>
                <w:position w:val="1"/>
                <w:sz w:val="24"/>
              </w:rPr>
              <w:t>T</w:t>
            </w:r>
            <w:r>
              <w:rPr>
                <w:i/>
                <w:iCs/>
                <w:spacing w:val="-7"/>
                <w:sz w:val="24"/>
              </w:rPr>
              <w:t>)</w:t>
            </w:r>
            <w:r>
              <w:rPr>
                <w:spacing w:val="-7"/>
                <w:sz w:val="24"/>
              </w:rPr>
              <w:t>—靠近围护结构处室内N个声源i倍频带的叠加声压级， dB；</w:t>
            </w:r>
          </w:p>
          <w:p w14:paraId="3261555D">
            <w:pPr>
              <w:spacing w:line="360" w:lineRule="auto"/>
              <w:ind w:left="663" w:firstLine="480" w:firstLineChars="200"/>
              <w:rPr>
                <w:sz w:val="24"/>
              </w:rPr>
            </w:pPr>
            <w:r>
              <w:rPr>
                <w:i/>
                <w:iCs/>
                <w:position w:val="12"/>
                <w:sz w:val="24"/>
              </w:rPr>
              <w:t>L</w:t>
            </w:r>
            <w:r>
              <w:rPr>
                <w:i/>
                <w:iCs/>
                <w:position w:val="7"/>
                <w:sz w:val="24"/>
                <w:vertAlign w:val="subscript"/>
              </w:rPr>
              <w:t>p</w:t>
            </w:r>
            <w:r>
              <w:rPr>
                <w:i/>
                <w:iCs/>
                <w:spacing w:val="4"/>
                <w:position w:val="7"/>
                <w:sz w:val="24"/>
                <w:vertAlign w:val="subscript"/>
              </w:rPr>
              <w:t>1</w:t>
            </w:r>
            <w:r>
              <w:rPr>
                <w:i/>
                <w:iCs/>
                <w:position w:val="7"/>
                <w:sz w:val="24"/>
                <w:vertAlign w:val="subscript"/>
              </w:rPr>
              <w:t>ij</w:t>
            </w:r>
            <w:r>
              <w:rPr>
                <w:spacing w:val="2"/>
                <w:position w:val="9"/>
                <w:sz w:val="24"/>
              </w:rPr>
              <w:t>—室内</w:t>
            </w:r>
            <w:r>
              <w:rPr>
                <w:position w:val="9"/>
                <w:sz w:val="24"/>
              </w:rPr>
              <w:t>j</w:t>
            </w:r>
            <w:r>
              <w:rPr>
                <w:spacing w:val="2"/>
                <w:position w:val="9"/>
                <w:sz w:val="24"/>
              </w:rPr>
              <w:t>声源</w:t>
            </w:r>
            <w:r>
              <w:rPr>
                <w:position w:val="9"/>
                <w:sz w:val="24"/>
              </w:rPr>
              <w:t>i</w:t>
            </w:r>
            <w:r>
              <w:rPr>
                <w:spacing w:val="2"/>
                <w:position w:val="9"/>
                <w:sz w:val="24"/>
              </w:rPr>
              <w:t>倍频带的声压级，</w:t>
            </w:r>
            <w:r>
              <w:rPr>
                <w:position w:val="9"/>
                <w:sz w:val="24"/>
              </w:rPr>
              <w:t>dB</w:t>
            </w:r>
            <w:r>
              <w:rPr>
                <w:spacing w:val="2"/>
                <w:position w:val="9"/>
                <w:sz w:val="24"/>
              </w:rPr>
              <w:t>；</w:t>
            </w:r>
          </w:p>
          <w:p w14:paraId="730346BB">
            <w:pPr>
              <w:spacing w:line="360" w:lineRule="auto"/>
              <w:ind w:left="665" w:firstLine="476" w:firstLineChars="200"/>
              <w:rPr>
                <w:sz w:val="24"/>
              </w:rPr>
            </w:pPr>
            <w:r>
              <w:rPr>
                <w:i/>
                <w:iCs/>
                <w:spacing w:val="-1"/>
                <w:sz w:val="24"/>
              </w:rPr>
              <w:t>N</w:t>
            </w:r>
            <w:r>
              <w:rPr>
                <w:spacing w:val="-2"/>
                <w:sz w:val="24"/>
              </w:rPr>
              <w:t>—</w:t>
            </w:r>
            <w:r>
              <w:rPr>
                <w:spacing w:val="-1"/>
                <w:sz w:val="24"/>
              </w:rPr>
              <w:t>室内声源总数。</w:t>
            </w:r>
          </w:p>
          <w:p w14:paraId="3714D64F">
            <w:pPr>
              <w:tabs>
                <w:tab w:val="left" w:pos="-160"/>
              </w:tabs>
              <w:spacing w:line="360" w:lineRule="auto"/>
              <w:ind w:firstLine="480" w:firstLineChars="200"/>
              <w:rPr>
                <w:snapToGrid w:val="0"/>
                <w:kern w:val="0"/>
                <w:sz w:val="24"/>
              </w:rPr>
            </w:pPr>
            <w:r>
              <w:rPr>
                <w:rFonts w:hint="eastAsia" w:ascii="宋体" w:hAnsi="宋体" w:cs="宋体"/>
                <w:snapToGrid w:val="0"/>
                <w:kern w:val="0"/>
                <w:sz w:val="24"/>
              </w:rPr>
              <w:t>③</w:t>
            </w:r>
            <w:r>
              <w:rPr>
                <w:snapToGrid w:val="0"/>
                <w:kern w:val="0"/>
                <w:sz w:val="24"/>
              </w:rPr>
              <w:t>在室内近似为扩散声场时，计算出靠近室外围护结构处的声压级：</w:t>
            </w:r>
          </w:p>
          <w:p w14:paraId="25F81AB9">
            <w:pPr>
              <w:tabs>
                <w:tab w:val="left" w:pos="-160"/>
              </w:tabs>
              <w:spacing w:line="360" w:lineRule="auto"/>
              <w:ind w:firstLine="480" w:firstLineChars="200"/>
              <w:jc w:val="center"/>
              <w:rPr>
                <w:snapToGrid w:val="0"/>
                <w:kern w:val="0"/>
                <w:sz w:val="24"/>
              </w:rPr>
            </w:pPr>
            <w:r>
              <w:rPr>
                <w:snapToGrid w:val="0"/>
                <w:kern w:val="0"/>
                <w:position w:val="-14"/>
                <w:sz w:val="24"/>
              </w:rPr>
              <w:object>
                <v:shape id="_x0000_i1030" o:spt="75" type="#_x0000_t75" style="height:19pt;width:134pt;" o:ole="t" filled="f" o:preferrelative="t" stroked="f" coordsize="21600,21600">
                  <v:path/>
                  <v:fill on="f" focussize="0,0"/>
                  <v:stroke on="f"/>
                  <v:imagedata r:id="rId32" o:title=""/>
                  <o:lock v:ext="edit" aspectratio="t"/>
                  <w10:wrap type="none"/>
                  <w10:anchorlock/>
                </v:shape>
                <o:OLEObject Type="Embed" ProgID="Equation.KSEE3" ShapeID="_x0000_i1030" DrawAspect="Content" ObjectID="_1468075730" r:id="rId31">
                  <o:LockedField>false</o:LockedField>
                </o:OLEObject>
              </w:object>
            </w:r>
          </w:p>
          <w:p w14:paraId="0D2B690E">
            <w:pPr>
              <w:spacing w:line="360" w:lineRule="auto"/>
              <w:ind w:left="3" w:firstLine="684" w:firstLineChars="300"/>
              <w:rPr>
                <w:kern w:val="0"/>
                <w:sz w:val="24"/>
              </w:rPr>
            </w:pPr>
            <w:r>
              <w:rPr>
                <w:spacing w:val="-6"/>
                <w:sz w:val="24"/>
              </w:rPr>
              <w:t>式中：</w:t>
            </w:r>
            <w:r>
              <w:rPr>
                <w:i/>
                <w:iCs/>
                <w:spacing w:val="-3"/>
                <w:sz w:val="24"/>
              </w:rPr>
              <w:t>L</w:t>
            </w:r>
            <w:r>
              <w:rPr>
                <w:i/>
                <w:iCs/>
                <w:spacing w:val="-3"/>
                <w:position w:val="-5"/>
                <w:sz w:val="24"/>
                <w:vertAlign w:val="subscript"/>
              </w:rPr>
              <w:t>p</w:t>
            </w:r>
            <w:r>
              <w:rPr>
                <w:spacing w:val="-6"/>
                <w:position w:val="-5"/>
                <w:sz w:val="24"/>
                <w:vertAlign w:val="subscript"/>
              </w:rPr>
              <w:t>2</w:t>
            </w:r>
            <w:r>
              <w:rPr>
                <w:i/>
                <w:iCs/>
                <w:spacing w:val="-3"/>
                <w:position w:val="-5"/>
                <w:sz w:val="24"/>
                <w:vertAlign w:val="subscript"/>
              </w:rPr>
              <w:t>i</w:t>
            </w:r>
            <w:r>
              <w:rPr>
                <w:spacing w:val="-6"/>
                <w:position w:val="-5"/>
                <w:sz w:val="24"/>
                <w:vertAlign w:val="subscript"/>
              </w:rPr>
              <w:t xml:space="preserve"> </w:t>
            </w:r>
            <w:r>
              <w:rPr>
                <w:spacing w:val="-6"/>
                <w:sz w:val="24"/>
              </w:rPr>
              <w:t>(</w:t>
            </w:r>
            <w:r>
              <w:rPr>
                <w:i/>
                <w:iCs/>
                <w:spacing w:val="-3"/>
                <w:sz w:val="24"/>
              </w:rPr>
              <w:t>T</w:t>
            </w:r>
            <w:r>
              <w:rPr>
                <w:spacing w:val="-6"/>
                <w:sz w:val="24"/>
              </w:rPr>
              <w:t>)</w:t>
            </w:r>
            <w:r>
              <w:rPr>
                <w:spacing w:val="-3"/>
                <w:sz w:val="24"/>
              </w:rPr>
              <w:t>—靠近围护结构处室外</w:t>
            </w:r>
            <w:r>
              <w:rPr>
                <w:i/>
                <w:iCs/>
                <w:spacing w:val="-3"/>
                <w:sz w:val="24"/>
              </w:rPr>
              <w:t>N</w:t>
            </w:r>
            <w:r>
              <w:rPr>
                <w:spacing w:val="-3"/>
                <w:sz w:val="24"/>
              </w:rPr>
              <w:t>个声源</w:t>
            </w:r>
            <w:r>
              <w:rPr>
                <w:i/>
                <w:iCs/>
                <w:spacing w:val="-3"/>
                <w:sz w:val="24"/>
              </w:rPr>
              <w:t>i</w:t>
            </w:r>
            <w:r>
              <w:rPr>
                <w:spacing w:val="-3"/>
                <w:sz w:val="24"/>
              </w:rPr>
              <w:t>倍频带的叠加声压级，dB；</w:t>
            </w:r>
          </w:p>
          <w:p w14:paraId="53EDB6A3">
            <w:pPr>
              <w:spacing w:line="360" w:lineRule="auto"/>
              <w:ind w:left="658"/>
              <w:rPr>
                <w:sz w:val="24"/>
              </w:rPr>
            </w:pPr>
            <w:r>
              <w:rPr>
                <w:i/>
                <w:iCs/>
                <w:spacing w:val="-6"/>
                <w:position w:val="1"/>
                <w:sz w:val="24"/>
              </w:rPr>
              <w:t>L</w:t>
            </w:r>
            <w:r>
              <w:rPr>
                <w:i/>
                <w:iCs/>
                <w:spacing w:val="-6"/>
                <w:position w:val="-4"/>
                <w:sz w:val="24"/>
                <w:vertAlign w:val="subscript"/>
              </w:rPr>
              <w:t>p</w:t>
            </w:r>
            <w:r>
              <w:rPr>
                <w:spacing w:val="-12"/>
                <w:position w:val="-4"/>
                <w:sz w:val="24"/>
                <w:vertAlign w:val="subscript"/>
              </w:rPr>
              <w:t>1</w:t>
            </w:r>
            <w:r>
              <w:rPr>
                <w:i/>
                <w:iCs/>
                <w:spacing w:val="-6"/>
                <w:position w:val="-4"/>
                <w:sz w:val="24"/>
                <w:vertAlign w:val="subscript"/>
              </w:rPr>
              <w:t>i</w:t>
            </w:r>
            <w:r>
              <w:rPr>
                <w:spacing w:val="-9"/>
                <w:position w:val="-4"/>
                <w:sz w:val="24"/>
              </w:rPr>
              <w:t xml:space="preserve"> </w:t>
            </w:r>
            <w:r>
              <w:rPr>
                <w:spacing w:val="-6"/>
                <w:sz w:val="24"/>
              </w:rPr>
              <w:t>(</w:t>
            </w:r>
            <w:r>
              <w:rPr>
                <w:i/>
                <w:iCs/>
                <w:spacing w:val="-6"/>
                <w:position w:val="1"/>
                <w:sz w:val="24"/>
              </w:rPr>
              <w:t>T</w:t>
            </w:r>
            <w:r>
              <w:rPr>
                <w:spacing w:val="-6"/>
                <w:sz w:val="24"/>
              </w:rPr>
              <w:t>) —靠近围护结构处室内</w:t>
            </w:r>
            <w:r>
              <w:rPr>
                <w:i/>
                <w:iCs/>
                <w:spacing w:val="-6"/>
                <w:sz w:val="24"/>
              </w:rPr>
              <w:t>N</w:t>
            </w:r>
            <w:r>
              <w:rPr>
                <w:spacing w:val="-6"/>
                <w:sz w:val="24"/>
              </w:rPr>
              <w:t>个声源</w:t>
            </w:r>
            <w:r>
              <w:rPr>
                <w:i/>
                <w:iCs/>
                <w:spacing w:val="-6"/>
                <w:sz w:val="24"/>
              </w:rPr>
              <w:t>i</w:t>
            </w:r>
            <w:r>
              <w:rPr>
                <w:spacing w:val="-6"/>
                <w:sz w:val="24"/>
              </w:rPr>
              <w:t>倍频带的叠加声压级，dB；</w:t>
            </w:r>
          </w:p>
          <w:p w14:paraId="09BF48DA">
            <w:pPr>
              <w:spacing w:line="360" w:lineRule="auto"/>
              <w:ind w:left="661"/>
              <w:rPr>
                <w:sz w:val="24"/>
              </w:rPr>
            </w:pPr>
            <w:r>
              <w:rPr>
                <w:i/>
                <w:iCs/>
                <w:spacing w:val="-5"/>
                <w:position w:val="2"/>
                <w:sz w:val="24"/>
              </w:rPr>
              <w:t>TL</w:t>
            </w:r>
            <w:r>
              <w:rPr>
                <w:i/>
                <w:iCs/>
                <w:spacing w:val="-5"/>
                <w:position w:val="-2"/>
                <w:sz w:val="24"/>
                <w:vertAlign w:val="subscript"/>
              </w:rPr>
              <w:t>i</w:t>
            </w:r>
            <w:r>
              <w:rPr>
                <w:spacing w:val="-10"/>
                <w:position w:val="-2"/>
                <w:sz w:val="24"/>
              </w:rPr>
              <w:t xml:space="preserve"> </w:t>
            </w:r>
            <w:r>
              <w:rPr>
                <w:spacing w:val="-10"/>
                <w:sz w:val="24"/>
              </w:rPr>
              <w:t>—</w:t>
            </w:r>
            <w:r>
              <w:rPr>
                <w:spacing w:val="-5"/>
                <w:sz w:val="24"/>
              </w:rPr>
              <w:t>围护结构</w:t>
            </w:r>
            <w:r>
              <w:rPr>
                <w:i/>
                <w:iCs/>
                <w:spacing w:val="-5"/>
                <w:sz w:val="24"/>
              </w:rPr>
              <w:t>i</w:t>
            </w:r>
            <w:r>
              <w:rPr>
                <w:spacing w:val="-5"/>
                <w:sz w:val="24"/>
              </w:rPr>
              <w:t>倍频带的隔声量，dB。</w:t>
            </w:r>
          </w:p>
          <w:p w14:paraId="60A614A2">
            <w:pPr>
              <w:spacing w:line="360" w:lineRule="auto"/>
              <w:ind w:right="108" w:firstLine="484" w:firstLineChars="200"/>
              <w:rPr>
                <w:sz w:val="24"/>
              </w:rPr>
            </w:pPr>
            <w:r>
              <w:rPr>
                <w:rFonts w:hint="eastAsia" w:ascii="宋体" w:hAnsi="宋体" w:cs="宋体"/>
                <w:spacing w:val="1"/>
                <w:sz w:val="24"/>
              </w:rPr>
              <w:t>④</w:t>
            </w:r>
            <w:r>
              <w:rPr>
                <w:spacing w:val="1"/>
                <w:sz w:val="24"/>
              </w:rPr>
              <w:t>将室外声源</w:t>
            </w:r>
            <w:r>
              <w:rPr>
                <w:sz w:val="24"/>
              </w:rPr>
              <w:t>的声压级和透过面积换算成等效的室外声源，计算出中心位置位于透</w:t>
            </w:r>
            <w:r>
              <w:rPr>
                <w:spacing w:val="14"/>
                <w:sz w:val="24"/>
              </w:rPr>
              <w:t>声</w:t>
            </w:r>
            <w:r>
              <w:rPr>
                <w:spacing w:val="9"/>
                <w:sz w:val="24"/>
              </w:rPr>
              <w:t>面积</w:t>
            </w:r>
            <w:r>
              <w:rPr>
                <w:rFonts w:hint="eastAsia"/>
                <w:spacing w:val="9"/>
                <w:sz w:val="24"/>
              </w:rPr>
              <w:t>（</w:t>
            </w:r>
            <w:r>
              <w:rPr>
                <w:i/>
                <w:iCs/>
                <w:sz w:val="24"/>
              </w:rPr>
              <w:t>S</w:t>
            </w:r>
            <w:r>
              <w:rPr>
                <w:rFonts w:hint="eastAsia"/>
                <w:i/>
                <w:iCs/>
                <w:sz w:val="24"/>
              </w:rPr>
              <w:t>）</w:t>
            </w:r>
            <w:r>
              <w:rPr>
                <w:spacing w:val="9"/>
                <w:sz w:val="24"/>
              </w:rPr>
              <w:t>处的等效声源的倍频带声功率级。</w:t>
            </w:r>
          </w:p>
          <w:p w14:paraId="0E6E70E1">
            <w:pPr>
              <w:tabs>
                <w:tab w:val="left" w:pos="-160"/>
              </w:tabs>
              <w:spacing w:line="360" w:lineRule="auto"/>
              <w:ind w:firstLine="480" w:firstLineChars="200"/>
              <w:jc w:val="center"/>
              <w:rPr>
                <w:snapToGrid w:val="0"/>
                <w:kern w:val="0"/>
                <w:sz w:val="24"/>
              </w:rPr>
            </w:pPr>
            <w:r>
              <w:rPr>
                <w:snapToGrid w:val="0"/>
                <w:kern w:val="0"/>
                <w:position w:val="-14"/>
                <w:sz w:val="24"/>
              </w:rPr>
              <w:object>
                <v:shape id="_x0000_i1031" o:spt="75" type="#_x0000_t75" style="height:19pt;width:102pt;" o:ole="t" filled="f" o:preferrelative="t" stroked="f" coordsize="21600,21600">
                  <v:path/>
                  <v:fill on="f" focussize="0,0"/>
                  <v:stroke on="f"/>
                  <v:imagedata r:id="rId34" o:title=""/>
                  <o:lock v:ext="edit" aspectratio="t"/>
                  <w10:wrap type="none"/>
                  <w10:anchorlock/>
                </v:shape>
                <o:OLEObject Type="Embed" ProgID="Equation.KSEE3" ShapeID="_x0000_i1031" DrawAspect="Content" ObjectID="_1468075731" r:id="rId33">
                  <o:LockedField>false</o:LockedField>
                </o:OLEObject>
              </w:object>
            </w:r>
          </w:p>
          <w:p w14:paraId="39A950FF">
            <w:pPr>
              <w:spacing w:line="360" w:lineRule="auto"/>
              <w:ind w:left="6" w:firstLine="488" w:firstLineChars="200"/>
              <w:rPr>
                <w:kern w:val="0"/>
                <w:sz w:val="24"/>
              </w:rPr>
            </w:pPr>
            <w:r>
              <w:rPr>
                <w:spacing w:val="2"/>
                <w:sz w:val="24"/>
              </w:rPr>
              <w:t>式中：</w:t>
            </w:r>
            <w:r>
              <w:rPr>
                <w:i/>
                <w:iCs/>
                <w:sz w:val="24"/>
              </w:rPr>
              <w:t>L</w:t>
            </w:r>
            <w:r>
              <w:rPr>
                <w:i/>
                <w:iCs/>
                <w:position w:val="-1"/>
                <w:sz w:val="24"/>
                <w:vertAlign w:val="subscript"/>
              </w:rPr>
              <w:t>w</w:t>
            </w:r>
            <w:r>
              <w:rPr>
                <w:spacing w:val="2"/>
                <w:position w:val="-1"/>
                <w:sz w:val="24"/>
              </w:rPr>
              <w:t xml:space="preserve"> </w:t>
            </w:r>
            <w:r>
              <w:rPr>
                <w:spacing w:val="2"/>
                <w:sz w:val="24"/>
              </w:rPr>
              <w:t>—中心位置位</w:t>
            </w:r>
            <w:r>
              <w:rPr>
                <w:spacing w:val="1"/>
                <w:sz w:val="24"/>
              </w:rPr>
              <w:t>于透声面积</w:t>
            </w:r>
            <w:r>
              <w:rPr>
                <w:rFonts w:hint="eastAsia"/>
                <w:spacing w:val="1"/>
                <w:sz w:val="24"/>
              </w:rPr>
              <w:t>（</w:t>
            </w:r>
            <w:r>
              <w:rPr>
                <w:rFonts w:hint="eastAsia"/>
                <w:i/>
                <w:iCs/>
                <w:spacing w:val="1"/>
                <w:sz w:val="24"/>
              </w:rPr>
              <w:t>S</w:t>
            </w:r>
            <w:r>
              <w:rPr>
                <w:rFonts w:hint="eastAsia"/>
                <w:spacing w:val="1"/>
                <w:sz w:val="24"/>
              </w:rPr>
              <w:t>）</w:t>
            </w:r>
            <w:r>
              <w:rPr>
                <w:spacing w:val="1"/>
                <w:sz w:val="24"/>
              </w:rPr>
              <w:t>处的等效声源的倍频带声功率级，</w:t>
            </w:r>
            <w:r>
              <w:rPr>
                <w:sz w:val="24"/>
              </w:rPr>
              <w:t>dB</w:t>
            </w:r>
            <w:r>
              <w:rPr>
                <w:spacing w:val="1"/>
                <w:sz w:val="24"/>
              </w:rPr>
              <w:t>；</w:t>
            </w:r>
          </w:p>
          <w:p w14:paraId="43E19C02">
            <w:pPr>
              <w:spacing w:line="360" w:lineRule="auto"/>
              <w:ind w:left="615" w:firstLine="468" w:firstLineChars="200"/>
              <w:rPr>
                <w:sz w:val="24"/>
              </w:rPr>
            </w:pPr>
            <w:r>
              <w:rPr>
                <w:i/>
                <w:iCs/>
                <w:spacing w:val="-3"/>
                <w:sz w:val="24"/>
              </w:rPr>
              <w:t>L</w:t>
            </w:r>
            <w:r>
              <w:rPr>
                <w:i/>
                <w:iCs/>
                <w:spacing w:val="-3"/>
                <w:position w:val="-2"/>
                <w:sz w:val="24"/>
                <w:vertAlign w:val="subscript"/>
              </w:rPr>
              <w:t>p</w:t>
            </w:r>
            <w:r>
              <w:rPr>
                <w:spacing w:val="-3"/>
                <w:position w:val="-2"/>
                <w:sz w:val="24"/>
                <w:vertAlign w:val="subscript"/>
              </w:rPr>
              <w:t>2</w:t>
            </w:r>
            <w:r>
              <w:rPr>
                <w:spacing w:val="-3"/>
                <w:sz w:val="24"/>
              </w:rPr>
              <w:t>(</w:t>
            </w:r>
            <w:r>
              <w:rPr>
                <w:i/>
                <w:iCs/>
                <w:spacing w:val="-3"/>
                <w:sz w:val="24"/>
              </w:rPr>
              <w:t>T</w:t>
            </w:r>
            <w:r>
              <w:rPr>
                <w:spacing w:val="-3"/>
                <w:sz w:val="24"/>
              </w:rPr>
              <w:t>)—靠近围护结构处室外声源的声压级，dB；</w:t>
            </w:r>
          </w:p>
          <w:p w14:paraId="13C05086">
            <w:pPr>
              <w:spacing w:line="360" w:lineRule="auto"/>
              <w:ind w:left="623" w:firstLine="480" w:firstLineChars="200"/>
              <w:rPr>
                <w:sz w:val="24"/>
              </w:rPr>
            </w:pPr>
            <w:r>
              <w:rPr>
                <w:i/>
                <w:iCs/>
                <w:sz w:val="24"/>
              </w:rPr>
              <w:t>S</w:t>
            </w:r>
            <w:r>
              <w:rPr>
                <w:spacing w:val="1"/>
                <w:sz w:val="24"/>
              </w:rPr>
              <w:t>—</w:t>
            </w:r>
            <w:r>
              <w:rPr>
                <w:sz w:val="24"/>
              </w:rPr>
              <w:t>透声面积，</w:t>
            </w:r>
            <w:r>
              <w:rPr>
                <w:rFonts w:hint="eastAsia"/>
                <w:sz w:val="24"/>
              </w:rPr>
              <w:t>m</w:t>
            </w:r>
            <w:r>
              <w:rPr>
                <w:rFonts w:hint="eastAsia"/>
                <w:sz w:val="24"/>
                <w:vertAlign w:val="superscript"/>
              </w:rPr>
              <w:t>2</w:t>
            </w:r>
            <w:r>
              <w:rPr>
                <w:sz w:val="24"/>
              </w:rPr>
              <w:t>。</w:t>
            </w:r>
          </w:p>
          <w:p w14:paraId="2B5C1338">
            <w:pPr>
              <w:spacing w:line="360" w:lineRule="auto"/>
              <w:ind w:left="6" w:firstLine="480" w:firstLineChars="200"/>
              <w:rPr>
                <w:sz w:val="24"/>
              </w:rPr>
            </w:pPr>
            <w:r>
              <w:rPr>
                <w:sz w:val="24"/>
              </w:rPr>
              <w:t>（</w:t>
            </w:r>
            <w:r>
              <w:rPr>
                <w:snapToGrid w:val="0"/>
                <w:kern w:val="0"/>
                <w:sz w:val="24"/>
              </w:rPr>
              <w:t>2）户外声传播的衰减</w:t>
            </w:r>
          </w:p>
          <w:p w14:paraId="52784001">
            <w:pPr>
              <w:spacing w:line="360" w:lineRule="auto"/>
              <w:jc w:val="center"/>
              <w:rPr>
                <w:i/>
                <w:iCs/>
                <w:sz w:val="24"/>
                <w:lang w:val="fr-FR"/>
              </w:rPr>
            </w:pPr>
            <w:r>
              <w:rPr>
                <w:i/>
                <w:iCs/>
                <w:sz w:val="24"/>
                <w:lang w:val="fr-FR"/>
              </w:rPr>
              <w:t>L</w:t>
            </w:r>
            <w:r>
              <w:rPr>
                <w:i/>
                <w:iCs/>
                <w:sz w:val="24"/>
                <w:vertAlign w:val="subscript"/>
                <w:lang w:val="fr-FR"/>
              </w:rPr>
              <w:t>p</w:t>
            </w:r>
            <w:r>
              <w:rPr>
                <w:i/>
                <w:iCs/>
                <w:sz w:val="24"/>
                <w:lang w:val="fr-FR"/>
              </w:rPr>
              <w:t>(r)= L</w:t>
            </w:r>
            <w:r>
              <w:rPr>
                <w:i/>
                <w:iCs/>
                <w:sz w:val="24"/>
                <w:vertAlign w:val="subscript"/>
                <w:lang w:val="fr-FR"/>
              </w:rPr>
              <w:t>p</w:t>
            </w:r>
            <w:r>
              <w:rPr>
                <w:i/>
                <w:iCs/>
                <w:sz w:val="24"/>
                <w:lang w:val="fr-FR"/>
              </w:rPr>
              <w:t>(r</w:t>
            </w:r>
            <w:r>
              <w:rPr>
                <w:i/>
                <w:iCs/>
                <w:sz w:val="24"/>
                <w:vertAlign w:val="subscript"/>
                <w:lang w:val="fr-FR"/>
              </w:rPr>
              <w:t>0</w:t>
            </w:r>
            <w:r>
              <w:rPr>
                <w:i/>
                <w:iCs/>
                <w:sz w:val="24"/>
                <w:lang w:val="fr-FR"/>
              </w:rPr>
              <w:t>) -20Lg(r/r</w:t>
            </w:r>
            <w:r>
              <w:rPr>
                <w:i/>
                <w:iCs/>
                <w:sz w:val="24"/>
                <w:vertAlign w:val="subscript"/>
                <w:lang w:val="fr-FR"/>
              </w:rPr>
              <w:t>0</w:t>
            </w:r>
            <w:r>
              <w:rPr>
                <w:i/>
                <w:iCs/>
                <w:sz w:val="24"/>
                <w:lang w:val="fr-FR"/>
              </w:rPr>
              <w:t>)</w:t>
            </w:r>
          </w:p>
          <w:p w14:paraId="538F5450">
            <w:pPr>
              <w:spacing w:line="360" w:lineRule="auto"/>
              <w:ind w:firstLine="480" w:firstLineChars="200"/>
              <w:rPr>
                <w:sz w:val="24"/>
              </w:rPr>
            </w:pPr>
            <w:r>
              <w:rPr>
                <w:sz w:val="24"/>
              </w:rPr>
              <w:t>式中：</w:t>
            </w:r>
            <w:r>
              <w:rPr>
                <w:i/>
                <w:iCs/>
                <w:sz w:val="24"/>
                <w:lang w:val="fr-FR"/>
              </w:rPr>
              <w:t>L</w:t>
            </w:r>
            <w:r>
              <w:rPr>
                <w:i/>
                <w:iCs/>
                <w:sz w:val="24"/>
                <w:vertAlign w:val="subscript"/>
                <w:lang w:val="fr-FR"/>
              </w:rPr>
              <w:t>p</w:t>
            </w:r>
            <w:r>
              <w:rPr>
                <w:i/>
                <w:iCs/>
                <w:sz w:val="24"/>
                <w:lang w:val="fr-FR"/>
              </w:rPr>
              <w:t>(r)</w:t>
            </w:r>
            <w:r>
              <w:rPr>
                <w:sz w:val="24"/>
              </w:rPr>
              <w:t>— 预测点处声压级，dB；</w:t>
            </w:r>
          </w:p>
          <w:p w14:paraId="221A1270">
            <w:pPr>
              <w:spacing w:line="360" w:lineRule="auto"/>
              <w:ind w:firstLine="1200" w:firstLineChars="500"/>
              <w:rPr>
                <w:sz w:val="24"/>
              </w:rPr>
            </w:pPr>
            <w:r>
              <w:rPr>
                <w:i/>
                <w:iCs/>
                <w:sz w:val="24"/>
                <w:lang w:val="fr-FR"/>
              </w:rPr>
              <w:t>L</w:t>
            </w:r>
            <w:r>
              <w:rPr>
                <w:i/>
                <w:iCs/>
                <w:sz w:val="24"/>
                <w:vertAlign w:val="subscript"/>
                <w:lang w:val="fr-FR"/>
              </w:rPr>
              <w:t>p</w:t>
            </w:r>
            <w:r>
              <w:rPr>
                <w:i/>
                <w:iCs/>
                <w:sz w:val="24"/>
                <w:lang w:val="fr-FR"/>
              </w:rPr>
              <w:t>(r</w:t>
            </w:r>
            <w:r>
              <w:rPr>
                <w:i/>
                <w:iCs/>
                <w:sz w:val="24"/>
                <w:vertAlign w:val="subscript"/>
                <w:lang w:val="fr-FR"/>
              </w:rPr>
              <w:t>0</w:t>
            </w:r>
            <w:r>
              <w:rPr>
                <w:i/>
                <w:iCs/>
                <w:sz w:val="24"/>
                <w:lang w:val="fr-FR"/>
              </w:rPr>
              <w:t>)</w:t>
            </w:r>
            <w:r>
              <w:rPr>
                <w:sz w:val="24"/>
              </w:rPr>
              <w:t xml:space="preserve"> — 参考位置</w:t>
            </w:r>
            <w:r>
              <w:rPr>
                <w:i/>
                <w:iCs/>
                <w:sz w:val="24"/>
                <w:lang w:val="fr-FR"/>
              </w:rPr>
              <w:t>r</w:t>
            </w:r>
            <w:r>
              <w:rPr>
                <w:i/>
                <w:iCs/>
                <w:sz w:val="24"/>
                <w:vertAlign w:val="subscript"/>
                <w:lang w:val="fr-FR"/>
              </w:rPr>
              <w:t>0</w:t>
            </w:r>
            <w:r>
              <w:rPr>
                <w:sz w:val="24"/>
                <w:lang w:val="fr-FR"/>
              </w:rPr>
              <w:t>处的</w:t>
            </w:r>
            <w:r>
              <w:rPr>
                <w:sz w:val="24"/>
              </w:rPr>
              <w:t>声压级，dB；</w:t>
            </w:r>
          </w:p>
          <w:p w14:paraId="32F84557">
            <w:pPr>
              <w:spacing w:line="360" w:lineRule="auto"/>
              <w:ind w:firstLine="1200" w:firstLineChars="500"/>
              <w:rPr>
                <w:sz w:val="24"/>
              </w:rPr>
            </w:pPr>
            <w:r>
              <w:rPr>
                <w:i/>
                <w:sz w:val="24"/>
              </w:rPr>
              <w:t>r</w:t>
            </w:r>
            <w:r>
              <w:rPr>
                <w:sz w:val="24"/>
              </w:rPr>
              <w:t xml:space="preserve"> —</w:t>
            </w:r>
            <w:r>
              <w:rPr>
                <w:rFonts w:hint="eastAsia"/>
                <w:sz w:val="24"/>
              </w:rPr>
              <w:t xml:space="preserve"> </w:t>
            </w:r>
            <w:r>
              <w:rPr>
                <w:sz w:val="24"/>
              </w:rPr>
              <w:t>预测点距声源的距离，m；</w:t>
            </w:r>
          </w:p>
          <w:p w14:paraId="5F900D24">
            <w:pPr>
              <w:spacing w:line="360" w:lineRule="auto"/>
              <w:ind w:firstLine="1200" w:firstLineChars="500"/>
              <w:rPr>
                <w:sz w:val="24"/>
              </w:rPr>
            </w:pPr>
            <w:r>
              <w:rPr>
                <w:i/>
                <w:iCs/>
                <w:sz w:val="24"/>
                <w:lang w:val="fr-FR"/>
              </w:rPr>
              <w:t>r</w:t>
            </w:r>
            <w:r>
              <w:rPr>
                <w:i/>
                <w:iCs/>
                <w:sz w:val="24"/>
                <w:vertAlign w:val="subscript"/>
                <w:lang w:val="fr-FR"/>
              </w:rPr>
              <w:t>0</w:t>
            </w:r>
            <w:r>
              <w:rPr>
                <w:sz w:val="24"/>
              </w:rPr>
              <w:t xml:space="preserve"> — 参考位置距声源的距离，m。</w:t>
            </w:r>
          </w:p>
          <w:p w14:paraId="769ADFBC">
            <w:pPr>
              <w:spacing w:line="360" w:lineRule="auto"/>
              <w:ind w:firstLine="480" w:firstLineChars="200"/>
              <w:rPr>
                <w:sz w:val="24"/>
              </w:rPr>
            </w:pPr>
            <w:r>
              <w:rPr>
                <w:sz w:val="24"/>
              </w:rPr>
              <w:t>在同一受声点接受来自多个点声源的声能，可通过叠加得出该受声点的声压级。噪声叠加公式如下：</w:t>
            </w:r>
          </w:p>
          <w:p w14:paraId="20ABB550">
            <w:pPr>
              <w:pStyle w:val="29"/>
              <w:jc w:val="center"/>
              <w:rPr>
                <w:rFonts w:hint="eastAsia"/>
              </w:rPr>
            </w:pPr>
            <w:r>
              <w:rPr>
                <w:rFonts w:hint="eastAsia"/>
                <w:position w:val="-28"/>
              </w:rPr>
              <w:object>
                <v:shape id="_x0000_i1032" o:spt="75" type="#_x0000_t75" style="height:34pt;width:88pt;" o:ole="t" filled="f" o:preferrelative="t" stroked="f" coordsize="21600,21600">
                  <v:path/>
                  <v:fill on="f" focussize="0,0"/>
                  <v:stroke on="f"/>
                  <v:imagedata r:id="rId36" o:title=""/>
                  <o:lock v:ext="edit" aspectratio="t"/>
                  <w10:wrap type="none"/>
                  <w10:anchorlock/>
                </v:shape>
                <o:OLEObject Type="Embed" ProgID="Equation.KSEE3" ShapeID="_x0000_i1032" DrawAspect="Content" ObjectID="_1468075732" r:id="rId35">
                  <o:LockedField>false</o:LockedField>
                </o:OLEObject>
              </w:object>
            </w:r>
          </w:p>
          <w:p w14:paraId="72FDDC48">
            <w:pPr>
              <w:spacing w:line="360" w:lineRule="auto"/>
              <w:ind w:firstLine="480" w:firstLineChars="200"/>
              <w:rPr>
                <w:sz w:val="24"/>
              </w:rPr>
            </w:pPr>
            <w:r>
              <w:rPr>
                <w:sz w:val="24"/>
              </w:rPr>
              <w:t>式中：</w:t>
            </w:r>
            <w:r>
              <w:rPr>
                <w:i/>
                <w:sz w:val="24"/>
              </w:rPr>
              <w:t>L</w:t>
            </w:r>
            <w:r>
              <w:rPr>
                <w:sz w:val="24"/>
              </w:rPr>
              <w:t xml:space="preserve"> — 总声压级，dB(A)；</w:t>
            </w:r>
          </w:p>
          <w:p w14:paraId="6523D3C4">
            <w:pPr>
              <w:spacing w:line="360" w:lineRule="auto"/>
              <w:ind w:firstLine="480" w:firstLineChars="200"/>
              <w:rPr>
                <w:sz w:val="24"/>
              </w:rPr>
            </w:pPr>
            <w:r>
              <w:rPr>
                <w:sz w:val="24"/>
              </w:rPr>
              <w:t xml:space="preserve">     </w:t>
            </w:r>
            <w:r>
              <w:rPr>
                <w:i/>
                <w:iCs/>
                <w:sz w:val="24"/>
              </w:rPr>
              <w:t xml:space="preserve"> L</w:t>
            </w:r>
            <w:r>
              <w:rPr>
                <w:i/>
                <w:iCs/>
                <w:sz w:val="24"/>
                <w:vertAlign w:val="subscript"/>
              </w:rPr>
              <w:t>i</w:t>
            </w:r>
            <w:r>
              <w:rPr>
                <w:sz w:val="24"/>
              </w:rPr>
              <w:t xml:space="preserve"> — 第i个声源的等效A声压级值，dB(A)；</w:t>
            </w:r>
          </w:p>
          <w:p w14:paraId="3F68B022">
            <w:pPr>
              <w:spacing w:line="360" w:lineRule="auto"/>
              <w:ind w:firstLine="1200" w:firstLineChars="500"/>
              <w:rPr>
                <w:sz w:val="24"/>
              </w:rPr>
            </w:pPr>
            <w:r>
              <w:rPr>
                <w:i/>
                <w:sz w:val="24"/>
              </w:rPr>
              <w:t>n</w:t>
            </w:r>
            <w:r>
              <w:rPr>
                <w:sz w:val="24"/>
              </w:rPr>
              <w:t xml:space="preserve"> — 噪声源数。</w:t>
            </w:r>
          </w:p>
          <w:p w14:paraId="4AD1EA73">
            <w:pPr>
              <w:spacing w:line="360" w:lineRule="auto"/>
              <w:ind w:firstLine="480" w:firstLineChars="200"/>
              <w:rPr>
                <w:sz w:val="24"/>
              </w:rPr>
            </w:pPr>
            <w:r>
              <w:rPr>
                <w:rFonts w:hint="eastAsia"/>
                <w:sz w:val="24"/>
              </w:rPr>
              <w:t>根据上述计算方法，本项目营运期厂界噪声</w:t>
            </w:r>
            <w:r>
              <w:rPr>
                <w:sz w:val="24"/>
              </w:rPr>
              <w:t>预测结果见下表。</w:t>
            </w:r>
          </w:p>
          <w:p w14:paraId="4C65D4C4">
            <w:pPr>
              <w:tabs>
                <w:tab w:val="left" w:pos="1065"/>
              </w:tabs>
              <w:spacing w:line="240" w:lineRule="atLeast"/>
              <w:jc w:val="center"/>
              <w:rPr>
                <w:b/>
                <w:szCs w:val="21"/>
              </w:rPr>
            </w:pPr>
            <w:r>
              <w:rPr>
                <w:b/>
                <w:bCs/>
              </w:rPr>
              <w:t>表4-</w:t>
            </w:r>
            <w:r>
              <w:rPr>
                <w:rFonts w:hint="eastAsia"/>
                <w:b/>
                <w:bCs/>
                <w:lang w:val="en-US" w:eastAsia="zh-CN"/>
              </w:rPr>
              <w:t>16</w:t>
            </w:r>
            <w:r>
              <w:rPr>
                <w:b/>
                <w:bCs/>
              </w:rPr>
              <w:t xml:space="preserve">  噪声</w:t>
            </w:r>
            <w:r>
              <w:rPr>
                <w:rFonts w:hint="eastAsia"/>
                <w:b/>
                <w:bCs/>
              </w:rPr>
              <w:t>预测结果一览表</w:t>
            </w:r>
            <w:r>
              <w:rPr>
                <w:b/>
                <w:bCs/>
              </w:rPr>
              <w:t xml:space="preserve">  </w:t>
            </w:r>
            <w:r>
              <w:rPr>
                <w:b/>
              </w:rPr>
              <w:t xml:space="preserve"> </w:t>
            </w:r>
            <w:r>
              <w:rPr>
                <w:rFonts w:hint="eastAsia"/>
                <w:b/>
              </w:rPr>
              <w:t>单位：</w:t>
            </w:r>
            <w:r>
              <w:rPr>
                <w:b/>
                <w:szCs w:val="21"/>
              </w:rPr>
              <w:t>dB(A)</w:t>
            </w:r>
          </w:p>
          <w:tbl>
            <w:tblPr>
              <w:tblStyle w:val="24"/>
              <w:tblW w:w="7958" w:type="dxa"/>
              <w:tblInd w:w="1"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2145"/>
              <w:gridCol w:w="2030"/>
              <w:gridCol w:w="1940"/>
            </w:tblGrid>
            <w:tr w14:paraId="57E9B30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843" w:type="dxa"/>
                  <w:vMerge w:val="restart"/>
                  <w:noWrap w:val="0"/>
                  <w:vAlign w:val="center"/>
                </w:tcPr>
                <w:p w14:paraId="3F78690E">
                  <w:pPr>
                    <w:jc w:val="center"/>
                    <w:rPr>
                      <w:b/>
                      <w:szCs w:val="21"/>
                    </w:rPr>
                  </w:pPr>
                  <w:r>
                    <w:rPr>
                      <w:b/>
                      <w:szCs w:val="21"/>
                    </w:rPr>
                    <w:t>厂界</w:t>
                  </w:r>
                </w:p>
              </w:tc>
              <w:tc>
                <w:tcPr>
                  <w:tcW w:w="2145" w:type="dxa"/>
                  <w:vMerge w:val="restart"/>
                  <w:noWrap w:val="0"/>
                  <w:vAlign w:val="center"/>
                </w:tcPr>
                <w:p w14:paraId="63F4FB83">
                  <w:pPr>
                    <w:jc w:val="center"/>
                    <w:rPr>
                      <w:b/>
                      <w:szCs w:val="21"/>
                    </w:rPr>
                  </w:pPr>
                  <w:r>
                    <w:rPr>
                      <w:b/>
                      <w:szCs w:val="21"/>
                    </w:rPr>
                    <w:t>噪声贡献值</w:t>
                  </w:r>
                </w:p>
              </w:tc>
              <w:tc>
                <w:tcPr>
                  <w:tcW w:w="2030" w:type="dxa"/>
                  <w:noWrap w:val="0"/>
                  <w:vAlign w:val="center"/>
                </w:tcPr>
                <w:p w14:paraId="2C433D37">
                  <w:pPr>
                    <w:jc w:val="center"/>
                    <w:rPr>
                      <w:b/>
                      <w:szCs w:val="21"/>
                    </w:rPr>
                  </w:pPr>
                  <w:r>
                    <w:rPr>
                      <w:rFonts w:hint="eastAsia"/>
                      <w:b/>
                      <w:szCs w:val="21"/>
                    </w:rPr>
                    <w:t>执行标准</w:t>
                  </w:r>
                </w:p>
              </w:tc>
              <w:tc>
                <w:tcPr>
                  <w:tcW w:w="1940" w:type="dxa"/>
                  <w:vMerge w:val="restart"/>
                  <w:noWrap w:val="0"/>
                  <w:vAlign w:val="center"/>
                </w:tcPr>
                <w:p w14:paraId="2CBF130A">
                  <w:pPr>
                    <w:jc w:val="center"/>
                    <w:rPr>
                      <w:b/>
                      <w:szCs w:val="21"/>
                    </w:rPr>
                  </w:pPr>
                  <w:r>
                    <w:rPr>
                      <w:b/>
                      <w:szCs w:val="21"/>
                    </w:rPr>
                    <w:t>达标情况</w:t>
                  </w:r>
                </w:p>
              </w:tc>
            </w:tr>
            <w:tr w14:paraId="3C84751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843" w:type="dxa"/>
                  <w:vMerge w:val="continue"/>
                  <w:noWrap w:val="0"/>
                  <w:vAlign w:val="center"/>
                </w:tcPr>
                <w:p w14:paraId="4515250E">
                  <w:pPr>
                    <w:jc w:val="center"/>
                    <w:rPr>
                      <w:b/>
                      <w:szCs w:val="21"/>
                    </w:rPr>
                  </w:pPr>
                </w:p>
              </w:tc>
              <w:tc>
                <w:tcPr>
                  <w:tcW w:w="2145" w:type="dxa"/>
                  <w:vMerge w:val="continue"/>
                  <w:noWrap w:val="0"/>
                  <w:vAlign w:val="center"/>
                </w:tcPr>
                <w:p w14:paraId="261C39FC">
                  <w:pPr>
                    <w:jc w:val="center"/>
                    <w:rPr>
                      <w:b/>
                      <w:szCs w:val="21"/>
                    </w:rPr>
                  </w:pPr>
                </w:p>
              </w:tc>
              <w:tc>
                <w:tcPr>
                  <w:tcW w:w="2030" w:type="dxa"/>
                  <w:noWrap w:val="0"/>
                  <w:vAlign w:val="center"/>
                </w:tcPr>
                <w:p w14:paraId="6169D05A">
                  <w:pPr>
                    <w:jc w:val="center"/>
                    <w:rPr>
                      <w:b/>
                      <w:szCs w:val="21"/>
                    </w:rPr>
                  </w:pPr>
                  <w:r>
                    <w:rPr>
                      <w:b/>
                      <w:szCs w:val="21"/>
                    </w:rPr>
                    <w:t>昼间</w:t>
                  </w:r>
                </w:p>
              </w:tc>
              <w:tc>
                <w:tcPr>
                  <w:tcW w:w="1940" w:type="dxa"/>
                  <w:vMerge w:val="continue"/>
                  <w:noWrap w:val="0"/>
                  <w:vAlign w:val="center"/>
                </w:tcPr>
                <w:p w14:paraId="0F6A980A">
                  <w:pPr>
                    <w:jc w:val="center"/>
                    <w:rPr>
                      <w:b/>
                      <w:szCs w:val="21"/>
                    </w:rPr>
                  </w:pPr>
                </w:p>
              </w:tc>
            </w:tr>
            <w:tr w14:paraId="15E4D10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843" w:type="dxa"/>
                  <w:noWrap w:val="0"/>
                  <w:vAlign w:val="center"/>
                </w:tcPr>
                <w:p w14:paraId="5A6E61AA">
                  <w:pPr>
                    <w:jc w:val="center"/>
                    <w:rPr>
                      <w:szCs w:val="21"/>
                    </w:rPr>
                  </w:pPr>
                  <w:r>
                    <w:rPr>
                      <w:szCs w:val="21"/>
                    </w:rPr>
                    <w:t>厂界东侧</w:t>
                  </w:r>
                </w:p>
              </w:tc>
              <w:tc>
                <w:tcPr>
                  <w:tcW w:w="2145" w:type="dxa"/>
                  <w:tcBorders>
                    <w:bottom w:val="single" w:color="auto" w:sz="4" w:space="0"/>
                  </w:tcBorders>
                  <w:noWrap w:val="0"/>
                  <w:vAlign w:val="center"/>
                </w:tcPr>
                <w:p w14:paraId="65316652">
                  <w:pPr>
                    <w:jc w:val="center"/>
                    <w:rPr>
                      <w:rFonts w:hint="default" w:eastAsia="宋体"/>
                      <w:szCs w:val="21"/>
                      <w:lang w:val="en-US" w:eastAsia="zh-CN"/>
                    </w:rPr>
                  </w:pPr>
                  <w:r>
                    <w:rPr>
                      <w:rFonts w:hint="eastAsia"/>
                      <w:szCs w:val="21"/>
                      <w:lang w:val="en-US" w:eastAsia="zh-CN"/>
                    </w:rPr>
                    <w:t>57.2</w:t>
                  </w:r>
                </w:p>
              </w:tc>
              <w:tc>
                <w:tcPr>
                  <w:tcW w:w="2030" w:type="dxa"/>
                  <w:vMerge w:val="restart"/>
                  <w:noWrap w:val="0"/>
                  <w:vAlign w:val="center"/>
                </w:tcPr>
                <w:p w14:paraId="79E84B33">
                  <w:pPr>
                    <w:jc w:val="center"/>
                    <w:rPr>
                      <w:rFonts w:hint="default" w:eastAsia="宋体"/>
                      <w:szCs w:val="21"/>
                      <w:lang w:val="en-US" w:eastAsia="zh-CN"/>
                    </w:rPr>
                  </w:pPr>
                  <w:r>
                    <w:rPr>
                      <w:rFonts w:hint="eastAsia"/>
                      <w:szCs w:val="21"/>
                      <w:lang w:val="en-US" w:eastAsia="zh-CN"/>
                    </w:rPr>
                    <w:t>60</w:t>
                  </w:r>
                </w:p>
              </w:tc>
              <w:tc>
                <w:tcPr>
                  <w:tcW w:w="1940" w:type="dxa"/>
                  <w:noWrap w:val="0"/>
                  <w:vAlign w:val="center"/>
                </w:tcPr>
                <w:p w14:paraId="614CFE29">
                  <w:pPr>
                    <w:jc w:val="center"/>
                    <w:rPr>
                      <w:szCs w:val="21"/>
                    </w:rPr>
                  </w:pPr>
                  <w:r>
                    <w:rPr>
                      <w:szCs w:val="21"/>
                    </w:rPr>
                    <w:t>达标</w:t>
                  </w:r>
                </w:p>
              </w:tc>
            </w:tr>
            <w:tr w14:paraId="63E8ACB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843" w:type="dxa"/>
                  <w:noWrap w:val="0"/>
                  <w:vAlign w:val="center"/>
                </w:tcPr>
                <w:p w14:paraId="0FF1918A">
                  <w:pPr>
                    <w:jc w:val="center"/>
                    <w:rPr>
                      <w:szCs w:val="21"/>
                    </w:rPr>
                  </w:pPr>
                  <w:r>
                    <w:rPr>
                      <w:szCs w:val="21"/>
                    </w:rPr>
                    <w:t>厂界南侧</w:t>
                  </w:r>
                </w:p>
              </w:tc>
              <w:tc>
                <w:tcPr>
                  <w:tcW w:w="2145" w:type="dxa"/>
                  <w:noWrap w:val="0"/>
                  <w:vAlign w:val="center"/>
                </w:tcPr>
                <w:p w14:paraId="5CED1527">
                  <w:pPr>
                    <w:jc w:val="center"/>
                    <w:rPr>
                      <w:rFonts w:hint="default" w:eastAsia="宋体"/>
                      <w:szCs w:val="21"/>
                      <w:lang w:val="en-US" w:eastAsia="zh-CN"/>
                    </w:rPr>
                  </w:pPr>
                  <w:r>
                    <w:rPr>
                      <w:rFonts w:hint="eastAsia" w:eastAsia="宋体"/>
                      <w:szCs w:val="21"/>
                      <w:lang w:val="en-US" w:eastAsia="zh-CN"/>
                    </w:rPr>
                    <w:t>38.2</w:t>
                  </w:r>
                </w:p>
              </w:tc>
              <w:tc>
                <w:tcPr>
                  <w:tcW w:w="2030" w:type="dxa"/>
                  <w:vMerge w:val="continue"/>
                  <w:noWrap w:val="0"/>
                  <w:vAlign w:val="center"/>
                </w:tcPr>
                <w:p w14:paraId="69A74C3A">
                  <w:pPr>
                    <w:jc w:val="center"/>
                    <w:rPr>
                      <w:szCs w:val="21"/>
                    </w:rPr>
                  </w:pPr>
                </w:p>
              </w:tc>
              <w:tc>
                <w:tcPr>
                  <w:tcW w:w="1940" w:type="dxa"/>
                  <w:noWrap w:val="0"/>
                  <w:vAlign w:val="center"/>
                </w:tcPr>
                <w:p w14:paraId="77C89988">
                  <w:pPr>
                    <w:jc w:val="center"/>
                    <w:rPr>
                      <w:szCs w:val="21"/>
                    </w:rPr>
                  </w:pPr>
                  <w:r>
                    <w:rPr>
                      <w:szCs w:val="21"/>
                    </w:rPr>
                    <w:t>达标</w:t>
                  </w:r>
                </w:p>
              </w:tc>
            </w:tr>
            <w:tr w14:paraId="7C20F8B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843" w:type="dxa"/>
                  <w:noWrap w:val="0"/>
                  <w:vAlign w:val="center"/>
                </w:tcPr>
                <w:p w14:paraId="4BF2C265">
                  <w:pPr>
                    <w:jc w:val="center"/>
                    <w:rPr>
                      <w:szCs w:val="21"/>
                    </w:rPr>
                  </w:pPr>
                  <w:r>
                    <w:rPr>
                      <w:szCs w:val="21"/>
                    </w:rPr>
                    <w:t>厂界西侧</w:t>
                  </w:r>
                </w:p>
              </w:tc>
              <w:tc>
                <w:tcPr>
                  <w:tcW w:w="2145" w:type="dxa"/>
                  <w:tcBorders>
                    <w:bottom w:val="single" w:color="auto" w:sz="4" w:space="0"/>
                  </w:tcBorders>
                  <w:noWrap w:val="0"/>
                  <w:vAlign w:val="center"/>
                </w:tcPr>
                <w:p w14:paraId="6FB7C59C">
                  <w:pPr>
                    <w:jc w:val="center"/>
                    <w:rPr>
                      <w:rFonts w:hint="default" w:eastAsia="宋体"/>
                      <w:szCs w:val="21"/>
                      <w:lang w:val="en-US" w:eastAsia="zh-CN"/>
                    </w:rPr>
                  </w:pPr>
                  <w:r>
                    <w:rPr>
                      <w:rFonts w:hint="eastAsia" w:eastAsia="宋体"/>
                      <w:szCs w:val="21"/>
                      <w:lang w:val="en-US" w:eastAsia="zh-CN"/>
                    </w:rPr>
                    <w:t>48.6</w:t>
                  </w:r>
                </w:p>
              </w:tc>
              <w:tc>
                <w:tcPr>
                  <w:tcW w:w="2030" w:type="dxa"/>
                  <w:vMerge w:val="continue"/>
                  <w:noWrap w:val="0"/>
                  <w:vAlign w:val="center"/>
                </w:tcPr>
                <w:p w14:paraId="31F8F7CE">
                  <w:pPr>
                    <w:jc w:val="center"/>
                    <w:rPr>
                      <w:szCs w:val="21"/>
                    </w:rPr>
                  </w:pPr>
                </w:p>
              </w:tc>
              <w:tc>
                <w:tcPr>
                  <w:tcW w:w="1940" w:type="dxa"/>
                  <w:noWrap w:val="0"/>
                  <w:vAlign w:val="center"/>
                </w:tcPr>
                <w:p w14:paraId="5115DFAB">
                  <w:pPr>
                    <w:jc w:val="center"/>
                    <w:rPr>
                      <w:szCs w:val="21"/>
                    </w:rPr>
                  </w:pPr>
                  <w:r>
                    <w:rPr>
                      <w:szCs w:val="21"/>
                    </w:rPr>
                    <w:t>达标</w:t>
                  </w:r>
                </w:p>
              </w:tc>
            </w:tr>
            <w:tr w14:paraId="50143BE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843" w:type="dxa"/>
                  <w:noWrap w:val="0"/>
                  <w:vAlign w:val="center"/>
                </w:tcPr>
                <w:p w14:paraId="31F64D99">
                  <w:pPr>
                    <w:jc w:val="center"/>
                    <w:rPr>
                      <w:szCs w:val="21"/>
                    </w:rPr>
                  </w:pPr>
                  <w:r>
                    <w:rPr>
                      <w:szCs w:val="21"/>
                    </w:rPr>
                    <w:t>厂界北侧</w:t>
                  </w:r>
                </w:p>
              </w:tc>
              <w:tc>
                <w:tcPr>
                  <w:tcW w:w="2145" w:type="dxa"/>
                  <w:tcBorders>
                    <w:top w:val="single" w:color="auto" w:sz="4" w:space="0"/>
                    <w:bottom w:val="single" w:color="auto" w:sz="4" w:space="0"/>
                  </w:tcBorders>
                  <w:noWrap w:val="0"/>
                  <w:vAlign w:val="center"/>
                </w:tcPr>
                <w:p w14:paraId="7A8CAB9F">
                  <w:pPr>
                    <w:jc w:val="center"/>
                    <w:rPr>
                      <w:rFonts w:hint="default" w:eastAsia="宋体"/>
                      <w:szCs w:val="21"/>
                      <w:lang w:val="en-US" w:eastAsia="zh-CN"/>
                    </w:rPr>
                  </w:pPr>
                  <w:r>
                    <w:rPr>
                      <w:rFonts w:hint="eastAsia"/>
                      <w:szCs w:val="21"/>
                      <w:lang w:val="en-US" w:eastAsia="zh-CN"/>
                    </w:rPr>
                    <w:t>43.7</w:t>
                  </w:r>
                </w:p>
              </w:tc>
              <w:tc>
                <w:tcPr>
                  <w:tcW w:w="2030" w:type="dxa"/>
                  <w:vMerge w:val="continue"/>
                  <w:noWrap w:val="0"/>
                  <w:vAlign w:val="center"/>
                </w:tcPr>
                <w:p w14:paraId="5CF0DB70">
                  <w:pPr>
                    <w:jc w:val="center"/>
                    <w:rPr>
                      <w:szCs w:val="21"/>
                    </w:rPr>
                  </w:pPr>
                </w:p>
              </w:tc>
              <w:tc>
                <w:tcPr>
                  <w:tcW w:w="1940" w:type="dxa"/>
                  <w:noWrap w:val="0"/>
                  <w:vAlign w:val="center"/>
                </w:tcPr>
                <w:p w14:paraId="3AEC3051">
                  <w:pPr>
                    <w:jc w:val="center"/>
                    <w:rPr>
                      <w:szCs w:val="21"/>
                    </w:rPr>
                  </w:pPr>
                  <w:r>
                    <w:rPr>
                      <w:szCs w:val="21"/>
                    </w:rPr>
                    <w:t>达标</w:t>
                  </w:r>
                </w:p>
              </w:tc>
            </w:tr>
          </w:tbl>
          <w:p w14:paraId="44E269B6">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2" w:firstLineChars="200"/>
              <w:jc w:val="both"/>
              <w:textAlignment w:val="auto"/>
              <w:outlineLvl w:val="0"/>
              <w:rPr>
                <w:rFonts w:hint="default" w:ascii="Times New Roman" w:hAnsi="Times New Roman"/>
                <w:b/>
                <w:bCs/>
                <w:sz w:val="21"/>
                <w:szCs w:val="22"/>
                <w:lang w:val="en-US" w:eastAsia="zh-CN"/>
              </w:rPr>
            </w:pPr>
            <w:r>
              <w:rPr>
                <w:rFonts w:hint="eastAsia" w:ascii="Times New Roman" w:hAnsi="Times New Roman"/>
                <w:b/>
                <w:bCs/>
                <w:sz w:val="21"/>
                <w:szCs w:val="22"/>
                <w:lang w:val="en-US" w:eastAsia="zh-CN"/>
              </w:rPr>
              <w:t>备注：夜间不生产。</w:t>
            </w:r>
          </w:p>
          <w:p w14:paraId="3F0DDAAA">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ascii="Times New Roman" w:hAnsi="Times New Roman"/>
                <w:b/>
                <w:bCs/>
                <w:snapToGrid w:val="0"/>
                <w:szCs w:val="24"/>
                <w:lang w:val="en-US" w:eastAsia="zh-CN"/>
              </w:rPr>
            </w:pPr>
            <w:r>
              <w:rPr>
                <w:rFonts w:hint="eastAsia" w:ascii="Times New Roman" w:hAnsi="Times New Roman"/>
                <w:szCs w:val="28"/>
                <w:lang w:val="en-US" w:eastAsia="zh-CN"/>
              </w:rPr>
              <w:t>预测结果表明，建设项目营运期各厂界昼间噪声贡献值均满足《工业企业厂界环境噪声排放标准》（GB12348-2008）中2类标准</w:t>
            </w:r>
            <w:r>
              <w:rPr>
                <w:rFonts w:hint="eastAsia" w:ascii="Times New Roman" w:hAnsi="Times New Roman"/>
                <w:color w:val="000000"/>
                <w:szCs w:val="28"/>
                <w:lang w:val="en-US" w:eastAsia="zh-CN"/>
              </w:rPr>
              <w:t>，对周边环境影响较小。</w:t>
            </w:r>
          </w:p>
          <w:p w14:paraId="24AE1F3F">
            <w:pPr>
              <w:pStyle w:val="20"/>
              <w:spacing w:before="120" w:beforeLines="50" w:beforeAutospacing="0" w:after="0" w:afterAutospacing="0" w:line="360" w:lineRule="auto"/>
              <w:jc w:val="center"/>
              <w:outlineLvl w:val="0"/>
              <w:rPr>
                <w:rFonts w:ascii="Times New Roman" w:hAnsi="Times New Roman"/>
                <w:b/>
                <w:bCs/>
                <w:snapToGrid w:val="0"/>
                <w:szCs w:val="24"/>
                <w:lang w:val="en-US" w:eastAsia="zh-CN"/>
              </w:rPr>
            </w:pPr>
            <w:r>
              <w:drawing>
                <wp:inline distT="0" distB="0" distL="114300" distR="114300">
                  <wp:extent cx="5052695" cy="3813175"/>
                  <wp:effectExtent l="0" t="0" r="14605"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7"/>
                          <a:stretch>
                            <a:fillRect/>
                          </a:stretch>
                        </pic:blipFill>
                        <pic:spPr>
                          <a:xfrm>
                            <a:off x="0" y="0"/>
                            <a:ext cx="5052695" cy="3813175"/>
                          </a:xfrm>
                          <a:prstGeom prst="rect">
                            <a:avLst/>
                          </a:prstGeom>
                          <a:noFill/>
                          <a:ln>
                            <a:noFill/>
                          </a:ln>
                        </pic:spPr>
                      </pic:pic>
                    </a:graphicData>
                  </a:graphic>
                </wp:inline>
              </w:drawing>
            </w:r>
            <w:r>
              <w:rPr>
                <w:rFonts w:ascii="Times New Roman" w:hAnsi="Times New Roman"/>
                <w:b/>
                <w:bCs/>
                <w:lang w:val="en-US" w:eastAsia="zh-CN"/>
              </w:rPr>
              <w:t>图4-</w:t>
            </w:r>
            <w:r>
              <w:rPr>
                <w:rFonts w:hint="eastAsia" w:ascii="Times New Roman" w:hAnsi="Times New Roman"/>
                <w:b/>
                <w:bCs/>
                <w:lang w:val="en-US" w:eastAsia="zh-CN"/>
              </w:rPr>
              <w:t>2</w:t>
            </w:r>
            <w:r>
              <w:rPr>
                <w:rFonts w:ascii="Times New Roman" w:hAnsi="Times New Roman"/>
                <w:b/>
                <w:bCs/>
                <w:lang w:val="en-US" w:eastAsia="zh-CN"/>
              </w:rPr>
              <w:t xml:space="preserve">   噪声预测等值线图</w:t>
            </w:r>
          </w:p>
          <w:p w14:paraId="51CA5579">
            <w:pPr>
              <w:spacing w:line="360" w:lineRule="auto"/>
              <w:rPr>
                <w:b/>
                <w:bCs/>
                <w:sz w:val="24"/>
              </w:rPr>
            </w:pPr>
            <w:r>
              <w:rPr>
                <w:b/>
                <w:bCs/>
                <w:sz w:val="24"/>
              </w:rPr>
              <w:t>4.</w:t>
            </w:r>
            <w:r>
              <w:rPr>
                <w:rFonts w:hint="eastAsia"/>
                <w:b/>
                <w:bCs/>
                <w:sz w:val="24"/>
              </w:rPr>
              <w:t>4</w:t>
            </w:r>
            <w:r>
              <w:rPr>
                <w:b/>
                <w:bCs/>
                <w:sz w:val="24"/>
              </w:rPr>
              <w:t>.3噪声防治措施</w:t>
            </w:r>
          </w:p>
          <w:p w14:paraId="05E2547A">
            <w:pPr>
              <w:numPr>
                <w:ilvl w:val="0"/>
                <w:numId w:val="9"/>
              </w:numPr>
              <w:spacing w:line="360" w:lineRule="auto"/>
              <w:ind w:firstLine="499" w:firstLineChars="208"/>
              <w:rPr>
                <w:rFonts w:hint="eastAsia"/>
                <w:sz w:val="24"/>
              </w:rPr>
            </w:pPr>
            <w:r>
              <w:rPr>
                <w:rFonts w:hint="eastAsia"/>
                <w:sz w:val="24"/>
              </w:rPr>
              <w:t>优先选用低噪声设备；</w:t>
            </w:r>
          </w:p>
          <w:p w14:paraId="1A9CEEEE">
            <w:pPr>
              <w:numPr>
                <w:ilvl w:val="0"/>
                <w:numId w:val="9"/>
              </w:numPr>
              <w:spacing w:line="360" w:lineRule="auto"/>
              <w:ind w:firstLine="499" w:firstLineChars="208"/>
              <w:rPr>
                <w:sz w:val="24"/>
              </w:rPr>
            </w:pPr>
            <w:r>
              <w:rPr>
                <w:rFonts w:hint="eastAsia"/>
                <w:sz w:val="24"/>
              </w:rPr>
              <w:t>合理布局，</w:t>
            </w:r>
            <w:r>
              <w:rPr>
                <w:sz w:val="24"/>
              </w:rPr>
              <w:t>对高噪声设备安装减振垫；</w:t>
            </w:r>
          </w:p>
          <w:p w14:paraId="0CA4708C">
            <w:pPr>
              <w:spacing w:line="360" w:lineRule="auto"/>
              <w:ind w:firstLine="499" w:firstLineChars="208"/>
              <w:rPr>
                <w:b/>
                <w:bCs/>
                <w:sz w:val="24"/>
              </w:rPr>
            </w:pPr>
            <w:r>
              <w:rPr>
                <w:sz w:val="24"/>
              </w:rPr>
              <w:t>（</w:t>
            </w:r>
            <w:r>
              <w:rPr>
                <w:rFonts w:hint="eastAsia"/>
                <w:sz w:val="24"/>
              </w:rPr>
              <w:t>3</w:t>
            </w:r>
            <w:r>
              <w:rPr>
                <w:sz w:val="24"/>
              </w:rPr>
              <w:t>）加强设备的维护，确保设备</w:t>
            </w:r>
            <w:r>
              <w:rPr>
                <w:rFonts w:hint="eastAsia"/>
                <w:sz w:val="24"/>
              </w:rPr>
              <w:t>正常</w:t>
            </w:r>
            <w:r>
              <w:rPr>
                <w:sz w:val="24"/>
              </w:rPr>
              <w:t>运转。</w:t>
            </w:r>
          </w:p>
          <w:p w14:paraId="6A5D4A27">
            <w:pPr>
              <w:spacing w:line="360" w:lineRule="auto"/>
              <w:rPr>
                <w:rFonts w:hint="eastAsia"/>
                <w:b/>
                <w:bCs/>
                <w:sz w:val="24"/>
              </w:rPr>
            </w:pPr>
            <w:r>
              <w:rPr>
                <w:b/>
                <w:bCs/>
                <w:sz w:val="24"/>
              </w:rPr>
              <w:t>4.</w:t>
            </w:r>
            <w:r>
              <w:rPr>
                <w:rFonts w:hint="eastAsia"/>
                <w:b/>
                <w:bCs/>
                <w:sz w:val="24"/>
              </w:rPr>
              <w:t>4</w:t>
            </w:r>
            <w:r>
              <w:rPr>
                <w:b/>
                <w:bCs/>
                <w:sz w:val="24"/>
              </w:rPr>
              <w:t>.4监测</w:t>
            </w:r>
            <w:r>
              <w:rPr>
                <w:rFonts w:hint="eastAsia"/>
                <w:b/>
                <w:bCs/>
                <w:sz w:val="24"/>
              </w:rPr>
              <w:t>计划</w:t>
            </w:r>
          </w:p>
          <w:p w14:paraId="00A76053">
            <w:pPr>
              <w:pStyle w:val="20"/>
              <w:spacing w:before="0" w:beforeAutospacing="0" w:after="0" w:afterAutospacing="0" w:line="360" w:lineRule="auto"/>
              <w:ind w:firstLine="480" w:firstLineChars="200"/>
              <w:jc w:val="both"/>
              <w:outlineLvl w:val="0"/>
              <w:rPr>
                <w:rFonts w:ascii="Times New Roman" w:hAnsi="Times New Roman"/>
                <w:snapToGrid w:val="0"/>
                <w:szCs w:val="24"/>
                <w:lang w:val="en-US" w:eastAsia="zh-CN"/>
              </w:rPr>
            </w:pPr>
            <w:r>
              <w:rPr>
                <w:rFonts w:ascii="Times New Roman" w:hAnsi="Times New Roman"/>
                <w:snapToGrid w:val="0"/>
                <w:szCs w:val="24"/>
                <w:lang w:val="en-US" w:eastAsia="zh-CN"/>
              </w:rPr>
              <w:t>本项目营运期噪声监测计划见下表。</w:t>
            </w:r>
          </w:p>
          <w:p w14:paraId="3620AF8D">
            <w:pPr>
              <w:pStyle w:val="20"/>
              <w:spacing w:before="0" w:beforeAutospacing="0" w:after="0" w:afterAutospacing="0" w:line="240" w:lineRule="atLeast"/>
              <w:jc w:val="center"/>
              <w:outlineLvl w:val="0"/>
              <w:rPr>
                <w:rFonts w:ascii="Times New Roman" w:hAnsi="Times New Roman"/>
                <w:b/>
                <w:bCs/>
                <w:snapToGrid w:val="0"/>
                <w:sz w:val="21"/>
                <w:szCs w:val="21"/>
                <w:lang w:val="en-US" w:eastAsia="zh-CN"/>
              </w:rPr>
            </w:pPr>
            <w:r>
              <w:rPr>
                <w:rFonts w:ascii="Times New Roman" w:hAnsi="Times New Roman"/>
                <w:b/>
                <w:bCs/>
                <w:snapToGrid w:val="0"/>
                <w:sz w:val="21"/>
                <w:szCs w:val="21"/>
                <w:lang w:val="en-US" w:eastAsia="zh-CN"/>
              </w:rPr>
              <w:t>表4-</w:t>
            </w:r>
            <w:r>
              <w:rPr>
                <w:rFonts w:hint="eastAsia" w:ascii="Times New Roman" w:hAnsi="Times New Roman"/>
                <w:b/>
                <w:bCs/>
                <w:snapToGrid w:val="0"/>
                <w:sz w:val="21"/>
                <w:szCs w:val="21"/>
                <w:lang w:val="en-US" w:eastAsia="zh-CN"/>
              </w:rPr>
              <w:t>17</w:t>
            </w:r>
            <w:r>
              <w:rPr>
                <w:rFonts w:ascii="Times New Roman" w:hAnsi="Times New Roman"/>
                <w:b/>
                <w:bCs/>
                <w:snapToGrid w:val="0"/>
                <w:sz w:val="21"/>
                <w:szCs w:val="21"/>
                <w:lang w:val="en-US" w:eastAsia="zh-CN"/>
              </w:rPr>
              <w:t xml:space="preserve">  营运期噪声监测计划一览表</w:t>
            </w:r>
          </w:p>
          <w:tbl>
            <w:tblPr>
              <w:tblStyle w:val="24"/>
              <w:tblW w:w="79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817"/>
              <w:gridCol w:w="1219"/>
              <w:gridCol w:w="1530"/>
              <w:gridCol w:w="2723"/>
            </w:tblGrid>
            <w:tr w14:paraId="5877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707" w:type="dxa"/>
                  <w:noWrap w:val="0"/>
                  <w:vAlign w:val="center"/>
                </w:tcPr>
                <w:p w14:paraId="5F758B3C">
                  <w:pPr>
                    <w:pStyle w:val="20"/>
                    <w:spacing w:before="0" w:beforeAutospacing="0" w:after="0" w:afterAutospacing="0"/>
                    <w:jc w:val="center"/>
                    <w:outlineLvl w:val="0"/>
                    <w:rPr>
                      <w:rFonts w:ascii="Times New Roman" w:hAnsi="Times New Roman"/>
                      <w:b/>
                      <w:bCs/>
                      <w:snapToGrid w:val="0"/>
                      <w:sz w:val="21"/>
                      <w:szCs w:val="21"/>
                      <w:lang w:val="en-US" w:eastAsia="zh-CN"/>
                    </w:rPr>
                  </w:pPr>
                  <w:r>
                    <w:rPr>
                      <w:rFonts w:ascii="Times New Roman" w:hAnsi="Times New Roman"/>
                      <w:b/>
                      <w:bCs/>
                      <w:snapToGrid w:val="0"/>
                      <w:sz w:val="21"/>
                      <w:szCs w:val="21"/>
                      <w:lang w:val="en-US" w:eastAsia="zh-CN"/>
                    </w:rPr>
                    <w:t>序号</w:t>
                  </w:r>
                </w:p>
              </w:tc>
              <w:tc>
                <w:tcPr>
                  <w:tcW w:w="1817" w:type="dxa"/>
                  <w:noWrap w:val="0"/>
                  <w:vAlign w:val="center"/>
                </w:tcPr>
                <w:p w14:paraId="056ED3C5">
                  <w:pPr>
                    <w:pStyle w:val="20"/>
                    <w:spacing w:before="0" w:beforeAutospacing="0" w:after="0" w:afterAutospacing="0"/>
                    <w:jc w:val="center"/>
                    <w:outlineLvl w:val="0"/>
                    <w:rPr>
                      <w:rFonts w:ascii="Times New Roman" w:hAnsi="Times New Roman"/>
                      <w:b/>
                      <w:bCs/>
                      <w:snapToGrid w:val="0"/>
                      <w:sz w:val="21"/>
                      <w:szCs w:val="21"/>
                      <w:lang w:val="en-US" w:eastAsia="zh-CN"/>
                    </w:rPr>
                  </w:pPr>
                  <w:r>
                    <w:rPr>
                      <w:rFonts w:ascii="Times New Roman" w:hAnsi="Times New Roman"/>
                      <w:b/>
                      <w:bCs/>
                      <w:snapToGrid w:val="0"/>
                      <w:sz w:val="21"/>
                      <w:szCs w:val="21"/>
                      <w:lang w:val="en-US" w:eastAsia="zh-CN"/>
                    </w:rPr>
                    <w:t>监测点位</w:t>
                  </w:r>
                </w:p>
              </w:tc>
              <w:tc>
                <w:tcPr>
                  <w:tcW w:w="1219" w:type="dxa"/>
                  <w:noWrap w:val="0"/>
                  <w:vAlign w:val="center"/>
                </w:tcPr>
                <w:p w14:paraId="55E1A711">
                  <w:pPr>
                    <w:pStyle w:val="20"/>
                    <w:spacing w:before="0" w:beforeAutospacing="0" w:after="0" w:afterAutospacing="0"/>
                    <w:jc w:val="center"/>
                    <w:outlineLvl w:val="0"/>
                    <w:rPr>
                      <w:rFonts w:ascii="Times New Roman" w:hAnsi="Times New Roman"/>
                      <w:b/>
                      <w:bCs/>
                      <w:snapToGrid w:val="0"/>
                      <w:sz w:val="21"/>
                      <w:szCs w:val="21"/>
                      <w:lang w:val="en-US" w:eastAsia="zh-CN"/>
                    </w:rPr>
                  </w:pPr>
                  <w:r>
                    <w:rPr>
                      <w:rFonts w:ascii="Times New Roman" w:hAnsi="Times New Roman"/>
                      <w:b/>
                      <w:bCs/>
                      <w:snapToGrid w:val="0"/>
                      <w:sz w:val="21"/>
                      <w:szCs w:val="21"/>
                      <w:lang w:val="en-US" w:eastAsia="zh-CN"/>
                    </w:rPr>
                    <w:t>监测项目</w:t>
                  </w:r>
                </w:p>
              </w:tc>
              <w:tc>
                <w:tcPr>
                  <w:tcW w:w="1530" w:type="dxa"/>
                  <w:noWrap w:val="0"/>
                  <w:vAlign w:val="center"/>
                </w:tcPr>
                <w:p w14:paraId="36105F74">
                  <w:pPr>
                    <w:pStyle w:val="20"/>
                    <w:spacing w:before="0" w:beforeAutospacing="0" w:after="0" w:afterAutospacing="0"/>
                    <w:jc w:val="center"/>
                    <w:outlineLvl w:val="0"/>
                    <w:rPr>
                      <w:rFonts w:ascii="Times New Roman" w:hAnsi="Times New Roman"/>
                      <w:b/>
                      <w:bCs/>
                      <w:snapToGrid w:val="0"/>
                      <w:sz w:val="21"/>
                      <w:szCs w:val="21"/>
                      <w:lang w:val="en-US" w:eastAsia="zh-CN"/>
                    </w:rPr>
                  </w:pPr>
                  <w:r>
                    <w:rPr>
                      <w:rFonts w:ascii="Times New Roman" w:hAnsi="Times New Roman"/>
                      <w:b/>
                      <w:bCs/>
                      <w:snapToGrid w:val="0"/>
                      <w:sz w:val="21"/>
                      <w:szCs w:val="21"/>
                      <w:lang w:val="en-US" w:eastAsia="zh-CN"/>
                    </w:rPr>
                    <w:t>监测频次</w:t>
                  </w:r>
                </w:p>
              </w:tc>
              <w:tc>
                <w:tcPr>
                  <w:tcW w:w="2723" w:type="dxa"/>
                  <w:noWrap w:val="0"/>
                  <w:vAlign w:val="center"/>
                </w:tcPr>
                <w:p w14:paraId="54FB1A5F">
                  <w:pPr>
                    <w:pStyle w:val="20"/>
                    <w:spacing w:before="0" w:beforeAutospacing="0" w:after="0" w:afterAutospacing="0"/>
                    <w:jc w:val="center"/>
                    <w:outlineLvl w:val="0"/>
                    <w:rPr>
                      <w:rFonts w:ascii="Times New Roman" w:hAnsi="Times New Roman"/>
                      <w:b/>
                      <w:bCs/>
                      <w:snapToGrid w:val="0"/>
                      <w:sz w:val="21"/>
                      <w:szCs w:val="21"/>
                      <w:lang w:val="en-US" w:eastAsia="zh-CN"/>
                    </w:rPr>
                  </w:pPr>
                  <w:r>
                    <w:rPr>
                      <w:rFonts w:ascii="Times New Roman" w:hAnsi="Times New Roman"/>
                      <w:b/>
                      <w:bCs/>
                      <w:snapToGrid w:val="0"/>
                      <w:sz w:val="21"/>
                      <w:szCs w:val="21"/>
                      <w:lang w:val="en-US" w:eastAsia="zh-CN"/>
                    </w:rPr>
                    <w:t>执行标准</w:t>
                  </w:r>
                </w:p>
              </w:tc>
            </w:tr>
            <w:tr w14:paraId="0ABCA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707" w:type="dxa"/>
                  <w:vMerge w:val="restart"/>
                  <w:noWrap w:val="0"/>
                  <w:vAlign w:val="center"/>
                </w:tcPr>
                <w:p w14:paraId="3961A75C">
                  <w:pPr>
                    <w:pStyle w:val="20"/>
                    <w:spacing w:before="0" w:beforeAutospacing="0" w:after="0" w:afterAutospacing="0"/>
                    <w:jc w:val="center"/>
                    <w:outlineLvl w:val="0"/>
                    <w:rPr>
                      <w:rFonts w:ascii="Times New Roman" w:hAnsi="Times New Roman"/>
                      <w:snapToGrid w:val="0"/>
                      <w:sz w:val="21"/>
                      <w:szCs w:val="21"/>
                      <w:lang w:val="en-US" w:eastAsia="zh-CN"/>
                    </w:rPr>
                  </w:pPr>
                  <w:r>
                    <w:rPr>
                      <w:rFonts w:ascii="Times New Roman" w:hAnsi="Times New Roman"/>
                      <w:snapToGrid w:val="0"/>
                      <w:sz w:val="21"/>
                      <w:szCs w:val="21"/>
                      <w:lang w:val="en-US" w:eastAsia="zh-CN"/>
                    </w:rPr>
                    <w:t>1</w:t>
                  </w:r>
                </w:p>
              </w:tc>
              <w:tc>
                <w:tcPr>
                  <w:tcW w:w="1817" w:type="dxa"/>
                  <w:noWrap w:val="0"/>
                  <w:vAlign w:val="center"/>
                </w:tcPr>
                <w:p w14:paraId="7FE69CBE">
                  <w:pPr>
                    <w:pStyle w:val="20"/>
                    <w:spacing w:before="0" w:beforeAutospacing="0" w:after="0" w:afterAutospacing="0"/>
                    <w:jc w:val="center"/>
                    <w:outlineLvl w:val="0"/>
                    <w:rPr>
                      <w:rFonts w:ascii="Times New Roman" w:hAnsi="Times New Roman"/>
                      <w:snapToGrid w:val="0"/>
                      <w:sz w:val="21"/>
                      <w:szCs w:val="21"/>
                      <w:lang w:val="en-US" w:eastAsia="zh-CN"/>
                    </w:rPr>
                  </w:pPr>
                  <w:r>
                    <w:rPr>
                      <w:rFonts w:ascii="Times New Roman" w:hAnsi="Times New Roman"/>
                      <w:snapToGrid w:val="0"/>
                      <w:sz w:val="21"/>
                      <w:szCs w:val="21"/>
                      <w:lang w:val="en-US" w:eastAsia="zh-CN"/>
                    </w:rPr>
                    <w:t>东厂界外1m处</w:t>
                  </w:r>
                </w:p>
              </w:tc>
              <w:tc>
                <w:tcPr>
                  <w:tcW w:w="1219" w:type="dxa"/>
                  <w:vMerge w:val="restart"/>
                  <w:noWrap w:val="0"/>
                  <w:vAlign w:val="center"/>
                </w:tcPr>
                <w:p w14:paraId="65CBDB38">
                  <w:pPr>
                    <w:pStyle w:val="20"/>
                    <w:spacing w:before="0" w:beforeAutospacing="0" w:after="0" w:afterAutospacing="0"/>
                    <w:jc w:val="center"/>
                    <w:outlineLvl w:val="0"/>
                    <w:rPr>
                      <w:rFonts w:ascii="Times New Roman" w:hAnsi="Times New Roman"/>
                      <w:snapToGrid w:val="0"/>
                      <w:sz w:val="21"/>
                      <w:szCs w:val="21"/>
                      <w:lang w:val="en-US" w:eastAsia="zh-CN"/>
                    </w:rPr>
                  </w:pPr>
                  <w:r>
                    <w:rPr>
                      <w:rFonts w:ascii="Times New Roman" w:hAnsi="Times New Roman"/>
                      <w:snapToGrid w:val="0"/>
                      <w:sz w:val="21"/>
                      <w:szCs w:val="21"/>
                      <w:lang w:val="en-US" w:eastAsia="zh-CN"/>
                    </w:rPr>
                    <w:t>连续等效A声级</w:t>
                  </w:r>
                </w:p>
              </w:tc>
              <w:tc>
                <w:tcPr>
                  <w:tcW w:w="1530" w:type="dxa"/>
                  <w:vMerge w:val="restart"/>
                  <w:noWrap w:val="0"/>
                  <w:vAlign w:val="center"/>
                </w:tcPr>
                <w:p w14:paraId="6EB3A778">
                  <w:pPr>
                    <w:pStyle w:val="20"/>
                    <w:spacing w:before="0" w:beforeAutospacing="0" w:after="0" w:afterAutospacing="0"/>
                    <w:jc w:val="center"/>
                    <w:outlineLvl w:val="0"/>
                    <w:rPr>
                      <w:rFonts w:ascii="Times New Roman" w:hAnsi="Times New Roman"/>
                      <w:snapToGrid w:val="0"/>
                      <w:sz w:val="21"/>
                      <w:szCs w:val="21"/>
                      <w:lang w:val="en-US" w:eastAsia="zh-CN"/>
                    </w:rPr>
                  </w:pPr>
                  <w:r>
                    <w:rPr>
                      <w:rFonts w:ascii="Times New Roman" w:hAnsi="Times New Roman"/>
                      <w:snapToGrid w:val="0"/>
                      <w:sz w:val="21"/>
                      <w:szCs w:val="21"/>
                      <w:lang w:val="en-US" w:eastAsia="zh-CN"/>
                    </w:rPr>
                    <w:t>1次</w:t>
                  </w:r>
                  <w:r>
                    <w:rPr>
                      <w:rFonts w:hint="eastAsia" w:ascii="Times New Roman" w:hAnsi="Times New Roman"/>
                      <w:snapToGrid w:val="0"/>
                      <w:sz w:val="21"/>
                      <w:szCs w:val="21"/>
                      <w:lang w:val="en-US" w:eastAsia="zh-CN"/>
                    </w:rPr>
                    <w:t>/季度</w:t>
                  </w:r>
                </w:p>
              </w:tc>
              <w:tc>
                <w:tcPr>
                  <w:tcW w:w="2723" w:type="dxa"/>
                  <w:vMerge w:val="restart"/>
                  <w:noWrap w:val="0"/>
                  <w:vAlign w:val="center"/>
                </w:tcPr>
                <w:p w14:paraId="64E97324">
                  <w:pPr>
                    <w:pStyle w:val="20"/>
                    <w:spacing w:before="0" w:beforeAutospacing="0" w:after="0" w:afterAutospacing="0"/>
                    <w:jc w:val="center"/>
                    <w:outlineLvl w:val="0"/>
                    <w:rPr>
                      <w:rFonts w:ascii="Times New Roman" w:hAnsi="Times New Roman"/>
                      <w:snapToGrid w:val="0"/>
                      <w:sz w:val="21"/>
                      <w:szCs w:val="21"/>
                      <w:lang w:val="en-US" w:eastAsia="zh-CN"/>
                    </w:rPr>
                  </w:pPr>
                  <w:r>
                    <w:rPr>
                      <w:rFonts w:ascii="Times New Roman" w:hAnsi="Times New Roman"/>
                      <w:color w:val="000000"/>
                      <w:sz w:val="21"/>
                      <w:szCs w:val="21"/>
                      <w:lang w:val="en-US" w:eastAsia="zh-CN"/>
                    </w:rPr>
                    <w:t>《工业企业厂界环境噪声排放标准》（GB12348-2008）中</w:t>
                  </w:r>
                  <w:r>
                    <w:rPr>
                      <w:rFonts w:hint="eastAsia" w:ascii="Times New Roman" w:hAnsi="Times New Roman"/>
                      <w:color w:val="000000"/>
                      <w:sz w:val="21"/>
                      <w:szCs w:val="21"/>
                      <w:lang w:val="en-US" w:eastAsia="zh-CN"/>
                    </w:rPr>
                    <w:t>2</w:t>
                  </w:r>
                  <w:r>
                    <w:rPr>
                      <w:rFonts w:ascii="Times New Roman" w:hAnsi="Times New Roman"/>
                      <w:color w:val="000000"/>
                      <w:sz w:val="21"/>
                      <w:szCs w:val="21"/>
                      <w:lang w:val="en-US" w:eastAsia="zh-CN"/>
                    </w:rPr>
                    <w:t>类标准</w:t>
                  </w:r>
                </w:p>
              </w:tc>
            </w:tr>
            <w:tr w14:paraId="78035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707" w:type="dxa"/>
                  <w:vMerge w:val="continue"/>
                  <w:noWrap w:val="0"/>
                  <w:vAlign w:val="center"/>
                </w:tcPr>
                <w:p w14:paraId="781C9540">
                  <w:pPr>
                    <w:pStyle w:val="20"/>
                    <w:spacing w:before="0" w:beforeAutospacing="0" w:after="0" w:afterAutospacing="0"/>
                    <w:jc w:val="center"/>
                    <w:outlineLvl w:val="0"/>
                    <w:rPr>
                      <w:rFonts w:ascii="Times New Roman" w:hAnsi="Times New Roman"/>
                      <w:sz w:val="21"/>
                      <w:szCs w:val="21"/>
                      <w:lang w:val="en-US" w:eastAsia="zh-CN"/>
                    </w:rPr>
                  </w:pPr>
                </w:p>
              </w:tc>
              <w:tc>
                <w:tcPr>
                  <w:tcW w:w="1817" w:type="dxa"/>
                  <w:noWrap w:val="0"/>
                  <w:vAlign w:val="center"/>
                </w:tcPr>
                <w:p w14:paraId="3B483955">
                  <w:pPr>
                    <w:pStyle w:val="20"/>
                    <w:spacing w:before="0" w:beforeAutospacing="0" w:after="0" w:afterAutospacing="0"/>
                    <w:jc w:val="center"/>
                    <w:outlineLvl w:val="0"/>
                    <w:rPr>
                      <w:rFonts w:ascii="Times New Roman" w:hAnsi="Times New Roman"/>
                      <w:snapToGrid w:val="0"/>
                      <w:sz w:val="21"/>
                      <w:szCs w:val="21"/>
                      <w:lang w:val="en-US" w:eastAsia="zh-CN"/>
                    </w:rPr>
                  </w:pPr>
                  <w:r>
                    <w:rPr>
                      <w:rFonts w:ascii="Times New Roman" w:hAnsi="Times New Roman"/>
                      <w:snapToGrid w:val="0"/>
                      <w:sz w:val="21"/>
                      <w:szCs w:val="21"/>
                      <w:lang w:val="en-US" w:eastAsia="zh-CN"/>
                    </w:rPr>
                    <w:t>南厂界外1m处</w:t>
                  </w:r>
                </w:p>
              </w:tc>
              <w:tc>
                <w:tcPr>
                  <w:tcW w:w="1219" w:type="dxa"/>
                  <w:vMerge w:val="continue"/>
                  <w:noWrap w:val="0"/>
                  <w:vAlign w:val="center"/>
                </w:tcPr>
                <w:p w14:paraId="1FF33A9F">
                  <w:pPr>
                    <w:pStyle w:val="20"/>
                    <w:spacing w:before="0" w:beforeAutospacing="0" w:after="0" w:afterAutospacing="0"/>
                    <w:jc w:val="center"/>
                    <w:outlineLvl w:val="0"/>
                    <w:rPr>
                      <w:rFonts w:ascii="Times New Roman" w:hAnsi="Times New Roman"/>
                      <w:snapToGrid w:val="0"/>
                      <w:sz w:val="21"/>
                      <w:szCs w:val="21"/>
                      <w:lang w:val="en-US" w:eastAsia="zh-CN"/>
                    </w:rPr>
                  </w:pPr>
                </w:p>
              </w:tc>
              <w:tc>
                <w:tcPr>
                  <w:tcW w:w="1530" w:type="dxa"/>
                  <w:vMerge w:val="continue"/>
                  <w:noWrap w:val="0"/>
                  <w:vAlign w:val="center"/>
                </w:tcPr>
                <w:p w14:paraId="6C9BD8D9">
                  <w:pPr>
                    <w:pStyle w:val="20"/>
                    <w:spacing w:before="0" w:beforeAutospacing="0" w:after="0" w:afterAutospacing="0"/>
                    <w:jc w:val="center"/>
                    <w:outlineLvl w:val="0"/>
                    <w:rPr>
                      <w:rFonts w:ascii="Times New Roman" w:hAnsi="Times New Roman"/>
                      <w:snapToGrid w:val="0"/>
                      <w:sz w:val="21"/>
                      <w:szCs w:val="21"/>
                      <w:lang w:val="en-US" w:eastAsia="zh-CN"/>
                    </w:rPr>
                  </w:pPr>
                </w:p>
              </w:tc>
              <w:tc>
                <w:tcPr>
                  <w:tcW w:w="2723" w:type="dxa"/>
                  <w:vMerge w:val="continue"/>
                  <w:noWrap w:val="0"/>
                  <w:vAlign w:val="center"/>
                </w:tcPr>
                <w:p w14:paraId="0427B7F2">
                  <w:pPr>
                    <w:pStyle w:val="20"/>
                    <w:spacing w:before="0" w:beforeAutospacing="0" w:after="0" w:afterAutospacing="0"/>
                    <w:jc w:val="center"/>
                    <w:outlineLvl w:val="0"/>
                    <w:rPr>
                      <w:rFonts w:ascii="Times New Roman" w:hAnsi="Times New Roman"/>
                      <w:snapToGrid w:val="0"/>
                      <w:sz w:val="21"/>
                      <w:szCs w:val="21"/>
                      <w:lang w:val="en-US" w:eastAsia="zh-CN"/>
                    </w:rPr>
                  </w:pPr>
                </w:p>
              </w:tc>
            </w:tr>
            <w:tr w14:paraId="3E6BC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707" w:type="dxa"/>
                  <w:vMerge w:val="continue"/>
                  <w:noWrap w:val="0"/>
                  <w:vAlign w:val="center"/>
                </w:tcPr>
                <w:p w14:paraId="73AD3104">
                  <w:pPr>
                    <w:pStyle w:val="20"/>
                    <w:spacing w:before="0" w:beforeAutospacing="0" w:after="0" w:afterAutospacing="0"/>
                    <w:jc w:val="center"/>
                    <w:outlineLvl w:val="0"/>
                    <w:rPr>
                      <w:rFonts w:ascii="Times New Roman" w:hAnsi="Times New Roman"/>
                      <w:snapToGrid w:val="0"/>
                      <w:sz w:val="21"/>
                      <w:szCs w:val="21"/>
                      <w:lang w:val="en-US" w:eastAsia="zh-CN"/>
                    </w:rPr>
                  </w:pPr>
                </w:p>
              </w:tc>
              <w:tc>
                <w:tcPr>
                  <w:tcW w:w="1817" w:type="dxa"/>
                  <w:noWrap w:val="0"/>
                  <w:vAlign w:val="center"/>
                </w:tcPr>
                <w:p w14:paraId="638D2E50">
                  <w:pPr>
                    <w:pStyle w:val="20"/>
                    <w:spacing w:before="0" w:beforeAutospacing="0" w:after="0" w:afterAutospacing="0"/>
                    <w:jc w:val="center"/>
                    <w:outlineLvl w:val="0"/>
                    <w:rPr>
                      <w:rFonts w:ascii="Times New Roman" w:hAnsi="Times New Roman"/>
                      <w:snapToGrid w:val="0"/>
                      <w:sz w:val="21"/>
                      <w:szCs w:val="21"/>
                      <w:lang w:val="en-US" w:eastAsia="zh-CN"/>
                    </w:rPr>
                  </w:pPr>
                  <w:r>
                    <w:rPr>
                      <w:rFonts w:ascii="Times New Roman" w:hAnsi="Times New Roman"/>
                      <w:snapToGrid w:val="0"/>
                      <w:sz w:val="21"/>
                      <w:szCs w:val="21"/>
                      <w:lang w:val="en-US" w:eastAsia="zh-CN"/>
                    </w:rPr>
                    <w:t>西厂界外1m处</w:t>
                  </w:r>
                </w:p>
              </w:tc>
              <w:tc>
                <w:tcPr>
                  <w:tcW w:w="1219" w:type="dxa"/>
                  <w:vMerge w:val="continue"/>
                  <w:noWrap w:val="0"/>
                  <w:vAlign w:val="center"/>
                </w:tcPr>
                <w:p w14:paraId="53D4155C">
                  <w:pPr>
                    <w:pStyle w:val="20"/>
                    <w:spacing w:before="0" w:beforeAutospacing="0" w:after="0" w:afterAutospacing="0"/>
                    <w:jc w:val="center"/>
                    <w:outlineLvl w:val="0"/>
                    <w:rPr>
                      <w:rFonts w:ascii="Times New Roman" w:hAnsi="Times New Roman"/>
                      <w:snapToGrid w:val="0"/>
                      <w:sz w:val="21"/>
                      <w:szCs w:val="21"/>
                      <w:lang w:val="en-US" w:eastAsia="zh-CN"/>
                    </w:rPr>
                  </w:pPr>
                </w:p>
              </w:tc>
              <w:tc>
                <w:tcPr>
                  <w:tcW w:w="1530" w:type="dxa"/>
                  <w:vMerge w:val="continue"/>
                  <w:noWrap w:val="0"/>
                  <w:vAlign w:val="center"/>
                </w:tcPr>
                <w:p w14:paraId="0802EF37">
                  <w:pPr>
                    <w:pStyle w:val="20"/>
                    <w:spacing w:before="0" w:beforeAutospacing="0" w:after="0" w:afterAutospacing="0"/>
                    <w:jc w:val="center"/>
                    <w:outlineLvl w:val="0"/>
                    <w:rPr>
                      <w:rFonts w:ascii="Times New Roman" w:hAnsi="Times New Roman"/>
                      <w:snapToGrid w:val="0"/>
                      <w:sz w:val="21"/>
                      <w:szCs w:val="21"/>
                      <w:lang w:val="en-US" w:eastAsia="zh-CN"/>
                    </w:rPr>
                  </w:pPr>
                </w:p>
              </w:tc>
              <w:tc>
                <w:tcPr>
                  <w:tcW w:w="2723" w:type="dxa"/>
                  <w:vMerge w:val="continue"/>
                  <w:noWrap w:val="0"/>
                  <w:vAlign w:val="center"/>
                </w:tcPr>
                <w:p w14:paraId="4F5D188A">
                  <w:pPr>
                    <w:pStyle w:val="20"/>
                    <w:spacing w:before="0" w:beforeAutospacing="0" w:after="0" w:afterAutospacing="0"/>
                    <w:jc w:val="center"/>
                    <w:outlineLvl w:val="0"/>
                    <w:rPr>
                      <w:rFonts w:ascii="Times New Roman" w:hAnsi="Times New Roman"/>
                      <w:snapToGrid w:val="0"/>
                      <w:sz w:val="21"/>
                      <w:szCs w:val="21"/>
                      <w:lang w:val="en-US" w:eastAsia="zh-CN"/>
                    </w:rPr>
                  </w:pPr>
                </w:p>
              </w:tc>
            </w:tr>
            <w:tr w14:paraId="244E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07" w:type="dxa"/>
                  <w:vMerge w:val="continue"/>
                  <w:noWrap w:val="0"/>
                  <w:vAlign w:val="center"/>
                </w:tcPr>
                <w:p w14:paraId="36F7AA8A">
                  <w:pPr>
                    <w:pStyle w:val="20"/>
                    <w:spacing w:before="0" w:beforeAutospacing="0" w:after="0" w:afterAutospacing="0"/>
                    <w:jc w:val="center"/>
                    <w:outlineLvl w:val="0"/>
                    <w:rPr>
                      <w:rFonts w:ascii="Times New Roman" w:hAnsi="Times New Roman"/>
                      <w:snapToGrid w:val="0"/>
                      <w:sz w:val="21"/>
                      <w:szCs w:val="21"/>
                      <w:lang w:val="en-US" w:eastAsia="zh-CN"/>
                    </w:rPr>
                  </w:pPr>
                </w:p>
              </w:tc>
              <w:tc>
                <w:tcPr>
                  <w:tcW w:w="1817" w:type="dxa"/>
                  <w:noWrap w:val="0"/>
                  <w:vAlign w:val="center"/>
                </w:tcPr>
                <w:p w14:paraId="7D03FBC9">
                  <w:pPr>
                    <w:pStyle w:val="20"/>
                    <w:spacing w:before="0" w:beforeAutospacing="0" w:after="0" w:afterAutospacing="0"/>
                    <w:jc w:val="center"/>
                    <w:outlineLvl w:val="0"/>
                    <w:rPr>
                      <w:rFonts w:ascii="Times New Roman" w:hAnsi="Times New Roman"/>
                      <w:snapToGrid w:val="0"/>
                      <w:sz w:val="21"/>
                      <w:szCs w:val="21"/>
                      <w:lang w:val="en-US" w:eastAsia="zh-CN"/>
                    </w:rPr>
                  </w:pPr>
                  <w:r>
                    <w:rPr>
                      <w:rFonts w:ascii="Times New Roman" w:hAnsi="Times New Roman"/>
                      <w:snapToGrid w:val="0"/>
                      <w:sz w:val="21"/>
                      <w:szCs w:val="21"/>
                      <w:lang w:val="en-US" w:eastAsia="zh-CN"/>
                    </w:rPr>
                    <w:t>北厂界外1m处</w:t>
                  </w:r>
                </w:p>
              </w:tc>
              <w:tc>
                <w:tcPr>
                  <w:tcW w:w="1219" w:type="dxa"/>
                  <w:vMerge w:val="continue"/>
                  <w:noWrap w:val="0"/>
                  <w:vAlign w:val="center"/>
                </w:tcPr>
                <w:p w14:paraId="01589E8F">
                  <w:pPr>
                    <w:pStyle w:val="20"/>
                    <w:spacing w:before="0" w:beforeAutospacing="0" w:after="0" w:afterAutospacing="0"/>
                    <w:jc w:val="center"/>
                    <w:outlineLvl w:val="0"/>
                    <w:rPr>
                      <w:rFonts w:ascii="Times New Roman" w:hAnsi="Times New Roman"/>
                      <w:snapToGrid w:val="0"/>
                      <w:sz w:val="21"/>
                      <w:szCs w:val="21"/>
                      <w:lang w:val="en-US" w:eastAsia="zh-CN"/>
                    </w:rPr>
                  </w:pPr>
                </w:p>
              </w:tc>
              <w:tc>
                <w:tcPr>
                  <w:tcW w:w="1530" w:type="dxa"/>
                  <w:vMerge w:val="continue"/>
                  <w:noWrap w:val="0"/>
                  <w:vAlign w:val="center"/>
                </w:tcPr>
                <w:p w14:paraId="06613F8D">
                  <w:pPr>
                    <w:pStyle w:val="20"/>
                    <w:spacing w:before="0" w:beforeAutospacing="0" w:after="0" w:afterAutospacing="0"/>
                    <w:jc w:val="center"/>
                    <w:outlineLvl w:val="0"/>
                    <w:rPr>
                      <w:rFonts w:ascii="Times New Roman" w:hAnsi="Times New Roman"/>
                      <w:snapToGrid w:val="0"/>
                      <w:sz w:val="21"/>
                      <w:szCs w:val="21"/>
                      <w:lang w:val="en-US" w:eastAsia="zh-CN"/>
                    </w:rPr>
                  </w:pPr>
                </w:p>
              </w:tc>
              <w:tc>
                <w:tcPr>
                  <w:tcW w:w="2723" w:type="dxa"/>
                  <w:vMerge w:val="continue"/>
                  <w:noWrap w:val="0"/>
                  <w:vAlign w:val="center"/>
                </w:tcPr>
                <w:p w14:paraId="61BA5F7A">
                  <w:pPr>
                    <w:pStyle w:val="20"/>
                    <w:spacing w:before="0" w:beforeAutospacing="0" w:after="0" w:afterAutospacing="0"/>
                    <w:jc w:val="center"/>
                    <w:outlineLvl w:val="0"/>
                    <w:rPr>
                      <w:rFonts w:ascii="Times New Roman" w:hAnsi="Times New Roman"/>
                      <w:snapToGrid w:val="0"/>
                      <w:sz w:val="21"/>
                      <w:szCs w:val="21"/>
                      <w:lang w:val="en-US" w:eastAsia="zh-CN"/>
                    </w:rPr>
                  </w:pPr>
                </w:p>
              </w:tc>
            </w:tr>
          </w:tbl>
          <w:p w14:paraId="3E337608">
            <w:pPr>
              <w:pStyle w:val="20"/>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outlineLvl w:val="0"/>
              <w:rPr>
                <w:rFonts w:hint="eastAsia" w:ascii="Times New Roman" w:hAnsi="Times New Roman"/>
                <w:b/>
                <w:bCs/>
                <w:snapToGrid w:val="0"/>
                <w:szCs w:val="24"/>
              </w:rPr>
            </w:pPr>
          </w:p>
          <w:p w14:paraId="522711FE">
            <w:pPr>
              <w:pStyle w:val="20"/>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outlineLvl w:val="0"/>
              <w:rPr>
                <w:rFonts w:hint="eastAsia" w:ascii="Times New Roman" w:hAnsi="Times New Roman"/>
                <w:b/>
                <w:bCs/>
                <w:snapToGrid w:val="0"/>
                <w:szCs w:val="24"/>
              </w:rPr>
            </w:pPr>
          </w:p>
          <w:p w14:paraId="23FE289D">
            <w:pPr>
              <w:pStyle w:val="20"/>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outlineLvl w:val="0"/>
              <w:rPr>
                <w:rFonts w:hint="eastAsia" w:ascii="Times New Roman" w:hAnsi="Times New Roman"/>
                <w:b/>
                <w:bCs/>
                <w:snapToGrid w:val="0"/>
                <w:szCs w:val="24"/>
              </w:rPr>
            </w:pPr>
          </w:p>
          <w:p w14:paraId="03FE4098">
            <w:pPr>
              <w:pStyle w:val="20"/>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outlineLvl w:val="0"/>
              <w:rPr>
                <w:rFonts w:hint="eastAsia" w:ascii="Times New Roman" w:hAnsi="Times New Roman"/>
                <w:b/>
                <w:bCs/>
                <w:snapToGrid w:val="0"/>
                <w:szCs w:val="24"/>
              </w:rPr>
            </w:pPr>
          </w:p>
          <w:p w14:paraId="27359F96">
            <w:pPr>
              <w:pStyle w:val="20"/>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outlineLvl w:val="0"/>
              <w:rPr>
                <w:rFonts w:ascii="Times New Roman" w:hAnsi="Times New Roman"/>
                <w:b/>
                <w:bCs/>
                <w:snapToGrid w:val="0"/>
                <w:szCs w:val="24"/>
              </w:rPr>
            </w:pPr>
            <w:r>
              <w:rPr>
                <w:rFonts w:hint="eastAsia" w:ascii="Times New Roman" w:hAnsi="Times New Roman"/>
                <w:b/>
                <w:bCs/>
                <w:snapToGrid w:val="0"/>
                <w:szCs w:val="24"/>
              </w:rPr>
              <w:t>4</w:t>
            </w:r>
            <w:r>
              <w:rPr>
                <w:rFonts w:ascii="Times New Roman" w:hAnsi="Times New Roman"/>
                <w:b/>
                <w:bCs/>
                <w:snapToGrid w:val="0"/>
                <w:szCs w:val="24"/>
              </w:rPr>
              <w:t>.8</w:t>
            </w:r>
            <w:r>
              <w:rPr>
                <w:rFonts w:hint="eastAsia" w:ascii="Times New Roman" w:hAnsi="Times New Roman"/>
                <w:b/>
                <w:bCs/>
                <w:snapToGrid w:val="0"/>
                <w:szCs w:val="24"/>
              </w:rPr>
              <w:t>营运期固废环境影响分析</w:t>
            </w:r>
          </w:p>
          <w:p w14:paraId="254CE24A">
            <w:pPr>
              <w:pStyle w:val="20"/>
              <w:spacing w:before="0" w:beforeAutospacing="0" w:after="0" w:afterAutospacing="0" w:line="360" w:lineRule="auto"/>
              <w:jc w:val="both"/>
              <w:outlineLvl w:val="0"/>
              <w:rPr>
                <w:rFonts w:hint="eastAsia" w:ascii="Times New Roman" w:hAnsi="Times New Roman"/>
                <w:b/>
                <w:bCs/>
                <w:snapToGrid w:val="0"/>
                <w:szCs w:val="24"/>
              </w:rPr>
            </w:pPr>
            <w:r>
              <w:rPr>
                <w:rFonts w:hint="eastAsia" w:ascii="Times New Roman" w:hAnsi="Times New Roman"/>
                <w:b/>
                <w:bCs/>
                <w:snapToGrid w:val="0"/>
                <w:szCs w:val="24"/>
              </w:rPr>
              <w:t>4</w:t>
            </w:r>
            <w:r>
              <w:rPr>
                <w:rFonts w:ascii="Times New Roman" w:hAnsi="Times New Roman"/>
                <w:b/>
                <w:bCs/>
                <w:snapToGrid w:val="0"/>
                <w:szCs w:val="24"/>
              </w:rPr>
              <w:t>.8.1</w:t>
            </w:r>
            <w:r>
              <w:rPr>
                <w:rFonts w:hint="eastAsia" w:ascii="Times New Roman" w:hAnsi="Times New Roman"/>
                <w:b/>
                <w:bCs/>
                <w:snapToGrid w:val="0"/>
                <w:szCs w:val="24"/>
              </w:rPr>
              <w:t>固废污染源强分析</w:t>
            </w:r>
          </w:p>
          <w:p w14:paraId="5CAC14DB">
            <w:pPr>
              <w:spacing w:line="360" w:lineRule="auto"/>
              <w:ind w:firstLine="480" w:firstLineChars="200"/>
              <w:rPr>
                <w:rFonts w:hint="default" w:ascii="Times New Roman" w:hAnsi="Times New Roman" w:eastAsia="宋体" w:cs="Times New Roman"/>
                <w:sz w:val="24"/>
                <w:lang w:val="en-US" w:eastAsia="zh-CN"/>
              </w:rPr>
            </w:pPr>
            <w:r>
              <w:rPr>
                <w:rFonts w:hint="eastAsia" w:cs="Times New Roman"/>
                <w:sz w:val="24"/>
                <w:lang w:val="en-US" w:eastAsia="zh-CN"/>
              </w:rPr>
              <w:t>本项目</w:t>
            </w:r>
            <w:r>
              <w:rPr>
                <w:rFonts w:hint="default" w:ascii="Times New Roman" w:hAnsi="Times New Roman" w:cs="Times New Roman"/>
                <w:sz w:val="24"/>
              </w:rPr>
              <w:t>营运期固体废物主要</w:t>
            </w:r>
            <w:r>
              <w:rPr>
                <w:rFonts w:hint="eastAsia" w:cs="Times New Roman"/>
                <w:sz w:val="24"/>
                <w:lang w:val="en-US" w:eastAsia="zh-CN"/>
              </w:rPr>
              <w:t>为</w:t>
            </w:r>
            <w:r>
              <w:rPr>
                <w:rFonts w:hint="default" w:ascii="Times New Roman" w:hAnsi="Times New Roman" w:cs="Times New Roman"/>
                <w:sz w:val="24"/>
              </w:rPr>
              <w:t>一般工业固体废物、危险废物和生活垃圾。</w:t>
            </w:r>
          </w:p>
          <w:p w14:paraId="7EF4FA1E">
            <w:pPr>
              <w:spacing w:line="360" w:lineRule="auto"/>
              <w:ind w:firstLine="482" w:firstLineChars="200"/>
              <w:rPr>
                <w:rFonts w:hint="eastAsia" w:cs="Times New Roman"/>
                <w:b/>
                <w:bCs/>
                <w:sz w:val="24"/>
                <w:lang w:val="en-US" w:eastAsia="zh-CN"/>
              </w:rPr>
            </w:pPr>
            <w:r>
              <w:rPr>
                <w:rFonts w:hint="eastAsia" w:cs="Times New Roman"/>
                <w:b/>
                <w:bCs/>
                <w:sz w:val="24"/>
                <w:lang w:eastAsia="zh-CN"/>
              </w:rPr>
              <w:t>（</w:t>
            </w:r>
            <w:r>
              <w:rPr>
                <w:rFonts w:hint="eastAsia" w:cs="Times New Roman"/>
                <w:b/>
                <w:bCs/>
                <w:sz w:val="24"/>
                <w:lang w:val="en-US" w:eastAsia="zh-CN"/>
              </w:rPr>
              <w:t>1</w:t>
            </w:r>
            <w:r>
              <w:rPr>
                <w:rFonts w:hint="eastAsia" w:cs="Times New Roman"/>
                <w:b/>
                <w:bCs/>
                <w:sz w:val="24"/>
                <w:lang w:eastAsia="zh-CN"/>
              </w:rPr>
              <w:t>）</w:t>
            </w:r>
            <w:r>
              <w:rPr>
                <w:rFonts w:hint="eastAsia" w:cs="Times New Roman"/>
                <w:b/>
                <w:bCs/>
                <w:sz w:val="24"/>
                <w:lang w:val="en-US" w:eastAsia="zh-CN"/>
              </w:rPr>
              <w:t>一般工业固体废物</w:t>
            </w:r>
          </w:p>
          <w:p w14:paraId="465209E2">
            <w:pPr>
              <w:spacing w:line="360" w:lineRule="auto"/>
              <w:ind w:firstLine="480" w:firstLineChars="200"/>
              <w:rPr>
                <w:rFonts w:hint="eastAsia" w:cs="Times New Roman"/>
                <w:sz w:val="24"/>
                <w:lang w:val="en-US" w:eastAsia="zh-CN"/>
              </w:rPr>
            </w:pPr>
            <w:r>
              <w:rPr>
                <w:rFonts w:hint="eastAsia" w:cs="Times New Roman"/>
                <w:sz w:val="24"/>
                <w:lang w:val="en-US" w:eastAsia="zh-CN"/>
              </w:rPr>
              <w:t>①其他不可利用固体废物</w:t>
            </w:r>
          </w:p>
          <w:p w14:paraId="440A7F16">
            <w:pPr>
              <w:spacing w:line="360" w:lineRule="auto"/>
              <w:ind w:firstLine="480" w:firstLineChars="200"/>
              <w:rPr>
                <w:rFonts w:hint="eastAsia" w:cs="Times New Roman"/>
                <w:sz w:val="24"/>
                <w:lang w:val="en-US" w:eastAsia="zh-CN"/>
              </w:rPr>
            </w:pPr>
            <w:r>
              <w:rPr>
                <w:rFonts w:hint="eastAsia" w:cs="Times New Roman"/>
                <w:sz w:val="24"/>
                <w:lang w:val="en-US" w:eastAsia="zh-CN"/>
              </w:rPr>
              <w:t>产生量约726t/a，主要为拆解过程中产生的无法回收利用的碎玻璃、碎橡胶等，对照《一般固体废物分类与代码》（GB/T39198-2020）可知，其他不可利用固体废物属于一般固体废物，废物代码421-999-99，集中收集后暂存厂区一般固废暂存库，定期外售物资回收公司回收利用。</w:t>
            </w:r>
          </w:p>
          <w:p w14:paraId="69D8EF92">
            <w:pPr>
              <w:spacing w:line="360" w:lineRule="auto"/>
              <w:ind w:firstLine="480" w:firstLineChars="200"/>
              <w:rPr>
                <w:rFonts w:hint="eastAsia" w:cs="Times New Roman"/>
                <w:sz w:val="24"/>
                <w:lang w:val="en-US" w:eastAsia="zh-CN"/>
              </w:rPr>
            </w:pPr>
            <w:r>
              <w:rPr>
                <w:rFonts w:hint="eastAsia" w:cs="Times New Roman"/>
                <w:sz w:val="24"/>
                <w:lang w:val="en-US" w:eastAsia="zh-CN"/>
              </w:rPr>
              <w:t>②动力蓄电池</w:t>
            </w:r>
          </w:p>
          <w:p w14:paraId="7CCA0E08">
            <w:pPr>
              <w:spacing w:line="360" w:lineRule="auto"/>
              <w:ind w:firstLine="480" w:firstLineChars="200"/>
              <w:rPr>
                <w:rFonts w:hint="eastAsia" w:cs="Times New Roman"/>
                <w:sz w:val="24"/>
                <w:lang w:val="en-US" w:eastAsia="zh-CN"/>
              </w:rPr>
            </w:pPr>
            <w:r>
              <w:rPr>
                <w:rFonts w:hint="eastAsia" w:cs="Times New Roman"/>
                <w:sz w:val="24"/>
                <w:lang w:val="en-US" w:eastAsia="zh-CN"/>
              </w:rPr>
              <w:t>产生量约1240t/a，主要为电动汽车拆解产生的锂电池和镍氢电池等，本项目仅进行拆除，不进行进一步拆解，电池组不作为危险废物处置。对照《一般固体废物分类与代码》（GB/T39198-2020）可知，废动力蓄电池属于一般固体废物，废物代码421-999-13，集中收集后外售物资回收公司回收利用。</w:t>
            </w:r>
          </w:p>
          <w:p w14:paraId="04BE5587">
            <w:pPr>
              <w:pStyle w:val="20"/>
              <w:spacing w:before="0" w:beforeAutospacing="0" w:after="0" w:afterAutospacing="0" w:line="360" w:lineRule="auto"/>
              <w:ind w:firstLine="480" w:firstLineChars="200"/>
              <w:jc w:val="both"/>
              <w:outlineLvl w:val="0"/>
              <w:rPr>
                <w:rFonts w:hint="eastAsia" w:ascii="Times New Roman" w:hAnsi="Times New Roman" w:cs="Times New Roman"/>
                <w:b w:val="0"/>
                <w:bCs w:val="0"/>
                <w:sz w:val="24"/>
                <w:lang w:val="en-US" w:eastAsia="zh-CN"/>
              </w:rPr>
            </w:pPr>
            <w:r>
              <w:rPr>
                <w:rFonts w:hint="eastAsia" w:ascii="Times New Roman" w:hAnsi="Times New Roman" w:cs="Times New Roman"/>
                <w:b w:val="0"/>
                <w:bCs w:val="0"/>
                <w:sz w:val="24"/>
                <w:lang w:val="en-US" w:eastAsia="zh-CN"/>
              </w:rPr>
              <w:t>③布袋除尘器收集的粉尘</w:t>
            </w:r>
          </w:p>
          <w:p w14:paraId="70492C69">
            <w:pPr>
              <w:pStyle w:val="20"/>
              <w:spacing w:before="0" w:beforeAutospacing="0" w:after="0" w:afterAutospacing="0" w:line="360" w:lineRule="auto"/>
              <w:ind w:firstLine="480" w:firstLineChars="200"/>
              <w:jc w:val="both"/>
              <w:outlineLvl w:val="0"/>
              <w:rPr>
                <w:rFonts w:hint="eastAsia" w:ascii="Times New Roman" w:hAnsi="Times New Roman" w:eastAsia="宋体" w:cs="Times New Roman"/>
                <w:snapToGrid w:val="0"/>
                <w:szCs w:val="24"/>
                <w:lang w:val="en-US" w:eastAsia="zh-CN"/>
              </w:rPr>
            </w:pPr>
            <w:r>
              <w:rPr>
                <w:rFonts w:hint="eastAsia" w:ascii="Times New Roman" w:hAnsi="Times New Roman"/>
                <w:snapToGrid w:val="0"/>
                <w:szCs w:val="24"/>
                <w:lang w:val="en-US" w:eastAsia="zh-CN"/>
              </w:rPr>
              <w:t>根据大气工程分析可知，项目切割工段布袋除尘器收集的粉尘量约为2.029t/a。</w:t>
            </w:r>
            <w:r>
              <w:rPr>
                <w:rFonts w:hint="eastAsia" w:ascii="Times New Roman" w:hAnsi="Times New Roman" w:eastAsia="宋体" w:cs="Times New Roman"/>
                <w:snapToGrid w:val="0"/>
                <w:szCs w:val="24"/>
                <w:lang w:val="en-US" w:eastAsia="zh-CN"/>
              </w:rPr>
              <w:t>对照《一般固体废物分类与代码》（GB/T39198-2020）可知，废动力蓄电池属于一般固体废物，废物代码900-999-99，定期清理后外售物资回收公司回收利用。</w:t>
            </w:r>
          </w:p>
          <w:p w14:paraId="49585183">
            <w:pPr>
              <w:pStyle w:val="20"/>
              <w:spacing w:before="0" w:beforeAutospacing="0" w:after="0" w:afterAutospacing="0" w:line="360" w:lineRule="auto"/>
              <w:ind w:firstLine="482" w:firstLineChars="200"/>
              <w:jc w:val="both"/>
              <w:outlineLvl w:val="0"/>
              <w:rPr>
                <w:rFonts w:hint="default" w:ascii="Times New Roman" w:hAnsi="Times New Roman" w:eastAsia="宋体" w:cs="Times New Roman"/>
                <w:b/>
                <w:bCs/>
                <w:sz w:val="24"/>
                <w:lang w:val="en-US" w:eastAsia="zh-CN"/>
              </w:rPr>
            </w:pPr>
            <w:r>
              <w:rPr>
                <w:rFonts w:hint="eastAsia" w:ascii="Times New Roman" w:hAnsi="Times New Roman" w:cs="Times New Roman"/>
                <w:b/>
                <w:bCs/>
                <w:sz w:val="24"/>
                <w:lang w:eastAsia="zh-CN"/>
              </w:rPr>
              <w:t>（</w:t>
            </w:r>
            <w:r>
              <w:rPr>
                <w:rFonts w:hint="eastAsia" w:ascii="Times New Roman" w:hAnsi="Times New Roman" w:cs="Times New Roman"/>
                <w:b/>
                <w:bCs/>
                <w:sz w:val="24"/>
                <w:lang w:val="en-US" w:eastAsia="zh-CN"/>
              </w:rPr>
              <w:t>2</w:t>
            </w:r>
            <w:r>
              <w:rPr>
                <w:rFonts w:hint="eastAsia" w:ascii="Times New Roman" w:hAnsi="Times New Roman" w:cs="Times New Roman"/>
                <w:b/>
                <w:bCs/>
                <w:sz w:val="24"/>
                <w:lang w:eastAsia="zh-CN"/>
              </w:rPr>
              <w:t>）</w:t>
            </w:r>
            <w:r>
              <w:rPr>
                <w:rFonts w:hint="eastAsia" w:ascii="Times New Roman" w:hAnsi="Times New Roman" w:cs="Times New Roman"/>
                <w:b/>
                <w:bCs/>
                <w:sz w:val="24"/>
                <w:lang w:val="en-US" w:eastAsia="zh-CN"/>
              </w:rPr>
              <w:t>危险废物</w:t>
            </w:r>
          </w:p>
          <w:p w14:paraId="098465EE">
            <w:pPr>
              <w:spacing w:line="360" w:lineRule="auto"/>
              <w:ind w:firstLine="480" w:firstLineChars="200"/>
              <w:rPr>
                <w:rFonts w:hint="default" w:cs="Times New Roman"/>
                <w:sz w:val="24"/>
                <w:lang w:val="en-US" w:eastAsia="zh-CN"/>
              </w:rPr>
            </w:pPr>
            <w:r>
              <w:rPr>
                <w:rFonts w:hint="eastAsia" w:cs="Times New Roman"/>
                <w:sz w:val="24"/>
                <w:lang w:val="en-US" w:eastAsia="zh-CN"/>
              </w:rPr>
              <w:t>①废燃料油</w:t>
            </w:r>
          </w:p>
          <w:p w14:paraId="050DDF95">
            <w:pPr>
              <w:spacing w:line="360" w:lineRule="auto"/>
              <w:ind w:firstLine="480" w:firstLineChars="200"/>
              <w:rPr>
                <w:rFonts w:hint="eastAsia" w:cs="Times New Roman"/>
                <w:sz w:val="24"/>
                <w:lang w:val="en-US" w:eastAsia="zh-CN"/>
              </w:rPr>
            </w:pPr>
            <w:r>
              <w:rPr>
                <w:rFonts w:hint="eastAsia" w:cs="Times New Roman"/>
                <w:sz w:val="24"/>
                <w:lang w:val="en-US" w:eastAsia="zh-CN"/>
              </w:rPr>
              <w:t>主要为燃油机动车拆解过程产生的废燃料油，产生量约11.4t/a。隶属《国家危险废物名录》（</w:t>
            </w:r>
            <w:r>
              <w:rPr>
                <w:rFonts w:hint="default" w:cs="Times New Roman"/>
                <w:sz w:val="24"/>
                <w:lang w:val="en-US" w:eastAsia="zh-CN"/>
              </w:rPr>
              <w:t>202</w:t>
            </w:r>
            <w:r>
              <w:rPr>
                <w:rFonts w:hint="eastAsia" w:cs="Times New Roman"/>
                <w:sz w:val="24"/>
                <w:lang w:val="en-US" w:eastAsia="zh-CN"/>
              </w:rPr>
              <w:t>5年版）中“</w:t>
            </w:r>
            <w:r>
              <w:rPr>
                <w:rFonts w:hint="default" w:cs="Times New Roman"/>
                <w:sz w:val="24"/>
                <w:lang w:val="en-US" w:eastAsia="zh-CN"/>
              </w:rPr>
              <w:t>HW</w:t>
            </w:r>
            <w:r>
              <w:rPr>
                <w:rFonts w:hint="eastAsia" w:cs="Times New Roman"/>
                <w:sz w:val="24"/>
                <w:lang w:val="en-US" w:eastAsia="zh-CN"/>
              </w:rPr>
              <w:t>08废矿物油与含矿物油废物，</w:t>
            </w:r>
            <w:r>
              <w:rPr>
                <w:rFonts w:hint="default" w:cs="Times New Roman"/>
                <w:sz w:val="24"/>
                <w:lang w:val="en-US" w:eastAsia="zh-CN"/>
              </w:rPr>
              <w:t>900-</w:t>
            </w:r>
            <w:r>
              <w:rPr>
                <w:rFonts w:hint="eastAsia" w:cs="Times New Roman"/>
                <w:sz w:val="24"/>
                <w:lang w:val="en-US" w:eastAsia="zh-CN"/>
              </w:rPr>
              <w:t>199</w:t>
            </w:r>
            <w:r>
              <w:rPr>
                <w:rFonts w:hint="default" w:cs="Times New Roman"/>
                <w:sz w:val="24"/>
                <w:lang w:val="en-US" w:eastAsia="zh-CN"/>
              </w:rPr>
              <w:t>-</w:t>
            </w:r>
            <w:r>
              <w:rPr>
                <w:rFonts w:hint="eastAsia" w:cs="Times New Roman"/>
                <w:sz w:val="24"/>
                <w:lang w:val="en-US" w:eastAsia="zh-CN"/>
              </w:rPr>
              <w:t>08内燃机、汽车、轮船等集中拆解过程产生的废矿物油及油泥”。废燃料油桶装收集后分类暂存危废暂存库，定期委托有资质单位处置。</w:t>
            </w:r>
          </w:p>
          <w:p w14:paraId="61B79615">
            <w:pPr>
              <w:spacing w:line="360" w:lineRule="auto"/>
              <w:ind w:firstLine="480" w:firstLineChars="200"/>
              <w:rPr>
                <w:rFonts w:hint="eastAsia" w:cs="Times New Roman"/>
                <w:sz w:val="24"/>
                <w:lang w:val="en-US" w:eastAsia="zh-CN"/>
              </w:rPr>
            </w:pPr>
            <w:r>
              <w:rPr>
                <w:rFonts w:hint="eastAsia" w:cs="Times New Roman"/>
                <w:sz w:val="24"/>
                <w:lang w:val="en-US" w:eastAsia="zh-CN"/>
              </w:rPr>
              <w:t>②非燃料类废油液</w:t>
            </w:r>
          </w:p>
          <w:p w14:paraId="2277ACB9">
            <w:pPr>
              <w:spacing w:line="360" w:lineRule="auto"/>
              <w:ind w:firstLine="480" w:firstLineChars="200"/>
              <w:rPr>
                <w:rFonts w:hint="eastAsia" w:cs="Times New Roman"/>
                <w:sz w:val="24"/>
                <w:lang w:val="en-US" w:eastAsia="zh-CN"/>
              </w:rPr>
            </w:pPr>
            <w:r>
              <w:rPr>
                <w:rFonts w:hint="eastAsia" w:cs="Times New Roman"/>
                <w:sz w:val="24"/>
                <w:lang w:val="en-US" w:eastAsia="zh-CN"/>
              </w:rPr>
              <w:t>主要为拆解过程中产生的发动机润滑油、变速箱油、差速器油、制动液等，产生量约31.95t/a。隶属《国家危险废物名录》（</w:t>
            </w:r>
            <w:r>
              <w:rPr>
                <w:rFonts w:hint="default" w:cs="Times New Roman"/>
                <w:sz w:val="24"/>
                <w:lang w:val="en-US" w:eastAsia="zh-CN"/>
              </w:rPr>
              <w:t>202</w:t>
            </w:r>
            <w:r>
              <w:rPr>
                <w:rFonts w:hint="eastAsia" w:cs="Times New Roman"/>
                <w:sz w:val="24"/>
                <w:lang w:val="en-US" w:eastAsia="zh-CN"/>
              </w:rPr>
              <w:t>5年版）中“</w:t>
            </w:r>
            <w:r>
              <w:rPr>
                <w:rFonts w:hint="default" w:cs="Times New Roman"/>
                <w:sz w:val="24"/>
                <w:lang w:val="en-US" w:eastAsia="zh-CN"/>
              </w:rPr>
              <w:t>HW</w:t>
            </w:r>
            <w:r>
              <w:rPr>
                <w:rFonts w:hint="eastAsia" w:cs="Times New Roman"/>
                <w:sz w:val="24"/>
                <w:lang w:val="en-US" w:eastAsia="zh-CN"/>
              </w:rPr>
              <w:t>08废矿物油与含矿物油废物，</w:t>
            </w:r>
            <w:r>
              <w:rPr>
                <w:rFonts w:hint="default" w:cs="Times New Roman"/>
                <w:sz w:val="24"/>
                <w:lang w:val="en-US" w:eastAsia="zh-CN"/>
              </w:rPr>
              <w:t>900-</w:t>
            </w:r>
            <w:r>
              <w:rPr>
                <w:rFonts w:hint="eastAsia" w:cs="Times New Roman"/>
                <w:sz w:val="24"/>
                <w:lang w:val="en-US" w:eastAsia="zh-CN"/>
              </w:rPr>
              <w:t>214</w:t>
            </w:r>
            <w:r>
              <w:rPr>
                <w:rFonts w:hint="default" w:cs="Times New Roman"/>
                <w:sz w:val="24"/>
                <w:lang w:val="en-US" w:eastAsia="zh-CN"/>
              </w:rPr>
              <w:t>-</w:t>
            </w:r>
            <w:r>
              <w:rPr>
                <w:rFonts w:hint="eastAsia" w:cs="Times New Roman"/>
                <w:sz w:val="24"/>
                <w:lang w:val="en-US" w:eastAsia="zh-CN"/>
              </w:rPr>
              <w:t>08车辆、机械维修和拆解过程中产生的废发动机油、制动器油、自动变速器油、齿轮油等废润滑油”。废油液桶装收集后分类暂存危废暂存库，定期委托有资质单位处置。</w:t>
            </w:r>
          </w:p>
          <w:p w14:paraId="454B50E1">
            <w:pPr>
              <w:spacing w:line="360" w:lineRule="auto"/>
              <w:ind w:firstLine="480" w:firstLineChars="200"/>
              <w:rPr>
                <w:rFonts w:hint="eastAsia" w:cs="Times New Roman"/>
                <w:sz w:val="24"/>
                <w:lang w:val="en-US" w:eastAsia="zh-CN"/>
              </w:rPr>
            </w:pPr>
            <w:r>
              <w:rPr>
                <w:rFonts w:hint="eastAsia" w:cs="Times New Roman"/>
                <w:sz w:val="24"/>
                <w:lang w:val="en-US" w:eastAsia="zh-CN"/>
              </w:rPr>
              <w:t>③废防冻冷却液、废挡风玻璃洗涤液</w:t>
            </w:r>
          </w:p>
          <w:p w14:paraId="0AEE7B90">
            <w:pPr>
              <w:spacing w:line="360" w:lineRule="auto"/>
              <w:ind w:firstLine="480" w:firstLineChars="200"/>
              <w:rPr>
                <w:rFonts w:hint="eastAsia" w:cs="Times New Roman"/>
                <w:sz w:val="24"/>
                <w:lang w:val="en-US" w:eastAsia="zh-CN"/>
              </w:rPr>
            </w:pPr>
            <w:r>
              <w:rPr>
                <w:rFonts w:hint="eastAsia" w:cs="Times New Roman"/>
                <w:sz w:val="24"/>
                <w:lang w:val="en-US" w:eastAsia="zh-CN"/>
              </w:rPr>
              <w:t>主要为拆解过程产生的废防冻冷却液、废挡风玻璃清洗剂，产生量约76.85t/a。隶属《国家危险废物名录》（2025年版）中“HW06废有机溶剂与含有机溶剂废物，废物代码为900-402-06”。废防冻冷却液、废挡风玻璃洗涤液桶装收集后分类暂存危废暂存库，定期委托有资质单位处置。</w:t>
            </w:r>
          </w:p>
          <w:p w14:paraId="65E25BB4">
            <w:pPr>
              <w:spacing w:line="360" w:lineRule="auto"/>
              <w:ind w:firstLine="480" w:firstLineChars="200"/>
              <w:rPr>
                <w:rFonts w:hint="eastAsia" w:cs="Times New Roman"/>
                <w:sz w:val="24"/>
                <w:lang w:val="en-US" w:eastAsia="zh-CN"/>
              </w:rPr>
            </w:pPr>
            <w:r>
              <w:rPr>
                <w:rFonts w:hint="eastAsia" w:cs="Times New Roman"/>
                <w:sz w:val="24"/>
                <w:lang w:val="en-US" w:eastAsia="zh-CN"/>
              </w:rPr>
              <w:t>④废铅酸蓄电池</w:t>
            </w:r>
          </w:p>
          <w:p w14:paraId="7334BC33">
            <w:pPr>
              <w:spacing w:line="360" w:lineRule="auto"/>
              <w:ind w:firstLine="480" w:firstLineChars="200"/>
              <w:rPr>
                <w:rFonts w:hint="eastAsia" w:cs="Times New Roman"/>
                <w:sz w:val="24"/>
                <w:lang w:val="en-US" w:eastAsia="zh-CN"/>
              </w:rPr>
            </w:pPr>
            <w:r>
              <w:rPr>
                <w:rFonts w:hint="eastAsia" w:cs="Times New Roman"/>
                <w:sz w:val="24"/>
                <w:lang w:val="en-US" w:eastAsia="zh-CN"/>
              </w:rPr>
              <w:t>主要为拆解过程产生的废铅酸蓄电池，产生量约123.5t/a。隶属《国家危险废物名录》（2025年版）中“HW31含铅废物，900-052-31废铅酸电池及废铅蓄电池拆解过程中产生的废铅板、废铅膏和酸液”。采用专用密闭塑料箱收集后暂存危废暂存库，定期委托有资质单位处置。</w:t>
            </w:r>
          </w:p>
          <w:p w14:paraId="4AB32628">
            <w:pPr>
              <w:spacing w:line="360" w:lineRule="auto"/>
              <w:ind w:firstLine="480" w:firstLineChars="200"/>
              <w:rPr>
                <w:rFonts w:hint="eastAsia" w:cs="Times New Roman"/>
                <w:sz w:val="24"/>
                <w:lang w:val="en-US" w:eastAsia="zh-CN"/>
              </w:rPr>
            </w:pPr>
            <w:r>
              <w:rPr>
                <w:rFonts w:hint="eastAsia" w:cs="Times New Roman"/>
                <w:sz w:val="24"/>
                <w:lang w:val="en-US" w:eastAsia="zh-CN"/>
              </w:rPr>
              <w:t>⑤废制冷剂</w:t>
            </w:r>
          </w:p>
          <w:p w14:paraId="07168B1D">
            <w:pPr>
              <w:spacing w:line="360" w:lineRule="auto"/>
              <w:ind w:firstLine="480" w:firstLineChars="200"/>
              <w:rPr>
                <w:rFonts w:hint="eastAsia" w:cs="Times New Roman"/>
                <w:sz w:val="24"/>
                <w:lang w:val="en-US" w:eastAsia="zh-CN"/>
              </w:rPr>
            </w:pPr>
            <w:r>
              <w:rPr>
                <w:rFonts w:hint="eastAsia" w:cs="Times New Roman"/>
                <w:sz w:val="24"/>
                <w:lang w:val="en-US" w:eastAsia="zh-CN"/>
              </w:rPr>
              <w:t>主要为拆解过程产生的废空调制冷剂，产生量约3.05t/a。隶属《国家危险废物名录》（2025年版）中“HW49其他废物，900-999-49被所有者申报废弃的，或未申报废弃但被非法排放、倾倒、利用、处置的，以及有关部门依法收缴或接收且需要销毁的列入《危险化学品名录》的危险化学品”。采用密闭钢瓶收集后暂存危废暂存库，定期委托有资质单位处置。</w:t>
            </w:r>
          </w:p>
          <w:p w14:paraId="3C60C12D">
            <w:pPr>
              <w:spacing w:line="360" w:lineRule="auto"/>
              <w:ind w:firstLine="480" w:firstLineChars="200"/>
              <w:rPr>
                <w:rFonts w:hint="eastAsia" w:cs="Times New Roman"/>
                <w:sz w:val="24"/>
                <w:lang w:val="en-US" w:eastAsia="zh-CN"/>
              </w:rPr>
            </w:pPr>
            <w:r>
              <w:rPr>
                <w:rFonts w:hint="eastAsia" w:cs="Times New Roman"/>
                <w:sz w:val="24"/>
                <w:lang w:val="en-US" w:eastAsia="zh-CN"/>
              </w:rPr>
              <w:t>⑥废油箱</w:t>
            </w:r>
          </w:p>
          <w:p w14:paraId="0631AC1A">
            <w:pPr>
              <w:spacing w:line="360" w:lineRule="auto"/>
              <w:ind w:firstLine="480" w:firstLineChars="200"/>
              <w:rPr>
                <w:rFonts w:hint="eastAsia" w:cs="Times New Roman"/>
                <w:sz w:val="24"/>
                <w:lang w:val="en-US" w:eastAsia="zh-CN"/>
              </w:rPr>
            </w:pPr>
            <w:r>
              <w:rPr>
                <w:rFonts w:hint="eastAsia" w:cs="Times New Roman"/>
                <w:sz w:val="24"/>
                <w:lang w:val="en-US" w:eastAsia="zh-CN"/>
              </w:rPr>
              <w:t>主要为拆解过程产生的废油箱，产生量约685t/a。隶属《国家危险废物名录》（2025年版）中“</w:t>
            </w:r>
            <w:r>
              <w:rPr>
                <w:rFonts w:hint="default" w:cs="Times New Roman"/>
                <w:sz w:val="24"/>
                <w:lang w:val="en-US" w:eastAsia="zh-CN"/>
              </w:rPr>
              <w:t>HW</w:t>
            </w:r>
            <w:r>
              <w:rPr>
                <w:rFonts w:hint="eastAsia" w:cs="Times New Roman"/>
                <w:sz w:val="24"/>
                <w:lang w:val="en-US" w:eastAsia="zh-CN"/>
              </w:rPr>
              <w:t>08废矿物油与含矿物油废物，900-249-08其他生产、销售、使用过程中产生的废矿物油及沾染矿物油的废弃包装物”。集中收集后暂存危废暂存库，定期委托有资质单位处置。</w:t>
            </w:r>
          </w:p>
          <w:p w14:paraId="56722F17">
            <w:pPr>
              <w:spacing w:line="360" w:lineRule="auto"/>
              <w:ind w:firstLine="480" w:firstLineChars="200"/>
              <w:rPr>
                <w:rFonts w:hint="eastAsia" w:cs="Times New Roman"/>
                <w:sz w:val="24"/>
                <w:lang w:val="en-US" w:eastAsia="zh-CN"/>
              </w:rPr>
            </w:pPr>
            <w:r>
              <w:rPr>
                <w:rFonts w:hint="eastAsia" w:cs="Times New Roman"/>
                <w:sz w:val="24"/>
                <w:lang w:val="en-US" w:eastAsia="zh-CN"/>
              </w:rPr>
              <w:t>⑦废液化气罐</w:t>
            </w:r>
          </w:p>
          <w:p w14:paraId="356DF687">
            <w:pPr>
              <w:spacing w:line="360" w:lineRule="auto"/>
              <w:ind w:firstLine="480" w:firstLineChars="200"/>
              <w:rPr>
                <w:rFonts w:hint="eastAsia" w:cs="Times New Roman"/>
                <w:sz w:val="24"/>
                <w:lang w:val="en-US" w:eastAsia="zh-CN"/>
              </w:rPr>
            </w:pPr>
            <w:r>
              <w:rPr>
                <w:rFonts w:hint="eastAsia" w:cs="Times New Roman"/>
                <w:sz w:val="24"/>
                <w:lang w:val="en-US" w:eastAsia="zh-CN"/>
              </w:rPr>
              <w:t>主要为部分小型车拆解过程产生的废液化气罐，产生量约60t/a。隶属《国家危险废物名录》（2025年版）中“HW49其他废物，900-041-49含有或沾染毒性、感染性危险废物的废弃包装物、容器、过滤吸附介质”。集中收集后暂存危废暂存库，定期委托有资质单位处置。</w:t>
            </w:r>
          </w:p>
          <w:p w14:paraId="2E304C29">
            <w:pPr>
              <w:spacing w:line="360" w:lineRule="auto"/>
              <w:ind w:firstLine="480" w:firstLineChars="200"/>
              <w:rPr>
                <w:rFonts w:hint="eastAsia" w:cs="Times New Roman"/>
                <w:sz w:val="24"/>
                <w:lang w:val="en-US" w:eastAsia="zh-CN"/>
              </w:rPr>
            </w:pPr>
            <w:r>
              <w:rPr>
                <w:rFonts w:hint="eastAsia" w:cs="Times New Roman"/>
                <w:sz w:val="24"/>
                <w:lang w:val="en-US" w:eastAsia="zh-CN"/>
              </w:rPr>
              <w:t>⑧废机油、燃油滤清器</w:t>
            </w:r>
          </w:p>
          <w:p w14:paraId="09E2F0BC">
            <w:pPr>
              <w:spacing w:line="360" w:lineRule="auto"/>
              <w:ind w:firstLine="480" w:firstLineChars="200"/>
              <w:rPr>
                <w:rFonts w:hint="eastAsia" w:cs="Times New Roman"/>
                <w:sz w:val="24"/>
                <w:lang w:val="en-US" w:eastAsia="zh-CN"/>
              </w:rPr>
            </w:pPr>
            <w:r>
              <w:rPr>
                <w:rFonts w:hint="eastAsia" w:cs="Times New Roman"/>
                <w:sz w:val="24"/>
                <w:lang w:val="en-US" w:eastAsia="zh-CN"/>
              </w:rPr>
              <w:t>主要为拆解过程产生的废机油及沾染矿物油的废燃油滤清器，产生量约11.4t/a。隶属《国家危险废物名录》（2025年版）中“</w:t>
            </w:r>
            <w:r>
              <w:rPr>
                <w:rFonts w:hint="default" w:cs="Times New Roman"/>
                <w:sz w:val="24"/>
                <w:lang w:val="en-US" w:eastAsia="zh-CN"/>
              </w:rPr>
              <w:t>HW</w:t>
            </w:r>
            <w:r>
              <w:rPr>
                <w:rFonts w:hint="eastAsia" w:cs="Times New Roman"/>
                <w:sz w:val="24"/>
                <w:lang w:val="en-US" w:eastAsia="zh-CN"/>
              </w:rPr>
              <w:t>08废矿物油与含矿物油废物，900-249-08其他生产、销售、使用过程中产生的废矿物油及沾染矿物油的废弃包装物”。集中收集后暂存危废暂存库，定期委托有资质单位处置。</w:t>
            </w:r>
          </w:p>
          <w:p w14:paraId="3F40FC80">
            <w:pPr>
              <w:spacing w:line="360" w:lineRule="auto"/>
              <w:ind w:firstLine="480" w:firstLineChars="200"/>
              <w:rPr>
                <w:rFonts w:hint="eastAsia" w:cs="Times New Roman"/>
                <w:sz w:val="24"/>
                <w:lang w:val="en-US" w:eastAsia="zh-CN"/>
              </w:rPr>
            </w:pPr>
            <w:r>
              <w:rPr>
                <w:rFonts w:hint="eastAsia" w:cs="Times New Roman"/>
                <w:sz w:val="24"/>
                <w:lang w:val="en-US" w:eastAsia="zh-CN"/>
              </w:rPr>
              <w:t>⑨废电容器</w:t>
            </w:r>
          </w:p>
          <w:p w14:paraId="77BEAA56">
            <w:pPr>
              <w:spacing w:line="360" w:lineRule="auto"/>
              <w:ind w:firstLine="480" w:firstLineChars="200"/>
              <w:rPr>
                <w:rFonts w:hint="default" w:cs="Times New Roman"/>
                <w:sz w:val="24"/>
                <w:lang w:val="en-US" w:eastAsia="zh-CN"/>
              </w:rPr>
            </w:pPr>
            <w:r>
              <w:rPr>
                <w:rFonts w:hint="eastAsia" w:cs="Times New Roman"/>
                <w:sz w:val="24"/>
                <w:lang w:val="en-US" w:eastAsia="zh-CN"/>
              </w:rPr>
              <w:t>主要为拆解过程产生的废电容器，产生量约24.5t/a，隶属《国家危险废物名录》（2025年版）中“</w:t>
            </w:r>
            <w:r>
              <w:rPr>
                <w:rFonts w:hint="default" w:cs="Times New Roman"/>
                <w:sz w:val="24"/>
                <w:lang w:val="en-US" w:eastAsia="zh-CN"/>
              </w:rPr>
              <w:t>HW</w:t>
            </w:r>
            <w:r>
              <w:rPr>
                <w:rFonts w:hint="eastAsia" w:cs="Times New Roman"/>
                <w:sz w:val="24"/>
                <w:lang w:val="en-US" w:eastAsia="zh-CN"/>
              </w:rPr>
              <w:t>49其他废物，900-045-49废电路板（包括已拆除或未拆除元器件的废弃电路板），及废电路板拆解过程产生的废弃CPU、显卡、声卡、内存、含电解液的电容器、含金等贵金属的连接件”。采用专用密闭塑料箱收集后暂存危废暂存库，定期委托有资质单位处置。</w:t>
            </w:r>
          </w:p>
          <w:p w14:paraId="5DA15E6E">
            <w:pPr>
              <w:spacing w:line="360" w:lineRule="auto"/>
              <w:ind w:firstLine="480" w:firstLineChars="200"/>
              <w:rPr>
                <w:rFonts w:hint="eastAsia" w:cs="Times New Roman"/>
                <w:sz w:val="24"/>
                <w:lang w:val="en-US" w:eastAsia="zh-CN"/>
              </w:rPr>
            </w:pPr>
            <w:r>
              <w:rPr>
                <w:rFonts w:hint="eastAsia" w:cs="Times New Roman"/>
                <w:sz w:val="24"/>
                <w:lang w:val="en-US" w:eastAsia="zh-CN"/>
              </w:rPr>
              <w:t>⑩废尾气净化器</w:t>
            </w:r>
          </w:p>
          <w:p w14:paraId="6778C2A0">
            <w:pPr>
              <w:spacing w:line="360" w:lineRule="auto"/>
              <w:ind w:firstLine="480" w:firstLineChars="200"/>
              <w:rPr>
                <w:rFonts w:hint="eastAsia" w:cs="Times New Roman"/>
                <w:sz w:val="24"/>
                <w:lang w:val="en-US" w:eastAsia="zh-CN"/>
              </w:rPr>
            </w:pPr>
            <w:r>
              <w:rPr>
                <w:rFonts w:hint="eastAsia" w:cs="Times New Roman"/>
                <w:sz w:val="24"/>
                <w:lang w:val="en-US" w:eastAsia="zh-CN"/>
              </w:rPr>
              <w:t>主要为拆解过程产生的废尾气净化器，产生量约11.15t/a。隶属《国家危险废物名录》（2025年版）中“HW50废催化剂，900-049-50机动车和非道路移动机械尾气净化催化剂”。集中收集后暂存危废暂存库，定期委托有资质单位处置。</w:t>
            </w:r>
          </w:p>
          <w:p w14:paraId="7DD6F1AE">
            <w:pPr>
              <w:spacing w:line="360" w:lineRule="auto"/>
              <w:ind w:firstLine="480" w:firstLineChars="200"/>
              <w:rPr>
                <w:rFonts w:hint="default" w:cs="Times New Roman"/>
                <w:sz w:val="24"/>
                <w:lang w:val="en-US" w:eastAsia="zh-CN"/>
              </w:rPr>
            </w:pPr>
            <w:r>
              <w:rPr>
                <w:rFonts w:hint="default" w:cs="Times New Roman"/>
                <w:sz w:val="24"/>
                <w:lang w:val="en-US" w:eastAsia="zh-CN"/>
              </w:rPr>
              <w:t>⑪</w:t>
            </w:r>
            <w:r>
              <w:rPr>
                <w:rFonts w:hint="eastAsia" w:cs="Times New Roman"/>
                <w:sz w:val="24"/>
                <w:lang w:val="en-US" w:eastAsia="zh-CN"/>
              </w:rPr>
              <w:t>废电路板及电子元器件</w:t>
            </w:r>
          </w:p>
          <w:p w14:paraId="66BD07DB">
            <w:pPr>
              <w:spacing w:line="360" w:lineRule="auto"/>
              <w:ind w:firstLine="480" w:firstLineChars="200"/>
              <w:rPr>
                <w:rFonts w:hint="default" w:cs="Times New Roman"/>
                <w:sz w:val="24"/>
                <w:lang w:val="en-US" w:eastAsia="zh-CN"/>
              </w:rPr>
            </w:pPr>
            <w:r>
              <w:rPr>
                <w:rFonts w:hint="eastAsia" w:cs="Times New Roman"/>
                <w:sz w:val="24"/>
                <w:lang w:val="en-US" w:eastAsia="zh-CN"/>
              </w:rPr>
              <w:t>主要为拆解过程产生的废电路板及电子元器件，产生量约49.2t/a。隶属《国家危险废物名录》（2025年版）中“</w:t>
            </w:r>
            <w:r>
              <w:rPr>
                <w:rFonts w:hint="default" w:cs="Times New Roman"/>
                <w:sz w:val="24"/>
                <w:lang w:val="en-US" w:eastAsia="zh-CN"/>
              </w:rPr>
              <w:t>HW</w:t>
            </w:r>
            <w:r>
              <w:rPr>
                <w:rFonts w:hint="eastAsia" w:cs="Times New Roman"/>
                <w:sz w:val="24"/>
                <w:lang w:val="en-US" w:eastAsia="zh-CN"/>
              </w:rPr>
              <w:t>49其他废物，900-045-49废电路板（包括已拆除或未拆除元器件的废弃电路板），及废电路板拆解过程产生的废弃CPU、显卡、声卡、内存、含电解液的电容器、含金等贵金属的连接件”。采用专用密闭塑料箱收集后暂存危废暂存库，定期委托有资质单位处置。</w:t>
            </w:r>
          </w:p>
          <w:p w14:paraId="0CA5CAAC">
            <w:pPr>
              <w:spacing w:line="360" w:lineRule="auto"/>
              <w:ind w:firstLine="480" w:firstLineChars="200"/>
              <w:rPr>
                <w:rFonts w:hint="eastAsia" w:cs="Times New Roman"/>
                <w:sz w:val="24"/>
                <w:lang w:val="en-US" w:eastAsia="zh-CN"/>
              </w:rPr>
            </w:pPr>
            <w:r>
              <w:rPr>
                <w:rFonts w:hint="default" w:cs="Times New Roman"/>
                <w:sz w:val="24"/>
                <w:lang w:val="en-US" w:eastAsia="zh-CN"/>
              </w:rPr>
              <w:t>⑫</w:t>
            </w:r>
            <w:r>
              <w:rPr>
                <w:rFonts w:hint="eastAsia" w:cs="Times New Roman"/>
                <w:sz w:val="24"/>
                <w:lang w:val="en-US" w:eastAsia="zh-CN"/>
              </w:rPr>
              <w:t>废活性炭</w:t>
            </w:r>
          </w:p>
          <w:p w14:paraId="10908E91">
            <w:pPr>
              <w:pStyle w:val="20"/>
              <w:spacing w:before="0" w:beforeAutospacing="0" w:after="0" w:afterAutospacing="0" w:line="360" w:lineRule="auto"/>
              <w:ind w:firstLine="480" w:firstLineChars="200"/>
              <w:jc w:val="both"/>
              <w:outlineLvl w:val="0"/>
              <w:rPr>
                <w:rFonts w:ascii="Times New Roman" w:hAnsi="Times New Roman"/>
                <w:snapToGrid w:val="0"/>
                <w:szCs w:val="24"/>
                <w:lang w:val="en-US" w:eastAsia="zh-CN"/>
              </w:rPr>
            </w:pPr>
            <w:r>
              <w:rPr>
                <w:rFonts w:hint="eastAsia"/>
                <w:color w:val="000000"/>
                <w:lang w:val="en-US" w:eastAsia="zh-CN"/>
              </w:rPr>
              <w:t>主要为</w:t>
            </w:r>
            <w:r>
              <w:rPr>
                <w:rFonts w:hint="default" w:ascii="Times New Roman" w:hAnsi="Times New Roman" w:cs="Times New Roman"/>
                <w:color w:val="000000"/>
                <w:lang w:val="en-US" w:eastAsia="zh-CN"/>
              </w:rPr>
              <w:t>废气治理设施定期更换的废活性炭，根据工程分析可知，项目有机废气吸附量为</w:t>
            </w:r>
            <w:r>
              <w:rPr>
                <w:rFonts w:hint="eastAsia" w:ascii="Times New Roman" w:hAnsi="Times New Roman" w:cs="Times New Roman"/>
                <w:color w:val="000000"/>
                <w:lang w:val="en-US" w:eastAsia="zh-CN"/>
              </w:rPr>
              <w:t>0.26</w:t>
            </w:r>
            <w:r>
              <w:rPr>
                <w:rFonts w:hint="default" w:ascii="Times New Roman" w:hAnsi="Times New Roman" w:cs="Times New Roman"/>
                <w:color w:val="000000"/>
                <w:lang w:val="en-US" w:eastAsia="zh-CN"/>
              </w:rPr>
              <w:t>t/a，活性炭吸附有机废气量按0.25kg/kg活性炭计，则活性炭</w:t>
            </w:r>
            <w:r>
              <w:rPr>
                <w:rFonts w:hint="eastAsia" w:ascii="Times New Roman" w:hAnsi="Times New Roman" w:cs="Times New Roman"/>
                <w:color w:val="000000"/>
                <w:lang w:val="en-US" w:eastAsia="zh-CN"/>
              </w:rPr>
              <w:t>用量为1.04</w:t>
            </w:r>
            <w:r>
              <w:rPr>
                <w:rFonts w:hint="default" w:ascii="Times New Roman" w:hAnsi="Times New Roman" w:cs="Times New Roman"/>
                <w:color w:val="000000"/>
                <w:lang w:val="en-US" w:eastAsia="zh-CN"/>
              </w:rPr>
              <w:t>t/a</w:t>
            </w:r>
            <w:r>
              <w:rPr>
                <w:rFonts w:hint="eastAsia" w:ascii="Times New Roman" w:hAnsi="Times New Roman" w:cs="Times New Roman"/>
                <w:color w:val="000000"/>
                <w:lang w:val="en-US" w:eastAsia="zh-CN"/>
              </w:rPr>
              <w:t>。为保证吸附效率，</w:t>
            </w:r>
            <w:r>
              <w:rPr>
                <w:rFonts w:hint="default" w:ascii="Times New Roman" w:hAnsi="Times New Roman" w:cs="Times New Roman"/>
                <w:color w:val="000000"/>
                <w:lang w:val="en-US" w:eastAsia="zh-CN"/>
              </w:rPr>
              <w:t>本项目活性炭吸附箱</w:t>
            </w:r>
            <w:r>
              <w:rPr>
                <w:rFonts w:hint="eastAsia" w:ascii="Times New Roman" w:hAnsi="Times New Roman" w:cs="Times New Roman"/>
                <w:color w:val="000000"/>
                <w:lang w:val="en-US" w:eastAsia="zh-CN"/>
              </w:rPr>
              <w:t>单次</w:t>
            </w:r>
            <w:r>
              <w:rPr>
                <w:rFonts w:hint="default" w:ascii="Times New Roman" w:hAnsi="Times New Roman" w:cs="Times New Roman"/>
                <w:color w:val="000000"/>
                <w:lang w:val="en-US" w:eastAsia="zh-CN"/>
              </w:rPr>
              <w:t>填充量</w:t>
            </w:r>
            <w:r>
              <w:rPr>
                <w:rFonts w:hint="eastAsia" w:ascii="Times New Roman" w:hAnsi="Times New Roman" w:cs="Times New Roman"/>
                <w:color w:val="000000"/>
                <w:lang w:val="en-US" w:eastAsia="zh-CN"/>
              </w:rPr>
              <w:t>按1.2t计</w:t>
            </w:r>
            <w:r>
              <w:rPr>
                <w:rFonts w:hint="default" w:ascii="Times New Roman" w:hAnsi="Times New Roman" w:cs="Times New Roman"/>
                <w:color w:val="000000"/>
                <w:lang w:val="en-US" w:eastAsia="zh-CN"/>
              </w:rPr>
              <w:t>，每</w:t>
            </w:r>
            <w:r>
              <w:rPr>
                <w:rFonts w:hint="eastAsia" w:ascii="Times New Roman" w:hAnsi="Times New Roman" w:cs="Times New Roman"/>
                <w:color w:val="000000"/>
                <w:lang w:val="en-US" w:eastAsia="zh-CN"/>
              </w:rPr>
              <w:t>年</w:t>
            </w:r>
            <w:r>
              <w:rPr>
                <w:rFonts w:hint="default" w:ascii="Times New Roman" w:hAnsi="Times New Roman" w:cs="Times New Roman"/>
                <w:color w:val="000000"/>
                <w:lang w:val="en-US" w:eastAsia="zh-CN"/>
              </w:rPr>
              <w:t>更换</w:t>
            </w:r>
            <w:r>
              <w:rPr>
                <w:rFonts w:hint="eastAsia" w:ascii="Times New Roman" w:hAnsi="Times New Roman" w:cs="Times New Roman"/>
                <w:color w:val="000000"/>
                <w:lang w:val="en-US" w:eastAsia="zh-CN"/>
              </w:rPr>
              <w:t>1</w:t>
            </w:r>
            <w:r>
              <w:rPr>
                <w:rFonts w:hint="default" w:ascii="Times New Roman" w:hAnsi="Times New Roman" w:cs="Times New Roman"/>
                <w:color w:val="000000"/>
                <w:lang w:val="en-US" w:eastAsia="zh-CN"/>
              </w:rPr>
              <w:t>次</w:t>
            </w:r>
            <w:r>
              <w:rPr>
                <w:rFonts w:hint="default" w:ascii="Times New Roman" w:hAnsi="Times New Roman" w:cs="Times New Roman"/>
                <w:snapToGrid w:val="0"/>
                <w:szCs w:val="24"/>
                <w:lang w:val="en-US" w:eastAsia="zh-CN"/>
              </w:rPr>
              <w:t>，</w:t>
            </w:r>
            <w:r>
              <w:rPr>
                <w:rFonts w:hint="default" w:ascii="Times New Roman" w:hAnsi="Times New Roman" w:cs="Times New Roman"/>
                <w:color w:val="000000"/>
                <w:lang w:val="en-US" w:eastAsia="zh-CN"/>
              </w:rPr>
              <w:t>则废活性炭产生量为</w:t>
            </w:r>
            <w:r>
              <w:rPr>
                <w:rFonts w:hint="eastAsia" w:ascii="Times New Roman" w:hAnsi="Times New Roman" w:cs="Times New Roman"/>
                <w:color w:val="000000"/>
                <w:lang w:val="en-US" w:eastAsia="zh-CN"/>
              </w:rPr>
              <w:t>1.46</w:t>
            </w:r>
            <w:r>
              <w:rPr>
                <w:rFonts w:hint="default" w:ascii="Times New Roman" w:hAnsi="Times New Roman" w:cs="Times New Roman"/>
                <w:color w:val="000000"/>
                <w:lang w:val="en-US" w:eastAsia="zh-CN"/>
              </w:rPr>
              <w:t>t/a。</w:t>
            </w:r>
            <w:r>
              <w:rPr>
                <w:rFonts w:ascii="Times New Roman" w:hAnsi="Times New Roman"/>
                <w:snapToGrid w:val="0"/>
                <w:szCs w:val="24"/>
                <w:lang w:val="en-US" w:eastAsia="zh-CN"/>
              </w:rPr>
              <w:t>隶属</w:t>
            </w:r>
            <w:r>
              <w:rPr>
                <w:rFonts w:hint="default" w:ascii="Times New Roman" w:hAnsi="Times New Roman" w:cs="Times New Roman"/>
                <w:snapToGrid w:val="0"/>
                <w:szCs w:val="24"/>
                <w:lang w:val="en-US" w:eastAsia="zh-CN"/>
              </w:rPr>
              <w:t>《国家危险废物名录》（202</w:t>
            </w:r>
            <w:r>
              <w:rPr>
                <w:rFonts w:hint="eastAsia" w:ascii="Times New Roman" w:hAnsi="Times New Roman" w:cs="Times New Roman"/>
                <w:snapToGrid w:val="0"/>
                <w:szCs w:val="24"/>
                <w:lang w:val="en-US" w:eastAsia="zh-CN"/>
              </w:rPr>
              <w:t>5</w:t>
            </w:r>
            <w:r>
              <w:rPr>
                <w:rFonts w:hint="default" w:ascii="Times New Roman" w:hAnsi="Times New Roman" w:cs="Times New Roman"/>
                <w:snapToGrid w:val="0"/>
                <w:szCs w:val="24"/>
                <w:lang w:val="en-US" w:eastAsia="zh-CN"/>
              </w:rPr>
              <w:t>年版）</w:t>
            </w:r>
            <w:r>
              <w:rPr>
                <w:rFonts w:hint="eastAsia" w:ascii="Times New Roman" w:hAnsi="Times New Roman" w:cs="Times New Roman"/>
                <w:snapToGrid w:val="0"/>
                <w:szCs w:val="24"/>
                <w:lang w:val="en-US" w:eastAsia="zh-CN"/>
              </w:rPr>
              <w:t>中</w:t>
            </w:r>
            <w:r>
              <w:rPr>
                <w:rFonts w:hint="eastAsia" w:ascii="Times New Roman" w:hAnsi="Times New Roman"/>
                <w:lang w:val="en-US" w:eastAsia="zh-CN"/>
              </w:rPr>
              <w:t>“</w:t>
            </w:r>
            <w:r>
              <w:rPr>
                <w:rFonts w:ascii="Times New Roman" w:hAnsi="Times New Roman"/>
                <w:lang w:val="en-US" w:eastAsia="zh-CN"/>
              </w:rPr>
              <w:t>HW49其他废物，代码为900-0</w:t>
            </w:r>
            <w:r>
              <w:rPr>
                <w:rFonts w:hint="eastAsia" w:ascii="Times New Roman" w:hAnsi="Times New Roman"/>
                <w:lang w:val="en-US" w:eastAsia="zh-CN"/>
              </w:rPr>
              <w:t>39</w:t>
            </w:r>
            <w:r>
              <w:rPr>
                <w:rFonts w:ascii="Times New Roman" w:hAnsi="Times New Roman"/>
                <w:lang w:val="en-US" w:eastAsia="zh-CN"/>
              </w:rPr>
              <w:t>-49，</w:t>
            </w:r>
            <w:r>
              <w:rPr>
                <w:rFonts w:hint="eastAsia" w:ascii="Times New Roman" w:hAnsi="Times New Roman"/>
                <w:lang w:val="en-US" w:eastAsia="zh-CN"/>
              </w:rPr>
              <w:t>VOCs治理过程产生的废活性炭”</w:t>
            </w:r>
            <w:r>
              <w:rPr>
                <w:rFonts w:ascii="Times New Roman" w:hAnsi="Times New Roman"/>
                <w:lang w:val="en-US" w:eastAsia="zh-CN"/>
              </w:rPr>
              <w:t>。</w:t>
            </w:r>
            <w:r>
              <w:rPr>
                <w:rFonts w:ascii="Times New Roman" w:hAnsi="Times New Roman"/>
                <w:snapToGrid w:val="0"/>
                <w:szCs w:val="24"/>
                <w:lang w:val="en-US" w:eastAsia="zh-CN"/>
              </w:rPr>
              <w:t>集中收集后</w:t>
            </w:r>
            <w:r>
              <w:rPr>
                <w:rFonts w:hint="eastAsia" w:ascii="Times New Roman" w:hAnsi="Times New Roman"/>
                <w:snapToGrid w:val="0"/>
                <w:szCs w:val="24"/>
                <w:lang w:val="en-US" w:eastAsia="zh-CN"/>
              </w:rPr>
              <w:t>袋装密封</w:t>
            </w:r>
            <w:r>
              <w:rPr>
                <w:rFonts w:ascii="Times New Roman" w:hAnsi="Times New Roman"/>
                <w:snapToGrid w:val="0"/>
                <w:szCs w:val="24"/>
                <w:lang w:val="en-US" w:eastAsia="zh-CN"/>
              </w:rPr>
              <w:t>暂存危废暂存库，定期交有资质单位安全处置。</w:t>
            </w:r>
          </w:p>
          <w:p w14:paraId="2509F60A">
            <w:pPr>
              <w:spacing w:line="360" w:lineRule="auto"/>
              <w:ind w:firstLine="480" w:firstLineChars="200"/>
              <w:rPr>
                <w:rFonts w:hint="eastAsia" w:cs="Times New Roman"/>
                <w:sz w:val="24"/>
                <w:lang w:val="en-US" w:eastAsia="zh-CN"/>
              </w:rPr>
            </w:pPr>
            <w:r>
              <w:rPr>
                <w:rFonts w:hint="default" w:cs="Times New Roman"/>
                <w:sz w:val="24"/>
                <w:lang w:val="en-US" w:eastAsia="zh-CN"/>
              </w:rPr>
              <w:t>⑬</w:t>
            </w:r>
            <w:r>
              <w:rPr>
                <w:rFonts w:hint="eastAsia" w:cs="Times New Roman"/>
                <w:sz w:val="24"/>
                <w:lang w:val="en-US" w:eastAsia="zh-CN"/>
              </w:rPr>
              <w:t>污水处理站油泥</w:t>
            </w:r>
          </w:p>
          <w:p w14:paraId="11A074C2">
            <w:pPr>
              <w:spacing w:line="360" w:lineRule="auto"/>
              <w:ind w:firstLine="480" w:firstLineChars="200"/>
              <w:rPr>
                <w:rFonts w:hint="default" w:cs="Times New Roman"/>
                <w:sz w:val="24"/>
                <w:lang w:val="en-US" w:eastAsia="zh-CN"/>
              </w:rPr>
            </w:pPr>
            <w:r>
              <w:rPr>
                <w:rFonts w:hint="eastAsia" w:cs="Times New Roman"/>
                <w:sz w:val="24"/>
                <w:lang w:val="en-US" w:eastAsia="zh-CN"/>
              </w:rPr>
              <w:t>主要为污水处理站定期清理的油泥，产生量约占污水处理站污水处理量的1%，本项目营运期地坪保洁废水及初期雨水产生量为2017.4m</w:t>
            </w:r>
            <w:r>
              <w:rPr>
                <w:rFonts w:hint="eastAsia" w:cs="Times New Roman"/>
                <w:sz w:val="24"/>
                <w:vertAlign w:val="superscript"/>
                <w:lang w:val="en-US" w:eastAsia="zh-CN"/>
              </w:rPr>
              <w:t>3</w:t>
            </w:r>
            <w:r>
              <w:rPr>
                <w:rFonts w:hint="eastAsia" w:cs="Times New Roman"/>
                <w:sz w:val="24"/>
                <w:lang w:val="en-US" w:eastAsia="zh-CN"/>
              </w:rPr>
              <w:t>/a，则油泥产生量约为20.174t/a。隶属</w:t>
            </w:r>
            <w:r>
              <w:rPr>
                <w:rFonts w:hint="default" w:ascii="Times New Roman" w:hAnsi="Times New Roman" w:eastAsia="宋体" w:cs="Times New Roman"/>
                <w:sz w:val="24"/>
                <w:lang w:val="en-US" w:eastAsia="zh-CN"/>
              </w:rPr>
              <w:t>《国家危险废物名录》（202</w:t>
            </w:r>
            <w:r>
              <w:rPr>
                <w:rFonts w:hint="eastAsia" w:cs="Times New Roman"/>
                <w:sz w:val="24"/>
                <w:lang w:val="en-US" w:eastAsia="zh-CN"/>
              </w:rPr>
              <w:t>5</w:t>
            </w:r>
            <w:r>
              <w:rPr>
                <w:rFonts w:hint="default" w:ascii="Times New Roman" w:hAnsi="Times New Roman" w:eastAsia="宋体" w:cs="Times New Roman"/>
                <w:sz w:val="24"/>
                <w:lang w:val="en-US" w:eastAsia="zh-CN"/>
              </w:rPr>
              <w:t>年版）</w:t>
            </w:r>
            <w:r>
              <w:rPr>
                <w:rFonts w:hint="eastAsia" w:ascii="Times New Roman" w:hAnsi="Times New Roman" w:eastAsia="宋体" w:cs="Times New Roman"/>
                <w:sz w:val="24"/>
                <w:lang w:val="en-US" w:eastAsia="zh-CN"/>
              </w:rPr>
              <w:t>中“HW08废矿物油与含矿物油废物，废物代码900-210-08，含油废水处理中隔油、气浮、沉淀等处理过程中产生的浮油、浮渣和污泥（不包括废水生化处理污泥）”。污水处理站油泥定期清理后暂存危废暂存库，委托有资质单位处置。</w:t>
            </w:r>
          </w:p>
          <w:p w14:paraId="70F285E9">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 xml:space="preserve">⑭沾油废手套和抹布 </w:t>
            </w:r>
          </w:p>
          <w:p w14:paraId="43699726">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根据企业提供资料，本项目在汽车拆解过程中产生的含油废手套和抹布产生量约0.1t/a。</w:t>
            </w:r>
            <w:r>
              <w:rPr>
                <w:rFonts w:hint="eastAsia" w:ascii="Times New Roman" w:hAnsi="Times New Roman" w:eastAsia="宋体" w:cs="Times New Roman"/>
                <w:sz w:val="24"/>
                <w:lang w:val="en-US" w:eastAsia="zh-CN"/>
              </w:rPr>
              <w:t>对照</w:t>
            </w:r>
            <w:r>
              <w:rPr>
                <w:rFonts w:hint="default" w:ascii="Times New Roman" w:hAnsi="Times New Roman" w:eastAsia="宋体" w:cs="Times New Roman"/>
                <w:sz w:val="24"/>
                <w:lang w:val="en-US" w:eastAsia="zh-CN"/>
              </w:rPr>
              <w:t>《国家危险废物名录》（202</w:t>
            </w:r>
            <w:r>
              <w:rPr>
                <w:rFonts w:hint="eastAsia" w:cs="Times New Roman"/>
                <w:sz w:val="24"/>
                <w:lang w:val="en-US" w:eastAsia="zh-CN"/>
              </w:rPr>
              <w:t>5</w:t>
            </w:r>
            <w:r>
              <w:rPr>
                <w:rFonts w:hint="default" w:ascii="Times New Roman" w:hAnsi="Times New Roman" w:eastAsia="宋体" w:cs="Times New Roman"/>
                <w:sz w:val="24"/>
                <w:lang w:val="en-US" w:eastAsia="zh-CN"/>
              </w:rPr>
              <w:t>年版）</w:t>
            </w:r>
            <w:r>
              <w:rPr>
                <w:rFonts w:hint="eastAsia" w:ascii="Times New Roman" w:hAnsi="Times New Roman" w:eastAsia="宋体" w:cs="Times New Roman"/>
                <w:sz w:val="24"/>
                <w:lang w:val="en-US" w:eastAsia="zh-CN"/>
              </w:rPr>
              <w:t>可知，沾油废手套和抹布</w:t>
            </w:r>
            <w:r>
              <w:rPr>
                <w:rFonts w:hint="default" w:ascii="Times New Roman" w:hAnsi="Times New Roman" w:eastAsia="宋体" w:cs="Times New Roman"/>
                <w:sz w:val="24"/>
                <w:lang w:val="en-US" w:eastAsia="zh-CN"/>
              </w:rPr>
              <w:t>废物</w:t>
            </w:r>
            <w:r>
              <w:rPr>
                <w:rFonts w:hint="eastAsia" w:ascii="Times New Roman" w:hAnsi="Times New Roman" w:eastAsia="宋体" w:cs="Times New Roman"/>
                <w:sz w:val="24"/>
                <w:lang w:val="en-US" w:eastAsia="zh-CN"/>
              </w:rPr>
              <w:t>属于危险废物（现已豁免），废物</w:t>
            </w:r>
            <w:r>
              <w:rPr>
                <w:rFonts w:hint="default" w:ascii="Times New Roman" w:hAnsi="Times New Roman" w:eastAsia="宋体" w:cs="Times New Roman"/>
                <w:sz w:val="24"/>
                <w:lang w:val="en-US" w:eastAsia="zh-CN"/>
              </w:rPr>
              <w:t>代码 900-0</w:t>
            </w:r>
            <w:r>
              <w:rPr>
                <w:rFonts w:hint="eastAsia" w:ascii="Times New Roman" w:hAnsi="Times New Roman" w:eastAsia="宋体" w:cs="Times New Roman"/>
                <w:sz w:val="24"/>
                <w:lang w:val="en-US" w:eastAsia="zh-CN"/>
              </w:rPr>
              <w:t>41</w:t>
            </w:r>
            <w:r>
              <w:rPr>
                <w:rFonts w:hint="default" w:ascii="Times New Roman" w:hAnsi="Times New Roman" w:eastAsia="宋体" w:cs="Times New Roman"/>
                <w:sz w:val="24"/>
                <w:lang w:val="en-US" w:eastAsia="zh-CN"/>
              </w:rPr>
              <w:t>-49</w:t>
            </w:r>
            <w:r>
              <w:rPr>
                <w:rFonts w:hint="eastAsia" w:ascii="Times New Roman" w:hAnsi="Times New Roman" w:eastAsia="宋体" w:cs="Times New Roman"/>
                <w:sz w:val="24"/>
                <w:lang w:val="en-US" w:eastAsia="zh-CN"/>
              </w:rPr>
              <w:t>废弃的含油抹布、劳保用品，全过程不按危险废物管理。环评要求建设单位对</w:t>
            </w:r>
            <w:r>
              <w:rPr>
                <w:rFonts w:hint="default" w:ascii="Times New Roman" w:hAnsi="Times New Roman" w:eastAsia="宋体" w:cs="Times New Roman"/>
                <w:sz w:val="24"/>
                <w:lang w:val="en-US" w:eastAsia="zh-CN"/>
              </w:rPr>
              <w:t>沾</w:t>
            </w:r>
            <w:r>
              <w:rPr>
                <w:rFonts w:hint="eastAsia" w:ascii="Times New Roman" w:hAnsi="Times New Roman" w:eastAsia="宋体" w:cs="Times New Roman"/>
                <w:sz w:val="24"/>
                <w:lang w:val="en-US" w:eastAsia="zh-CN"/>
              </w:rPr>
              <w:t>油废手套集中</w:t>
            </w:r>
            <w:r>
              <w:rPr>
                <w:rFonts w:hint="default" w:ascii="Times New Roman" w:hAnsi="Times New Roman" w:eastAsia="宋体" w:cs="Times New Roman"/>
                <w:sz w:val="24"/>
                <w:lang w:val="en-US" w:eastAsia="zh-CN"/>
              </w:rPr>
              <w:t>收集后</w:t>
            </w:r>
            <w:r>
              <w:rPr>
                <w:rFonts w:hint="eastAsia" w:ascii="Times New Roman" w:hAnsi="Times New Roman" w:eastAsia="宋体" w:cs="Times New Roman"/>
                <w:sz w:val="24"/>
                <w:lang w:val="en-US" w:eastAsia="zh-CN"/>
              </w:rPr>
              <w:t>，委托环卫部门清运处理。</w:t>
            </w:r>
          </w:p>
          <w:p w14:paraId="33F23E0F">
            <w:pPr>
              <w:spacing w:line="360" w:lineRule="auto"/>
              <w:ind w:firstLine="480" w:firstLineChars="200"/>
              <w:rPr>
                <w:rFonts w:hint="default" w:ascii="Times New Roman" w:hAnsi="Times New Roman" w:eastAsia="宋体" w:cs="Times New Roman"/>
                <w:sz w:val="24"/>
                <w:lang w:val="en-US" w:eastAsia="zh-CN"/>
              </w:rPr>
            </w:pPr>
            <w:r>
              <w:rPr>
                <w:rFonts w:hint="eastAsia" w:cs="Times New Roman"/>
                <w:sz w:val="24"/>
                <w:lang w:val="en-US" w:eastAsia="zh-CN"/>
              </w:rPr>
              <w:t>项目营运期危险废物产生情况见下表。</w:t>
            </w:r>
          </w:p>
          <w:p w14:paraId="41F8173B">
            <w:pPr>
              <w:spacing w:line="240" w:lineRule="atLeast"/>
              <w:ind w:firstLine="422" w:firstLineChars="200"/>
              <w:jc w:val="center"/>
              <w:rPr>
                <w:b/>
                <w:bCs/>
              </w:rPr>
            </w:pPr>
            <w:r>
              <w:rPr>
                <w:b/>
                <w:bCs/>
              </w:rPr>
              <w:t>表4-</w:t>
            </w:r>
            <w:r>
              <w:rPr>
                <w:rFonts w:hint="eastAsia"/>
                <w:b/>
                <w:bCs/>
                <w:lang w:val="en-US" w:eastAsia="zh-CN"/>
              </w:rPr>
              <w:t>18</w:t>
            </w:r>
            <w:r>
              <w:rPr>
                <w:b/>
                <w:bCs/>
              </w:rPr>
              <w:t xml:space="preserve">  危险废物产生及处置措施一览表</w:t>
            </w:r>
          </w:p>
          <w:tbl>
            <w:tblPr>
              <w:tblStyle w:val="24"/>
              <w:tblW w:w="79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1502"/>
              <w:gridCol w:w="805"/>
              <w:gridCol w:w="1230"/>
              <w:gridCol w:w="870"/>
              <w:gridCol w:w="722"/>
              <w:gridCol w:w="887"/>
              <w:gridCol w:w="690"/>
              <w:gridCol w:w="747"/>
            </w:tblGrid>
            <w:tr w14:paraId="100FD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dxa"/>
                  <w:noWrap w:val="0"/>
                  <w:vAlign w:val="center"/>
                </w:tcPr>
                <w:p w14:paraId="56D0C2D2">
                  <w:pPr>
                    <w:jc w:val="center"/>
                    <w:rPr>
                      <w:b/>
                      <w:bCs/>
                      <w:color w:val="auto"/>
                    </w:rPr>
                  </w:pPr>
                  <w:r>
                    <w:rPr>
                      <w:b/>
                      <w:bCs/>
                      <w:color w:val="auto"/>
                    </w:rPr>
                    <w:t>序号</w:t>
                  </w:r>
                </w:p>
              </w:tc>
              <w:tc>
                <w:tcPr>
                  <w:tcW w:w="1502" w:type="dxa"/>
                  <w:noWrap w:val="0"/>
                  <w:vAlign w:val="center"/>
                </w:tcPr>
                <w:p w14:paraId="59FF4702">
                  <w:pPr>
                    <w:jc w:val="center"/>
                    <w:rPr>
                      <w:b/>
                      <w:bCs/>
                      <w:color w:val="auto"/>
                    </w:rPr>
                  </w:pPr>
                  <w:r>
                    <w:rPr>
                      <w:b/>
                      <w:bCs/>
                      <w:color w:val="auto"/>
                    </w:rPr>
                    <w:t>危险废物名称</w:t>
                  </w:r>
                </w:p>
              </w:tc>
              <w:tc>
                <w:tcPr>
                  <w:tcW w:w="805" w:type="dxa"/>
                  <w:noWrap w:val="0"/>
                  <w:vAlign w:val="center"/>
                </w:tcPr>
                <w:p w14:paraId="29824661">
                  <w:pPr>
                    <w:jc w:val="center"/>
                    <w:rPr>
                      <w:b/>
                      <w:bCs/>
                      <w:color w:val="auto"/>
                    </w:rPr>
                  </w:pPr>
                  <w:r>
                    <w:rPr>
                      <w:b/>
                      <w:bCs/>
                      <w:color w:val="auto"/>
                    </w:rPr>
                    <w:t>危险废物类别</w:t>
                  </w:r>
                </w:p>
              </w:tc>
              <w:tc>
                <w:tcPr>
                  <w:tcW w:w="1230" w:type="dxa"/>
                  <w:noWrap w:val="0"/>
                  <w:vAlign w:val="center"/>
                </w:tcPr>
                <w:p w14:paraId="127A4AB1">
                  <w:pPr>
                    <w:jc w:val="center"/>
                    <w:rPr>
                      <w:b/>
                      <w:bCs/>
                      <w:color w:val="auto"/>
                    </w:rPr>
                  </w:pPr>
                  <w:r>
                    <w:rPr>
                      <w:b/>
                      <w:bCs/>
                      <w:color w:val="auto"/>
                    </w:rPr>
                    <w:t>危险废物代码</w:t>
                  </w:r>
                </w:p>
              </w:tc>
              <w:tc>
                <w:tcPr>
                  <w:tcW w:w="870" w:type="dxa"/>
                  <w:noWrap w:val="0"/>
                  <w:vAlign w:val="center"/>
                </w:tcPr>
                <w:p w14:paraId="4B9FF0EC">
                  <w:pPr>
                    <w:jc w:val="center"/>
                    <w:rPr>
                      <w:b/>
                      <w:bCs/>
                      <w:color w:val="auto"/>
                    </w:rPr>
                  </w:pPr>
                  <w:r>
                    <w:rPr>
                      <w:b/>
                      <w:bCs/>
                      <w:color w:val="auto"/>
                    </w:rPr>
                    <w:t>产生量（t/a）</w:t>
                  </w:r>
                </w:p>
              </w:tc>
              <w:tc>
                <w:tcPr>
                  <w:tcW w:w="722" w:type="dxa"/>
                  <w:noWrap w:val="0"/>
                  <w:vAlign w:val="center"/>
                </w:tcPr>
                <w:p w14:paraId="345284C7">
                  <w:pPr>
                    <w:jc w:val="center"/>
                    <w:rPr>
                      <w:b/>
                      <w:bCs/>
                      <w:color w:val="auto"/>
                    </w:rPr>
                  </w:pPr>
                  <w:r>
                    <w:rPr>
                      <w:b/>
                      <w:bCs/>
                      <w:color w:val="auto"/>
                    </w:rPr>
                    <w:t>形态</w:t>
                  </w:r>
                </w:p>
              </w:tc>
              <w:tc>
                <w:tcPr>
                  <w:tcW w:w="887" w:type="dxa"/>
                  <w:noWrap w:val="0"/>
                  <w:vAlign w:val="center"/>
                </w:tcPr>
                <w:p w14:paraId="732B2815">
                  <w:pPr>
                    <w:jc w:val="center"/>
                    <w:rPr>
                      <w:rFonts w:hint="default" w:eastAsia="宋体"/>
                      <w:b/>
                      <w:bCs/>
                      <w:color w:val="auto"/>
                      <w:lang w:val="en-US" w:eastAsia="zh-CN"/>
                    </w:rPr>
                  </w:pPr>
                  <w:r>
                    <w:rPr>
                      <w:rFonts w:hint="eastAsia"/>
                      <w:b/>
                      <w:bCs/>
                      <w:color w:val="auto"/>
                      <w:lang w:val="en-US" w:eastAsia="zh-CN"/>
                    </w:rPr>
                    <w:t>贮存方式</w:t>
                  </w:r>
                </w:p>
              </w:tc>
              <w:tc>
                <w:tcPr>
                  <w:tcW w:w="690" w:type="dxa"/>
                  <w:noWrap w:val="0"/>
                  <w:vAlign w:val="center"/>
                </w:tcPr>
                <w:p w14:paraId="1DC57B03">
                  <w:pPr>
                    <w:jc w:val="center"/>
                    <w:rPr>
                      <w:rFonts w:hint="default" w:eastAsia="宋体"/>
                      <w:b/>
                      <w:bCs/>
                      <w:color w:val="auto"/>
                      <w:lang w:val="en-US" w:eastAsia="zh-CN"/>
                    </w:rPr>
                  </w:pPr>
                  <w:r>
                    <w:rPr>
                      <w:rFonts w:hint="eastAsia"/>
                      <w:b/>
                      <w:bCs/>
                      <w:color w:val="auto"/>
                      <w:lang w:val="en-US" w:eastAsia="zh-CN"/>
                    </w:rPr>
                    <w:t>贮存周期</w:t>
                  </w:r>
                </w:p>
              </w:tc>
              <w:tc>
                <w:tcPr>
                  <w:tcW w:w="747" w:type="dxa"/>
                  <w:noWrap w:val="0"/>
                  <w:vAlign w:val="center"/>
                </w:tcPr>
                <w:p w14:paraId="29EEFAC6">
                  <w:pPr>
                    <w:jc w:val="center"/>
                    <w:rPr>
                      <w:b/>
                      <w:bCs/>
                      <w:color w:val="auto"/>
                    </w:rPr>
                  </w:pPr>
                  <w:r>
                    <w:rPr>
                      <w:b/>
                      <w:bCs/>
                      <w:color w:val="auto"/>
                    </w:rPr>
                    <w:t>危险特性</w:t>
                  </w:r>
                </w:p>
              </w:tc>
            </w:tr>
            <w:tr w14:paraId="5C3B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dxa"/>
                  <w:noWrap w:val="0"/>
                  <w:vAlign w:val="center"/>
                </w:tcPr>
                <w:p w14:paraId="5F743E7D">
                  <w:pPr>
                    <w:jc w:val="center"/>
                    <w:rPr>
                      <w:color w:val="auto"/>
                    </w:rPr>
                  </w:pPr>
                  <w:r>
                    <w:rPr>
                      <w:color w:val="auto"/>
                    </w:rPr>
                    <w:t>1</w:t>
                  </w:r>
                </w:p>
              </w:tc>
              <w:tc>
                <w:tcPr>
                  <w:tcW w:w="1502" w:type="dxa"/>
                  <w:noWrap w:val="0"/>
                  <w:vAlign w:val="center"/>
                </w:tcPr>
                <w:p w14:paraId="4BC3FAA8">
                  <w:pPr>
                    <w:jc w:val="center"/>
                    <w:rPr>
                      <w:rFonts w:hint="default" w:eastAsia="宋体"/>
                      <w:color w:val="auto"/>
                      <w:lang w:val="en-US" w:eastAsia="zh-CN"/>
                    </w:rPr>
                  </w:pPr>
                  <w:r>
                    <w:rPr>
                      <w:rFonts w:hint="eastAsia"/>
                      <w:color w:val="auto"/>
                      <w:lang w:val="en-US" w:eastAsia="zh-CN"/>
                    </w:rPr>
                    <w:t>废燃料油</w:t>
                  </w:r>
                </w:p>
              </w:tc>
              <w:tc>
                <w:tcPr>
                  <w:tcW w:w="805" w:type="dxa"/>
                  <w:noWrap w:val="0"/>
                  <w:vAlign w:val="center"/>
                </w:tcPr>
                <w:p w14:paraId="57CEF081">
                  <w:pPr>
                    <w:jc w:val="center"/>
                    <w:rPr>
                      <w:rFonts w:hint="default"/>
                      <w:color w:val="auto"/>
                      <w:lang w:val="en-US"/>
                    </w:rPr>
                  </w:pPr>
                  <w:r>
                    <w:rPr>
                      <w:rFonts w:hint="eastAsia"/>
                      <w:color w:val="auto"/>
                      <w:lang w:val="en-US" w:eastAsia="zh-CN"/>
                    </w:rPr>
                    <w:t>HW08</w:t>
                  </w:r>
                </w:p>
              </w:tc>
              <w:tc>
                <w:tcPr>
                  <w:tcW w:w="1230" w:type="dxa"/>
                  <w:noWrap w:val="0"/>
                  <w:vAlign w:val="center"/>
                </w:tcPr>
                <w:p w14:paraId="14E74871">
                  <w:pPr>
                    <w:jc w:val="center"/>
                    <w:rPr>
                      <w:rFonts w:hint="default" w:eastAsia="宋体"/>
                      <w:color w:val="auto"/>
                      <w:lang w:val="en-US" w:eastAsia="zh-CN"/>
                    </w:rPr>
                  </w:pPr>
                  <w:r>
                    <w:rPr>
                      <w:rFonts w:hint="eastAsia"/>
                      <w:color w:val="auto"/>
                      <w:lang w:val="en-US" w:eastAsia="zh-CN"/>
                    </w:rPr>
                    <w:t>900-199-08</w:t>
                  </w:r>
                </w:p>
              </w:tc>
              <w:tc>
                <w:tcPr>
                  <w:tcW w:w="870" w:type="dxa"/>
                  <w:noWrap w:val="0"/>
                  <w:vAlign w:val="center"/>
                </w:tcPr>
                <w:p w14:paraId="2D5E167C">
                  <w:pPr>
                    <w:jc w:val="center"/>
                    <w:rPr>
                      <w:rFonts w:hint="default" w:eastAsia="宋体"/>
                      <w:color w:val="auto"/>
                      <w:lang w:val="en-US" w:eastAsia="zh-CN"/>
                    </w:rPr>
                  </w:pPr>
                  <w:r>
                    <w:rPr>
                      <w:rFonts w:hint="eastAsia"/>
                      <w:color w:val="auto"/>
                      <w:lang w:val="en-US" w:eastAsia="zh-CN"/>
                    </w:rPr>
                    <w:t>11.4</w:t>
                  </w:r>
                </w:p>
              </w:tc>
              <w:tc>
                <w:tcPr>
                  <w:tcW w:w="722" w:type="dxa"/>
                  <w:noWrap w:val="0"/>
                  <w:vAlign w:val="center"/>
                </w:tcPr>
                <w:p w14:paraId="783136E7">
                  <w:pPr>
                    <w:jc w:val="center"/>
                    <w:rPr>
                      <w:color w:val="auto"/>
                    </w:rPr>
                  </w:pPr>
                  <w:r>
                    <w:rPr>
                      <w:rFonts w:hint="eastAsia"/>
                      <w:color w:val="auto"/>
                      <w:lang w:val="en-US" w:eastAsia="zh-CN"/>
                    </w:rPr>
                    <w:t>液</w:t>
                  </w:r>
                  <w:r>
                    <w:rPr>
                      <w:color w:val="auto"/>
                    </w:rPr>
                    <w:t>态</w:t>
                  </w:r>
                </w:p>
              </w:tc>
              <w:tc>
                <w:tcPr>
                  <w:tcW w:w="887" w:type="dxa"/>
                  <w:noWrap w:val="0"/>
                  <w:vAlign w:val="center"/>
                </w:tcPr>
                <w:p w14:paraId="7CC02688">
                  <w:pPr>
                    <w:jc w:val="center"/>
                    <w:rPr>
                      <w:rFonts w:hint="default" w:eastAsia="宋体"/>
                      <w:color w:val="auto"/>
                      <w:lang w:val="en-US" w:eastAsia="zh-CN"/>
                    </w:rPr>
                  </w:pPr>
                  <w:r>
                    <w:rPr>
                      <w:rFonts w:hint="eastAsia"/>
                      <w:color w:val="auto"/>
                      <w:lang w:val="en-US" w:eastAsia="zh-CN"/>
                    </w:rPr>
                    <w:t>密闭桶装</w:t>
                  </w:r>
                </w:p>
              </w:tc>
              <w:tc>
                <w:tcPr>
                  <w:tcW w:w="690" w:type="dxa"/>
                  <w:noWrap w:val="0"/>
                  <w:vAlign w:val="center"/>
                </w:tcPr>
                <w:p w14:paraId="3463FC4D">
                  <w:pPr>
                    <w:jc w:val="center"/>
                    <w:rPr>
                      <w:rFonts w:hint="default" w:eastAsia="宋体"/>
                      <w:color w:val="auto"/>
                      <w:lang w:val="en-US" w:eastAsia="zh-CN"/>
                    </w:rPr>
                  </w:pPr>
                  <w:r>
                    <w:rPr>
                      <w:rFonts w:hint="eastAsia"/>
                      <w:color w:val="auto"/>
                      <w:lang w:val="en-US" w:eastAsia="zh-CN"/>
                    </w:rPr>
                    <w:t>15d</w:t>
                  </w:r>
                </w:p>
              </w:tc>
              <w:tc>
                <w:tcPr>
                  <w:tcW w:w="747" w:type="dxa"/>
                  <w:noWrap w:val="0"/>
                  <w:vAlign w:val="center"/>
                </w:tcPr>
                <w:p w14:paraId="16A1FBF4">
                  <w:pPr>
                    <w:jc w:val="center"/>
                    <w:rPr>
                      <w:rFonts w:hint="default" w:eastAsia="宋体"/>
                      <w:color w:val="auto"/>
                      <w:lang w:val="en-US" w:eastAsia="zh-CN"/>
                    </w:rPr>
                  </w:pPr>
                  <w:r>
                    <w:rPr>
                      <w:rFonts w:hint="eastAsia"/>
                      <w:color w:val="auto"/>
                      <w:lang w:val="en-US" w:eastAsia="zh-CN"/>
                    </w:rPr>
                    <w:t>T,I</w:t>
                  </w:r>
                </w:p>
              </w:tc>
            </w:tr>
            <w:tr w14:paraId="717C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dxa"/>
                  <w:noWrap w:val="0"/>
                  <w:vAlign w:val="center"/>
                </w:tcPr>
                <w:p w14:paraId="1D2CFD82">
                  <w:pPr>
                    <w:jc w:val="center"/>
                    <w:rPr>
                      <w:rFonts w:hint="eastAsia" w:eastAsia="宋体"/>
                      <w:color w:val="auto"/>
                      <w:lang w:val="en-US" w:eastAsia="zh-CN"/>
                    </w:rPr>
                  </w:pPr>
                  <w:r>
                    <w:rPr>
                      <w:rFonts w:hint="eastAsia"/>
                      <w:color w:val="auto"/>
                      <w:lang w:val="en-US" w:eastAsia="zh-CN"/>
                    </w:rPr>
                    <w:t>2</w:t>
                  </w:r>
                </w:p>
              </w:tc>
              <w:tc>
                <w:tcPr>
                  <w:tcW w:w="1502" w:type="dxa"/>
                  <w:noWrap w:val="0"/>
                  <w:vAlign w:val="center"/>
                </w:tcPr>
                <w:p w14:paraId="2AFA8EC8">
                  <w:pPr>
                    <w:jc w:val="center"/>
                    <w:rPr>
                      <w:rFonts w:hint="default"/>
                      <w:color w:val="auto"/>
                      <w:lang w:val="en-US" w:eastAsia="zh-CN"/>
                    </w:rPr>
                  </w:pPr>
                  <w:r>
                    <w:rPr>
                      <w:rFonts w:hint="eastAsia"/>
                      <w:color w:val="auto"/>
                      <w:lang w:val="en-US" w:eastAsia="zh-CN"/>
                    </w:rPr>
                    <w:t>非燃料类废油液</w:t>
                  </w:r>
                </w:p>
              </w:tc>
              <w:tc>
                <w:tcPr>
                  <w:tcW w:w="805" w:type="dxa"/>
                  <w:noWrap w:val="0"/>
                  <w:vAlign w:val="center"/>
                </w:tcPr>
                <w:p w14:paraId="45F68A66">
                  <w:pPr>
                    <w:jc w:val="center"/>
                    <w:rPr>
                      <w:rFonts w:hint="default"/>
                      <w:color w:val="auto"/>
                      <w:lang w:val="en-US" w:eastAsia="zh-CN"/>
                    </w:rPr>
                  </w:pPr>
                  <w:r>
                    <w:rPr>
                      <w:rFonts w:hint="eastAsia"/>
                      <w:color w:val="auto"/>
                      <w:lang w:val="en-US" w:eastAsia="zh-CN"/>
                    </w:rPr>
                    <w:t>HW08</w:t>
                  </w:r>
                </w:p>
              </w:tc>
              <w:tc>
                <w:tcPr>
                  <w:tcW w:w="1230" w:type="dxa"/>
                  <w:noWrap w:val="0"/>
                  <w:vAlign w:val="center"/>
                </w:tcPr>
                <w:p w14:paraId="282DE51A">
                  <w:pPr>
                    <w:jc w:val="center"/>
                    <w:rPr>
                      <w:rFonts w:hint="default" w:eastAsia="宋体"/>
                      <w:color w:val="auto"/>
                      <w:lang w:val="en-US" w:eastAsia="zh-CN"/>
                    </w:rPr>
                  </w:pPr>
                  <w:r>
                    <w:rPr>
                      <w:rFonts w:hint="eastAsia"/>
                      <w:color w:val="auto"/>
                      <w:lang w:val="en-US" w:eastAsia="zh-CN"/>
                    </w:rPr>
                    <w:t>900-214-08</w:t>
                  </w:r>
                </w:p>
              </w:tc>
              <w:tc>
                <w:tcPr>
                  <w:tcW w:w="870" w:type="dxa"/>
                  <w:noWrap w:val="0"/>
                  <w:vAlign w:val="center"/>
                </w:tcPr>
                <w:p w14:paraId="676F5DF5">
                  <w:pPr>
                    <w:jc w:val="center"/>
                    <w:rPr>
                      <w:rFonts w:hint="default"/>
                      <w:color w:val="auto"/>
                      <w:lang w:val="en-US" w:eastAsia="zh-CN"/>
                    </w:rPr>
                  </w:pPr>
                  <w:r>
                    <w:rPr>
                      <w:rFonts w:hint="eastAsia"/>
                      <w:color w:val="auto"/>
                      <w:lang w:val="en-US" w:eastAsia="zh-CN"/>
                    </w:rPr>
                    <w:t>31.95</w:t>
                  </w:r>
                </w:p>
              </w:tc>
              <w:tc>
                <w:tcPr>
                  <w:tcW w:w="722" w:type="dxa"/>
                  <w:noWrap w:val="0"/>
                  <w:vAlign w:val="center"/>
                </w:tcPr>
                <w:p w14:paraId="5E74AC01">
                  <w:pPr>
                    <w:jc w:val="center"/>
                    <w:rPr>
                      <w:rFonts w:hint="default" w:eastAsia="宋体"/>
                      <w:color w:val="auto"/>
                      <w:lang w:val="en-US" w:eastAsia="zh-CN"/>
                    </w:rPr>
                  </w:pPr>
                  <w:r>
                    <w:rPr>
                      <w:rFonts w:hint="eastAsia"/>
                      <w:color w:val="auto"/>
                      <w:lang w:val="en-US" w:eastAsia="zh-CN"/>
                    </w:rPr>
                    <w:t>液态</w:t>
                  </w:r>
                </w:p>
              </w:tc>
              <w:tc>
                <w:tcPr>
                  <w:tcW w:w="887" w:type="dxa"/>
                  <w:noWrap w:val="0"/>
                  <w:vAlign w:val="center"/>
                </w:tcPr>
                <w:p w14:paraId="0C69B0B2">
                  <w:pPr>
                    <w:jc w:val="center"/>
                    <w:rPr>
                      <w:rFonts w:hint="default"/>
                      <w:color w:val="auto"/>
                      <w:lang w:val="en-US" w:eastAsia="zh-CN"/>
                    </w:rPr>
                  </w:pPr>
                  <w:r>
                    <w:rPr>
                      <w:rFonts w:hint="eastAsia"/>
                      <w:color w:val="auto"/>
                      <w:lang w:val="en-US" w:eastAsia="zh-CN"/>
                    </w:rPr>
                    <w:t>耐腐蚀容器</w:t>
                  </w:r>
                </w:p>
              </w:tc>
              <w:tc>
                <w:tcPr>
                  <w:tcW w:w="690" w:type="dxa"/>
                  <w:noWrap w:val="0"/>
                  <w:vAlign w:val="center"/>
                </w:tcPr>
                <w:p w14:paraId="30FFF103">
                  <w:pPr>
                    <w:jc w:val="center"/>
                    <w:rPr>
                      <w:rFonts w:hint="default"/>
                      <w:color w:val="auto"/>
                      <w:lang w:val="en-US" w:eastAsia="zh-CN"/>
                    </w:rPr>
                  </w:pPr>
                  <w:r>
                    <w:rPr>
                      <w:rFonts w:hint="eastAsia"/>
                      <w:color w:val="auto"/>
                      <w:lang w:val="en-US" w:eastAsia="zh-CN"/>
                    </w:rPr>
                    <w:t>15d</w:t>
                  </w:r>
                </w:p>
              </w:tc>
              <w:tc>
                <w:tcPr>
                  <w:tcW w:w="747" w:type="dxa"/>
                  <w:noWrap w:val="0"/>
                  <w:vAlign w:val="center"/>
                </w:tcPr>
                <w:p w14:paraId="48413216">
                  <w:pPr>
                    <w:jc w:val="center"/>
                    <w:rPr>
                      <w:rFonts w:hint="default"/>
                      <w:color w:val="auto"/>
                      <w:lang w:val="en-US" w:eastAsia="zh-CN"/>
                    </w:rPr>
                  </w:pPr>
                  <w:r>
                    <w:rPr>
                      <w:rFonts w:hint="eastAsia"/>
                      <w:color w:val="auto"/>
                      <w:lang w:val="en-US" w:eastAsia="zh-CN"/>
                    </w:rPr>
                    <w:t>T,I</w:t>
                  </w:r>
                </w:p>
              </w:tc>
            </w:tr>
            <w:tr w14:paraId="465B2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502" w:type="dxa"/>
                  <w:noWrap w:val="0"/>
                  <w:vAlign w:val="center"/>
                </w:tcPr>
                <w:p w14:paraId="219EB0ED">
                  <w:pPr>
                    <w:jc w:val="center"/>
                    <w:rPr>
                      <w:rFonts w:hint="eastAsia" w:eastAsia="宋体"/>
                      <w:color w:val="auto"/>
                      <w:lang w:val="en-US" w:eastAsia="zh-CN"/>
                    </w:rPr>
                  </w:pPr>
                  <w:r>
                    <w:rPr>
                      <w:rFonts w:hint="eastAsia"/>
                      <w:color w:val="auto"/>
                      <w:lang w:val="en-US" w:eastAsia="zh-CN"/>
                    </w:rPr>
                    <w:t>3</w:t>
                  </w:r>
                </w:p>
              </w:tc>
              <w:tc>
                <w:tcPr>
                  <w:tcW w:w="1502" w:type="dxa"/>
                  <w:noWrap w:val="0"/>
                  <w:vAlign w:val="center"/>
                </w:tcPr>
                <w:p w14:paraId="64C9AF8F">
                  <w:pPr>
                    <w:jc w:val="center"/>
                    <w:rPr>
                      <w:rFonts w:hint="default"/>
                      <w:color w:val="auto"/>
                      <w:lang w:val="en-US" w:eastAsia="zh-CN"/>
                    </w:rPr>
                  </w:pPr>
                  <w:r>
                    <w:rPr>
                      <w:rFonts w:hint="eastAsia"/>
                      <w:color w:val="auto"/>
                      <w:lang w:val="en-US" w:eastAsia="zh-CN"/>
                    </w:rPr>
                    <w:t>废防冻冷却液、废挡风玻璃清洗剂</w:t>
                  </w:r>
                </w:p>
              </w:tc>
              <w:tc>
                <w:tcPr>
                  <w:tcW w:w="805" w:type="dxa"/>
                  <w:noWrap w:val="0"/>
                  <w:vAlign w:val="center"/>
                </w:tcPr>
                <w:p w14:paraId="74913FD9">
                  <w:pPr>
                    <w:jc w:val="center"/>
                    <w:rPr>
                      <w:rFonts w:hint="default"/>
                      <w:color w:val="auto"/>
                      <w:lang w:val="en-US" w:eastAsia="zh-CN"/>
                    </w:rPr>
                  </w:pPr>
                  <w:r>
                    <w:rPr>
                      <w:rFonts w:hint="eastAsia"/>
                      <w:color w:val="auto"/>
                      <w:lang w:val="en-US" w:eastAsia="zh-CN"/>
                    </w:rPr>
                    <w:t>HW06</w:t>
                  </w:r>
                </w:p>
              </w:tc>
              <w:tc>
                <w:tcPr>
                  <w:tcW w:w="1230" w:type="dxa"/>
                  <w:noWrap w:val="0"/>
                  <w:vAlign w:val="center"/>
                </w:tcPr>
                <w:p w14:paraId="3AC50622">
                  <w:pPr>
                    <w:jc w:val="center"/>
                    <w:rPr>
                      <w:rFonts w:hint="default" w:eastAsia="宋体"/>
                      <w:color w:val="auto"/>
                      <w:lang w:val="en-US" w:eastAsia="zh-CN"/>
                    </w:rPr>
                  </w:pPr>
                  <w:r>
                    <w:rPr>
                      <w:rFonts w:hint="eastAsia"/>
                      <w:color w:val="auto"/>
                      <w:lang w:val="en-US" w:eastAsia="zh-CN"/>
                    </w:rPr>
                    <w:t>900-402-06</w:t>
                  </w:r>
                </w:p>
              </w:tc>
              <w:tc>
                <w:tcPr>
                  <w:tcW w:w="870" w:type="dxa"/>
                  <w:noWrap w:val="0"/>
                  <w:vAlign w:val="center"/>
                </w:tcPr>
                <w:p w14:paraId="65CB10BC">
                  <w:pPr>
                    <w:jc w:val="center"/>
                    <w:rPr>
                      <w:rFonts w:hint="default"/>
                      <w:color w:val="auto"/>
                      <w:lang w:val="en-US" w:eastAsia="zh-CN"/>
                    </w:rPr>
                  </w:pPr>
                  <w:r>
                    <w:rPr>
                      <w:rFonts w:hint="eastAsia"/>
                      <w:color w:val="auto"/>
                      <w:lang w:val="en-US" w:eastAsia="zh-CN"/>
                    </w:rPr>
                    <w:t>76.85</w:t>
                  </w:r>
                </w:p>
              </w:tc>
              <w:tc>
                <w:tcPr>
                  <w:tcW w:w="722" w:type="dxa"/>
                  <w:noWrap w:val="0"/>
                  <w:vAlign w:val="center"/>
                </w:tcPr>
                <w:p w14:paraId="65A50D87">
                  <w:pPr>
                    <w:jc w:val="center"/>
                    <w:rPr>
                      <w:rFonts w:hint="default" w:eastAsia="宋体"/>
                      <w:color w:val="auto"/>
                      <w:lang w:val="en-US" w:eastAsia="zh-CN"/>
                    </w:rPr>
                  </w:pPr>
                  <w:r>
                    <w:rPr>
                      <w:rFonts w:hint="eastAsia"/>
                      <w:color w:val="auto"/>
                      <w:lang w:val="en-US" w:eastAsia="zh-CN"/>
                    </w:rPr>
                    <w:t>液态</w:t>
                  </w:r>
                </w:p>
              </w:tc>
              <w:tc>
                <w:tcPr>
                  <w:tcW w:w="887" w:type="dxa"/>
                  <w:noWrap w:val="0"/>
                  <w:vAlign w:val="center"/>
                </w:tcPr>
                <w:p w14:paraId="0B4FD332">
                  <w:pPr>
                    <w:jc w:val="center"/>
                    <w:rPr>
                      <w:rFonts w:hint="default"/>
                      <w:color w:val="auto"/>
                      <w:lang w:val="en-US" w:eastAsia="zh-CN"/>
                    </w:rPr>
                  </w:pPr>
                  <w:r>
                    <w:rPr>
                      <w:rFonts w:hint="eastAsia"/>
                      <w:color w:val="auto"/>
                      <w:lang w:val="en-US" w:eastAsia="zh-CN"/>
                    </w:rPr>
                    <w:t>耐腐蚀容器</w:t>
                  </w:r>
                </w:p>
              </w:tc>
              <w:tc>
                <w:tcPr>
                  <w:tcW w:w="690" w:type="dxa"/>
                  <w:noWrap w:val="0"/>
                  <w:vAlign w:val="center"/>
                </w:tcPr>
                <w:p w14:paraId="0E7F3A65">
                  <w:pPr>
                    <w:jc w:val="center"/>
                    <w:rPr>
                      <w:rFonts w:hint="default"/>
                      <w:color w:val="auto"/>
                      <w:lang w:val="en-US" w:eastAsia="zh-CN"/>
                    </w:rPr>
                  </w:pPr>
                  <w:r>
                    <w:rPr>
                      <w:rFonts w:hint="eastAsia"/>
                      <w:color w:val="auto"/>
                      <w:lang w:val="en-US" w:eastAsia="zh-CN"/>
                    </w:rPr>
                    <w:t>15d</w:t>
                  </w:r>
                </w:p>
              </w:tc>
              <w:tc>
                <w:tcPr>
                  <w:tcW w:w="747" w:type="dxa"/>
                  <w:noWrap w:val="0"/>
                  <w:vAlign w:val="center"/>
                </w:tcPr>
                <w:p w14:paraId="5C7BCE97">
                  <w:pPr>
                    <w:jc w:val="center"/>
                    <w:rPr>
                      <w:rFonts w:hint="default"/>
                      <w:color w:val="auto"/>
                      <w:lang w:val="en-US" w:eastAsia="zh-CN"/>
                    </w:rPr>
                  </w:pPr>
                  <w:r>
                    <w:rPr>
                      <w:rFonts w:hint="eastAsia"/>
                      <w:color w:val="auto"/>
                      <w:lang w:val="en-US" w:eastAsia="zh-CN"/>
                    </w:rPr>
                    <w:t>T,I,R</w:t>
                  </w:r>
                </w:p>
              </w:tc>
            </w:tr>
            <w:tr w14:paraId="6109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02" w:type="dxa"/>
                  <w:noWrap w:val="0"/>
                  <w:vAlign w:val="center"/>
                </w:tcPr>
                <w:p w14:paraId="0BA9C433">
                  <w:pPr>
                    <w:jc w:val="center"/>
                    <w:rPr>
                      <w:rFonts w:hint="eastAsia" w:eastAsia="宋体"/>
                      <w:color w:val="auto"/>
                      <w:lang w:val="en-US" w:eastAsia="zh-CN"/>
                    </w:rPr>
                  </w:pPr>
                  <w:r>
                    <w:rPr>
                      <w:rFonts w:hint="eastAsia"/>
                      <w:color w:val="auto"/>
                      <w:lang w:val="en-US" w:eastAsia="zh-CN"/>
                    </w:rPr>
                    <w:t>4</w:t>
                  </w:r>
                </w:p>
              </w:tc>
              <w:tc>
                <w:tcPr>
                  <w:tcW w:w="1502" w:type="dxa"/>
                  <w:noWrap w:val="0"/>
                  <w:vAlign w:val="center"/>
                </w:tcPr>
                <w:p w14:paraId="42E63A03">
                  <w:pPr>
                    <w:jc w:val="center"/>
                    <w:rPr>
                      <w:rFonts w:hint="default"/>
                      <w:color w:val="auto"/>
                      <w:lang w:val="en-US" w:eastAsia="zh-CN"/>
                    </w:rPr>
                  </w:pPr>
                  <w:r>
                    <w:rPr>
                      <w:rFonts w:hint="eastAsia"/>
                      <w:color w:val="auto"/>
                      <w:lang w:val="en-US" w:eastAsia="zh-CN"/>
                    </w:rPr>
                    <w:t>废铅酸蓄电池</w:t>
                  </w:r>
                </w:p>
              </w:tc>
              <w:tc>
                <w:tcPr>
                  <w:tcW w:w="805" w:type="dxa"/>
                  <w:noWrap w:val="0"/>
                  <w:vAlign w:val="center"/>
                </w:tcPr>
                <w:p w14:paraId="1F86FD28">
                  <w:pPr>
                    <w:jc w:val="center"/>
                    <w:rPr>
                      <w:rFonts w:hint="default"/>
                      <w:color w:val="auto"/>
                      <w:lang w:val="en-US" w:eastAsia="zh-CN"/>
                    </w:rPr>
                  </w:pPr>
                  <w:r>
                    <w:rPr>
                      <w:rFonts w:hint="eastAsia"/>
                      <w:color w:val="auto"/>
                      <w:lang w:val="en-US" w:eastAsia="zh-CN"/>
                    </w:rPr>
                    <w:t>HW31</w:t>
                  </w:r>
                </w:p>
              </w:tc>
              <w:tc>
                <w:tcPr>
                  <w:tcW w:w="1230" w:type="dxa"/>
                  <w:noWrap w:val="0"/>
                  <w:vAlign w:val="center"/>
                </w:tcPr>
                <w:p w14:paraId="0FD2165F">
                  <w:pPr>
                    <w:jc w:val="center"/>
                    <w:rPr>
                      <w:rFonts w:hint="default" w:eastAsia="宋体"/>
                      <w:color w:val="auto"/>
                      <w:lang w:val="en-US" w:eastAsia="zh-CN"/>
                    </w:rPr>
                  </w:pPr>
                  <w:r>
                    <w:rPr>
                      <w:rFonts w:hint="eastAsia"/>
                      <w:color w:val="auto"/>
                      <w:lang w:val="en-US" w:eastAsia="zh-CN"/>
                    </w:rPr>
                    <w:t>900-052-31</w:t>
                  </w:r>
                </w:p>
              </w:tc>
              <w:tc>
                <w:tcPr>
                  <w:tcW w:w="870" w:type="dxa"/>
                  <w:noWrap w:val="0"/>
                  <w:vAlign w:val="center"/>
                </w:tcPr>
                <w:p w14:paraId="14690499">
                  <w:pPr>
                    <w:jc w:val="center"/>
                    <w:rPr>
                      <w:rFonts w:hint="default"/>
                      <w:color w:val="auto"/>
                      <w:lang w:val="en-US" w:eastAsia="zh-CN"/>
                    </w:rPr>
                  </w:pPr>
                  <w:r>
                    <w:rPr>
                      <w:rFonts w:hint="eastAsia"/>
                      <w:color w:val="auto"/>
                      <w:lang w:val="en-US" w:eastAsia="zh-CN"/>
                    </w:rPr>
                    <w:t>123.5</w:t>
                  </w:r>
                </w:p>
              </w:tc>
              <w:tc>
                <w:tcPr>
                  <w:tcW w:w="722" w:type="dxa"/>
                  <w:noWrap w:val="0"/>
                  <w:vAlign w:val="center"/>
                </w:tcPr>
                <w:p w14:paraId="2B0A2917">
                  <w:pPr>
                    <w:jc w:val="center"/>
                    <w:rPr>
                      <w:rFonts w:hint="eastAsia" w:eastAsia="宋体"/>
                      <w:color w:val="auto"/>
                      <w:lang w:val="en-US" w:eastAsia="zh-CN"/>
                    </w:rPr>
                  </w:pPr>
                  <w:r>
                    <w:rPr>
                      <w:rFonts w:hint="eastAsia"/>
                      <w:color w:val="auto"/>
                      <w:lang w:val="en-US" w:eastAsia="zh-CN"/>
                    </w:rPr>
                    <w:t>固态</w:t>
                  </w:r>
                </w:p>
              </w:tc>
              <w:tc>
                <w:tcPr>
                  <w:tcW w:w="887" w:type="dxa"/>
                  <w:noWrap w:val="0"/>
                  <w:vAlign w:val="center"/>
                </w:tcPr>
                <w:p w14:paraId="08A13C4A">
                  <w:pPr>
                    <w:jc w:val="center"/>
                    <w:rPr>
                      <w:rFonts w:hint="default"/>
                      <w:color w:val="auto"/>
                      <w:lang w:val="en-US" w:eastAsia="zh-CN"/>
                    </w:rPr>
                  </w:pPr>
                  <w:r>
                    <w:rPr>
                      <w:rFonts w:hint="eastAsia"/>
                      <w:color w:val="auto"/>
                      <w:lang w:val="en-US" w:eastAsia="zh-CN"/>
                    </w:rPr>
                    <w:t>耐腐蚀容器</w:t>
                  </w:r>
                </w:p>
              </w:tc>
              <w:tc>
                <w:tcPr>
                  <w:tcW w:w="690" w:type="dxa"/>
                  <w:noWrap w:val="0"/>
                  <w:vAlign w:val="center"/>
                </w:tcPr>
                <w:p w14:paraId="3FBFA1A2">
                  <w:pPr>
                    <w:jc w:val="center"/>
                    <w:rPr>
                      <w:rFonts w:hint="default"/>
                      <w:color w:val="auto"/>
                      <w:lang w:val="en-US" w:eastAsia="zh-CN"/>
                    </w:rPr>
                  </w:pPr>
                  <w:r>
                    <w:rPr>
                      <w:rFonts w:hint="eastAsia"/>
                      <w:color w:val="auto"/>
                      <w:lang w:val="en-US" w:eastAsia="zh-CN"/>
                    </w:rPr>
                    <w:t>15d</w:t>
                  </w:r>
                </w:p>
              </w:tc>
              <w:tc>
                <w:tcPr>
                  <w:tcW w:w="747" w:type="dxa"/>
                  <w:noWrap w:val="0"/>
                  <w:vAlign w:val="center"/>
                </w:tcPr>
                <w:p w14:paraId="4D6EB23F">
                  <w:pPr>
                    <w:jc w:val="center"/>
                    <w:rPr>
                      <w:rFonts w:hint="default"/>
                      <w:color w:val="auto"/>
                      <w:lang w:val="en-US" w:eastAsia="zh-CN"/>
                    </w:rPr>
                  </w:pPr>
                  <w:r>
                    <w:rPr>
                      <w:rFonts w:hint="eastAsia"/>
                      <w:color w:val="auto"/>
                      <w:lang w:val="en-US" w:eastAsia="zh-CN"/>
                    </w:rPr>
                    <w:t>T,C</w:t>
                  </w:r>
                </w:p>
              </w:tc>
            </w:tr>
            <w:tr w14:paraId="7CD72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dxa"/>
                  <w:noWrap w:val="0"/>
                  <w:vAlign w:val="center"/>
                </w:tcPr>
                <w:p w14:paraId="5BA4D7F6">
                  <w:pPr>
                    <w:jc w:val="center"/>
                    <w:rPr>
                      <w:rFonts w:hint="eastAsia" w:eastAsia="宋体"/>
                      <w:color w:val="auto"/>
                      <w:lang w:val="en-US" w:eastAsia="zh-CN"/>
                    </w:rPr>
                  </w:pPr>
                  <w:r>
                    <w:rPr>
                      <w:rFonts w:hint="eastAsia"/>
                      <w:color w:val="auto"/>
                      <w:lang w:val="en-US" w:eastAsia="zh-CN"/>
                    </w:rPr>
                    <w:t>5</w:t>
                  </w:r>
                </w:p>
              </w:tc>
              <w:tc>
                <w:tcPr>
                  <w:tcW w:w="1502" w:type="dxa"/>
                  <w:noWrap w:val="0"/>
                  <w:vAlign w:val="center"/>
                </w:tcPr>
                <w:p w14:paraId="48D26446">
                  <w:pPr>
                    <w:jc w:val="center"/>
                    <w:rPr>
                      <w:rFonts w:hint="default"/>
                      <w:color w:val="auto"/>
                      <w:lang w:val="en-US" w:eastAsia="zh-CN"/>
                    </w:rPr>
                  </w:pPr>
                  <w:r>
                    <w:rPr>
                      <w:rFonts w:hint="eastAsia"/>
                      <w:color w:val="auto"/>
                      <w:lang w:val="en-US" w:eastAsia="zh-CN"/>
                    </w:rPr>
                    <w:t>废制冷剂</w:t>
                  </w:r>
                </w:p>
              </w:tc>
              <w:tc>
                <w:tcPr>
                  <w:tcW w:w="805" w:type="dxa"/>
                  <w:noWrap w:val="0"/>
                  <w:vAlign w:val="center"/>
                </w:tcPr>
                <w:p w14:paraId="3372E063">
                  <w:pPr>
                    <w:jc w:val="center"/>
                    <w:rPr>
                      <w:rFonts w:hint="default"/>
                      <w:color w:val="auto"/>
                      <w:lang w:val="en-US" w:eastAsia="zh-CN"/>
                    </w:rPr>
                  </w:pPr>
                  <w:r>
                    <w:rPr>
                      <w:rFonts w:hint="eastAsia"/>
                      <w:color w:val="auto"/>
                      <w:lang w:val="en-US" w:eastAsia="zh-CN"/>
                    </w:rPr>
                    <w:t>HW49</w:t>
                  </w:r>
                </w:p>
              </w:tc>
              <w:tc>
                <w:tcPr>
                  <w:tcW w:w="1230" w:type="dxa"/>
                  <w:noWrap w:val="0"/>
                  <w:vAlign w:val="center"/>
                </w:tcPr>
                <w:p w14:paraId="4A08009E">
                  <w:pPr>
                    <w:jc w:val="center"/>
                    <w:rPr>
                      <w:rFonts w:hint="default" w:eastAsia="宋体"/>
                      <w:color w:val="auto"/>
                      <w:lang w:val="en-US" w:eastAsia="zh-CN"/>
                    </w:rPr>
                  </w:pPr>
                  <w:r>
                    <w:rPr>
                      <w:rFonts w:hint="eastAsia"/>
                      <w:color w:val="auto"/>
                      <w:lang w:val="en-US" w:eastAsia="zh-CN"/>
                    </w:rPr>
                    <w:t>900-999-99</w:t>
                  </w:r>
                </w:p>
              </w:tc>
              <w:tc>
                <w:tcPr>
                  <w:tcW w:w="870" w:type="dxa"/>
                  <w:noWrap w:val="0"/>
                  <w:vAlign w:val="center"/>
                </w:tcPr>
                <w:p w14:paraId="2BBECD21">
                  <w:pPr>
                    <w:jc w:val="center"/>
                    <w:rPr>
                      <w:rFonts w:hint="default"/>
                      <w:color w:val="auto"/>
                      <w:lang w:val="en-US" w:eastAsia="zh-CN"/>
                    </w:rPr>
                  </w:pPr>
                  <w:r>
                    <w:rPr>
                      <w:rFonts w:hint="eastAsia"/>
                      <w:color w:val="auto"/>
                      <w:lang w:val="en-US" w:eastAsia="zh-CN"/>
                    </w:rPr>
                    <w:t>3.05</w:t>
                  </w:r>
                </w:p>
              </w:tc>
              <w:tc>
                <w:tcPr>
                  <w:tcW w:w="722" w:type="dxa"/>
                  <w:noWrap w:val="0"/>
                  <w:vAlign w:val="center"/>
                </w:tcPr>
                <w:p w14:paraId="751E77FC">
                  <w:pPr>
                    <w:jc w:val="center"/>
                    <w:rPr>
                      <w:rFonts w:hint="eastAsia" w:eastAsia="宋体"/>
                      <w:color w:val="auto"/>
                      <w:lang w:val="en-US" w:eastAsia="zh-CN"/>
                    </w:rPr>
                  </w:pPr>
                  <w:r>
                    <w:rPr>
                      <w:rFonts w:hint="eastAsia"/>
                      <w:color w:val="auto"/>
                      <w:lang w:val="en-US" w:eastAsia="zh-CN"/>
                    </w:rPr>
                    <w:t>液态</w:t>
                  </w:r>
                </w:p>
              </w:tc>
              <w:tc>
                <w:tcPr>
                  <w:tcW w:w="887" w:type="dxa"/>
                  <w:noWrap w:val="0"/>
                  <w:vAlign w:val="center"/>
                </w:tcPr>
                <w:p w14:paraId="6C96E100">
                  <w:pPr>
                    <w:jc w:val="center"/>
                    <w:rPr>
                      <w:rFonts w:hint="default"/>
                      <w:color w:val="auto"/>
                      <w:lang w:val="en-US" w:eastAsia="zh-CN"/>
                    </w:rPr>
                  </w:pPr>
                  <w:r>
                    <w:rPr>
                      <w:rFonts w:hint="eastAsia"/>
                      <w:color w:val="auto"/>
                      <w:lang w:val="en-US" w:eastAsia="zh-CN"/>
                    </w:rPr>
                    <w:t>钢瓶</w:t>
                  </w:r>
                </w:p>
              </w:tc>
              <w:tc>
                <w:tcPr>
                  <w:tcW w:w="690" w:type="dxa"/>
                  <w:noWrap w:val="0"/>
                  <w:vAlign w:val="center"/>
                </w:tcPr>
                <w:p w14:paraId="042AB9C8">
                  <w:pPr>
                    <w:jc w:val="center"/>
                    <w:rPr>
                      <w:rFonts w:hint="default"/>
                      <w:color w:val="auto"/>
                      <w:lang w:val="en-US" w:eastAsia="zh-CN"/>
                    </w:rPr>
                  </w:pPr>
                  <w:r>
                    <w:rPr>
                      <w:rFonts w:hint="eastAsia"/>
                      <w:color w:val="auto"/>
                      <w:lang w:val="en-US" w:eastAsia="zh-CN"/>
                    </w:rPr>
                    <w:t>15d</w:t>
                  </w:r>
                </w:p>
              </w:tc>
              <w:tc>
                <w:tcPr>
                  <w:tcW w:w="747" w:type="dxa"/>
                  <w:noWrap w:val="0"/>
                  <w:vAlign w:val="center"/>
                </w:tcPr>
                <w:p w14:paraId="358AB47B">
                  <w:pPr>
                    <w:jc w:val="center"/>
                    <w:rPr>
                      <w:rFonts w:hint="default"/>
                      <w:color w:val="auto"/>
                      <w:lang w:val="en-US" w:eastAsia="zh-CN"/>
                    </w:rPr>
                  </w:pPr>
                  <w:r>
                    <w:rPr>
                      <w:rFonts w:hint="eastAsia"/>
                      <w:color w:val="auto"/>
                      <w:lang w:val="en-US" w:eastAsia="zh-CN"/>
                    </w:rPr>
                    <w:t>T,C,I,R</w:t>
                  </w:r>
                </w:p>
              </w:tc>
            </w:tr>
            <w:tr w14:paraId="12442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dxa"/>
                  <w:noWrap w:val="0"/>
                  <w:vAlign w:val="center"/>
                </w:tcPr>
                <w:p w14:paraId="47FF5EAD">
                  <w:pPr>
                    <w:jc w:val="center"/>
                    <w:rPr>
                      <w:rFonts w:hint="eastAsia" w:eastAsia="宋体"/>
                      <w:color w:val="auto"/>
                      <w:lang w:val="en-US" w:eastAsia="zh-CN"/>
                    </w:rPr>
                  </w:pPr>
                  <w:r>
                    <w:rPr>
                      <w:rFonts w:hint="eastAsia"/>
                      <w:color w:val="auto"/>
                      <w:lang w:val="en-US" w:eastAsia="zh-CN"/>
                    </w:rPr>
                    <w:t>6</w:t>
                  </w:r>
                </w:p>
              </w:tc>
              <w:tc>
                <w:tcPr>
                  <w:tcW w:w="1502" w:type="dxa"/>
                  <w:noWrap w:val="0"/>
                  <w:vAlign w:val="center"/>
                </w:tcPr>
                <w:p w14:paraId="1B676CBB">
                  <w:pPr>
                    <w:jc w:val="center"/>
                    <w:rPr>
                      <w:rFonts w:hint="default"/>
                      <w:color w:val="auto"/>
                      <w:lang w:val="en-US" w:eastAsia="zh-CN"/>
                    </w:rPr>
                  </w:pPr>
                  <w:r>
                    <w:rPr>
                      <w:rFonts w:hint="eastAsia"/>
                      <w:color w:val="auto"/>
                      <w:lang w:val="en-US" w:eastAsia="zh-CN"/>
                    </w:rPr>
                    <w:t>废油箱</w:t>
                  </w:r>
                </w:p>
              </w:tc>
              <w:tc>
                <w:tcPr>
                  <w:tcW w:w="805" w:type="dxa"/>
                  <w:noWrap w:val="0"/>
                  <w:vAlign w:val="center"/>
                </w:tcPr>
                <w:p w14:paraId="389A29E9">
                  <w:pPr>
                    <w:jc w:val="center"/>
                    <w:rPr>
                      <w:rFonts w:hint="default"/>
                      <w:color w:val="auto"/>
                      <w:lang w:val="en-US" w:eastAsia="zh-CN"/>
                    </w:rPr>
                  </w:pPr>
                  <w:r>
                    <w:rPr>
                      <w:rFonts w:hint="eastAsia"/>
                      <w:color w:val="auto"/>
                      <w:lang w:val="en-US" w:eastAsia="zh-CN"/>
                    </w:rPr>
                    <w:t>HW08</w:t>
                  </w:r>
                </w:p>
              </w:tc>
              <w:tc>
                <w:tcPr>
                  <w:tcW w:w="1230" w:type="dxa"/>
                  <w:noWrap w:val="0"/>
                  <w:vAlign w:val="center"/>
                </w:tcPr>
                <w:p w14:paraId="5860A225">
                  <w:pPr>
                    <w:jc w:val="center"/>
                    <w:rPr>
                      <w:rFonts w:hint="default" w:eastAsia="宋体"/>
                      <w:color w:val="auto"/>
                      <w:lang w:val="en-US" w:eastAsia="zh-CN"/>
                    </w:rPr>
                  </w:pPr>
                  <w:r>
                    <w:rPr>
                      <w:rFonts w:hint="eastAsia"/>
                      <w:color w:val="auto"/>
                      <w:lang w:val="en-US" w:eastAsia="zh-CN"/>
                    </w:rPr>
                    <w:t>900-249-08</w:t>
                  </w:r>
                </w:p>
              </w:tc>
              <w:tc>
                <w:tcPr>
                  <w:tcW w:w="870" w:type="dxa"/>
                  <w:noWrap w:val="0"/>
                  <w:vAlign w:val="center"/>
                </w:tcPr>
                <w:p w14:paraId="53C1F631">
                  <w:pPr>
                    <w:jc w:val="center"/>
                    <w:rPr>
                      <w:rFonts w:hint="default"/>
                      <w:color w:val="auto"/>
                      <w:lang w:val="en-US" w:eastAsia="zh-CN"/>
                    </w:rPr>
                  </w:pPr>
                  <w:r>
                    <w:rPr>
                      <w:rFonts w:hint="eastAsia"/>
                      <w:color w:val="auto"/>
                      <w:lang w:val="en-US" w:eastAsia="zh-CN"/>
                    </w:rPr>
                    <w:t>685</w:t>
                  </w:r>
                </w:p>
              </w:tc>
              <w:tc>
                <w:tcPr>
                  <w:tcW w:w="722" w:type="dxa"/>
                  <w:noWrap w:val="0"/>
                  <w:vAlign w:val="center"/>
                </w:tcPr>
                <w:p w14:paraId="792E4A20">
                  <w:pPr>
                    <w:jc w:val="center"/>
                    <w:rPr>
                      <w:rFonts w:hint="eastAsia" w:eastAsia="宋体"/>
                      <w:color w:val="auto"/>
                      <w:lang w:val="en-US" w:eastAsia="zh-CN"/>
                    </w:rPr>
                  </w:pPr>
                  <w:r>
                    <w:rPr>
                      <w:rFonts w:hint="eastAsia"/>
                      <w:color w:val="auto"/>
                      <w:lang w:val="en-US" w:eastAsia="zh-CN"/>
                    </w:rPr>
                    <w:t>固态</w:t>
                  </w:r>
                </w:p>
              </w:tc>
              <w:tc>
                <w:tcPr>
                  <w:tcW w:w="887" w:type="dxa"/>
                  <w:noWrap w:val="0"/>
                  <w:vAlign w:val="center"/>
                </w:tcPr>
                <w:p w14:paraId="3285FE42">
                  <w:pPr>
                    <w:jc w:val="center"/>
                    <w:rPr>
                      <w:rFonts w:hint="default"/>
                      <w:color w:val="auto"/>
                      <w:lang w:val="en-US" w:eastAsia="zh-CN"/>
                    </w:rPr>
                  </w:pPr>
                  <w:r>
                    <w:rPr>
                      <w:rFonts w:hint="eastAsia"/>
                      <w:color w:val="auto"/>
                      <w:lang w:val="en-US" w:eastAsia="zh-CN"/>
                    </w:rPr>
                    <w:t>耐腐蚀容器</w:t>
                  </w:r>
                </w:p>
              </w:tc>
              <w:tc>
                <w:tcPr>
                  <w:tcW w:w="690" w:type="dxa"/>
                  <w:noWrap w:val="0"/>
                  <w:vAlign w:val="center"/>
                </w:tcPr>
                <w:p w14:paraId="129D361F">
                  <w:pPr>
                    <w:jc w:val="center"/>
                    <w:rPr>
                      <w:rFonts w:hint="default"/>
                      <w:color w:val="auto"/>
                      <w:lang w:val="en-US" w:eastAsia="zh-CN"/>
                    </w:rPr>
                  </w:pPr>
                  <w:r>
                    <w:rPr>
                      <w:rFonts w:hint="eastAsia"/>
                      <w:color w:val="auto"/>
                      <w:lang w:val="en-US" w:eastAsia="zh-CN"/>
                    </w:rPr>
                    <w:t>15d</w:t>
                  </w:r>
                </w:p>
              </w:tc>
              <w:tc>
                <w:tcPr>
                  <w:tcW w:w="747" w:type="dxa"/>
                  <w:noWrap w:val="0"/>
                  <w:vAlign w:val="center"/>
                </w:tcPr>
                <w:p w14:paraId="3C11E378">
                  <w:pPr>
                    <w:jc w:val="center"/>
                    <w:rPr>
                      <w:rFonts w:hint="default"/>
                      <w:color w:val="auto"/>
                      <w:lang w:val="en-US" w:eastAsia="zh-CN"/>
                    </w:rPr>
                  </w:pPr>
                  <w:r>
                    <w:rPr>
                      <w:rFonts w:hint="eastAsia"/>
                      <w:color w:val="auto"/>
                      <w:lang w:val="en-US" w:eastAsia="zh-CN"/>
                    </w:rPr>
                    <w:t>T,L</w:t>
                  </w:r>
                </w:p>
              </w:tc>
            </w:tr>
            <w:tr w14:paraId="3D4A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dxa"/>
                  <w:noWrap w:val="0"/>
                  <w:vAlign w:val="center"/>
                </w:tcPr>
                <w:p w14:paraId="1EE12F59">
                  <w:pPr>
                    <w:jc w:val="center"/>
                    <w:rPr>
                      <w:rFonts w:hint="eastAsia" w:eastAsia="宋体"/>
                      <w:color w:val="auto"/>
                      <w:lang w:val="en-US" w:eastAsia="zh-CN"/>
                    </w:rPr>
                  </w:pPr>
                  <w:r>
                    <w:rPr>
                      <w:rFonts w:hint="eastAsia"/>
                      <w:color w:val="auto"/>
                      <w:lang w:val="en-US" w:eastAsia="zh-CN"/>
                    </w:rPr>
                    <w:t>7</w:t>
                  </w:r>
                </w:p>
              </w:tc>
              <w:tc>
                <w:tcPr>
                  <w:tcW w:w="1502" w:type="dxa"/>
                  <w:noWrap w:val="0"/>
                  <w:vAlign w:val="center"/>
                </w:tcPr>
                <w:p w14:paraId="0FFCE581">
                  <w:pPr>
                    <w:jc w:val="center"/>
                    <w:rPr>
                      <w:rFonts w:hint="default"/>
                      <w:color w:val="auto"/>
                      <w:lang w:val="en-US" w:eastAsia="zh-CN"/>
                    </w:rPr>
                  </w:pPr>
                  <w:r>
                    <w:rPr>
                      <w:rFonts w:hint="eastAsia"/>
                      <w:color w:val="auto"/>
                      <w:lang w:val="en-US" w:eastAsia="zh-CN"/>
                    </w:rPr>
                    <w:t>废液化气罐</w:t>
                  </w:r>
                </w:p>
              </w:tc>
              <w:tc>
                <w:tcPr>
                  <w:tcW w:w="805" w:type="dxa"/>
                  <w:noWrap w:val="0"/>
                  <w:vAlign w:val="center"/>
                </w:tcPr>
                <w:p w14:paraId="022141EF">
                  <w:pPr>
                    <w:jc w:val="center"/>
                    <w:rPr>
                      <w:rFonts w:hint="default"/>
                      <w:color w:val="auto"/>
                      <w:lang w:val="en-US" w:eastAsia="zh-CN"/>
                    </w:rPr>
                  </w:pPr>
                  <w:r>
                    <w:rPr>
                      <w:rFonts w:hint="eastAsia"/>
                      <w:color w:val="auto"/>
                      <w:lang w:val="en-US" w:eastAsia="zh-CN"/>
                    </w:rPr>
                    <w:t>HW49</w:t>
                  </w:r>
                </w:p>
              </w:tc>
              <w:tc>
                <w:tcPr>
                  <w:tcW w:w="1230" w:type="dxa"/>
                  <w:noWrap w:val="0"/>
                  <w:vAlign w:val="center"/>
                </w:tcPr>
                <w:p w14:paraId="3DDFF918">
                  <w:pPr>
                    <w:jc w:val="center"/>
                    <w:rPr>
                      <w:rFonts w:hint="default" w:eastAsia="宋体"/>
                      <w:color w:val="auto"/>
                      <w:lang w:val="en-US" w:eastAsia="zh-CN"/>
                    </w:rPr>
                  </w:pPr>
                  <w:r>
                    <w:rPr>
                      <w:rFonts w:hint="eastAsia"/>
                      <w:color w:val="auto"/>
                      <w:lang w:val="en-US" w:eastAsia="zh-CN"/>
                    </w:rPr>
                    <w:t>900-041-49</w:t>
                  </w:r>
                </w:p>
              </w:tc>
              <w:tc>
                <w:tcPr>
                  <w:tcW w:w="870" w:type="dxa"/>
                  <w:noWrap w:val="0"/>
                  <w:vAlign w:val="center"/>
                </w:tcPr>
                <w:p w14:paraId="59871372">
                  <w:pPr>
                    <w:jc w:val="center"/>
                    <w:rPr>
                      <w:rFonts w:hint="default"/>
                      <w:color w:val="auto"/>
                      <w:lang w:val="en-US" w:eastAsia="zh-CN"/>
                    </w:rPr>
                  </w:pPr>
                  <w:r>
                    <w:rPr>
                      <w:rFonts w:hint="eastAsia"/>
                      <w:color w:val="auto"/>
                      <w:lang w:val="en-US" w:eastAsia="zh-CN"/>
                    </w:rPr>
                    <w:t>60</w:t>
                  </w:r>
                </w:p>
              </w:tc>
              <w:tc>
                <w:tcPr>
                  <w:tcW w:w="722" w:type="dxa"/>
                  <w:noWrap w:val="0"/>
                  <w:vAlign w:val="center"/>
                </w:tcPr>
                <w:p w14:paraId="5EABA67D">
                  <w:pPr>
                    <w:jc w:val="center"/>
                    <w:rPr>
                      <w:rFonts w:hint="eastAsia" w:eastAsia="宋体"/>
                      <w:color w:val="auto"/>
                      <w:lang w:val="en-US" w:eastAsia="zh-CN"/>
                    </w:rPr>
                  </w:pPr>
                  <w:r>
                    <w:rPr>
                      <w:rFonts w:hint="eastAsia"/>
                      <w:color w:val="auto"/>
                      <w:lang w:val="en-US" w:eastAsia="zh-CN"/>
                    </w:rPr>
                    <w:t>固态</w:t>
                  </w:r>
                </w:p>
              </w:tc>
              <w:tc>
                <w:tcPr>
                  <w:tcW w:w="887" w:type="dxa"/>
                  <w:noWrap w:val="0"/>
                  <w:vAlign w:val="center"/>
                </w:tcPr>
                <w:p w14:paraId="54B226EC">
                  <w:pPr>
                    <w:jc w:val="center"/>
                    <w:rPr>
                      <w:rFonts w:hint="eastAsia"/>
                      <w:color w:val="auto"/>
                      <w:lang w:val="en-US" w:eastAsia="zh-CN"/>
                    </w:rPr>
                  </w:pPr>
                  <w:r>
                    <w:rPr>
                      <w:rFonts w:hint="eastAsia"/>
                      <w:color w:val="auto"/>
                      <w:lang w:val="en-US" w:eastAsia="zh-CN"/>
                    </w:rPr>
                    <w:t>耐腐蚀容器</w:t>
                  </w:r>
                </w:p>
              </w:tc>
              <w:tc>
                <w:tcPr>
                  <w:tcW w:w="690" w:type="dxa"/>
                  <w:noWrap w:val="0"/>
                  <w:vAlign w:val="center"/>
                </w:tcPr>
                <w:p w14:paraId="7945DA43">
                  <w:pPr>
                    <w:jc w:val="center"/>
                    <w:rPr>
                      <w:rFonts w:hint="default"/>
                      <w:color w:val="auto"/>
                      <w:lang w:val="en-US" w:eastAsia="zh-CN"/>
                    </w:rPr>
                  </w:pPr>
                  <w:r>
                    <w:rPr>
                      <w:rFonts w:hint="eastAsia"/>
                      <w:color w:val="auto"/>
                      <w:lang w:val="en-US" w:eastAsia="zh-CN"/>
                    </w:rPr>
                    <w:t>15d</w:t>
                  </w:r>
                </w:p>
              </w:tc>
              <w:tc>
                <w:tcPr>
                  <w:tcW w:w="747" w:type="dxa"/>
                  <w:noWrap w:val="0"/>
                  <w:vAlign w:val="center"/>
                </w:tcPr>
                <w:p w14:paraId="4BC63B9D">
                  <w:pPr>
                    <w:jc w:val="center"/>
                    <w:rPr>
                      <w:rFonts w:hint="default"/>
                      <w:color w:val="auto"/>
                      <w:lang w:val="en-US" w:eastAsia="zh-CN"/>
                    </w:rPr>
                  </w:pPr>
                  <w:r>
                    <w:rPr>
                      <w:rFonts w:hint="eastAsia"/>
                      <w:color w:val="auto"/>
                      <w:lang w:val="en-US" w:eastAsia="zh-CN"/>
                    </w:rPr>
                    <w:t>T,ln</w:t>
                  </w:r>
                </w:p>
              </w:tc>
            </w:tr>
            <w:tr w14:paraId="4E15C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dxa"/>
                  <w:noWrap w:val="0"/>
                  <w:vAlign w:val="center"/>
                </w:tcPr>
                <w:p w14:paraId="58414BB2">
                  <w:pPr>
                    <w:jc w:val="center"/>
                    <w:rPr>
                      <w:rFonts w:hint="eastAsia" w:eastAsia="宋体"/>
                      <w:color w:val="auto"/>
                      <w:lang w:val="en-US" w:eastAsia="zh-CN"/>
                    </w:rPr>
                  </w:pPr>
                  <w:r>
                    <w:rPr>
                      <w:rFonts w:hint="eastAsia"/>
                      <w:color w:val="auto"/>
                      <w:lang w:val="en-US" w:eastAsia="zh-CN"/>
                    </w:rPr>
                    <w:t>8</w:t>
                  </w:r>
                </w:p>
              </w:tc>
              <w:tc>
                <w:tcPr>
                  <w:tcW w:w="1502" w:type="dxa"/>
                  <w:noWrap w:val="0"/>
                  <w:vAlign w:val="center"/>
                </w:tcPr>
                <w:p w14:paraId="4CD9EA70">
                  <w:pPr>
                    <w:jc w:val="center"/>
                    <w:rPr>
                      <w:rFonts w:hint="default"/>
                      <w:color w:val="auto"/>
                      <w:lang w:val="en-US" w:eastAsia="zh-CN"/>
                    </w:rPr>
                  </w:pPr>
                  <w:r>
                    <w:rPr>
                      <w:rFonts w:hint="eastAsia"/>
                      <w:color w:val="auto"/>
                      <w:lang w:val="en-US" w:eastAsia="zh-CN"/>
                    </w:rPr>
                    <w:t>废机油、燃油滤清器</w:t>
                  </w:r>
                </w:p>
              </w:tc>
              <w:tc>
                <w:tcPr>
                  <w:tcW w:w="805" w:type="dxa"/>
                  <w:noWrap w:val="0"/>
                  <w:vAlign w:val="center"/>
                </w:tcPr>
                <w:p w14:paraId="2926FA98">
                  <w:pPr>
                    <w:jc w:val="center"/>
                    <w:rPr>
                      <w:rFonts w:hint="default"/>
                      <w:color w:val="auto"/>
                      <w:lang w:val="en-US" w:eastAsia="zh-CN"/>
                    </w:rPr>
                  </w:pPr>
                  <w:r>
                    <w:rPr>
                      <w:rFonts w:hint="eastAsia"/>
                      <w:color w:val="auto"/>
                      <w:lang w:val="en-US" w:eastAsia="zh-CN"/>
                    </w:rPr>
                    <w:t>HW08</w:t>
                  </w:r>
                </w:p>
              </w:tc>
              <w:tc>
                <w:tcPr>
                  <w:tcW w:w="1230" w:type="dxa"/>
                  <w:noWrap w:val="0"/>
                  <w:vAlign w:val="center"/>
                </w:tcPr>
                <w:p w14:paraId="22E33DDB">
                  <w:pPr>
                    <w:jc w:val="center"/>
                    <w:rPr>
                      <w:rFonts w:hint="default" w:eastAsia="宋体"/>
                      <w:color w:val="auto"/>
                      <w:lang w:val="en-US" w:eastAsia="zh-CN"/>
                    </w:rPr>
                  </w:pPr>
                  <w:r>
                    <w:rPr>
                      <w:rFonts w:hint="eastAsia"/>
                      <w:color w:val="auto"/>
                      <w:lang w:val="en-US" w:eastAsia="zh-CN"/>
                    </w:rPr>
                    <w:t>900-249-08</w:t>
                  </w:r>
                </w:p>
              </w:tc>
              <w:tc>
                <w:tcPr>
                  <w:tcW w:w="870" w:type="dxa"/>
                  <w:noWrap w:val="0"/>
                  <w:vAlign w:val="center"/>
                </w:tcPr>
                <w:p w14:paraId="2911DAEB">
                  <w:pPr>
                    <w:jc w:val="center"/>
                    <w:rPr>
                      <w:rFonts w:hint="default"/>
                      <w:color w:val="auto"/>
                      <w:lang w:val="en-US" w:eastAsia="zh-CN"/>
                    </w:rPr>
                  </w:pPr>
                  <w:r>
                    <w:rPr>
                      <w:rFonts w:hint="eastAsia"/>
                      <w:color w:val="auto"/>
                      <w:lang w:val="en-US" w:eastAsia="zh-CN"/>
                    </w:rPr>
                    <w:t>11.4</w:t>
                  </w:r>
                </w:p>
              </w:tc>
              <w:tc>
                <w:tcPr>
                  <w:tcW w:w="722" w:type="dxa"/>
                  <w:noWrap w:val="0"/>
                  <w:vAlign w:val="center"/>
                </w:tcPr>
                <w:p w14:paraId="01491B28">
                  <w:pPr>
                    <w:jc w:val="center"/>
                    <w:rPr>
                      <w:rFonts w:hint="default" w:eastAsia="宋体"/>
                      <w:color w:val="auto"/>
                      <w:lang w:val="en-US" w:eastAsia="zh-CN"/>
                    </w:rPr>
                  </w:pPr>
                  <w:r>
                    <w:rPr>
                      <w:rFonts w:hint="eastAsia"/>
                      <w:color w:val="auto"/>
                      <w:lang w:val="en-US" w:eastAsia="zh-CN"/>
                    </w:rPr>
                    <w:t>固态</w:t>
                  </w:r>
                </w:p>
              </w:tc>
              <w:tc>
                <w:tcPr>
                  <w:tcW w:w="887" w:type="dxa"/>
                  <w:noWrap w:val="0"/>
                  <w:vAlign w:val="center"/>
                </w:tcPr>
                <w:p w14:paraId="3F2B68A5">
                  <w:pPr>
                    <w:jc w:val="center"/>
                    <w:rPr>
                      <w:rFonts w:hint="default"/>
                      <w:color w:val="auto"/>
                      <w:lang w:val="en-US" w:eastAsia="zh-CN"/>
                    </w:rPr>
                  </w:pPr>
                  <w:r>
                    <w:rPr>
                      <w:rFonts w:hint="eastAsia"/>
                      <w:color w:val="auto"/>
                      <w:lang w:val="en-US" w:eastAsia="zh-CN"/>
                    </w:rPr>
                    <w:t>耐腐蚀容器</w:t>
                  </w:r>
                </w:p>
              </w:tc>
              <w:tc>
                <w:tcPr>
                  <w:tcW w:w="690" w:type="dxa"/>
                  <w:noWrap w:val="0"/>
                  <w:vAlign w:val="center"/>
                </w:tcPr>
                <w:p w14:paraId="257FCDD5">
                  <w:pPr>
                    <w:jc w:val="center"/>
                    <w:rPr>
                      <w:rFonts w:hint="default"/>
                      <w:color w:val="auto"/>
                      <w:lang w:val="en-US" w:eastAsia="zh-CN"/>
                    </w:rPr>
                  </w:pPr>
                  <w:r>
                    <w:rPr>
                      <w:rFonts w:hint="eastAsia"/>
                      <w:color w:val="auto"/>
                      <w:lang w:val="en-US" w:eastAsia="zh-CN"/>
                    </w:rPr>
                    <w:t>15d</w:t>
                  </w:r>
                </w:p>
              </w:tc>
              <w:tc>
                <w:tcPr>
                  <w:tcW w:w="747" w:type="dxa"/>
                  <w:noWrap w:val="0"/>
                  <w:vAlign w:val="center"/>
                </w:tcPr>
                <w:p w14:paraId="55E61C26">
                  <w:pPr>
                    <w:jc w:val="center"/>
                    <w:rPr>
                      <w:rFonts w:hint="default"/>
                      <w:color w:val="auto"/>
                      <w:lang w:val="en-US" w:eastAsia="zh-CN"/>
                    </w:rPr>
                  </w:pPr>
                  <w:r>
                    <w:rPr>
                      <w:rFonts w:hint="eastAsia"/>
                      <w:color w:val="auto"/>
                      <w:lang w:val="en-US" w:eastAsia="zh-CN"/>
                    </w:rPr>
                    <w:t>T,I</w:t>
                  </w:r>
                </w:p>
              </w:tc>
            </w:tr>
            <w:tr w14:paraId="2C3B2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dxa"/>
                  <w:noWrap w:val="0"/>
                  <w:vAlign w:val="center"/>
                </w:tcPr>
                <w:p w14:paraId="14177FA3">
                  <w:pPr>
                    <w:jc w:val="center"/>
                    <w:rPr>
                      <w:rFonts w:hint="eastAsia" w:eastAsia="宋体"/>
                      <w:color w:val="auto"/>
                      <w:lang w:val="en-US" w:eastAsia="zh-CN"/>
                    </w:rPr>
                  </w:pPr>
                  <w:r>
                    <w:rPr>
                      <w:rFonts w:hint="eastAsia"/>
                      <w:color w:val="auto"/>
                      <w:lang w:val="en-US" w:eastAsia="zh-CN"/>
                    </w:rPr>
                    <w:t>9</w:t>
                  </w:r>
                </w:p>
              </w:tc>
              <w:tc>
                <w:tcPr>
                  <w:tcW w:w="1502" w:type="dxa"/>
                  <w:noWrap w:val="0"/>
                  <w:vAlign w:val="center"/>
                </w:tcPr>
                <w:p w14:paraId="5D12C3E3">
                  <w:pPr>
                    <w:jc w:val="center"/>
                    <w:rPr>
                      <w:rFonts w:hint="default"/>
                      <w:color w:val="auto"/>
                      <w:lang w:val="en-US" w:eastAsia="zh-CN"/>
                    </w:rPr>
                  </w:pPr>
                  <w:r>
                    <w:rPr>
                      <w:rFonts w:hint="eastAsia"/>
                      <w:color w:val="auto"/>
                      <w:lang w:val="en-US" w:eastAsia="zh-CN"/>
                    </w:rPr>
                    <w:t>废电容器</w:t>
                  </w:r>
                </w:p>
              </w:tc>
              <w:tc>
                <w:tcPr>
                  <w:tcW w:w="805" w:type="dxa"/>
                  <w:noWrap w:val="0"/>
                  <w:vAlign w:val="center"/>
                </w:tcPr>
                <w:p w14:paraId="6CB88AB1">
                  <w:pPr>
                    <w:jc w:val="center"/>
                    <w:rPr>
                      <w:rFonts w:hint="default"/>
                      <w:color w:val="auto"/>
                      <w:lang w:val="en-US" w:eastAsia="zh-CN"/>
                    </w:rPr>
                  </w:pPr>
                  <w:r>
                    <w:rPr>
                      <w:rFonts w:hint="eastAsia"/>
                      <w:color w:val="auto"/>
                      <w:lang w:val="en-US" w:eastAsia="zh-CN"/>
                    </w:rPr>
                    <w:t>HW49</w:t>
                  </w:r>
                </w:p>
              </w:tc>
              <w:tc>
                <w:tcPr>
                  <w:tcW w:w="1230" w:type="dxa"/>
                  <w:noWrap w:val="0"/>
                  <w:vAlign w:val="center"/>
                </w:tcPr>
                <w:p w14:paraId="6ACEBE18">
                  <w:pPr>
                    <w:jc w:val="center"/>
                    <w:rPr>
                      <w:rFonts w:hint="default" w:eastAsia="宋体"/>
                      <w:color w:val="auto"/>
                      <w:lang w:val="en-US" w:eastAsia="zh-CN"/>
                    </w:rPr>
                  </w:pPr>
                  <w:r>
                    <w:rPr>
                      <w:rFonts w:hint="eastAsia"/>
                      <w:color w:val="auto"/>
                      <w:lang w:val="en-US" w:eastAsia="zh-CN"/>
                    </w:rPr>
                    <w:t>900-045-49</w:t>
                  </w:r>
                </w:p>
              </w:tc>
              <w:tc>
                <w:tcPr>
                  <w:tcW w:w="870" w:type="dxa"/>
                  <w:noWrap w:val="0"/>
                  <w:vAlign w:val="center"/>
                </w:tcPr>
                <w:p w14:paraId="76C651E3">
                  <w:pPr>
                    <w:jc w:val="center"/>
                    <w:rPr>
                      <w:rFonts w:hint="default"/>
                      <w:color w:val="auto"/>
                      <w:lang w:val="en-US" w:eastAsia="zh-CN"/>
                    </w:rPr>
                  </w:pPr>
                  <w:r>
                    <w:rPr>
                      <w:rFonts w:hint="eastAsia"/>
                      <w:color w:val="auto"/>
                      <w:lang w:val="en-US" w:eastAsia="zh-CN"/>
                    </w:rPr>
                    <w:t>24.5</w:t>
                  </w:r>
                </w:p>
              </w:tc>
              <w:tc>
                <w:tcPr>
                  <w:tcW w:w="722" w:type="dxa"/>
                  <w:noWrap w:val="0"/>
                  <w:vAlign w:val="center"/>
                </w:tcPr>
                <w:p w14:paraId="361AFAB9">
                  <w:pPr>
                    <w:jc w:val="center"/>
                    <w:rPr>
                      <w:rFonts w:hint="eastAsia" w:eastAsia="宋体"/>
                      <w:color w:val="auto"/>
                      <w:lang w:val="en-US" w:eastAsia="zh-CN"/>
                    </w:rPr>
                  </w:pPr>
                  <w:r>
                    <w:rPr>
                      <w:rFonts w:hint="eastAsia"/>
                      <w:color w:val="auto"/>
                      <w:lang w:val="en-US" w:eastAsia="zh-CN"/>
                    </w:rPr>
                    <w:t>固态</w:t>
                  </w:r>
                </w:p>
              </w:tc>
              <w:tc>
                <w:tcPr>
                  <w:tcW w:w="887" w:type="dxa"/>
                  <w:noWrap w:val="0"/>
                  <w:vAlign w:val="center"/>
                </w:tcPr>
                <w:p w14:paraId="64F424F0">
                  <w:pPr>
                    <w:jc w:val="center"/>
                    <w:rPr>
                      <w:rFonts w:hint="default"/>
                      <w:color w:val="auto"/>
                      <w:lang w:val="en-US" w:eastAsia="zh-CN"/>
                    </w:rPr>
                  </w:pPr>
                  <w:r>
                    <w:rPr>
                      <w:rFonts w:hint="eastAsia"/>
                      <w:color w:val="auto"/>
                      <w:lang w:val="en-US" w:eastAsia="zh-CN"/>
                    </w:rPr>
                    <w:t>盒装</w:t>
                  </w:r>
                </w:p>
              </w:tc>
              <w:tc>
                <w:tcPr>
                  <w:tcW w:w="690" w:type="dxa"/>
                  <w:noWrap w:val="0"/>
                  <w:vAlign w:val="center"/>
                </w:tcPr>
                <w:p w14:paraId="7D351E95">
                  <w:pPr>
                    <w:jc w:val="center"/>
                    <w:rPr>
                      <w:rFonts w:hint="default"/>
                      <w:color w:val="auto"/>
                      <w:lang w:val="en-US" w:eastAsia="zh-CN"/>
                    </w:rPr>
                  </w:pPr>
                  <w:r>
                    <w:rPr>
                      <w:rFonts w:hint="eastAsia"/>
                      <w:color w:val="auto"/>
                      <w:lang w:val="en-US" w:eastAsia="zh-CN"/>
                    </w:rPr>
                    <w:t>15d</w:t>
                  </w:r>
                </w:p>
              </w:tc>
              <w:tc>
                <w:tcPr>
                  <w:tcW w:w="747" w:type="dxa"/>
                  <w:noWrap w:val="0"/>
                  <w:vAlign w:val="center"/>
                </w:tcPr>
                <w:p w14:paraId="28C08AB0">
                  <w:pPr>
                    <w:jc w:val="center"/>
                    <w:rPr>
                      <w:rFonts w:hint="default"/>
                      <w:color w:val="auto"/>
                      <w:lang w:val="en-US" w:eastAsia="zh-CN"/>
                    </w:rPr>
                  </w:pPr>
                  <w:r>
                    <w:rPr>
                      <w:rFonts w:hint="eastAsia"/>
                      <w:color w:val="auto"/>
                      <w:lang w:val="en-US" w:eastAsia="zh-CN"/>
                    </w:rPr>
                    <w:t>T,I</w:t>
                  </w:r>
                </w:p>
              </w:tc>
            </w:tr>
            <w:tr w14:paraId="7473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dxa"/>
                  <w:noWrap w:val="0"/>
                  <w:vAlign w:val="center"/>
                </w:tcPr>
                <w:p w14:paraId="312FEBA1">
                  <w:pPr>
                    <w:jc w:val="center"/>
                    <w:rPr>
                      <w:rFonts w:hint="default"/>
                      <w:color w:val="auto"/>
                      <w:lang w:val="en-US" w:eastAsia="zh-CN"/>
                    </w:rPr>
                  </w:pPr>
                  <w:r>
                    <w:rPr>
                      <w:rFonts w:hint="eastAsia"/>
                      <w:color w:val="auto"/>
                      <w:lang w:val="en-US" w:eastAsia="zh-CN"/>
                    </w:rPr>
                    <w:t>10</w:t>
                  </w:r>
                </w:p>
              </w:tc>
              <w:tc>
                <w:tcPr>
                  <w:tcW w:w="1502" w:type="dxa"/>
                  <w:noWrap w:val="0"/>
                  <w:vAlign w:val="center"/>
                </w:tcPr>
                <w:p w14:paraId="501C3D71">
                  <w:pPr>
                    <w:jc w:val="center"/>
                    <w:rPr>
                      <w:rFonts w:hint="default"/>
                      <w:color w:val="auto"/>
                      <w:lang w:val="en-US" w:eastAsia="zh-CN"/>
                    </w:rPr>
                  </w:pPr>
                  <w:r>
                    <w:rPr>
                      <w:rFonts w:hint="eastAsia"/>
                      <w:color w:val="auto"/>
                      <w:lang w:val="en-US" w:eastAsia="zh-CN"/>
                    </w:rPr>
                    <w:t>废尾气净化器</w:t>
                  </w:r>
                </w:p>
              </w:tc>
              <w:tc>
                <w:tcPr>
                  <w:tcW w:w="805" w:type="dxa"/>
                  <w:noWrap w:val="0"/>
                  <w:vAlign w:val="center"/>
                </w:tcPr>
                <w:p w14:paraId="00296D08">
                  <w:pPr>
                    <w:jc w:val="center"/>
                    <w:rPr>
                      <w:rFonts w:hint="default"/>
                      <w:color w:val="auto"/>
                      <w:lang w:val="en-US" w:eastAsia="zh-CN"/>
                    </w:rPr>
                  </w:pPr>
                  <w:r>
                    <w:rPr>
                      <w:rFonts w:hint="eastAsia"/>
                      <w:color w:val="auto"/>
                      <w:lang w:val="en-US" w:eastAsia="zh-CN"/>
                    </w:rPr>
                    <w:t>HW50</w:t>
                  </w:r>
                </w:p>
              </w:tc>
              <w:tc>
                <w:tcPr>
                  <w:tcW w:w="1230" w:type="dxa"/>
                  <w:noWrap w:val="0"/>
                  <w:vAlign w:val="center"/>
                </w:tcPr>
                <w:p w14:paraId="5936E4AC">
                  <w:pPr>
                    <w:jc w:val="center"/>
                    <w:rPr>
                      <w:rFonts w:hint="default"/>
                      <w:color w:val="auto"/>
                      <w:lang w:val="en-US" w:eastAsia="zh-CN"/>
                    </w:rPr>
                  </w:pPr>
                  <w:r>
                    <w:rPr>
                      <w:rFonts w:hint="eastAsia"/>
                      <w:color w:val="auto"/>
                      <w:lang w:val="en-US" w:eastAsia="zh-CN"/>
                    </w:rPr>
                    <w:t>900-049-50</w:t>
                  </w:r>
                </w:p>
              </w:tc>
              <w:tc>
                <w:tcPr>
                  <w:tcW w:w="870" w:type="dxa"/>
                  <w:noWrap w:val="0"/>
                  <w:vAlign w:val="center"/>
                </w:tcPr>
                <w:p w14:paraId="5AB76F9A">
                  <w:pPr>
                    <w:jc w:val="center"/>
                    <w:rPr>
                      <w:rFonts w:hint="default"/>
                      <w:color w:val="auto"/>
                      <w:lang w:val="en-US" w:eastAsia="zh-CN"/>
                    </w:rPr>
                  </w:pPr>
                  <w:r>
                    <w:rPr>
                      <w:rFonts w:hint="eastAsia"/>
                      <w:color w:val="auto"/>
                      <w:lang w:val="en-US" w:eastAsia="zh-CN"/>
                    </w:rPr>
                    <w:t>11.15</w:t>
                  </w:r>
                </w:p>
              </w:tc>
              <w:tc>
                <w:tcPr>
                  <w:tcW w:w="722" w:type="dxa"/>
                  <w:noWrap w:val="0"/>
                  <w:vAlign w:val="center"/>
                </w:tcPr>
                <w:p w14:paraId="7E106354">
                  <w:pPr>
                    <w:jc w:val="center"/>
                    <w:rPr>
                      <w:rFonts w:hint="default"/>
                      <w:color w:val="auto"/>
                      <w:lang w:val="en-US" w:eastAsia="zh-CN"/>
                    </w:rPr>
                  </w:pPr>
                  <w:r>
                    <w:rPr>
                      <w:rFonts w:hint="eastAsia"/>
                      <w:color w:val="auto"/>
                      <w:lang w:val="en-US" w:eastAsia="zh-CN"/>
                    </w:rPr>
                    <w:t>固态</w:t>
                  </w:r>
                </w:p>
              </w:tc>
              <w:tc>
                <w:tcPr>
                  <w:tcW w:w="887" w:type="dxa"/>
                  <w:noWrap w:val="0"/>
                  <w:vAlign w:val="center"/>
                </w:tcPr>
                <w:p w14:paraId="082DDE00">
                  <w:pPr>
                    <w:jc w:val="center"/>
                    <w:rPr>
                      <w:rFonts w:hint="eastAsia"/>
                      <w:color w:val="auto"/>
                      <w:lang w:val="en-US" w:eastAsia="zh-CN"/>
                    </w:rPr>
                  </w:pPr>
                  <w:r>
                    <w:rPr>
                      <w:rFonts w:hint="eastAsia"/>
                      <w:color w:val="auto"/>
                      <w:lang w:val="en-US" w:eastAsia="zh-CN"/>
                    </w:rPr>
                    <w:t>耐腐蚀容器</w:t>
                  </w:r>
                </w:p>
              </w:tc>
              <w:tc>
                <w:tcPr>
                  <w:tcW w:w="690" w:type="dxa"/>
                  <w:noWrap w:val="0"/>
                  <w:vAlign w:val="center"/>
                </w:tcPr>
                <w:p w14:paraId="5E666696">
                  <w:pPr>
                    <w:jc w:val="center"/>
                    <w:rPr>
                      <w:rFonts w:hint="eastAsia"/>
                      <w:color w:val="auto"/>
                      <w:lang w:val="en-US" w:eastAsia="zh-CN"/>
                    </w:rPr>
                  </w:pPr>
                  <w:r>
                    <w:rPr>
                      <w:rFonts w:hint="eastAsia"/>
                      <w:color w:val="auto"/>
                      <w:lang w:val="en-US" w:eastAsia="zh-CN"/>
                    </w:rPr>
                    <w:t>15d</w:t>
                  </w:r>
                </w:p>
              </w:tc>
              <w:tc>
                <w:tcPr>
                  <w:tcW w:w="747" w:type="dxa"/>
                  <w:noWrap w:val="0"/>
                  <w:vAlign w:val="center"/>
                </w:tcPr>
                <w:p w14:paraId="6DC876B0">
                  <w:pPr>
                    <w:jc w:val="center"/>
                    <w:rPr>
                      <w:rFonts w:hint="eastAsia"/>
                      <w:color w:val="auto"/>
                      <w:lang w:val="en-US" w:eastAsia="zh-CN"/>
                    </w:rPr>
                  </w:pPr>
                  <w:r>
                    <w:rPr>
                      <w:rFonts w:hint="eastAsia"/>
                      <w:color w:val="auto"/>
                      <w:lang w:val="en-US" w:eastAsia="zh-CN"/>
                    </w:rPr>
                    <w:t>T</w:t>
                  </w:r>
                </w:p>
              </w:tc>
            </w:tr>
            <w:tr w14:paraId="189B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dxa"/>
                  <w:noWrap w:val="0"/>
                  <w:vAlign w:val="center"/>
                </w:tcPr>
                <w:p w14:paraId="61FCE20B">
                  <w:pPr>
                    <w:jc w:val="center"/>
                    <w:rPr>
                      <w:rFonts w:hint="default"/>
                      <w:color w:val="auto"/>
                      <w:lang w:val="en-US" w:eastAsia="zh-CN"/>
                    </w:rPr>
                  </w:pPr>
                  <w:r>
                    <w:rPr>
                      <w:rFonts w:hint="eastAsia"/>
                      <w:color w:val="auto"/>
                      <w:lang w:val="en-US" w:eastAsia="zh-CN"/>
                    </w:rPr>
                    <w:t>11</w:t>
                  </w:r>
                </w:p>
              </w:tc>
              <w:tc>
                <w:tcPr>
                  <w:tcW w:w="1502" w:type="dxa"/>
                  <w:noWrap w:val="0"/>
                  <w:vAlign w:val="center"/>
                </w:tcPr>
                <w:p w14:paraId="4B7CAA72">
                  <w:pPr>
                    <w:jc w:val="center"/>
                    <w:rPr>
                      <w:rFonts w:hint="default"/>
                      <w:color w:val="auto"/>
                      <w:lang w:val="en-US" w:eastAsia="zh-CN"/>
                    </w:rPr>
                  </w:pPr>
                  <w:r>
                    <w:rPr>
                      <w:rFonts w:hint="eastAsia"/>
                      <w:color w:val="auto"/>
                      <w:lang w:val="en-US" w:eastAsia="zh-CN"/>
                    </w:rPr>
                    <w:t>废电路板及电子元器件</w:t>
                  </w:r>
                </w:p>
              </w:tc>
              <w:tc>
                <w:tcPr>
                  <w:tcW w:w="805" w:type="dxa"/>
                  <w:noWrap w:val="0"/>
                  <w:vAlign w:val="center"/>
                </w:tcPr>
                <w:p w14:paraId="7C48453D">
                  <w:pPr>
                    <w:jc w:val="center"/>
                    <w:rPr>
                      <w:rFonts w:hint="default"/>
                      <w:color w:val="auto"/>
                      <w:lang w:val="en-US" w:eastAsia="zh-CN"/>
                    </w:rPr>
                  </w:pPr>
                  <w:r>
                    <w:rPr>
                      <w:rFonts w:hint="eastAsia"/>
                      <w:color w:val="auto"/>
                      <w:lang w:val="en-US" w:eastAsia="zh-CN"/>
                    </w:rPr>
                    <w:t>HW49</w:t>
                  </w:r>
                </w:p>
              </w:tc>
              <w:tc>
                <w:tcPr>
                  <w:tcW w:w="1230" w:type="dxa"/>
                  <w:noWrap w:val="0"/>
                  <w:vAlign w:val="center"/>
                </w:tcPr>
                <w:p w14:paraId="7C3342A9">
                  <w:pPr>
                    <w:jc w:val="center"/>
                    <w:rPr>
                      <w:rFonts w:hint="default"/>
                      <w:color w:val="auto"/>
                      <w:lang w:val="en-US" w:eastAsia="zh-CN"/>
                    </w:rPr>
                  </w:pPr>
                  <w:r>
                    <w:rPr>
                      <w:rFonts w:hint="eastAsia"/>
                      <w:color w:val="auto"/>
                      <w:lang w:val="en-US" w:eastAsia="zh-CN"/>
                    </w:rPr>
                    <w:t>900-045-49</w:t>
                  </w:r>
                </w:p>
              </w:tc>
              <w:tc>
                <w:tcPr>
                  <w:tcW w:w="870" w:type="dxa"/>
                  <w:noWrap w:val="0"/>
                  <w:vAlign w:val="center"/>
                </w:tcPr>
                <w:p w14:paraId="7914EB9A">
                  <w:pPr>
                    <w:jc w:val="center"/>
                    <w:rPr>
                      <w:rFonts w:hint="default"/>
                      <w:color w:val="auto"/>
                      <w:lang w:val="en-US" w:eastAsia="zh-CN"/>
                    </w:rPr>
                  </w:pPr>
                  <w:r>
                    <w:rPr>
                      <w:rFonts w:hint="eastAsia"/>
                      <w:color w:val="auto"/>
                      <w:lang w:val="en-US" w:eastAsia="zh-CN"/>
                    </w:rPr>
                    <w:t>49.2</w:t>
                  </w:r>
                </w:p>
              </w:tc>
              <w:tc>
                <w:tcPr>
                  <w:tcW w:w="722" w:type="dxa"/>
                  <w:noWrap w:val="0"/>
                  <w:vAlign w:val="center"/>
                </w:tcPr>
                <w:p w14:paraId="77E7CF9A">
                  <w:pPr>
                    <w:jc w:val="center"/>
                    <w:rPr>
                      <w:rFonts w:hint="default"/>
                      <w:color w:val="auto"/>
                      <w:lang w:val="en-US" w:eastAsia="zh-CN"/>
                    </w:rPr>
                  </w:pPr>
                  <w:r>
                    <w:rPr>
                      <w:rFonts w:hint="eastAsia"/>
                      <w:color w:val="auto"/>
                      <w:lang w:val="en-US" w:eastAsia="zh-CN"/>
                    </w:rPr>
                    <w:t>固态</w:t>
                  </w:r>
                </w:p>
              </w:tc>
              <w:tc>
                <w:tcPr>
                  <w:tcW w:w="887" w:type="dxa"/>
                  <w:noWrap w:val="0"/>
                  <w:vAlign w:val="center"/>
                </w:tcPr>
                <w:p w14:paraId="0739595F">
                  <w:pPr>
                    <w:jc w:val="center"/>
                    <w:rPr>
                      <w:rFonts w:hint="default"/>
                      <w:color w:val="auto"/>
                      <w:lang w:val="en-US" w:eastAsia="zh-CN"/>
                    </w:rPr>
                  </w:pPr>
                  <w:r>
                    <w:rPr>
                      <w:rFonts w:hint="eastAsia"/>
                      <w:color w:val="auto"/>
                      <w:lang w:val="en-US" w:eastAsia="zh-CN"/>
                    </w:rPr>
                    <w:t>耐腐蚀容器</w:t>
                  </w:r>
                </w:p>
              </w:tc>
              <w:tc>
                <w:tcPr>
                  <w:tcW w:w="690" w:type="dxa"/>
                  <w:noWrap w:val="0"/>
                  <w:vAlign w:val="center"/>
                </w:tcPr>
                <w:p w14:paraId="0C867728">
                  <w:pPr>
                    <w:jc w:val="center"/>
                    <w:rPr>
                      <w:rFonts w:hint="eastAsia"/>
                      <w:color w:val="auto"/>
                      <w:lang w:val="en-US" w:eastAsia="zh-CN"/>
                    </w:rPr>
                  </w:pPr>
                  <w:r>
                    <w:rPr>
                      <w:rFonts w:hint="eastAsia"/>
                      <w:color w:val="auto"/>
                      <w:lang w:val="en-US" w:eastAsia="zh-CN"/>
                    </w:rPr>
                    <w:t>15d</w:t>
                  </w:r>
                </w:p>
              </w:tc>
              <w:tc>
                <w:tcPr>
                  <w:tcW w:w="747" w:type="dxa"/>
                  <w:noWrap w:val="0"/>
                  <w:vAlign w:val="center"/>
                </w:tcPr>
                <w:p w14:paraId="79272FCB">
                  <w:pPr>
                    <w:jc w:val="center"/>
                    <w:rPr>
                      <w:rFonts w:hint="eastAsia"/>
                      <w:color w:val="auto"/>
                      <w:lang w:val="en-US" w:eastAsia="zh-CN"/>
                    </w:rPr>
                  </w:pPr>
                  <w:r>
                    <w:rPr>
                      <w:rFonts w:hint="eastAsia"/>
                      <w:color w:val="auto"/>
                      <w:lang w:val="en-US" w:eastAsia="zh-CN"/>
                    </w:rPr>
                    <w:t>T</w:t>
                  </w:r>
                </w:p>
              </w:tc>
            </w:tr>
            <w:tr w14:paraId="124B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dxa"/>
                  <w:noWrap w:val="0"/>
                  <w:vAlign w:val="center"/>
                </w:tcPr>
                <w:p w14:paraId="127F5435">
                  <w:pPr>
                    <w:jc w:val="center"/>
                    <w:rPr>
                      <w:rFonts w:hint="default"/>
                      <w:color w:val="auto"/>
                      <w:lang w:val="en-US" w:eastAsia="zh-CN"/>
                    </w:rPr>
                  </w:pPr>
                  <w:r>
                    <w:rPr>
                      <w:rFonts w:hint="eastAsia"/>
                      <w:color w:val="auto"/>
                      <w:lang w:val="en-US" w:eastAsia="zh-CN"/>
                    </w:rPr>
                    <w:t>12</w:t>
                  </w:r>
                </w:p>
              </w:tc>
              <w:tc>
                <w:tcPr>
                  <w:tcW w:w="1502" w:type="dxa"/>
                  <w:noWrap w:val="0"/>
                  <w:vAlign w:val="center"/>
                </w:tcPr>
                <w:p w14:paraId="16639FFD">
                  <w:pPr>
                    <w:jc w:val="center"/>
                    <w:rPr>
                      <w:rFonts w:hint="default"/>
                      <w:color w:val="auto"/>
                      <w:lang w:val="en-US" w:eastAsia="zh-CN"/>
                    </w:rPr>
                  </w:pPr>
                  <w:r>
                    <w:rPr>
                      <w:rFonts w:hint="eastAsia"/>
                      <w:color w:val="auto"/>
                      <w:lang w:val="en-US" w:eastAsia="zh-CN"/>
                    </w:rPr>
                    <w:t>废活性炭</w:t>
                  </w:r>
                </w:p>
              </w:tc>
              <w:tc>
                <w:tcPr>
                  <w:tcW w:w="805" w:type="dxa"/>
                  <w:noWrap w:val="0"/>
                  <w:vAlign w:val="center"/>
                </w:tcPr>
                <w:p w14:paraId="37D106E0">
                  <w:pPr>
                    <w:jc w:val="center"/>
                    <w:rPr>
                      <w:rFonts w:hint="default"/>
                      <w:color w:val="auto"/>
                      <w:lang w:val="en-US" w:eastAsia="zh-CN"/>
                    </w:rPr>
                  </w:pPr>
                  <w:r>
                    <w:rPr>
                      <w:rFonts w:hint="eastAsia"/>
                      <w:color w:val="auto"/>
                      <w:lang w:val="en-US" w:eastAsia="zh-CN"/>
                    </w:rPr>
                    <w:t>HW49</w:t>
                  </w:r>
                </w:p>
              </w:tc>
              <w:tc>
                <w:tcPr>
                  <w:tcW w:w="1230" w:type="dxa"/>
                  <w:noWrap w:val="0"/>
                  <w:vAlign w:val="center"/>
                </w:tcPr>
                <w:p w14:paraId="46D79E00">
                  <w:pPr>
                    <w:jc w:val="center"/>
                    <w:rPr>
                      <w:rFonts w:hint="default"/>
                      <w:color w:val="auto"/>
                      <w:lang w:val="en-US" w:eastAsia="zh-CN"/>
                    </w:rPr>
                  </w:pPr>
                  <w:r>
                    <w:rPr>
                      <w:rFonts w:hint="eastAsia"/>
                      <w:color w:val="auto"/>
                      <w:lang w:val="en-US" w:eastAsia="zh-CN"/>
                    </w:rPr>
                    <w:t>900-039-49</w:t>
                  </w:r>
                </w:p>
              </w:tc>
              <w:tc>
                <w:tcPr>
                  <w:tcW w:w="870" w:type="dxa"/>
                  <w:noWrap w:val="0"/>
                  <w:vAlign w:val="center"/>
                </w:tcPr>
                <w:p w14:paraId="1339DCCF">
                  <w:pPr>
                    <w:jc w:val="center"/>
                    <w:rPr>
                      <w:rFonts w:hint="default"/>
                      <w:color w:val="auto"/>
                      <w:lang w:val="en-US" w:eastAsia="zh-CN"/>
                    </w:rPr>
                  </w:pPr>
                  <w:r>
                    <w:rPr>
                      <w:rFonts w:hint="eastAsia"/>
                      <w:color w:val="auto"/>
                      <w:lang w:val="en-US" w:eastAsia="zh-CN"/>
                    </w:rPr>
                    <w:t>0.26</w:t>
                  </w:r>
                </w:p>
              </w:tc>
              <w:tc>
                <w:tcPr>
                  <w:tcW w:w="722" w:type="dxa"/>
                  <w:noWrap w:val="0"/>
                  <w:vAlign w:val="center"/>
                </w:tcPr>
                <w:p w14:paraId="590261F3">
                  <w:pPr>
                    <w:jc w:val="center"/>
                    <w:rPr>
                      <w:rFonts w:hint="default"/>
                      <w:color w:val="auto"/>
                      <w:lang w:val="en-US" w:eastAsia="zh-CN"/>
                    </w:rPr>
                  </w:pPr>
                  <w:r>
                    <w:rPr>
                      <w:rFonts w:hint="eastAsia"/>
                      <w:color w:val="auto"/>
                      <w:lang w:val="en-US" w:eastAsia="zh-CN"/>
                    </w:rPr>
                    <w:t>固态</w:t>
                  </w:r>
                </w:p>
              </w:tc>
              <w:tc>
                <w:tcPr>
                  <w:tcW w:w="887" w:type="dxa"/>
                  <w:noWrap w:val="0"/>
                  <w:vAlign w:val="center"/>
                </w:tcPr>
                <w:p w14:paraId="6AFFE411">
                  <w:pPr>
                    <w:jc w:val="center"/>
                    <w:rPr>
                      <w:rFonts w:hint="eastAsia"/>
                      <w:color w:val="auto"/>
                      <w:lang w:val="en-US" w:eastAsia="zh-CN"/>
                    </w:rPr>
                  </w:pPr>
                  <w:r>
                    <w:rPr>
                      <w:rFonts w:hint="eastAsia"/>
                      <w:color w:val="auto"/>
                      <w:lang w:val="en-US" w:eastAsia="zh-CN"/>
                    </w:rPr>
                    <w:t>盒装</w:t>
                  </w:r>
                </w:p>
              </w:tc>
              <w:tc>
                <w:tcPr>
                  <w:tcW w:w="690" w:type="dxa"/>
                  <w:noWrap w:val="0"/>
                  <w:vAlign w:val="center"/>
                </w:tcPr>
                <w:p w14:paraId="6CCC14E9">
                  <w:pPr>
                    <w:jc w:val="center"/>
                    <w:rPr>
                      <w:rFonts w:hint="eastAsia"/>
                      <w:color w:val="auto"/>
                      <w:lang w:val="en-US" w:eastAsia="zh-CN"/>
                    </w:rPr>
                  </w:pPr>
                  <w:r>
                    <w:rPr>
                      <w:rFonts w:hint="eastAsia"/>
                      <w:color w:val="auto"/>
                      <w:lang w:val="en-US" w:eastAsia="zh-CN"/>
                    </w:rPr>
                    <w:t>15d</w:t>
                  </w:r>
                </w:p>
              </w:tc>
              <w:tc>
                <w:tcPr>
                  <w:tcW w:w="747" w:type="dxa"/>
                  <w:noWrap w:val="0"/>
                  <w:vAlign w:val="center"/>
                </w:tcPr>
                <w:p w14:paraId="0EE4F652">
                  <w:pPr>
                    <w:jc w:val="center"/>
                    <w:rPr>
                      <w:rFonts w:hint="eastAsia"/>
                      <w:color w:val="auto"/>
                      <w:lang w:val="en-US" w:eastAsia="zh-CN"/>
                    </w:rPr>
                  </w:pPr>
                  <w:r>
                    <w:rPr>
                      <w:rFonts w:hint="eastAsia"/>
                      <w:color w:val="auto"/>
                      <w:lang w:val="en-US" w:eastAsia="zh-CN"/>
                    </w:rPr>
                    <w:t>T</w:t>
                  </w:r>
                </w:p>
              </w:tc>
            </w:tr>
            <w:tr w14:paraId="469D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dxa"/>
                  <w:noWrap w:val="0"/>
                  <w:vAlign w:val="center"/>
                </w:tcPr>
                <w:p w14:paraId="5E096CD2">
                  <w:pPr>
                    <w:jc w:val="center"/>
                    <w:rPr>
                      <w:rFonts w:hint="default"/>
                      <w:color w:val="auto"/>
                      <w:lang w:val="en-US" w:eastAsia="zh-CN"/>
                    </w:rPr>
                  </w:pPr>
                  <w:r>
                    <w:rPr>
                      <w:rFonts w:hint="eastAsia"/>
                      <w:color w:val="auto"/>
                      <w:lang w:val="en-US" w:eastAsia="zh-CN"/>
                    </w:rPr>
                    <w:t>13</w:t>
                  </w:r>
                </w:p>
              </w:tc>
              <w:tc>
                <w:tcPr>
                  <w:tcW w:w="1502" w:type="dxa"/>
                  <w:noWrap w:val="0"/>
                  <w:vAlign w:val="center"/>
                </w:tcPr>
                <w:p w14:paraId="1A44CDAA">
                  <w:pPr>
                    <w:jc w:val="center"/>
                    <w:rPr>
                      <w:rFonts w:hint="default"/>
                      <w:color w:val="auto"/>
                      <w:lang w:val="en-US" w:eastAsia="zh-CN"/>
                    </w:rPr>
                  </w:pPr>
                  <w:r>
                    <w:rPr>
                      <w:rFonts w:hint="eastAsia"/>
                      <w:color w:val="auto"/>
                      <w:lang w:val="en-US" w:eastAsia="zh-CN"/>
                    </w:rPr>
                    <w:t>污水处理站油泥</w:t>
                  </w:r>
                </w:p>
              </w:tc>
              <w:tc>
                <w:tcPr>
                  <w:tcW w:w="805" w:type="dxa"/>
                  <w:noWrap w:val="0"/>
                  <w:vAlign w:val="center"/>
                </w:tcPr>
                <w:p w14:paraId="62819CDA">
                  <w:pPr>
                    <w:jc w:val="center"/>
                    <w:rPr>
                      <w:rFonts w:hint="default"/>
                      <w:color w:val="auto"/>
                      <w:lang w:val="en-US" w:eastAsia="zh-CN"/>
                    </w:rPr>
                  </w:pPr>
                  <w:r>
                    <w:rPr>
                      <w:rFonts w:hint="eastAsia"/>
                      <w:color w:val="auto"/>
                      <w:lang w:val="en-US" w:eastAsia="zh-CN"/>
                    </w:rPr>
                    <w:t>HW08</w:t>
                  </w:r>
                </w:p>
              </w:tc>
              <w:tc>
                <w:tcPr>
                  <w:tcW w:w="1230" w:type="dxa"/>
                  <w:noWrap w:val="0"/>
                  <w:vAlign w:val="center"/>
                </w:tcPr>
                <w:p w14:paraId="574E7355">
                  <w:pPr>
                    <w:jc w:val="center"/>
                    <w:rPr>
                      <w:rFonts w:hint="default"/>
                      <w:color w:val="auto"/>
                      <w:lang w:val="en-US" w:eastAsia="zh-CN"/>
                    </w:rPr>
                  </w:pPr>
                  <w:r>
                    <w:rPr>
                      <w:rFonts w:hint="eastAsia"/>
                      <w:color w:val="auto"/>
                      <w:lang w:val="en-US" w:eastAsia="zh-CN"/>
                    </w:rPr>
                    <w:t>900-210-08</w:t>
                  </w:r>
                </w:p>
              </w:tc>
              <w:tc>
                <w:tcPr>
                  <w:tcW w:w="870" w:type="dxa"/>
                  <w:noWrap w:val="0"/>
                  <w:vAlign w:val="center"/>
                </w:tcPr>
                <w:p w14:paraId="1D857F9B">
                  <w:pPr>
                    <w:jc w:val="center"/>
                    <w:rPr>
                      <w:rFonts w:hint="default"/>
                      <w:color w:val="auto"/>
                      <w:lang w:val="en-US" w:eastAsia="zh-CN"/>
                    </w:rPr>
                  </w:pPr>
                  <w:r>
                    <w:rPr>
                      <w:rFonts w:hint="eastAsia"/>
                      <w:color w:val="auto"/>
                      <w:lang w:val="en-US" w:eastAsia="zh-CN"/>
                    </w:rPr>
                    <w:t>20.174</w:t>
                  </w:r>
                </w:p>
              </w:tc>
              <w:tc>
                <w:tcPr>
                  <w:tcW w:w="722" w:type="dxa"/>
                  <w:noWrap w:val="0"/>
                  <w:vAlign w:val="center"/>
                </w:tcPr>
                <w:p w14:paraId="47C32094">
                  <w:pPr>
                    <w:jc w:val="center"/>
                    <w:rPr>
                      <w:rFonts w:hint="default"/>
                      <w:color w:val="auto"/>
                      <w:lang w:val="en-US" w:eastAsia="zh-CN"/>
                    </w:rPr>
                  </w:pPr>
                  <w:r>
                    <w:rPr>
                      <w:rFonts w:hint="eastAsia"/>
                      <w:color w:val="auto"/>
                      <w:lang w:val="en-US" w:eastAsia="zh-CN"/>
                    </w:rPr>
                    <w:t>固态</w:t>
                  </w:r>
                </w:p>
              </w:tc>
              <w:tc>
                <w:tcPr>
                  <w:tcW w:w="887" w:type="dxa"/>
                  <w:noWrap w:val="0"/>
                  <w:vAlign w:val="center"/>
                </w:tcPr>
                <w:p w14:paraId="56E12984">
                  <w:pPr>
                    <w:jc w:val="center"/>
                    <w:rPr>
                      <w:rFonts w:hint="default"/>
                      <w:color w:val="auto"/>
                      <w:lang w:val="en-US" w:eastAsia="zh-CN"/>
                    </w:rPr>
                  </w:pPr>
                  <w:r>
                    <w:rPr>
                      <w:rFonts w:hint="eastAsia"/>
                      <w:color w:val="auto"/>
                      <w:lang w:val="en-US" w:eastAsia="zh-CN"/>
                    </w:rPr>
                    <w:t>耐腐蚀容器</w:t>
                  </w:r>
                </w:p>
              </w:tc>
              <w:tc>
                <w:tcPr>
                  <w:tcW w:w="690" w:type="dxa"/>
                  <w:noWrap w:val="0"/>
                  <w:vAlign w:val="center"/>
                </w:tcPr>
                <w:p w14:paraId="55ED9C76">
                  <w:pPr>
                    <w:jc w:val="center"/>
                    <w:rPr>
                      <w:rFonts w:hint="eastAsia"/>
                      <w:color w:val="auto"/>
                      <w:lang w:val="en-US" w:eastAsia="zh-CN"/>
                    </w:rPr>
                  </w:pPr>
                  <w:r>
                    <w:rPr>
                      <w:rFonts w:hint="eastAsia"/>
                      <w:color w:val="auto"/>
                      <w:lang w:val="en-US" w:eastAsia="zh-CN"/>
                    </w:rPr>
                    <w:t>15d</w:t>
                  </w:r>
                </w:p>
              </w:tc>
              <w:tc>
                <w:tcPr>
                  <w:tcW w:w="747" w:type="dxa"/>
                  <w:noWrap w:val="0"/>
                  <w:vAlign w:val="center"/>
                </w:tcPr>
                <w:p w14:paraId="55245C3D">
                  <w:pPr>
                    <w:jc w:val="center"/>
                    <w:rPr>
                      <w:rFonts w:hint="eastAsia"/>
                      <w:color w:val="auto"/>
                      <w:lang w:val="en-US" w:eastAsia="zh-CN"/>
                    </w:rPr>
                  </w:pPr>
                  <w:r>
                    <w:rPr>
                      <w:rFonts w:hint="eastAsia"/>
                      <w:color w:val="auto"/>
                      <w:lang w:val="en-US" w:eastAsia="zh-CN"/>
                    </w:rPr>
                    <w:t>T,I</w:t>
                  </w:r>
                </w:p>
              </w:tc>
            </w:tr>
            <w:tr w14:paraId="1430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dxa"/>
                  <w:noWrap w:val="0"/>
                  <w:vAlign w:val="center"/>
                </w:tcPr>
                <w:p w14:paraId="770205F3">
                  <w:pPr>
                    <w:jc w:val="center"/>
                    <w:rPr>
                      <w:rFonts w:hint="default" w:eastAsia="宋体"/>
                      <w:color w:val="auto"/>
                      <w:lang w:val="en-US" w:eastAsia="zh-CN"/>
                    </w:rPr>
                  </w:pPr>
                  <w:r>
                    <w:rPr>
                      <w:rFonts w:hint="eastAsia"/>
                      <w:color w:val="auto"/>
                      <w:lang w:val="en-US" w:eastAsia="zh-CN"/>
                    </w:rPr>
                    <w:t>14</w:t>
                  </w:r>
                </w:p>
              </w:tc>
              <w:tc>
                <w:tcPr>
                  <w:tcW w:w="1502" w:type="dxa"/>
                  <w:noWrap w:val="0"/>
                  <w:vAlign w:val="center"/>
                </w:tcPr>
                <w:p w14:paraId="4748C815">
                  <w:pPr>
                    <w:jc w:val="center"/>
                    <w:rPr>
                      <w:rFonts w:hint="eastAsia"/>
                      <w:color w:val="auto"/>
                      <w:lang w:val="en-US" w:eastAsia="zh-CN"/>
                    </w:rPr>
                  </w:pPr>
                  <w:r>
                    <w:rPr>
                      <w:rFonts w:hint="eastAsia"/>
                      <w:color w:val="auto"/>
                      <w:lang w:val="en-US" w:eastAsia="zh-CN"/>
                    </w:rPr>
                    <w:t>含油手套及</w:t>
                  </w:r>
                </w:p>
                <w:p w14:paraId="3C8C722C">
                  <w:pPr>
                    <w:jc w:val="center"/>
                    <w:rPr>
                      <w:rFonts w:hint="default"/>
                      <w:color w:val="auto"/>
                      <w:lang w:val="en-US" w:eastAsia="zh-CN"/>
                    </w:rPr>
                  </w:pPr>
                  <w:r>
                    <w:rPr>
                      <w:rFonts w:hint="eastAsia"/>
                      <w:color w:val="auto"/>
                      <w:lang w:val="en-US" w:eastAsia="zh-CN"/>
                    </w:rPr>
                    <w:t>抹布</w:t>
                  </w:r>
                </w:p>
              </w:tc>
              <w:tc>
                <w:tcPr>
                  <w:tcW w:w="805" w:type="dxa"/>
                  <w:noWrap w:val="0"/>
                  <w:vAlign w:val="center"/>
                </w:tcPr>
                <w:p w14:paraId="52E3E137">
                  <w:pPr>
                    <w:jc w:val="center"/>
                    <w:rPr>
                      <w:rFonts w:hint="default"/>
                      <w:color w:val="auto"/>
                      <w:lang w:val="en-US" w:eastAsia="zh-CN"/>
                    </w:rPr>
                  </w:pPr>
                  <w:r>
                    <w:rPr>
                      <w:rFonts w:hint="eastAsia"/>
                      <w:color w:val="auto"/>
                      <w:lang w:val="en-US" w:eastAsia="zh-CN"/>
                    </w:rPr>
                    <w:t>豁免</w:t>
                  </w:r>
                </w:p>
              </w:tc>
              <w:tc>
                <w:tcPr>
                  <w:tcW w:w="1230" w:type="dxa"/>
                  <w:noWrap w:val="0"/>
                  <w:vAlign w:val="center"/>
                </w:tcPr>
                <w:p w14:paraId="003037A1">
                  <w:pPr>
                    <w:jc w:val="center"/>
                    <w:rPr>
                      <w:rFonts w:hint="default" w:eastAsia="宋体"/>
                      <w:color w:val="auto"/>
                      <w:lang w:val="en-US" w:eastAsia="zh-CN"/>
                    </w:rPr>
                  </w:pPr>
                  <w:r>
                    <w:rPr>
                      <w:rFonts w:hint="eastAsia"/>
                      <w:color w:val="auto"/>
                      <w:lang w:val="en-US" w:eastAsia="zh-CN"/>
                    </w:rPr>
                    <w:t>/</w:t>
                  </w:r>
                </w:p>
              </w:tc>
              <w:tc>
                <w:tcPr>
                  <w:tcW w:w="870" w:type="dxa"/>
                  <w:noWrap w:val="0"/>
                  <w:vAlign w:val="center"/>
                </w:tcPr>
                <w:p w14:paraId="1004AE4B">
                  <w:pPr>
                    <w:jc w:val="center"/>
                    <w:rPr>
                      <w:rFonts w:hint="default"/>
                      <w:color w:val="auto"/>
                      <w:lang w:val="en-US" w:eastAsia="zh-CN"/>
                    </w:rPr>
                  </w:pPr>
                  <w:r>
                    <w:rPr>
                      <w:rFonts w:hint="eastAsia"/>
                      <w:color w:val="auto"/>
                      <w:lang w:val="en-US" w:eastAsia="zh-CN"/>
                    </w:rPr>
                    <w:t>0.1</w:t>
                  </w:r>
                </w:p>
              </w:tc>
              <w:tc>
                <w:tcPr>
                  <w:tcW w:w="722" w:type="dxa"/>
                  <w:noWrap w:val="0"/>
                  <w:vAlign w:val="center"/>
                </w:tcPr>
                <w:p w14:paraId="59E13AB3">
                  <w:pPr>
                    <w:jc w:val="center"/>
                    <w:rPr>
                      <w:rFonts w:hint="eastAsia" w:eastAsia="宋体"/>
                      <w:color w:val="auto"/>
                      <w:lang w:val="en-US" w:eastAsia="zh-CN"/>
                    </w:rPr>
                  </w:pPr>
                  <w:r>
                    <w:rPr>
                      <w:rFonts w:hint="eastAsia"/>
                      <w:color w:val="auto"/>
                      <w:lang w:val="en-US" w:eastAsia="zh-CN"/>
                    </w:rPr>
                    <w:t>固态</w:t>
                  </w:r>
                </w:p>
              </w:tc>
              <w:tc>
                <w:tcPr>
                  <w:tcW w:w="887" w:type="dxa"/>
                  <w:noWrap w:val="0"/>
                  <w:vAlign w:val="center"/>
                </w:tcPr>
                <w:p w14:paraId="2A119834">
                  <w:pPr>
                    <w:jc w:val="center"/>
                    <w:rPr>
                      <w:rFonts w:hint="default"/>
                      <w:color w:val="auto"/>
                      <w:lang w:val="en-US" w:eastAsia="zh-CN"/>
                    </w:rPr>
                  </w:pPr>
                  <w:r>
                    <w:rPr>
                      <w:rFonts w:hint="eastAsia"/>
                      <w:color w:val="auto"/>
                      <w:lang w:val="en-US" w:eastAsia="zh-CN"/>
                    </w:rPr>
                    <w:t>垃圾桶</w:t>
                  </w:r>
                </w:p>
              </w:tc>
              <w:tc>
                <w:tcPr>
                  <w:tcW w:w="690" w:type="dxa"/>
                  <w:noWrap w:val="0"/>
                  <w:vAlign w:val="center"/>
                </w:tcPr>
                <w:p w14:paraId="335FCD59">
                  <w:pPr>
                    <w:jc w:val="center"/>
                    <w:rPr>
                      <w:rFonts w:hint="default"/>
                      <w:color w:val="auto"/>
                      <w:lang w:val="en-US" w:eastAsia="zh-CN"/>
                    </w:rPr>
                  </w:pPr>
                  <w:r>
                    <w:rPr>
                      <w:rFonts w:hint="eastAsia"/>
                      <w:color w:val="auto"/>
                      <w:lang w:val="en-US" w:eastAsia="zh-CN"/>
                    </w:rPr>
                    <w:t>/</w:t>
                  </w:r>
                </w:p>
              </w:tc>
              <w:tc>
                <w:tcPr>
                  <w:tcW w:w="747" w:type="dxa"/>
                  <w:noWrap w:val="0"/>
                  <w:vAlign w:val="center"/>
                </w:tcPr>
                <w:p w14:paraId="6249C367">
                  <w:pPr>
                    <w:jc w:val="center"/>
                    <w:rPr>
                      <w:rFonts w:hint="default"/>
                      <w:color w:val="auto"/>
                      <w:lang w:val="en-US" w:eastAsia="zh-CN"/>
                    </w:rPr>
                  </w:pPr>
                  <w:r>
                    <w:rPr>
                      <w:rFonts w:hint="eastAsia"/>
                      <w:color w:val="auto"/>
                      <w:lang w:val="en-US" w:eastAsia="zh-CN"/>
                    </w:rPr>
                    <w:t>/</w:t>
                  </w:r>
                </w:p>
              </w:tc>
            </w:tr>
          </w:tbl>
          <w:p w14:paraId="1F8EEB6B">
            <w:pPr>
              <w:spacing w:line="360" w:lineRule="auto"/>
              <w:ind w:firstLine="480" w:firstLineChars="200"/>
              <w:rPr>
                <w:rFonts w:hint="default" w:eastAsia="宋体"/>
                <w:sz w:val="24"/>
                <w:szCs w:val="32"/>
                <w:lang w:val="en-US" w:eastAsia="zh-CN"/>
              </w:rPr>
            </w:pPr>
            <w:r>
              <w:rPr>
                <w:rFonts w:hint="eastAsia"/>
                <w:sz w:val="24"/>
                <w:szCs w:val="32"/>
                <w:lang w:val="en-US" w:eastAsia="zh-CN"/>
              </w:rPr>
              <w:t>（3）生活垃圾</w:t>
            </w:r>
          </w:p>
          <w:p w14:paraId="49E449EF">
            <w:pPr>
              <w:pStyle w:val="20"/>
              <w:spacing w:before="0" w:beforeAutospacing="0" w:after="0" w:afterAutospacing="0" w:line="360" w:lineRule="auto"/>
              <w:ind w:firstLine="480" w:firstLineChars="200"/>
              <w:jc w:val="both"/>
              <w:outlineLvl w:val="0"/>
              <w:rPr>
                <w:rFonts w:hint="eastAsia" w:ascii="Times New Roman" w:hAnsi="Times New Roman" w:eastAsia="宋体"/>
                <w:b/>
                <w:bCs/>
                <w:lang w:eastAsia="zh-CN"/>
              </w:rPr>
            </w:pPr>
            <w:r>
              <w:rPr>
                <w:rFonts w:ascii="Times New Roman" w:hAnsi="Times New Roman" w:eastAsia="宋体" w:cs="Times New Roman"/>
                <w:sz w:val="24"/>
              </w:rPr>
              <w:t>本项目劳动定员</w:t>
            </w:r>
            <w:r>
              <w:rPr>
                <w:rFonts w:hint="eastAsia" w:ascii="Times New Roman" w:hAnsi="Times New Roman" w:cs="Times New Roman"/>
                <w:sz w:val="24"/>
                <w:lang w:val="en-US" w:eastAsia="zh-CN"/>
              </w:rPr>
              <w:t>2</w:t>
            </w:r>
            <w:r>
              <w:rPr>
                <w:rFonts w:hint="eastAsia" w:ascii="Times New Roman" w:hAnsi="Times New Roman" w:eastAsia="宋体" w:cs="Times New Roman"/>
                <w:sz w:val="24"/>
                <w:lang w:val="en-US" w:eastAsia="zh-CN"/>
              </w:rPr>
              <w:t>0</w:t>
            </w:r>
            <w:r>
              <w:rPr>
                <w:rFonts w:ascii="Times New Roman" w:hAnsi="Times New Roman" w:eastAsia="宋体" w:cs="Times New Roman"/>
                <w:sz w:val="24"/>
              </w:rPr>
              <w:t>人，生活垃圾按0.5kg/p·d计，则生活垃圾产生量为</w:t>
            </w:r>
            <w:r>
              <w:rPr>
                <w:rFonts w:hint="eastAsia" w:ascii="Times New Roman" w:hAnsi="Times New Roman" w:cs="Times New Roman"/>
                <w:sz w:val="24"/>
                <w:lang w:val="en-US" w:eastAsia="zh-CN"/>
              </w:rPr>
              <w:t>1</w:t>
            </w:r>
            <w:r>
              <w:rPr>
                <w:rFonts w:hint="eastAsia" w:ascii="Times New Roman" w:hAnsi="Times New Roman" w:eastAsia="宋体" w:cs="Times New Roman"/>
                <w:sz w:val="24"/>
                <w:lang w:val="en-US" w:eastAsia="zh-CN"/>
              </w:rPr>
              <w:t>0</w:t>
            </w:r>
            <w:r>
              <w:rPr>
                <w:rFonts w:ascii="Times New Roman" w:hAnsi="Times New Roman" w:eastAsia="宋体" w:cs="Times New Roman"/>
                <w:sz w:val="24"/>
              </w:rPr>
              <w:t>kg/d；</w:t>
            </w:r>
            <w:r>
              <w:rPr>
                <w:rFonts w:hint="eastAsia" w:ascii="Times New Roman" w:hAnsi="Times New Roman" w:cs="Times New Roman"/>
                <w:sz w:val="24"/>
                <w:lang w:val="en-US" w:eastAsia="zh-CN"/>
              </w:rPr>
              <w:t>3</w:t>
            </w:r>
            <w:r>
              <w:rPr>
                <w:rFonts w:ascii="Times New Roman" w:hAnsi="Times New Roman" w:eastAsia="宋体" w:cs="Times New Roman"/>
                <w:sz w:val="24"/>
              </w:rPr>
              <w:t>t/a。生活垃圾</w:t>
            </w:r>
            <w:r>
              <w:rPr>
                <w:rFonts w:hint="eastAsia" w:ascii="Times New Roman" w:hAnsi="Times New Roman" w:eastAsia="宋体" w:cs="Times New Roman"/>
                <w:sz w:val="24"/>
                <w:lang w:val="en-US" w:eastAsia="zh-CN"/>
              </w:rPr>
              <w:t>经垃圾桶</w:t>
            </w:r>
            <w:r>
              <w:rPr>
                <w:rFonts w:ascii="Times New Roman" w:hAnsi="Times New Roman" w:eastAsia="宋体" w:cs="Times New Roman"/>
                <w:sz w:val="24"/>
              </w:rPr>
              <w:t>收集后</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委托</w:t>
            </w:r>
            <w:r>
              <w:rPr>
                <w:rFonts w:ascii="Times New Roman" w:hAnsi="Times New Roman" w:eastAsia="宋体" w:cs="Times New Roman"/>
                <w:sz w:val="24"/>
              </w:rPr>
              <w:t>环卫部门定期清运处理</w:t>
            </w:r>
            <w:r>
              <w:rPr>
                <w:rFonts w:hint="eastAsia" w:ascii="Times New Roman" w:hAnsi="Times New Roman" w:eastAsia="宋体" w:cs="Times New Roman"/>
                <w:sz w:val="24"/>
                <w:lang w:eastAsia="zh-CN"/>
              </w:rPr>
              <w:t>。</w:t>
            </w:r>
          </w:p>
          <w:p w14:paraId="125D6D5C">
            <w:pPr>
              <w:pStyle w:val="20"/>
              <w:spacing w:before="0" w:beforeAutospacing="0" w:after="0" w:afterAutospacing="0" w:line="360" w:lineRule="auto"/>
              <w:jc w:val="both"/>
              <w:outlineLvl w:val="0"/>
              <w:rPr>
                <w:rFonts w:ascii="Times New Roman" w:hAnsi="Times New Roman"/>
                <w:b/>
                <w:bCs/>
              </w:rPr>
            </w:pPr>
            <w:r>
              <w:rPr>
                <w:rFonts w:ascii="Times New Roman" w:hAnsi="Times New Roman"/>
                <w:b/>
                <w:bCs/>
              </w:rPr>
              <w:t>4.8.2</w:t>
            </w:r>
            <w:r>
              <w:rPr>
                <w:rFonts w:hint="eastAsia" w:ascii="Times New Roman" w:hAnsi="Times New Roman"/>
                <w:b/>
                <w:bCs/>
              </w:rPr>
              <w:t>固废处置措施</w:t>
            </w:r>
          </w:p>
          <w:p w14:paraId="4C91912C">
            <w:pPr>
              <w:pStyle w:val="20"/>
              <w:spacing w:before="0" w:beforeAutospacing="0" w:after="0" w:afterAutospacing="0" w:line="360" w:lineRule="auto"/>
              <w:ind w:firstLine="480" w:firstLineChars="200"/>
              <w:jc w:val="both"/>
              <w:outlineLvl w:val="0"/>
              <w:rPr>
                <w:rFonts w:ascii="Times New Roman" w:hAnsi="Times New Roman"/>
              </w:rPr>
            </w:pPr>
            <w:r>
              <w:rPr>
                <w:rFonts w:hint="eastAsia" w:ascii="Times New Roman" w:hAnsi="Times New Roman"/>
              </w:rPr>
              <w:t>本项目营运期固废</w:t>
            </w:r>
            <w:r>
              <w:rPr>
                <w:rFonts w:hint="eastAsia" w:ascii="Times New Roman" w:hAnsi="Times New Roman"/>
                <w:lang w:val="en-US" w:eastAsia="zh-CN"/>
              </w:rPr>
              <w:t>产生情况及</w:t>
            </w:r>
            <w:r>
              <w:rPr>
                <w:rFonts w:hint="eastAsia" w:ascii="Times New Roman" w:hAnsi="Times New Roman"/>
              </w:rPr>
              <w:t>处置措施见下表。</w:t>
            </w:r>
          </w:p>
          <w:p w14:paraId="20E12BFF">
            <w:pPr>
              <w:spacing w:line="240" w:lineRule="atLeast"/>
              <w:ind w:left="2103" w:leftChars="901" w:hanging="211" w:hangingChars="100"/>
              <w:rPr>
                <w:b/>
                <w:bCs/>
              </w:rPr>
            </w:pPr>
            <w:r>
              <w:rPr>
                <w:b/>
                <w:bCs/>
              </w:rPr>
              <w:t>表4-</w:t>
            </w:r>
            <w:r>
              <w:rPr>
                <w:rFonts w:hint="eastAsia"/>
                <w:b/>
                <w:bCs/>
                <w:lang w:val="en-US" w:eastAsia="zh-CN"/>
              </w:rPr>
              <w:t>19</w:t>
            </w:r>
            <w:r>
              <w:rPr>
                <w:b/>
                <w:bCs/>
              </w:rPr>
              <w:t xml:space="preserve">  固废</w:t>
            </w:r>
            <w:r>
              <w:rPr>
                <w:rFonts w:hint="eastAsia"/>
                <w:b/>
                <w:bCs/>
                <w:lang w:val="en-US" w:eastAsia="zh-CN"/>
              </w:rPr>
              <w:t>产生情况及处置措施</w:t>
            </w:r>
            <w:r>
              <w:rPr>
                <w:b/>
                <w:bCs/>
              </w:rPr>
              <w:t>一览表</w:t>
            </w:r>
          </w:p>
          <w:tbl>
            <w:tblPr>
              <w:tblStyle w:val="24"/>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1938"/>
              <w:gridCol w:w="881"/>
              <w:gridCol w:w="1145"/>
              <w:gridCol w:w="1240"/>
              <w:gridCol w:w="2283"/>
            </w:tblGrid>
            <w:tr w14:paraId="4A261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84" w:type="pct"/>
                  <w:noWrap w:val="0"/>
                  <w:vAlign w:val="center"/>
                </w:tcPr>
                <w:p w14:paraId="0A628865">
                  <w:pPr>
                    <w:pStyle w:val="29"/>
                    <w:spacing w:line="24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1220" w:type="pct"/>
                  <w:noWrap w:val="0"/>
                  <w:vAlign w:val="center"/>
                </w:tcPr>
                <w:p w14:paraId="3984CA7C">
                  <w:pPr>
                    <w:pStyle w:val="29"/>
                    <w:spacing w:line="24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固废名称</w:t>
                  </w:r>
                </w:p>
              </w:tc>
              <w:tc>
                <w:tcPr>
                  <w:tcW w:w="554" w:type="pct"/>
                  <w:noWrap w:val="0"/>
                  <w:vAlign w:val="center"/>
                </w:tcPr>
                <w:p w14:paraId="36C3B0BF">
                  <w:pPr>
                    <w:pStyle w:val="29"/>
                    <w:spacing w:line="24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产生量（t/a）</w:t>
                  </w:r>
                </w:p>
              </w:tc>
              <w:tc>
                <w:tcPr>
                  <w:tcW w:w="721" w:type="pct"/>
                  <w:noWrap w:val="0"/>
                  <w:vAlign w:val="center"/>
                </w:tcPr>
                <w:p w14:paraId="2983861A">
                  <w:pPr>
                    <w:pStyle w:val="29"/>
                    <w:spacing w:line="24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废物性质</w:t>
                  </w:r>
                </w:p>
              </w:tc>
              <w:tc>
                <w:tcPr>
                  <w:tcW w:w="781" w:type="pct"/>
                  <w:noWrap w:val="0"/>
                  <w:vAlign w:val="center"/>
                </w:tcPr>
                <w:p w14:paraId="6A7CC070">
                  <w:pPr>
                    <w:pStyle w:val="29"/>
                    <w:spacing w:line="24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废物</w:t>
                  </w:r>
                  <w:r>
                    <w:rPr>
                      <w:rFonts w:ascii="Times New Roman" w:hAnsi="Times New Roman" w:eastAsia="宋体" w:cs="Times New Roman"/>
                      <w:b/>
                      <w:bCs/>
                      <w:sz w:val="21"/>
                      <w:szCs w:val="21"/>
                    </w:rPr>
                    <w:t>代码</w:t>
                  </w:r>
                </w:p>
              </w:tc>
              <w:tc>
                <w:tcPr>
                  <w:tcW w:w="1438" w:type="pct"/>
                  <w:noWrap w:val="0"/>
                  <w:vAlign w:val="center"/>
                </w:tcPr>
                <w:p w14:paraId="2F37A5F9">
                  <w:pPr>
                    <w:pStyle w:val="29"/>
                    <w:spacing w:line="24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处理方式</w:t>
                  </w:r>
                </w:p>
              </w:tc>
            </w:tr>
            <w:tr w14:paraId="0C07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 w:type="pct"/>
                  <w:noWrap w:val="0"/>
                  <w:vAlign w:val="center"/>
                </w:tcPr>
                <w:p w14:paraId="4553401E">
                  <w:pPr>
                    <w:pStyle w:val="29"/>
                    <w:spacing w:line="240" w:lineRule="auto"/>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1</w:t>
                  </w:r>
                </w:p>
              </w:tc>
              <w:tc>
                <w:tcPr>
                  <w:tcW w:w="1220" w:type="pct"/>
                  <w:noWrap w:val="0"/>
                  <w:vAlign w:val="center"/>
                </w:tcPr>
                <w:p w14:paraId="262C65AE">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其他不可利用固体废物</w:t>
                  </w:r>
                </w:p>
              </w:tc>
              <w:tc>
                <w:tcPr>
                  <w:tcW w:w="554" w:type="pct"/>
                  <w:noWrap w:val="0"/>
                  <w:vAlign w:val="center"/>
                </w:tcPr>
                <w:p w14:paraId="22F20CF1">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726</w:t>
                  </w:r>
                </w:p>
              </w:tc>
              <w:tc>
                <w:tcPr>
                  <w:tcW w:w="721" w:type="pct"/>
                  <w:noWrap w:val="0"/>
                  <w:vAlign w:val="center"/>
                </w:tcPr>
                <w:p w14:paraId="09B50E50">
                  <w:pPr>
                    <w:pStyle w:val="29"/>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一般固废</w:t>
                  </w:r>
                </w:p>
              </w:tc>
              <w:tc>
                <w:tcPr>
                  <w:tcW w:w="781" w:type="pct"/>
                  <w:noWrap w:val="0"/>
                  <w:vAlign w:val="center"/>
                </w:tcPr>
                <w:p w14:paraId="74503E5D">
                  <w:pPr>
                    <w:jc w:val="center"/>
                    <w:rPr>
                      <w:rFonts w:hint="default" w:eastAsia="宋体"/>
                      <w:b w:val="0"/>
                      <w:bCs w:val="0"/>
                      <w:szCs w:val="21"/>
                      <w:lang w:val="en-US" w:eastAsia="zh-CN"/>
                    </w:rPr>
                  </w:pPr>
                  <w:r>
                    <w:rPr>
                      <w:rFonts w:hint="eastAsia"/>
                      <w:color w:val="auto"/>
                      <w:lang w:val="en-US" w:eastAsia="zh-CN"/>
                    </w:rPr>
                    <w:t>421-999-99</w:t>
                  </w:r>
                </w:p>
              </w:tc>
              <w:tc>
                <w:tcPr>
                  <w:tcW w:w="1438" w:type="pct"/>
                  <w:vMerge w:val="restart"/>
                  <w:noWrap w:val="0"/>
                  <w:vAlign w:val="center"/>
                </w:tcPr>
                <w:p w14:paraId="73B402DB">
                  <w:pPr>
                    <w:pStyle w:val="20"/>
                    <w:spacing w:before="0" w:beforeAutospacing="0" w:after="0" w:afterAutospacing="0" w:line="240" w:lineRule="auto"/>
                    <w:jc w:val="center"/>
                    <w:outlineLvl w:val="0"/>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rPr>
                    <w:t>暂存一般固废暂存库，</w:t>
                  </w:r>
                  <w:r>
                    <w:rPr>
                      <w:rFonts w:hint="eastAsia" w:ascii="Times New Roman" w:hAnsi="Times New Roman" w:cs="Times New Roman"/>
                      <w:b w:val="0"/>
                      <w:bCs w:val="0"/>
                      <w:sz w:val="21"/>
                      <w:szCs w:val="21"/>
                      <w:lang w:val="en-US" w:eastAsia="zh-CN"/>
                    </w:rPr>
                    <w:t>定期外售物资回收公司回收利用</w:t>
                  </w:r>
                </w:p>
              </w:tc>
            </w:tr>
            <w:tr w14:paraId="4422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 w:type="pct"/>
                  <w:noWrap w:val="0"/>
                  <w:vAlign w:val="center"/>
                </w:tcPr>
                <w:p w14:paraId="368AD1C2">
                  <w:pPr>
                    <w:pStyle w:val="29"/>
                    <w:spacing w:line="240" w:lineRule="auto"/>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2</w:t>
                  </w:r>
                </w:p>
              </w:tc>
              <w:tc>
                <w:tcPr>
                  <w:tcW w:w="1220" w:type="pct"/>
                  <w:noWrap w:val="0"/>
                  <w:vAlign w:val="center"/>
                </w:tcPr>
                <w:p w14:paraId="74EA1142">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废动力蓄电池</w:t>
                  </w:r>
                </w:p>
              </w:tc>
              <w:tc>
                <w:tcPr>
                  <w:tcW w:w="554" w:type="pct"/>
                  <w:noWrap w:val="0"/>
                  <w:vAlign w:val="center"/>
                </w:tcPr>
                <w:p w14:paraId="1E12E9CD">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1240</w:t>
                  </w:r>
                </w:p>
              </w:tc>
              <w:tc>
                <w:tcPr>
                  <w:tcW w:w="721" w:type="pct"/>
                  <w:noWrap w:val="0"/>
                  <w:vAlign w:val="center"/>
                </w:tcPr>
                <w:p w14:paraId="7B47482E">
                  <w:pPr>
                    <w:pStyle w:val="29"/>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一般固废</w:t>
                  </w:r>
                </w:p>
              </w:tc>
              <w:tc>
                <w:tcPr>
                  <w:tcW w:w="781" w:type="pct"/>
                  <w:noWrap w:val="0"/>
                  <w:vAlign w:val="center"/>
                </w:tcPr>
                <w:p w14:paraId="10A76F7E">
                  <w:pPr>
                    <w:jc w:val="center"/>
                    <w:rPr>
                      <w:rFonts w:hint="default"/>
                      <w:b w:val="0"/>
                      <w:bCs w:val="0"/>
                      <w:szCs w:val="21"/>
                      <w:lang w:val="en-US" w:eastAsia="zh-CN"/>
                    </w:rPr>
                  </w:pPr>
                  <w:r>
                    <w:rPr>
                      <w:rFonts w:hint="eastAsia"/>
                      <w:color w:val="auto"/>
                      <w:lang w:val="en-US" w:eastAsia="zh-CN"/>
                    </w:rPr>
                    <w:t>421-999-13</w:t>
                  </w:r>
                </w:p>
              </w:tc>
              <w:tc>
                <w:tcPr>
                  <w:tcW w:w="1438" w:type="pct"/>
                  <w:vMerge w:val="continue"/>
                  <w:noWrap w:val="0"/>
                  <w:vAlign w:val="center"/>
                </w:tcPr>
                <w:p w14:paraId="6808D488">
                  <w:pPr>
                    <w:pStyle w:val="20"/>
                    <w:spacing w:before="0" w:beforeAutospacing="0" w:after="0" w:afterAutospacing="0" w:line="240" w:lineRule="auto"/>
                    <w:jc w:val="center"/>
                    <w:outlineLvl w:val="0"/>
                    <w:rPr>
                      <w:rFonts w:hint="eastAsia" w:ascii="Times New Roman" w:hAnsi="Times New Roman" w:eastAsia="宋体" w:cs="Times New Roman"/>
                      <w:b w:val="0"/>
                      <w:bCs w:val="0"/>
                      <w:sz w:val="21"/>
                      <w:szCs w:val="21"/>
                    </w:rPr>
                  </w:pPr>
                </w:p>
              </w:tc>
            </w:tr>
            <w:tr w14:paraId="16D4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 w:type="pct"/>
                  <w:noWrap w:val="0"/>
                  <w:vAlign w:val="center"/>
                </w:tcPr>
                <w:p w14:paraId="41C59086">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3</w:t>
                  </w:r>
                </w:p>
              </w:tc>
              <w:tc>
                <w:tcPr>
                  <w:tcW w:w="1220" w:type="pct"/>
                  <w:noWrap w:val="0"/>
                  <w:vAlign w:val="center"/>
                </w:tcPr>
                <w:p w14:paraId="3D30108B">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除尘器收集的粉尘</w:t>
                  </w:r>
                </w:p>
              </w:tc>
              <w:tc>
                <w:tcPr>
                  <w:tcW w:w="554" w:type="pct"/>
                  <w:noWrap w:val="0"/>
                  <w:vAlign w:val="center"/>
                </w:tcPr>
                <w:p w14:paraId="128B35C1">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2.029</w:t>
                  </w:r>
                </w:p>
              </w:tc>
              <w:tc>
                <w:tcPr>
                  <w:tcW w:w="721" w:type="pct"/>
                  <w:noWrap w:val="0"/>
                  <w:vAlign w:val="center"/>
                </w:tcPr>
                <w:p w14:paraId="15EB1DAC">
                  <w:pPr>
                    <w:pStyle w:val="29"/>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一般固废</w:t>
                  </w:r>
                </w:p>
              </w:tc>
              <w:tc>
                <w:tcPr>
                  <w:tcW w:w="781" w:type="pct"/>
                  <w:noWrap w:val="0"/>
                  <w:vAlign w:val="center"/>
                </w:tcPr>
                <w:p w14:paraId="1974F237">
                  <w:pPr>
                    <w:jc w:val="center"/>
                    <w:rPr>
                      <w:rFonts w:hint="default"/>
                      <w:color w:val="auto"/>
                      <w:lang w:val="en-US" w:eastAsia="zh-CN"/>
                    </w:rPr>
                  </w:pPr>
                  <w:r>
                    <w:rPr>
                      <w:rFonts w:hint="eastAsia"/>
                      <w:color w:val="auto"/>
                      <w:lang w:val="en-US" w:eastAsia="zh-CN"/>
                    </w:rPr>
                    <w:t>900-999-99</w:t>
                  </w:r>
                </w:p>
              </w:tc>
              <w:tc>
                <w:tcPr>
                  <w:tcW w:w="1438" w:type="pct"/>
                  <w:vMerge w:val="continue"/>
                  <w:noWrap w:val="0"/>
                  <w:vAlign w:val="center"/>
                </w:tcPr>
                <w:p w14:paraId="4CF1B04C">
                  <w:pPr>
                    <w:pStyle w:val="20"/>
                    <w:spacing w:before="0" w:beforeAutospacing="0" w:after="0" w:afterAutospacing="0" w:line="240" w:lineRule="auto"/>
                    <w:jc w:val="center"/>
                    <w:outlineLvl w:val="0"/>
                    <w:rPr>
                      <w:rFonts w:hint="eastAsia" w:ascii="Times New Roman" w:hAnsi="Times New Roman" w:eastAsia="宋体" w:cs="Times New Roman"/>
                      <w:b w:val="0"/>
                      <w:bCs w:val="0"/>
                      <w:sz w:val="21"/>
                      <w:szCs w:val="21"/>
                    </w:rPr>
                  </w:pPr>
                </w:p>
              </w:tc>
            </w:tr>
            <w:tr w14:paraId="16F9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451" w:type="dxa"/>
                  <w:noWrap w:val="0"/>
                  <w:vAlign w:val="center"/>
                </w:tcPr>
                <w:p w14:paraId="51156A23">
                  <w:pPr>
                    <w:pStyle w:val="29"/>
                    <w:spacing w:line="240" w:lineRule="auto"/>
                    <w:jc w:val="center"/>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val="en-US" w:eastAsia="zh-CN"/>
                    </w:rPr>
                    <w:t>4</w:t>
                  </w:r>
                </w:p>
              </w:tc>
              <w:tc>
                <w:tcPr>
                  <w:tcW w:w="1220" w:type="pct"/>
                  <w:noWrap w:val="0"/>
                  <w:vAlign w:val="center"/>
                </w:tcPr>
                <w:p w14:paraId="3526D58C">
                  <w:pPr>
                    <w:jc w:val="center"/>
                    <w:rPr>
                      <w:rFonts w:hint="eastAsia" w:ascii="Times New Roman" w:hAnsi="Times New Roman" w:eastAsia="宋体" w:cs="Times New Roman"/>
                      <w:b w:val="0"/>
                      <w:bCs w:val="0"/>
                      <w:sz w:val="21"/>
                      <w:szCs w:val="21"/>
                      <w:lang w:val="en-US" w:eastAsia="zh-CN"/>
                    </w:rPr>
                  </w:pPr>
                  <w:r>
                    <w:rPr>
                      <w:rFonts w:hint="eastAsia"/>
                      <w:color w:val="auto"/>
                      <w:lang w:val="en-US" w:eastAsia="zh-CN"/>
                    </w:rPr>
                    <w:t>废燃料油</w:t>
                  </w:r>
                </w:p>
              </w:tc>
              <w:tc>
                <w:tcPr>
                  <w:tcW w:w="554" w:type="pct"/>
                  <w:noWrap w:val="0"/>
                  <w:vAlign w:val="center"/>
                </w:tcPr>
                <w:p w14:paraId="2A377FE9">
                  <w:pPr>
                    <w:jc w:val="center"/>
                    <w:rPr>
                      <w:rFonts w:hint="default" w:eastAsia="宋体"/>
                      <w:b w:val="0"/>
                      <w:bCs w:val="0"/>
                      <w:szCs w:val="21"/>
                      <w:lang w:val="en-US" w:eastAsia="zh-CN"/>
                    </w:rPr>
                  </w:pPr>
                  <w:r>
                    <w:rPr>
                      <w:rFonts w:hint="eastAsia"/>
                      <w:color w:val="auto"/>
                      <w:lang w:val="en-US" w:eastAsia="zh-CN"/>
                    </w:rPr>
                    <w:t>11.4</w:t>
                  </w:r>
                </w:p>
              </w:tc>
              <w:tc>
                <w:tcPr>
                  <w:tcW w:w="721" w:type="pct"/>
                  <w:noWrap w:val="0"/>
                  <w:vAlign w:val="center"/>
                </w:tcPr>
                <w:p w14:paraId="0D8D57B8">
                  <w:pPr>
                    <w:spacing w:line="240" w:lineRule="auto"/>
                    <w:jc w:val="center"/>
                    <w:rPr>
                      <w:rFonts w:hint="default" w:eastAsia="宋体"/>
                      <w:b w:val="0"/>
                      <w:bCs w:val="0"/>
                      <w:szCs w:val="21"/>
                      <w:lang w:val="en-US" w:eastAsia="zh-CN"/>
                    </w:rPr>
                  </w:pPr>
                  <w:r>
                    <w:rPr>
                      <w:rFonts w:hint="eastAsia"/>
                      <w:b w:val="0"/>
                      <w:bCs w:val="0"/>
                      <w:szCs w:val="21"/>
                      <w:lang w:val="en-US" w:eastAsia="zh-CN"/>
                    </w:rPr>
                    <w:t>危险废物</w:t>
                  </w:r>
                </w:p>
              </w:tc>
              <w:tc>
                <w:tcPr>
                  <w:tcW w:w="781" w:type="pct"/>
                  <w:noWrap w:val="0"/>
                  <w:vAlign w:val="center"/>
                </w:tcPr>
                <w:p w14:paraId="4F0AE275">
                  <w:pPr>
                    <w:jc w:val="center"/>
                    <w:rPr>
                      <w:rFonts w:hint="default" w:eastAsia="宋体"/>
                      <w:b w:val="0"/>
                      <w:bCs w:val="0"/>
                      <w:szCs w:val="21"/>
                      <w:lang w:val="en-US" w:eastAsia="zh-CN"/>
                    </w:rPr>
                  </w:pPr>
                  <w:r>
                    <w:rPr>
                      <w:rFonts w:hint="eastAsia"/>
                      <w:color w:val="auto"/>
                      <w:lang w:val="en-US" w:eastAsia="zh-CN"/>
                    </w:rPr>
                    <w:t>900-199-08</w:t>
                  </w:r>
                </w:p>
              </w:tc>
              <w:tc>
                <w:tcPr>
                  <w:tcW w:w="1438" w:type="pct"/>
                  <w:vMerge w:val="restart"/>
                  <w:noWrap w:val="0"/>
                  <w:vAlign w:val="center"/>
                </w:tcPr>
                <w:p w14:paraId="61B00A36">
                  <w:pPr>
                    <w:pStyle w:val="29"/>
                    <w:spacing w:line="240" w:lineRule="auto"/>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暂存</w:t>
                  </w:r>
                  <w:r>
                    <w:rPr>
                      <w:rFonts w:hint="eastAsia" w:ascii="Times New Roman" w:hAnsi="Times New Roman" w:eastAsia="宋体" w:cs="Times New Roman"/>
                      <w:b w:val="0"/>
                      <w:bCs w:val="0"/>
                      <w:sz w:val="21"/>
                      <w:szCs w:val="21"/>
                      <w:lang w:val="en-US" w:eastAsia="zh-CN"/>
                    </w:rPr>
                    <w:t>危废</w:t>
                  </w:r>
                  <w:r>
                    <w:rPr>
                      <w:rFonts w:hint="eastAsia" w:ascii="Times New Roman" w:hAnsi="Times New Roman" w:eastAsia="宋体" w:cs="Times New Roman"/>
                      <w:b w:val="0"/>
                      <w:bCs w:val="0"/>
                      <w:sz w:val="21"/>
                      <w:szCs w:val="21"/>
                    </w:rPr>
                    <w:t>暂存库，定期</w:t>
                  </w:r>
                  <w:r>
                    <w:rPr>
                      <w:rFonts w:hint="eastAsia" w:ascii="Times New Roman" w:hAnsi="Times New Roman" w:eastAsia="宋体" w:cs="Times New Roman"/>
                      <w:b w:val="0"/>
                      <w:bCs w:val="0"/>
                      <w:sz w:val="21"/>
                      <w:szCs w:val="21"/>
                      <w:lang w:val="en-US" w:eastAsia="zh-CN"/>
                    </w:rPr>
                    <w:t>交有资质单位处置</w:t>
                  </w:r>
                </w:p>
              </w:tc>
            </w:tr>
            <w:tr w14:paraId="250A3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51" w:type="dxa"/>
                  <w:noWrap w:val="0"/>
                  <w:vAlign w:val="center"/>
                </w:tcPr>
                <w:p w14:paraId="2C2D72A3">
                  <w:pPr>
                    <w:pStyle w:val="29"/>
                    <w:spacing w:line="240" w:lineRule="auto"/>
                    <w:jc w:val="center"/>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val="en-US" w:eastAsia="zh-CN"/>
                    </w:rPr>
                    <w:t>5</w:t>
                  </w:r>
                </w:p>
              </w:tc>
              <w:tc>
                <w:tcPr>
                  <w:tcW w:w="1220" w:type="pct"/>
                  <w:noWrap w:val="0"/>
                  <w:vAlign w:val="center"/>
                </w:tcPr>
                <w:p w14:paraId="053A2E2E">
                  <w:pPr>
                    <w:jc w:val="center"/>
                    <w:rPr>
                      <w:rFonts w:hint="eastAsia" w:ascii="Times New Roman" w:hAnsi="Times New Roman" w:eastAsia="宋体" w:cs="Times New Roman"/>
                      <w:b w:val="0"/>
                      <w:bCs w:val="0"/>
                      <w:color w:val="000000"/>
                      <w:sz w:val="21"/>
                      <w:szCs w:val="21"/>
                      <w:lang w:val="en-US" w:eastAsia="zh-CN" w:bidi="ar-SA"/>
                    </w:rPr>
                  </w:pPr>
                  <w:r>
                    <w:rPr>
                      <w:rFonts w:hint="eastAsia"/>
                      <w:color w:val="auto"/>
                      <w:lang w:val="en-US" w:eastAsia="zh-CN"/>
                    </w:rPr>
                    <w:t>非燃料类废油液</w:t>
                  </w:r>
                </w:p>
              </w:tc>
              <w:tc>
                <w:tcPr>
                  <w:tcW w:w="554" w:type="pct"/>
                  <w:noWrap w:val="0"/>
                  <w:vAlign w:val="center"/>
                </w:tcPr>
                <w:p w14:paraId="51C86FA9">
                  <w:pPr>
                    <w:jc w:val="center"/>
                    <w:rPr>
                      <w:rFonts w:hint="default" w:eastAsia="宋体"/>
                      <w:b w:val="0"/>
                      <w:bCs w:val="0"/>
                      <w:kern w:val="2"/>
                      <w:sz w:val="21"/>
                      <w:szCs w:val="21"/>
                      <w:lang w:val="en-US" w:eastAsia="zh-CN" w:bidi="ar-SA"/>
                    </w:rPr>
                  </w:pPr>
                  <w:r>
                    <w:rPr>
                      <w:rFonts w:hint="eastAsia"/>
                      <w:color w:val="auto"/>
                      <w:lang w:val="en-US" w:eastAsia="zh-CN"/>
                    </w:rPr>
                    <w:t>31.95</w:t>
                  </w:r>
                </w:p>
              </w:tc>
              <w:tc>
                <w:tcPr>
                  <w:tcW w:w="721" w:type="pct"/>
                  <w:noWrap w:val="0"/>
                  <w:vAlign w:val="center"/>
                </w:tcPr>
                <w:p w14:paraId="0243C92A">
                  <w:pPr>
                    <w:spacing w:line="240" w:lineRule="auto"/>
                    <w:jc w:val="center"/>
                    <w:rPr>
                      <w:b w:val="0"/>
                      <w:bCs w:val="0"/>
                      <w:kern w:val="2"/>
                      <w:sz w:val="21"/>
                      <w:szCs w:val="21"/>
                      <w:lang w:val="en-US" w:eastAsia="zh-CN" w:bidi="ar-SA"/>
                    </w:rPr>
                  </w:pPr>
                  <w:r>
                    <w:rPr>
                      <w:rFonts w:hint="eastAsia"/>
                      <w:b w:val="0"/>
                      <w:bCs w:val="0"/>
                      <w:szCs w:val="21"/>
                      <w:lang w:val="en-US" w:eastAsia="zh-CN"/>
                    </w:rPr>
                    <w:t>危险废物</w:t>
                  </w:r>
                </w:p>
              </w:tc>
              <w:tc>
                <w:tcPr>
                  <w:tcW w:w="781" w:type="pct"/>
                  <w:noWrap w:val="0"/>
                  <w:vAlign w:val="center"/>
                </w:tcPr>
                <w:p w14:paraId="03C4B8E2">
                  <w:pPr>
                    <w:jc w:val="center"/>
                    <w:rPr>
                      <w:rFonts w:hint="default" w:eastAsia="宋体"/>
                      <w:b w:val="0"/>
                      <w:bCs w:val="0"/>
                      <w:kern w:val="2"/>
                      <w:sz w:val="21"/>
                      <w:szCs w:val="21"/>
                      <w:lang w:val="en-US" w:eastAsia="zh-CN" w:bidi="ar-SA"/>
                    </w:rPr>
                  </w:pPr>
                  <w:r>
                    <w:rPr>
                      <w:rFonts w:hint="eastAsia"/>
                      <w:color w:val="auto"/>
                      <w:lang w:val="en-US" w:eastAsia="zh-CN"/>
                    </w:rPr>
                    <w:t>900-214-08</w:t>
                  </w:r>
                </w:p>
              </w:tc>
              <w:tc>
                <w:tcPr>
                  <w:tcW w:w="1438" w:type="pct"/>
                  <w:vMerge w:val="continue"/>
                  <w:noWrap w:val="0"/>
                  <w:vAlign w:val="center"/>
                </w:tcPr>
                <w:p w14:paraId="42178283">
                  <w:pPr>
                    <w:pStyle w:val="29"/>
                    <w:spacing w:line="240" w:lineRule="auto"/>
                    <w:jc w:val="center"/>
                    <w:rPr>
                      <w:rFonts w:ascii="Times New Roman" w:hAnsi="Times New Roman" w:eastAsia="宋体" w:cs="Times New Roman"/>
                      <w:b w:val="0"/>
                      <w:bCs w:val="0"/>
                      <w:sz w:val="21"/>
                      <w:szCs w:val="21"/>
                    </w:rPr>
                  </w:pPr>
                </w:p>
              </w:tc>
            </w:tr>
            <w:tr w14:paraId="2CB1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451" w:type="dxa"/>
                  <w:noWrap w:val="0"/>
                  <w:vAlign w:val="center"/>
                </w:tcPr>
                <w:p w14:paraId="6F1C283C">
                  <w:pPr>
                    <w:pStyle w:val="29"/>
                    <w:spacing w:line="240" w:lineRule="auto"/>
                    <w:jc w:val="center"/>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val="en-US" w:eastAsia="zh-CN"/>
                    </w:rPr>
                    <w:t>6</w:t>
                  </w:r>
                </w:p>
              </w:tc>
              <w:tc>
                <w:tcPr>
                  <w:tcW w:w="1220" w:type="pct"/>
                  <w:noWrap w:val="0"/>
                  <w:vAlign w:val="center"/>
                </w:tcPr>
                <w:p w14:paraId="4CD38203">
                  <w:pPr>
                    <w:jc w:val="center"/>
                    <w:rPr>
                      <w:rFonts w:hint="default" w:ascii="Times New Roman" w:hAnsi="Times New Roman" w:eastAsia="宋体" w:cs="Times New Roman"/>
                      <w:b w:val="0"/>
                      <w:bCs w:val="0"/>
                      <w:color w:val="000000"/>
                      <w:sz w:val="21"/>
                      <w:szCs w:val="21"/>
                      <w:lang w:val="en-US" w:eastAsia="zh-CN" w:bidi="ar-SA"/>
                    </w:rPr>
                  </w:pPr>
                  <w:r>
                    <w:rPr>
                      <w:rFonts w:hint="eastAsia"/>
                      <w:color w:val="auto"/>
                      <w:lang w:val="en-US" w:eastAsia="zh-CN"/>
                    </w:rPr>
                    <w:t>废防冻冷却液、废挡风玻璃清洗剂</w:t>
                  </w:r>
                </w:p>
              </w:tc>
              <w:tc>
                <w:tcPr>
                  <w:tcW w:w="554" w:type="pct"/>
                  <w:noWrap w:val="0"/>
                  <w:vAlign w:val="center"/>
                </w:tcPr>
                <w:p w14:paraId="4C66EFCC">
                  <w:pPr>
                    <w:jc w:val="center"/>
                    <w:rPr>
                      <w:rFonts w:hint="default" w:eastAsia="宋体"/>
                      <w:b w:val="0"/>
                      <w:bCs w:val="0"/>
                      <w:kern w:val="2"/>
                      <w:sz w:val="21"/>
                      <w:szCs w:val="21"/>
                      <w:lang w:val="en-US" w:eastAsia="zh-CN" w:bidi="ar-SA"/>
                    </w:rPr>
                  </w:pPr>
                  <w:r>
                    <w:rPr>
                      <w:rFonts w:hint="eastAsia"/>
                      <w:color w:val="auto"/>
                      <w:lang w:val="en-US" w:eastAsia="zh-CN"/>
                    </w:rPr>
                    <w:t>76.85</w:t>
                  </w:r>
                </w:p>
              </w:tc>
              <w:tc>
                <w:tcPr>
                  <w:tcW w:w="721" w:type="pct"/>
                  <w:noWrap w:val="0"/>
                  <w:vAlign w:val="center"/>
                </w:tcPr>
                <w:p w14:paraId="39A25457">
                  <w:pPr>
                    <w:spacing w:line="240" w:lineRule="auto"/>
                    <w:jc w:val="center"/>
                    <w:rPr>
                      <w:b w:val="0"/>
                      <w:bCs w:val="0"/>
                      <w:kern w:val="2"/>
                      <w:sz w:val="21"/>
                      <w:szCs w:val="21"/>
                      <w:lang w:val="en-US" w:eastAsia="zh-CN" w:bidi="ar-SA"/>
                    </w:rPr>
                  </w:pPr>
                  <w:r>
                    <w:rPr>
                      <w:rFonts w:hint="eastAsia"/>
                      <w:b w:val="0"/>
                      <w:bCs w:val="0"/>
                      <w:szCs w:val="21"/>
                      <w:lang w:val="en-US" w:eastAsia="zh-CN"/>
                    </w:rPr>
                    <w:t>危险废物</w:t>
                  </w:r>
                </w:p>
              </w:tc>
              <w:tc>
                <w:tcPr>
                  <w:tcW w:w="781" w:type="pct"/>
                  <w:noWrap w:val="0"/>
                  <w:vAlign w:val="center"/>
                </w:tcPr>
                <w:p w14:paraId="53C34AC6">
                  <w:pPr>
                    <w:jc w:val="center"/>
                    <w:rPr>
                      <w:rFonts w:hint="default"/>
                      <w:b w:val="0"/>
                      <w:bCs w:val="0"/>
                      <w:kern w:val="2"/>
                      <w:sz w:val="21"/>
                      <w:szCs w:val="21"/>
                      <w:lang w:val="en-US" w:eastAsia="zh-CN" w:bidi="ar-SA"/>
                    </w:rPr>
                  </w:pPr>
                  <w:r>
                    <w:rPr>
                      <w:rFonts w:hint="eastAsia"/>
                      <w:color w:val="auto"/>
                      <w:lang w:val="en-US" w:eastAsia="zh-CN"/>
                    </w:rPr>
                    <w:t>900-402-06</w:t>
                  </w:r>
                </w:p>
              </w:tc>
              <w:tc>
                <w:tcPr>
                  <w:tcW w:w="1438" w:type="pct"/>
                  <w:vMerge w:val="continue"/>
                  <w:noWrap w:val="0"/>
                  <w:vAlign w:val="center"/>
                </w:tcPr>
                <w:p w14:paraId="0C5D3416">
                  <w:pPr>
                    <w:pStyle w:val="29"/>
                    <w:spacing w:line="240" w:lineRule="auto"/>
                    <w:jc w:val="center"/>
                    <w:rPr>
                      <w:rFonts w:ascii="Times New Roman" w:hAnsi="Times New Roman" w:eastAsia="宋体" w:cs="Times New Roman"/>
                      <w:b w:val="0"/>
                      <w:bCs w:val="0"/>
                      <w:sz w:val="21"/>
                      <w:szCs w:val="21"/>
                    </w:rPr>
                  </w:pPr>
                </w:p>
              </w:tc>
            </w:tr>
            <w:tr w14:paraId="6F8B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51" w:type="dxa"/>
                  <w:noWrap w:val="0"/>
                  <w:vAlign w:val="center"/>
                </w:tcPr>
                <w:p w14:paraId="2C65ED0A">
                  <w:pPr>
                    <w:pStyle w:val="29"/>
                    <w:spacing w:line="240" w:lineRule="auto"/>
                    <w:jc w:val="center"/>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val="en-US" w:eastAsia="zh-CN"/>
                    </w:rPr>
                    <w:t>7</w:t>
                  </w:r>
                </w:p>
              </w:tc>
              <w:tc>
                <w:tcPr>
                  <w:tcW w:w="1220" w:type="pct"/>
                  <w:noWrap w:val="0"/>
                  <w:vAlign w:val="center"/>
                </w:tcPr>
                <w:p w14:paraId="078E3135">
                  <w:pPr>
                    <w:jc w:val="center"/>
                    <w:rPr>
                      <w:rFonts w:hint="eastAsia" w:ascii="Times New Roman" w:hAnsi="Times New Roman" w:eastAsia="宋体" w:cs="Times New Roman"/>
                      <w:b w:val="0"/>
                      <w:bCs w:val="0"/>
                      <w:color w:val="000000"/>
                      <w:sz w:val="21"/>
                      <w:szCs w:val="21"/>
                      <w:lang w:val="en-US" w:eastAsia="zh-CN" w:bidi="ar-SA"/>
                    </w:rPr>
                  </w:pPr>
                  <w:r>
                    <w:rPr>
                      <w:rFonts w:hint="eastAsia"/>
                      <w:color w:val="auto"/>
                      <w:lang w:val="en-US" w:eastAsia="zh-CN"/>
                    </w:rPr>
                    <w:t>废铅酸蓄电池</w:t>
                  </w:r>
                </w:p>
              </w:tc>
              <w:tc>
                <w:tcPr>
                  <w:tcW w:w="554" w:type="pct"/>
                  <w:noWrap w:val="0"/>
                  <w:vAlign w:val="center"/>
                </w:tcPr>
                <w:p w14:paraId="7B9B1D70">
                  <w:pPr>
                    <w:jc w:val="center"/>
                    <w:rPr>
                      <w:rFonts w:hint="default" w:eastAsia="宋体"/>
                      <w:b w:val="0"/>
                      <w:bCs w:val="0"/>
                      <w:kern w:val="2"/>
                      <w:sz w:val="21"/>
                      <w:szCs w:val="21"/>
                      <w:lang w:val="en-US" w:eastAsia="zh-CN" w:bidi="ar-SA"/>
                    </w:rPr>
                  </w:pPr>
                  <w:r>
                    <w:rPr>
                      <w:rFonts w:hint="eastAsia"/>
                      <w:color w:val="auto"/>
                      <w:lang w:val="en-US" w:eastAsia="zh-CN"/>
                    </w:rPr>
                    <w:t>123.5</w:t>
                  </w:r>
                </w:p>
              </w:tc>
              <w:tc>
                <w:tcPr>
                  <w:tcW w:w="721" w:type="pct"/>
                  <w:noWrap w:val="0"/>
                  <w:vAlign w:val="center"/>
                </w:tcPr>
                <w:p w14:paraId="4689C3B8">
                  <w:pPr>
                    <w:spacing w:line="240" w:lineRule="auto"/>
                    <w:jc w:val="center"/>
                    <w:rPr>
                      <w:b w:val="0"/>
                      <w:bCs w:val="0"/>
                      <w:kern w:val="2"/>
                      <w:sz w:val="21"/>
                      <w:szCs w:val="21"/>
                      <w:lang w:val="en-US" w:eastAsia="zh-CN" w:bidi="ar-SA"/>
                    </w:rPr>
                  </w:pPr>
                  <w:r>
                    <w:rPr>
                      <w:rFonts w:hint="eastAsia"/>
                      <w:b w:val="0"/>
                      <w:bCs w:val="0"/>
                      <w:szCs w:val="21"/>
                      <w:lang w:val="en-US" w:eastAsia="zh-CN"/>
                    </w:rPr>
                    <w:t>危险废物</w:t>
                  </w:r>
                </w:p>
              </w:tc>
              <w:tc>
                <w:tcPr>
                  <w:tcW w:w="781" w:type="pct"/>
                  <w:noWrap w:val="0"/>
                  <w:vAlign w:val="center"/>
                </w:tcPr>
                <w:p w14:paraId="6033B715">
                  <w:pPr>
                    <w:jc w:val="center"/>
                    <w:rPr>
                      <w:rFonts w:hint="default" w:eastAsia="宋体"/>
                      <w:b w:val="0"/>
                      <w:bCs w:val="0"/>
                      <w:kern w:val="2"/>
                      <w:sz w:val="21"/>
                      <w:szCs w:val="21"/>
                      <w:lang w:val="en-US" w:eastAsia="zh-CN" w:bidi="ar-SA"/>
                    </w:rPr>
                  </w:pPr>
                  <w:r>
                    <w:rPr>
                      <w:rFonts w:hint="eastAsia"/>
                      <w:color w:val="auto"/>
                      <w:lang w:val="en-US" w:eastAsia="zh-CN"/>
                    </w:rPr>
                    <w:t>900-052-31</w:t>
                  </w:r>
                </w:p>
              </w:tc>
              <w:tc>
                <w:tcPr>
                  <w:tcW w:w="1438" w:type="pct"/>
                  <w:vMerge w:val="continue"/>
                  <w:noWrap w:val="0"/>
                  <w:vAlign w:val="center"/>
                </w:tcPr>
                <w:p w14:paraId="06EED378">
                  <w:pPr>
                    <w:pStyle w:val="29"/>
                    <w:spacing w:line="240" w:lineRule="auto"/>
                    <w:jc w:val="center"/>
                    <w:rPr>
                      <w:rFonts w:ascii="Times New Roman" w:hAnsi="Times New Roman" w:eastAsia="宋体" w:cs="Times New Roman"/>
                      <w:b w:val="0"/>
                      <w:bCs w:val="0"/>
                      <w:sz w:val="21"/>
                      <w:szCs w:val="21"/>
                    </w:rPr>
                  </w:pPr>
                </w:p>
              </w:tc>
            </w:tr>
            <w:tr w14:paraId="01BF5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51" w:type="dxa"/>
                  <w:noWrap w:val="0"/>
                  <w:vAlign w:val="center"/>
                </w:tcPr>
                <w:p w14:paraId="07E481CB">
                  <w:pPr>
                    <w:pStyle w:val="29"/>
                    <w:spacing w:line="240" w:lineRule="auto"/>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8</w:t>
                  </w:r>
                </w:p>
              </w:tc>
              <w:tc>
                <w:tcPr>
                  <w:tcW w:w="1220" w:type="pct"/>
                  <w:noWrap w:val="0"/>
                  <w:vAlign w:val="center"/>
                </w:tcPr>
                <w:p w14:paraId="5E6CACFB">
                  <w:pPr>
                    <w:jc w:val="center"/>
                    <w:rPr>
                      <w:rFonts w:hint="default" w:ascii="Times New Roman" w:hAnsi="Times New Roman" w:eastAsia="宋体" w:cs="Times New Roman"/>
                      <w:b w:val="0"/>
                      <w:bCs w:val="0"/>
                      <w:sz w:val="21"/>
                      <w:szCs w:val="21"/>
                      <w:lang w:val="en-US" w:eastAsia="zh-CN"/>
                    </w:rPr>
                  </w:pPr>
                  <w:r>
                    <w:rPr>
                      <w:rFonts w:hint="eastAsia"/>
                      <w:color w:val="auto"/>
                      <w:lang w:val="en-US" w:eastAsia="zh-CN"/>
                    </w:rPr>
                    <w:t>废制冷剂</w:t>
                  </w:r>
                </w:p>
              </w:tc>
              <w:tc>
                <w:tcPr>
                  <w:tcW w:w="554" w:type="pct"/>
                  <w:noWrap w:val="0"/>
                  <w:vAlign w:val="center"/>
                </w:tcPr>
                <w:p w14:paraId="05846BDC">
                  <w:pPr>
                    <w:jc w:val="center"/>
                    <w:rPr>
                      <w:rFonts w:hint="default" w:eastAsia="宋体"/>
                      <w:b w:val="0"/>
                      <w:bCs w:val="0"/>
                      <w:lang w:val="en-US" w:eastAsia="zh-CN"/>
                    </w:rPr>
                  </w:pPr>
                  <w:r>
                    <w:rPr>
                      <w:rFonts w:hint="eastAsia"/>
                      <w:color w:val="auto"/>
                      <w:lang w:val="en-US" w:eastAsia="zh-CN"/>
                    </w:rPr>
                    <w:t>3.05</w:t>
                  </w:r>
                </w:p>
              </w:tc>
              <w:tc>
                <w:tcPr>
                  <w:tcW w:w="721" w:type="pct"/>
                  <w:noWrap w:val="0"/>
                  <w:vAlign w:val="center"/>
                </w:tcPr>
                <w:p w14:paraId="217B8714">
                  <w:pPr>
                    <w:spacing w:line="240" w:lineRule="auto"/>
                    <w:jc w:val="center"/>
                    <w:rPr>
                      <w:rFonts w:hint="default" w:eastAsia="宋体"/>
                      <w:b w:val="0"/>
                      <w:bCs w:val="0"/>
                      <w:szCs w:val="21"/>
                      <w:lang w:val="en-US" w:eastAsia="zh-CN"/>
                    </w:rPr>
                  </w:pPr>
                  <w:r>
                    <w:rPr>
                      <w:rFonts w:hint="eastAsia"/>
                      <w:b w:val="0"/>
                      <w:bCs w:val="0"/>
                      <w:szCs w:val="21"/>
                      <w:lang w:val="en-US" w:eastAsia="zh-CN"/>
                    </w:rPr>
                    <w:t>危险废物</w:t>
                  </w:r>
                </w:p>
              </w:tc>
              <w:tc>
                <w:tcPr>
                  <w:tcW w:w="781" w:type="pct"/>
                  <w:noWrap w:val="0"/>
                  <w:vAlign w:val="center"/>
                </w:tcPr>
                <w:p w14:paraId="51BC402B">
                  <w:pPr>
                    <w:jc w:val="center"/>
                    <w:rPr>
                      <w:rFonts w:hint="default" w:eastAsia="宋体"/>
                      <w:b w:val="0"/>
                      <w:bCs w:val="0"/>
                      <w:lang w:val="en-US" w:eastAsia="zh-CN"/>
                    </w:rPr>
                  </w:pPr>
                  <w:r>
                    <w:rPr>
                      <w:rFonts w:hint="eastAsia"/>
                      <w:color w:val="auto"/>
                      <w:lang w:val="en-US" w:eastAsia="zh-CN"/>
                    </w:rPr>
                    <w:t>900-999-99</w:t>
                  </w:r>
                </w:p>
              </w:tc>
              <w:tc>
                <w:tcPr>
                  <w:tcW w:w="1438" w:type="pct"/>
                  <w:vMerge w:val="continue"/>
                  <w:noWrap w:val="0"/>
                  <w:vAlign w:val="center"/>
                </w:tcPr>
                <w:p w14:paraId="085E5EF5">
                  <w:pPr>
                    <w:pStyle w:val="29"/>
                    <w:spacing w:line="240" w:lineRule="auto"/>
                    <w:jc w:val="center"/>
                    <w:rPr>
                      <w:rFonts w:hint="eastAsia" w:ascii="Times New Roman" w:hAnsi="Times New Roman" w:eastAsia="宋体" w:cs="Times New Roman"/>
                      <w:b w:val="0"/>
                      <w:bCs w:val="0"/>
                      <w:sz w:val="21"/>
                      <w:szCs w:val="21"/>
                    </w:rPr>
                  </w:pPr>
                </w:p>
              </w:tc>
            </w:tr>
            <w:tr w14:paraId="1DF12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1" w:type="dxa"/>
                  <w:noWrap w:val="0"/>
                  <w:vAlign w:val="center"/>
                </w:tcPr>
                <w:p w14:paraId="622967C1">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9</w:t>
                  </w:r>
                </w:p>
              </w:tc>
              <w:tc>
                <w:tcPr>
                  <w:tcW w:w="1220" w:type="pct"/>
                  <w:noWrap w:val="0"/>
                  <w:vAlign w:val="center"/>
                </w:tcPr>
                <w:p w14:paraId="7D51B416">
                  <w:pPr>
                    <w:jc w:val="center"/>
                    <w:rPr>
                      <w:rFonts w:hint="default" w:ascii="Times New Roman" w:hAnsi="Times New Roman" w:eastAsia="宋体" w:cs="Times New Roman"/>
                      <w:b w:val="0"/>
                      <w:bCs w:val="0"/>
                      <w:sz w:val="21"/>
                      <w:szCs w:val="21"/>
                      <w:lang w:val="en-US" w:eastAsia="zh-CN"/>
                    </w:rPr>
                  </w:pPr>
                  <w:r>
                    <w:rPr>
                      <w:rFonts w:hint="eastAsia"/>
                      <w:color w:val="auto"/>
                      <w:lang w:val="en-US" w:eastAsia="zh-CN"/>
                    </w:rPr>
                    <w:t>废油箱</w:t>
                  </w:r>
                </w:p>
              </w:tc>
              <w:tc>
                <w:tcPr>
                  <w:tcW w:w="554" w:type="pct"/>
                  <w:noWrap w:val="0"/>
                  <w:vAlign w:val="center"/>
                </w:tcPr>
                <w:p w14:paraId="7E88F5A6">
                  <w:pPr>
                    <w:jc w:val="center"/>
                    <w:rPr>
                      <w:rFonts w:hint="default" w:eastAsia="宋体"/>
                      <w:b w:val="0"/>
                      <w:bCs w:val="0"/>
                      <w:szCs w:val="21"/>
                      <w:lang w:val="en-US" w:eastAsia="zh-CN"/>
                    </w:rPr>
                  </w:pPr>
                  <w:r>
                    <w:rPr>
                      <w:rFonts w:hint="eastAsia"/>
                      <w:color w:val="auto"/>
                      <w:lang w:val="en-US" w:eastAsia="zh-CN"/>
                    </w:rPr>
                    <w:t>685</w:t>
                  </w:r>
                </w:p>
              </w:tc>
              <w:tc>
                <w:tcPr>
                  <w:tcW w:w="721" w:type="pct"/>
                  <w:noWrap w:val="0"/>
                  <w:vAlign w:val="center"/>
                </w:tcPr>
                <w:p w14:paraId="771B3CE4">
                  <w:pPr>
                    <w:spacing w:line="240" w:lineRule="auto"/>
                    <w:jc w:val="center"/>
                    <w:rPr>
                      <w:b w:val="0"/>
                      <w:bCs w:val="0"/>
                      <w:szCs w:val="21"/>
                    </w:rPr>
                  </w:pPr>
                  <w:r>
                    <w:rPr>
                      <w:rFonts w:hint="eastAsia"/>
                      <w:b w:val="0"/>
                      <w:bCs w:val="0"/>
                      <w:szCs w:val="21"/>
                      <w:lang w:val="en-US" w:eastAsia="zh-CN"/>
                    </w:rPr>
                    <w:t>危险废物</w:t>
                  </w:r>
                </w:p>
              </w:tc>
              <w:tc>
                <w:tcPr>
                  <w:tcW w:w="781" w:type="pct"/>
                  <w:noWrap w:val="0"/>
                  <w:vAlign w:val="center"/>
                </w:tcPr>
                <w:p w14:paraId="20BA14C0">
                  <w:pPr>
                    <w:jc w:val="center"/>
                    <w:rPr>
                      <w:b w:val="0"/>
                      <w:bCs w:val="0"/>
                      <w:szCs w:val="21"/>
                    </w:rPr>
                  </w:pPr>
                  <w:r>
                    <w:rPr>
                      <w:rFonts w:hint="eastAsia"/>
                      <w:color w:val="auto"/>
                      <w:lang w:val="en-US" w:eastAsia="zh-CN"/>
                    </w:rPr>
                    <w:t>900-249-08</w:t>
                  </w:r>
                </w:p>
              </w:tc>
              <w:tc>
                <w:tcPr>
                  <w:tcW w:w="1438" w:type="pct"/>
                  <w:vMerge w:val="continue"/>
                  <w:noWrap w:val="0"/>
                  <w:vAlign w:val="center"/>
                </w:tcPr>
                <w:p w14:paraId="4A8AD2BE">
                  <w:pPr>
                    <w:pStyle w:val="29"/>
                    <w:spacing w:line="240" w:lineRule="auto"/>
                    <w:jc w:val="center"/>
                    <w:rPr>
                      <w:rFonts w:ascii="Times New Roman" w:hAnsi="Times New Roman" w:eastAsia="宋体" w:cs="Times New Roman"/>
                      <w:b w:val="0"/>
                      <w:bCs w:val="0"/>
                      <w:sz w:val="21"/>
                      <w:szCs w:val="21"/>
                    </w:rPr>
                  </w:pPr>
                </w:p>
              </w:tc>
            </w:tr>
            <w:tr w14:paraId="3485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1" w:type="dxa"/>
                  <w:noWrap w:val="0"/>
                  <w:vAlign w:val="center"/>
                </w:tcPr>
                <w:p w14:paraId="4834103A">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10</w:t>
                  </w:r>
                </w:p>
              </w:tc>
              <w:tc>
                <w:tcPr>
                  <w:tcW w:w="1220" w:type="pct"/>
                  <w:noWrap w:val="0"/>
                  <w:vAlign w:val="center"/>
                </w:tcPr>
                <w:p w14:paraId="2A95FF9E">
                  <w:pPr>
                    <w:jc w:val="center"/>
                    <w:rPr>
                      <w:rFonts w:hint="default" w:ascii="Times New Roman" w:hAnsi="Times New Roman" w:eastAsia="宋体" w:cs="Times New Roman"/>
                      <w:b w:val="0"/>
                      <w:bCs w:val="0"/>
                      <w:sz w:val="21"/>
                      <w:szCs w:val="21"/>
                      <w:lang w:val="en-US" w:eastAsia="zh-CN"/>
                    </w:rPr>
                  </w:pPr>
                  <w:r>
                    <w:rPr>
                      <w:rFonts w:hint="eastAsia"/>
                      <w:color w:val="auto"/>
                      <w:lang w:val="en-US" w:eastAsia="zh-CN"/>
                    </w:rPr>
                    <w:t>废液化气罐</w:t>
                  </w:r>
                </w:p>
              </w:tc>
              <w:tc>
                <w:tcPr>
                  <w:tcW w:w="554" w:type="pct"/>
                  <w:noWrap w:val="0"/>
                  <w:vAlign w:val="center"/>
                </w:tcPr>
                <w:p w14:paraId="4D9E36AF">
                  <w:pPr>
                    <w:jc w:val="center"/>
                    <w:rPr>
                      <w:rFonts w:hint="eastAsia"/>
                      <w:b w:val="0"/>
                      <w:bCs w:val="0"/>
                      <w:szCs w:val="21"/>
                      <w:lang w:val="en-US" w:eastAsia="zh-CN"/>
                    </w:rPr>
                  </w:pPr>
                  <w:r>
                    <w:rPr>
                      <w:rFonts w:hint="eastAsia"/>
                      <w:color w:val="auto"/>
                      <w:lang w:val="en-US" w:eastAsia="zh-CN"/>
                    </w:rPr>
                    <w:t>60</w:t>
                  </w:r>
                </w:p>
              </w:tc>
              <w:tc>
                <w:tcPr>
                  <w:tcW w:w="721" w:type="pct"/>
                  <w:noWrap w:val="0"/>
                  <w:vAlign w:val="center"/>
                </w:tcPr>
                <w:p w14:paraId="38F9B57C">
                  <w:pPr>
                    <w:spacing w:line="240" w:lineRule="auto"/>
                    <w:jc w:val="center"/>
                    <w:rPr>
                      <w:rFonts w:hint="eastAsia"/>
                      <w:b w:val="0"/>
                      <w:bCs w:val="0"/>
                      <w:szCs w:val="21"/>
                    </w:rPr>
                  </w:pPr>
                  <w:r>
                    <w:rPr>
                      <w:rFonts w:hint="eastAsia"/>
                      <w:b w:val="0"/>
                      <w:bCs w:val="0"/>
                      <w:szCs w:val="21"/>
                      <w:lang w:val="en-US" w:eastAsia="zh-CN"/>
                    </w:rPr>
                    <w:t>危险废物</w:t>
                  </w:r>
                </w:p>
              </w:tc>
              <w:tc>
                <w:tcPr>
                  <w:tcW w:w="781" w:type="pct"/>
                  <w:noWrap w:val="0"/>
                  <w:vAlign w:val="center"/>
                </w:tcPr>
                <w:p w14:paraId="0C290E77">
                  <w:pPr>
                    <w:jc w:val="center"/>
                    <w:rPr>
                      <w:b w:val="0"/>
                      <w:bCs w:val="0"/>
                    </w:rPr>
                  </w:pPr>
                  <w:r>
                    <w:rPr>
                      <w:rFonts w:hint="eastAsia"/>
                      <w:color w:val="auto"/>
                      <w:lang w:val="en-US" w:eastAsia="zh-CN"/>
                    </w:rPr>
                    <w:t>900-041-49</w:t>
                  </w:r>
                </w:p>
              </w:tc>
              <w:tc>
                <w:tcPr>
                  <w:tcW w:w="1438" w:type="pct"/>
                  <w:vMerge w:val="continue"/>
                  <w:noWrap w:val="0"/>
                  <w:vAlign w:val="center"/>
                </w:tcPr>
                <w:p w14:paraId="67B8BDB2">
                  <w:pPr>
                    <w:pStyle w:val="29"/>
                    <w:spacing w:line="240" w:lineRule="auto"/>
                    <w:jc w:val="center"/>
                    <w:rPr>
                      <w:rFonts w:ascii="Times New Roman" w:hAnsi="Times New Roman" w:eastAsia="宋体" w:cs="Times New Roman"/>
                      <w:b w:val="0"/>
                      <w:bCs w:val="0"/>
                      <w:sz w:val="21"/>
                      <w:szCs w:val="21"/>
                    </w:rPr>
                  </w:pPr>
                </w:p>
              </w:tc>
            </w:tr>
            <w:tr w14:paraId="08E1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1" w:type="dxa"/>
                  <w:noWrap w:val="0"/>
                  <w:vAlign w:val="center"/>
                </w:tcPr>
                <w:p w14:paraId="1FF45C5F">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11</w:t>
                  </w:r>
                </w:p>
              </w:tc>
              <w:tc>
                <w:tcPr>
                  <w:tcW w:w="1220" w:type="pct"/>
                  <w:noWrap w:val="0"/>
                  <w:vAlign w:val="center"/>
                </w:tcPr>
                <w:p w14:paraId="43CE35E2">
                  <w:pPr>
                    <w:jc w:val="center"/>
                    <w:rPr>
                      <w:rFonts w:hint="default" w:ascii="Times New Roman" w:hAnsi="Times New Roman" w:eastAsia="宋体" w:cs="Times New Roman"/>
                      <w:b w:val="0"/>
                      <w:bCs w:val="0"/>
                      <w:sz w:val="21"/>
                      <w:szCs w:val="21"/>
                      <w:lang w:val="en-US" w:eastAsia="zh-CN"/>
                    </w:rPr>
                  </w:pPr>
                  <w:r>
                    <w:rPr>
                      <w:rFonts w:hint="eastAsia"/>
                      <w:color w:val="auto"/>
                      <w:lang w:val="en-US" w:eastAsia="zh-CN"/>
                    </w:rPr>
                    <w:t>废机油、燃油滤清器</w:t>
                  </w:r>
                </w:p>
              </w:tc>
              <w:tc>
                <w:tcPr>
                  <w:tcW w:w="554" w:type="pct"/>
                  <w:noWrap w:val="0"/>
                  <w:vAlign w:val="center"/>
                </w:tcPr>
                <w:p w14:paraId="5E378C21">
                  <w:pPr>
                    <w:jc w:val="center"/>
                    <w:rPr>
                      <w:rFonts w:hint="eastAsia"/>
                      <w:b w:val="0"/>
                      <w:bCs w:val="0"/>
                      <w:szCs w:val="21"/>
                      <w:lang w:val="en-US" w:eastAsia="zh-CN"/>
                    </w:rPr>
                  </w:pPr>
                  <w:r>
                    <w:rPr>
                      <w:rFonts w:hint="eastAsia"/>
                      <w:color w:val="auto"/>
                      <w:lang w:val="en-US" w:eastAsia="zh-CN"/>
                    </w:rPr>
                    <w:t>11.4</w:t>
                  </w:r>
                </w:p>
              </w:tc>
              <w:tc>
                <w:tcPr>
                  <w:tcW w:w="721" w:type="pct"/>
                  <w:noWrap w:val="0"/>
                  <w:vAlign w:val="center"/>
                </w:tcPr>
                <w:p w14:paraId="57E994ED">
                  <w:pPr>
                    <w:spacing w:line="240" w:lineRule="auto"/>
                    <w:jc w:val="center"/>
                    <w:rPr>
                      <w:rFonts w:hint="eastAsia"/>
                      <w:b w:val="0"/>
                      <w:bCs w:val="0"/>
                      <w:szCs w:val="21"/>
                    </w:rPr>
                  </w:pPr>
                  <w:r>
                    <w:rPr>
                      <w:rFonts w:hint="eastAsia"/>
                      <w:b w:val="0"/>
                      <w:bCs w:val="0"/>
                      <w:szCs w:val="21"/>
                      <w:lang w:val="en-US" w:eastAsia="zh-CN"/>
                    </w:rPr>
                    <w:t>危险废物</w:t>
                  </w:r>
                </w:p>
              </w:tc>
              <w:tc>
                <w:tcPr>
                  <w:tcW w:w="781" w:type="pct"/>
                  <w:noWrap w:val="0"/>
                  <w:vAlign w:val="center"/>
                </w:tcPr>
                <w:p w14:paraId="43150B11">
                  <w:pPr>
                    <w:jc w:val="center"/>
                    <w:rPr>
                      <w:b w:val="0"/>
                      <w:bCs w:val="0"/>
                    </w:rPr>
                  </w:pPr>
                  <w:r>
                    <w:rPr>
                      <w:rFonts w:hint="eastAsia"/>
                      <w:color w:val="auto"/>
                      <w:lang w:val="en-US" w:eastAsia="zh-CN"/>
                    </w:rPr>
                    <w:t>900-249-08</w:t>
                  </w:r>
                </w:p>
              </w:tc>
              <w:tc>
                <w:tcPr>
                  <w:tcW w:w="1438" w:type="pct"/>
                  <w:vMerge w:val="continue"/>
                  <w:noWrap w:val="0"/>
                  <w:vAlign w:val="center"/>
                </w:tcPr>
                <w:p w14:paraId="0BFFC6C9">
                  <w:pPr>
                    <w:pStyle w:val="29"/>
                    <w:spacing w:line="240" w:lineRule="auto"/>
                    <w:jc w:val="center"/>
                    <w:rPr>
                      <w:rFonts w:ascii="Times New Roman" w:hAnsi="Times New Roman" w:eastAsia="宋体" w:cs="Times New Roman"/>
                      <w:b w:val="0"/>
                      <w:bCs w:val="0"/>
                      <w:sz w:val="21"/>
                      <w:szCs w:val="21"/>
                    </w:rPr>
                  </w:pPr>
                </w:p>
              </w:tc>
            </w:tr>
            <w:tr w14:paraId="02BB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1" w:type="dxa"/>
                  <w:noWrap w:val="0"/>
                  <w:vAlign w:val="center"/>
                </w:tcPr>
                <w:p w14:paraId="00B654AA">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12</w:t>
                  </w:r>
                </w:p>
              </w:tc>
              <w:tc>
                <w:tcPr>
                  <w:tcW w:w="1220" w:type="pct"/>
                  <w:noWrap w:val="0"/>
                  <w:vAlign w:val="center"/>
                </w:tcPr>
                <w:p w14:paraId="4BCA9BB4">
                  <w:pPr>
                    <w:jc w:val="center"/>
                    <w:rPr>
                      <w:rFonts w:hint="default" w:ascii="Times New Roman" w:hAnsi="Times New Roman" w:eastAsia="宋体" w:cs="Times New Roman"/>
                      <w:b w:val="0"/>
                      <w:bCs w:val="0"/>
                      <w:sz w:val="21"/>
                      <w:szCs w:val="21"/>
                      <w:lang w:val="en-US" w:eastAsia="zh-CN"/>
                    </w:rPr>
                  </w:pPr>
                  <w:r>
                    <w:rPr>
                      <w:rFonts w:hint="eastAsia"/>
                      <w:color w:val="auto"/>
                      <w:lang w:val="en-US" w:eastAsia="zh-CN"/>
                    </w:rPr>
                    <w:t>废电容器</w:t>
                  </w:r>
                </w:p>
              </w:tc>
              <w:tc>
                <w:tcPr>
                  <w:tcW w:w="554" w:type="pct"/>
                  <w:noWrap w:val="0"/>
                  <w:vAlign w:val="center"/>
                </w:tcPr>
                <w:p w14:paraId="7AEBD442">
                  <w:pPr>
                    <w:jc w:val="center"/>
                    <w:rPr>
                      <w:rFonts w:hint="eastAsia"/>
                      <w:b w:val="0"/>
                      <w:bCs w:val="0"/>
                      <w:szCs w:val="21"/>
                      <w:lang w:val="en-US" w:eastAsia="zh-CN"/>
                    </w:rPr>
                  </w:pPr>
                  <w:r>
                    <w:rPr>
                      <w:rFonts w:hint="eastAsia"/>
                      <w:color w:val="auto"/>
                      <w:lang w:val="en-US" w:eastAsia="zh-CN"/>
                    </w:rPr>
                    <w:t>24.5</w:t>
                  </w:r>
                </w:p>
              </w:tc>
              <w:tc>
                <w:tcPr>
                  <w:tcW w:w="721" w:type="pct"/>
                  <w:noWrap w:val="0"/>
                  <w:vAlign w:val="center"/>
                </w:tcPr>
                <w:p w14:paraId="3BB53C9B">
                  <w:pPr>
                    <w:spacing w:line="240" w:lineRule="auto"/>
                    <w:jc w:val="center"/>
                    <w:rPr>
                      <w:rFonts w:hint="eastAsia"/>
                      <w:b w:val="0"/>
                      <w:bCs w:val="0"/>
                      <w:szCs w:val="21"/>
                    </w:rPr>
                  </w:pPr>
                  <w:r>
                    <w:rPr>
                      <w:rFonts w:hint="eastAsia"/>
                      <w:b w:val="0"/>
                      <w:bCs w:val="0"/>
                      <w:szCs w:val="21"/>
                      <w:lang w:val="en-US" w:eastAsia="zh-CN"/>
                    </w:rPr>
                    <w:t>危险废物</w:t>
                  </w:r>
                </w:p>
              </w:tc>
              <w:tc>
                <w:tcPr>
                  <w:tcW w:w="781" w:type="pct"/>
                  <w:noWrap w:val="0"/>
                  <w:vAlign w:val="center"/>
                </w:tcPr>
                <w:p w14:paraId="112E374F">
                  <w:pPr>
                    <w:jc w:val="center"/>
                    <w:rPr>
                      <w:b w:val="0"/>
                      <w:bCs w:val="0"/>
                    </w:rPr>
                  </w:pPr>
                  <w:r>
                    <w:rPr>
                      <w:rFonts w:hint="eastAsia"/>
                      <w:color w:val="auto"/>
                      <w:lang w:val="en-US" w:eastAsia="zh-CN"/>
                    </w:rPr>
                    <w:t>900-045-49</w:t>
                  </w:r>
                </w:p>
              </w:tc>
              <w:tc>
                <w:tcPr>
                  <w:tcW w:w="1438" w:type="pct"/>
                  <w:vMerge w:val="continue"/>
                  <w:noWrap w:val="0"/>
                  <w:vAlign w:val="center"/>
                </w:tcPr>
                <w:p w14:paraId="29DDDF95">
                  <w:pPr>
                    <w:pStyle w:val="29"/>
                    <w:spacing w:line="240" w:lineRule="auto"/>
                    <w:jc w:val="center"/>
                    <w:rPr>
                      <w:rFonts w:ascii="Times New Roman" w:hAnsi="Times New Roman" w:eastAsia="宋体" w:cs="Times New Roman"/>
                      <w:b w:val="0"/>
                      <w:bCs w:val="0"/>
                      <w:sz w:val="21"/>
                      <w:szCs w:val="21"/>
                    </w:rPr>
                  </w:pPr>
                </w:p>
              </w:tc>
            </w:tr>
            <w:tr w14:paraId="67EB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1" w:type="dxa"/>
                  <w:noWrap w:val="0"/>
                  <w:vAlign w:val="center"/>
                </w:tcPr>
                <w:p w14:paraId="240E28BB">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13</w:t>
                  </w:r>
                </w:p>
              </w:tc>
              <w:tc>
                <w:tcPr>
                  <w:tcW w:w="1220" w:type="pct"/>
                  <w:noWrap w:val="0"/>
                  <w:vAlign w:val="center"/>
                </w:tcPr>
                <w:p w14:paraId="38A755E6">
                  <w:pPr>
                    <w:jc w:val="center"/>
                    <w:rPr>
                      <w:rFonts w:hint="eastAsia"/>
                      <w:b w:val="0"/>
                      <w:bCs w:val="0"/>
                      <w:color w:val="auto"/>
                      <w:lang w:val="en-US" w:eastAsia="zh-CN"/>
                    </w:rPr>
                  </w:pPr>
                  <w:r>
                    <w:rPr>
                      <w:rFonts w:hint="eastAsia"/>
                      <w:color w:val="auto"/>
                      <w:lang w:val="en-US" w:eastAsia="zh-CN"/>
                    </w:rPr>
                    <w:t>废尾气净化器</w:t>
                  </w:r>
                </w:p>
              </w:tc>
              <w:tc>
                <w:tcPr>
                  <w:tcW w:w="554" w:type="pct"/>
                  <w:noWrap w:val="0"/>
                  <w:vAlign w:val="center"/>
                </w:tcPr>
                <w:p w14:paraId="005343A0">
                  <w:pPr>
                    <w:jc w:val="center"/>
                    <w:rPr>
                      <w:rFonts w:hint="eastAsia"/>
                      <w:b w:val="0"/>
                      <w:bCs w:val="0"/>
                      <w:color w:val="auto"/>
                      <w:lang w:val="en-US" w:eastAsia="zh-CN"/>
                    </w:rPr>
                  </w:pPr>
                  <w:r>
                    <w:rPr>
                      <w:rFonts w:hint="eastAsia"/>
                      <w:color w:val="auto"/>
                      <w:lang w:val="en-US" w:eastAsia="zh-CN"/>
                    </w:rPr>
                    <w:t>11.15</w:t>
                  </w:r>
                </w:p>
              </w:tc>
              <w:tc>
                <w:tcPr>
                  <w:tcW w:w="721" w:type="pct"/>
                  <w:noWrap w:val="0"/>
                  <w:vAlign w:val="center"/>
                </w:tcPr>
                <w:p w14:paraId="09E586A9">
                  <w:pPr>
                    <w:spacing w:line="240" w:lineRule="auto"/>
                    <w:jc w:val="center"/>
                    <w:rPr>
                      <w:rFonts w:hint="eastAsia"/>
                      <w:b w:val="0"/>
                      <w:bCs w:val="0"/>
                      <w:szCs w:val="21"/>
                      <w:lang w:val="en-US" w:eastAsia="zh-CN"/>
                    </w:rPr>
                  </w:pPr>
                  <w:r>
                    <w:rPr>
                      <w:rFonts w:hint="eastAsia"/>
                      <w:b w:val="0"/>
                      <w:bCs w:val="0"/>
                      <w:szCs w:val="21"/>
                      <w:lang w:val="en-US" w:eastAsia="zh-CN"/>
                    </w:rPr>
                    <w:t>危险废物</w:t>
                  </w:r>
                </w:p>
              </w:tc>
              <w:tc>
                <w:tcPr>
                  <w:tcW w:w="781" w:type="pct"/>
                  <w:noWrap w:val="0"/>
                  <w:vAlign w:val="center"/>
                </w:tcPr>
                <w:p w14:paraId="681E5F8C">
                  <w:pPr>
                    <w:jc w:val="center"/>
                    <w:rPr>
                      <w:rFonts w:hint="eastAsia"/>
                      <w:b w:val="0"/>
                      <w:bCs w:val="0"/>
                      <w:color w:val="auto"/>
                      <w:lang w:val="en-US" w:eastAsia="zh-CN"/>
                    </w:rPr>
                  </w:pPr>
                  <w:r>
                    <w:rPr>
                      <w:rFonts w:hint="eastAsia"/>
                      <w:color w:val="auto"/>
                      <w:lang w:val="en-US" w:eastAsia="zh-CN"/>
                    </w:rPr>
                    <w:t>900-049-50</w:t>
                  </w:r>
                </w:p>
              </w:tc>
              <w:tc>
                <w:tcPr>
                  <w:tcW w:w="1438" w:type="pct"/>
                  <w:vMerge w:val="continue"/>
                  <w:noWrap w:val="0"/>
                  <w:vAlign w:val="center"/>
                </w:tcPr>
                <w:p w14:paraId="1852DE08">
                  <w:pPr>
                    <w:pStyle w:val="29"/>
                    <w:spacing w:line="240" w:lineRule="auto"/>
                    <w:jc w:val="center"/>
                    <w:rPr>
                      <w:rFonts w:ascii="Times New Roman" w:hAnsi="Times New Roman" w:eastAsia="宋体" w:cs="Times New Roman"/>
                      <w:b w:val="0"/>
                      <w:bCs w:val="0"/>
                      <w:sz w:val="21"/>
                      <w:szCs w:val="21"/>
                    </w:rPr>
                  </w:pPr>
                </w:p>
              </w:tc>
            </w:tr>
            <w:tr w14:paraId="67013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1" w:type="dxa"/>
                  <w:noWrap w:val="0"/>
                  <w:vAlign w:val="center"/>
                </w:tcPr>
                <w:p w14:paraId="1DF08E20">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14</w:t>
                  </w:r>
                </w:p>
              </w:tc>
              <w:tc>
                <w:tcPr>
                  <w:tcW w:w="1220" w:type="pct"/>
                  <w:noWrap w:val="0"/>
                  <w:vAlign w:val="center"/>
                </w:tcPr>
                <w:p w14:paraId="6C61D781">
                  <w:pPr>
                    <w:jc w:val="center"/>
                    <w:rPr>
                      <w:rFonts w:hint="eastAsia"/>
                      <w:b w:val="0"/>
                      <w:bCs w:val="0"/>
                      <w:color w:val="auto"/>
                      <w:lang w:val="en-US" w:eastAsia="zh-CN"/>
                    </w:rPr>
                  </w:pPr>
                  <w:r>
                    <w:rPr>
                      <w:rFonts w:hint="eastAsia"/>
                      <w:color w:val="auto"/>
                      <w:lang w:val="en-US" w:eastAsia="zh-CN"/>
                    </w:rPr>
                    <w:t>废电路板及电子元器件</w:t>
                  </w:r>
                </w:p>
              </w:tc>
              <w:tc>
                <w:tcPr>
                  <w:tcW w:w="554" w:type="pct"/>
                  <w:noWrap w:val="0"/>
                  <w:vAlign w:val="center"/>
                </w:tcPr>
                <w:p w14:paraId="3A0AF149">
                  <w:pPr>
                    <w:jc w:val="center"/>
                    <w:rPr>
                      <w:rFonts w:hint="eastAsia"/>
                      <w:b w:val="0"/>
                      <w:bCs w:val="0"/>
                      <w:color w:val="auto"/>
                      <w:lang w:val="en-US" w:eastAsia="zh-CN"/>
                    </w:rPr>
                  </w:pPr>
                  <w:r>
                    <w:rPr>
                      <w:rFonts w:hint="eastAsia"/>
                      <w:color w:val="auto"/>
                      <w:lang w:val="en-US" w:eastAsia="zh-CN"/>
                    </w:rPr>
                    <w:t>49.2</w:t>
                  </w:r>
                </w:p>
              </w:tc>
              <w:tc>
                <w:tcPr>
                  <w:tcW w:w="721" w:type="pct"/>
                  <w:noWrap w:val="0"/>
                  <w:vAlign w:val="center"/>
                </w:tcPr>
                <w:p w14:paraId="0E743AA6">
                  <w:pPr>
                    <w:spacing w:line="240" w:lineRule="auto"/>
                    <w:jc w:val="center"/>
                    <w:rPr>
                      <w:rFonts w:hint="eastAsia"/>
                      <w:b w:val="0"/>
                      <w:bCs w:val="0"/>
                      <w:szCs w:val="21"/>
                      <w:lang w:val="en-US" w:eastAsia="zh-CN"/>
                    </w:rPr>
                  </w:pPr>
                  <w:r>
                    <w:rPr>
                      <w:rFonts w:hint="eastAsia"/>
                      <w:b w:val="0"/>
                      <w:bCs w:val="0"/>
                      <w:szCs w:val="21"/>
                      <w:lang w:val="en-US" w:eastAsia="zh-CN"/>
                    </w:rPr>
                    <w:t>危险废物</w:t>
                  </w:r>
                </w:p>
              </w:tc>
              <w:tc>
                <w:tcPr>
                  <w:tcW w:w="781" w:type="pct"/>
                  <w:noWrap w:val="0"/>
                  <w:vAlign w:val="center"/>
                </w:tcPr>
                <w:p w14:paraId="677903D2">
                  <w:pPr>
                    <w:jc w:val="center"/>
                    <w:rPr>
                      <w:rFonts w:hint="eastAsia"/>
                      <w:b w:val="0"/>
                      <w:bCs w:val="0"/>
                      <w:color w:val="auto"/>
                      <w:lang w:val="en-US" w:eastAsia="zh-CN"/>
                    </w:rPr>
                  </w:pPr>
                  <w:r>
                    <w:rPr>
                      <w:rFonts w:hint="eastAsia"/>
                      <w:color w:val="auto"/>
                      <w:lang w:val="en-US" w:eastAsia="zh-CN"/>
                    </w:rPr>
                    <w:t>900-045-49</w:t>
                  </w:r>
                </w:p>
              </w:tc>
              <w:tc>
                <w:tcPr>
                  <w:tcW w:w="1438" w:type="pct"/>
                  <w:vMerge w:val="continue"/>
                  <w:noWrap w:val="0"/>
                  <w:vAlign w:val="center"/>
                </w:tcPr>
                <w:p w14:paraId="18069164">
                  <w:pPr>
                    <w:pStyle w:val="29"/>
                    <w:spacing w:line="240" w:lineRule="auto"/>
                    <w:jc w:val="center"/>
                    <w:rPr>
                      <w:rFonts w:ascii="Times New Roman" w:hAnsi="Times New Roman" w:eastAsia="宋体" w:cs="Times New Roman"/>
                      <w:b w:val="0"/>
                      <w:bCs w:val="0"/>
                      <w:sz w:val="21"/>
                      <w:szCs w:val="21"/>
                    </w:rPr>
                  </w:pPr>
                </w:p>
              </w:tc>
            </w:tr>
            <w:tr w14:paraId="146E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1" w:type="dxa"/>
                  <w:noWrap w:val="0"/>
                  <w:vAlign w:val="center"/>
                </w:tcPr>
                <w:p w14:paraId="1AE3A835">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15</w:t>
                  </w:r>
                </w:p>
              </w:tc>
              <w:tc>
                <w:tcPr>
                  <w:tcW w:w="1220" w:type="pct"/>
                  <w:noWrap w:val="0"/>
                  <w:vAlign w:val="center"/>
                </w:tcPr>
                <w:p w14:paraId="056FEB43">
                  <w:pPr>
                    <w:jc w:val="center"/>
                    <w:rPr>
                      <w:rFonts w:hint="eastAsia"/>
                      <w:b w:val="0"/>
                      <w:bCs w:val="0"/>
                      <w:color w:val="auto"/>
                      <w:lang w:val="en-US" w:eastAsia="zh-CN"/>
                    </w:rPr>
                  </w:pPr>
                  <w:r>
                    <w:rPr>
                      <w:rFonts w:hint="eastAsia"/>
                      <w:color w:val="auto"/>
                      <w:lang w:val="en-US" w:eastAsia="zh-CN"/>
                    </w:rPr>
                    <w:t>废活性炭</w:t>
                  </w:r>
                </w:p>
              </w:tc>
              <w:tc>
                <w:tcPr>
                  <w:tcW w:w="554" w:type="pct"/>
                  <w:noWrap w:val="0"/>
                  <w:vAlign w:val="center"/>
                </w:tcPr>
                <w:p w14:paraId="0EFFF46B">
                  <w:pPr>
                    <w:jc w:val="center"/>
                    <w:rPr>
                      <w:rFonts w:hint="eastAsia"/>
                      <w:b w:val="0"/>
                      <w:bCs w:val="0"/>
                      <w:color w:val="auto"/>
                      <w:lang w:val="en-US" w:eastAsia="zh-CN"/>
                    </w:rPr>
                  </w:pPr>
                  <w:r>
                    <w:rPr>
                      <w:rFonts w:hint="eastAsia"/>
                      <w:color w:val="auto"/>
                      <w:lang w:val="en-US" w:eastAsia="zh-CN"/>
                    </w:rPr>
                    <w:t>0.26</w:t>
                  </w:r>
                </w:p>
              </w:tc>
              <w:tc>
                <w:tcPr>
                  <w:tcW w:w="721" w:type="pct"/>
                  <w:noWrap w:val="0"/>
                  <w:vAlign w:val="center"/>
                </w:tcPr>
                <w:p w14:paraId="6EF8A8B2">
                  <w:pPr>
                    <w:spacing w:line="240" w:lineRule="auto"/>
                    <w:jc w:val="center"/>
                    <w:rPr>
                      <w:rFonts w:hint="eastAsia"/>
                      <w:b w:val="0"/>
                      <w:bCs w:val="0"/>
                      <w:szCs w:val="21"/>
                      <w:lang w:val="en-US" w:eastAsia="zh-CN"/>
                    </w:rPr>
                  </w:pPr>
                  <w:r>
                    <w:rPr>
                      <w:rFonts w:hint="eastAsia"/>
                      <w:b w:val="0"/>
                      <w:bCs w:val="0"/>
                      <w:szCs w:val="21"/>
                      <w:lang w:val="en-US" w:eastAsia="zh-CN"/>
                    </w:rPr>
                    <w:t>危险废物</w:t>
                  </w:r>
                </w:p>
              </w:tc>
              <w:tc>
                <w:tcPr>
                  <w:tcW w:w="781" w:type="pct"/>
                  <w:noWrap w:val="0"/>
                  <w:vAlign w:val="center"/>
                </w:tcPr>
                <w:p w14:paraId="1787153D">
                  <w:pPr>
                    <w:jc w:val="center"/>
                    <w:rPr>
                      <w:rFonts w:hint="eastAsia"/>
                      <w:b w:val="0"/>
                      <w:bCs w:val="0"/>
                      <w:color w:val="auto"/>
                      <w:lang w:val="en-US" w:eastAsia="zh-CN"/>
                    </w:rPr>
                  </w:pPr>
                  <w:r>
                    <w:rPr>
                      <w:rFonts w:hint="eastAsia"/>
                      <w:color w:val="auto"/>
                      <w:lang w:val="en-US" w:eastAsia="zh-CN"/>
                    </w:rPr>
                    <w:t>900-039-49</w:t>
                  </w:r>
                </w:p>
              </w:tc>
              <w:tc>
                <w:tcPr>
                  <w:tcW w:w="1438" w:type="pct"/>
                  <w:vMerge w:val="continue"/>
                  <w:noWrap w:val="0"/>
                  <w:vAlign w:val="center"/>
                </w:tcPr>
                <w:p w14:paraId="01609D7C">
                  <w:pPr>
                    <w:pStyle w:val="29"/>
                    <w:spacing w:line="240" w:lineRule="auto"/>
                    <w:jc w:val="center"/>
                    <w:rPr>
                      <w:rFonts w:ascii="Times New Roman" w:hAnsi="Times New Roman" w:eastAsia="宋体" w:cs="Times New Roman"/>
                      <w:b w:val="0"/>
                      <w:bCs w:val="0"/>
                      <w:sz w:val="21"/>
                      <w:szCs w:val="21"/>
                    </w:rPr>
                  </w:pPr>
                </w:p>
              </w:tc>
            </w:tr>
            <w:tr w14:paraId="6DC8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1" w:type="dxa"/>
                  <w:noWrap w:val="0"/>
                  <w:vAlign w:val="center"/>
                </w:tcPr>
                <w:p w14:paraId="7909A3FD">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16</w:t>
                  </w:r>
                </w:p>
              </w:tc>
              <w:tc>
                <w:tcPr>
                  <w:tcW w:w="1220" w:type="pct"/>
                  <w:noWrap w:val="0"/>
                  <w:vAlign w:val="center"/>
                </w:tcPr>
                <w:p w14:paraId="4AE978A9">
                  <w:pPr>
                    <w:jc w:val="center"/>
                    <w:rPr>
                      <w:rFonts w:hint="eastAsia"/>
                      <w:b w:val="0"/>
                      <w:bCs w:val="0"/>
                      <w:color w:val="auto"/>
                      <w:lang w:val="en-US" w:eastAsia="zh-CN"/>
                    </w:rPr>
                  </w:pPr>
                  <w:r>
                    <w:rPr>
                      <w:rFonts w:hint="eastAsia"/>
                      <w:color w:val="auto"/>
                      <w:lang w:val="en-US" w:eastAsia="zh-CN"/>
                    </w:rPr>
                    <w:t>污水处理站油泥</w:t>
                  </w:r>
                </w:p>
              </w:tc>
              <w:tc>
                <w:tcPr>
                  <w:tcW w:w="554" w:type="pct"/>
                  <w:noWrap w:val="0"/>
                  <w:vAlign w:val="center"/>
                </w:tcPr>
                <w:p w14:paraId="21E7C2CF">
                  <w:pPr>
                    <w:jc w:val="center"/>
                    <w:rPr>
                      <w:rFonts w:hint="eastAsia"/>
                      <w:b w:val="0"/>
                      <w:bCs w:val="0"/>
                      <w:color w:val="auto"/>
                      <w:lang w:val="en-US" w:eastAsia="zh-CN"/>
                    </w:rPr>
                  </w:pPr>
                  <w:r>
                    <w:rPr>
                      <w:rFonts w:hint="eastAsia"/>
                      <w:color w:val="auto"/>
                      <w:lang w:val="en-US" w:eastAsia="zh-CN"/>
                    </w:rPr>
                    <w:t>20.174</w:t>
                  </w:r>
                </w:p>
              </w:tc>
              <w:tc>
                <w:tcPr>
                  <w:tcW w:w="721" w:type="pct"/>
                  <w:noWrap w:val="0"/>
                  <w:vAlign w:val="center"/>
                </w:tcPr>
                <w:p w14:paraId="56C8459D">
                  <w:pPr>
                    <w:spacing w:line="240" w:lineRule="auto"/>
                    <w:jc w:val="center"/>
                    <w:rPr>
                      <w:rFonts w:hint="eastAsia"/>
                      <w:b w:val="0"/>
                      <w:bCs w:val="0"/>
                      <w:szCs w:val="21"/>
                      <w:lang w:val="en-US" w:eastAsia="zh-CN"/>
                    </w:rPr>
                  </w:pPr>
                  <w:r>
                    <w:rPr>
                      <w:rFonts w:hint="eastAsia"/>
                      <w:b w:val="0"/>
                      <w:bCs w:val="0"/>
                      <w:szCs w:val="21"/>
                      <w:lang w:val="en-US" w:eastAsia="zh-CN"/>
                    </w:rPr>
                    <w:t>危险废物</w:t>
                  </w:r>
                </w:p>
              </w:tc>
              <w:tc>
                <w:tcPr>
                  <w:tcW w:w="781" w:type="pct"/>
                  <w:noWrap w:val="0"/>
                  <w:vAlign w:val="center"/>
                </w:tcPr>
                <w:p w14:paraId="0C7272D8">
                  <w:pPr>
                    <w:jc w:val="center"/>
                    <w:rPr>
                      <w:rFonts w:hint="eastAsia"/>
                      <w:b w:val="0"/>
                      <w:bCs w:val="0"/>
                      <w:color w:val="auto"/>
                      <w:lang w:val="en-US" w:eastAsia="zh-CN"/>
                    </w:rPr>
                  </w:pPr>
                  <w:r>
                    <w:rPr>
                      <w:rFonts w:hint="eastAsia"/>
                      <w:color w:val="auto"/>
                      <w:lang w:val="en-US" w:eastAsia="zh-CN"/>
                    </w:rPr>
                    <w:t>900-210-08</w:t>
                  </w:r>
                </w:p>
              </w:tc>
              <w:tc>
                <w:tcPr>
                  <w:tcW w:w="1438" w:type="pct"/>
                  <w:vMerge w:val="continue"/>
                  <w:noWrap w:val="0"/>
                  <w:vAlign w:val="center"/>
                </w:tcPr>
                <w:p w14:paraId="6643B4AA">
                  <w:pPr>
                    <w:pStyle w:val="29"/>
                    <w:spacing w:line="240" w:lineRule="auto"/>
                    <w:jc w:val="center"/>
                    <w:rPr>
                      <w:rFonts w:ascii="Times New Roman" w:hAnsi="Times New Roman" w:eastAsia="宋体" w:cs="Times New Roman"/>
                      <w:b w:val="0"/>
                      <w:bCs w:val="0"/>
                      <w:sz w:val="21"/>
                      <w:szCs w:val="21"/>
                    </w:rPr>
                  </w:pPr>
                </w:p>
              </w:tc>
            </w:tr>
            <w:tr w14:paraId="750F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1" w:type="dxa"/>
                  <w:noWrap w:val="0"/>
                  <w:vAlign w:val="center"/>
                </w:tcPr>
                <w:p w14:paraId="3062043E">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17</w:t>
                  </w:r>
                </w:p>
              </w:tc>
              <w:tc>
                <w:tcPr>
                  <w:tcW w:w="1220" w:type="pct"/>
                  <w:noWrap w:val="0"/>
                  <w:vAlign w:val="center"/>
                </w:tcPr>
                <w:p w14:paraId="08F8D2A6">
                  <w:pPr>
                    <w:spacing w:line="240" w:lineRule="auto"/>
                    <w:jc w:val="center"/>
                    <w:rPr>
                      <w:rFonts w:hint="default" w:ascii="Times New Roman" w:hAnsi="Times New Roman" w:eastAsia="宋体" w:cs="Times New Roman"/>
                      <w:b w:val="0"/>
                      <w:bCs w:val="0"/>
                      <w:sz w:val="21"/>
                      <w:szCs w:val="21"/>
                      <w:lang w:val="en-US" w:eastAsia="zh-CN"/>
                    </w:rPr>
                  </w:pPr>
                  <w:r>
                    <w:rPr>
                      <w:rFonts w:hint="eastAsia"/>
                      <w:b w:val="0"/>
                      <w:bCs w:val="0"/>
                      <w:color w:val="auto"/>
                      <w:lang w:val="en-US" w:eastAsia="zh-CN"/>
                    </w:rPr>
                    <w:t>含油手套及抹布</w:t>
                  </w:r>
                </w:p>
              </w:tc>
              <w:tc>
                <w:tcPr>
                  <w:tcW w:w="554" w:type="pct"/>
                  <w:noWrap w:val="0"/>
                  <w:vAlign w:val="center"/>
                </w:tcPr>
                <w:p w14:paraId="5437571E">
                  <w:pPr>
                    <w:jc w:val="center"/>
                    <w:rPr>
                      <w:rFonts w:hint="eastAsia"/>
                      <w:b w:val="0"/>
                      <w:bCs w:val="0"/>
                      <w:szCs w:val="21"/>
                      <w:lang w:val="en-US" w:eastAsia="zh-CN"/>
                    </w:rPr>
                  </w:pPr>
                  <w:r>
                    <w:rPr>
                      <w:rFonts w:hint="eastAsia"/>
                      <w:color w:val="auto"/>
                      <w:lang w:val="en-US" w:eastAsia="zh-CN"/>
                    </w:rPr>
                    <w:t>0.1</w:t>
                  </w:r>
                </w:p>
              </w:tc>
              <w:tc>
                <w:tcPr>
                  <w:tcW w:w="721" w:type="pct"/>
                  <w:noWrap w:val="0"/>
                  <w:vAlign w:val="center"/>
                </w:tcPr>
                <w:p w14:paraId="62B8CF02">
                  <w:pPr>
                    <w:spacing w:line="240" w:lineRule="auto"/>
                    <w:jc w:val="center"/>
                    <w:rPr>
                      <w:rFonts w:hint="eastAsia" w:eastAsia="宋体"/>
                      <w:b w:val="0"/>
                      <w:bCs w:val="0"/>
                      <w:szCs w:val="21"/>
                      <w:lang w:val="en-US" w:eastAsia="zh-CN"/>
                    </w:rPr>
                  </w:pPr>
                  <w:r>
                    <w:rPr>
                      <w:rFonts w:hint="eastAsia"/>
                      <w:b w:val="0"/>
                      <w:bCs w:val="0"/>
                      <w:szCs w:val="21"/>
                      <w:lang w:val="en-US" w:eastAsia="zh-CN"/>
                    </w:rPr>
                    <w:t>豁免</w:t>
                  </w:r>
                </w:p>
              </w:tc>
              <w:tc>
                <w:tcPr>
                  <w:tcW w:w="781" w:type="pct"/>
                  <w:noWrap w:val="0"/>
                  <w:vAlign w:val="center"/>
                </w:tcPr>
                <w:p w14:paraId="6705A9B7">
                  <w:pPr>
                    <w:spacing w:line="240" w:lineRule="auto"/>
                    <w:jc w:val="center"/>
                    <w:rPr>
                      <w:rFonts w:hint="eastAsia" w:eastAsia="宋体"/>
                      <w:b w:val="0"/>
                      <w:bCs w:val="0"/>
                      <w:lang w:val="en-US" w:eastAsia="zh-CN"/>
                    </w:rPr>
                  </w:pPr>
                  <w:r>
                    <w:rPr>
                      <w:rFonts w:hint="eastAsia"/>
                      <w:b w:val="0"/>
                      <w:bCs w:val="0"/>
                      <w:lang w:val="en-US" w:eastAsia="zh-CN"/>
                    </w:rPr>
                    <w:t>/</w:t>
                  </w:r>
                </w:p>
              </w:tc>
              <w:tc>
                <w:tcPr>
                  <w:tcW w:w="1438" w:type="pct"/>
                  <w:vMerge w:val="restart"/>
                  <w:noWrap w:val="0"/>
                  <w:vAlign w:val="center"/>
                </w:tcPr>
                <w:p w14:paraId="090A7674">
                  <w:pPr>
                    <w:pStyle w:val="29"/>
                    <w:spacing w:line="240" w:lineRule="auto"/>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lang w:val="en-US" w:eastAsia="zh-CN"/>
                    </w:rPr>
                    <w:t>垃圾桶收集后，委托环卫部门清运处理</w:t>
                  </w:r>
                </w:p>
              </w:tc>
            </w:tr>
            <w:tr w14:paraId="18D8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84" w:type="pct"/>
                  <w:noWrap w:val="0"/>
                  <w:vAlign w:val="center"/>
                </w:tcPr>
                <w:p w14:paraId="6F9F4B1F">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18</w:t>
                  </w:r>
                </w:p>
              </w:tc>
              <w:tc>
                <w:tcPr>
                  <w:tcW w:w="1220" w:type="pct"/>
                  <w:noWrap w:val="0"/>
                  <w:vAlign w:val="center"/>
                </w:tcPr>
                <w:p w14:paraId="2DECC92A">
                  <w:pPr>
                    <w:pStyle w:val="29"/>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生活垃圾</w:t>
                  </w:r>
                </w:p>
              </w:tc>
              <w:tc>
                <w:tcPr>
                  <w:tcW w:w="554" w:type="pct"/>
                  <w:noWrap w:val="0"/>
                  <w:vAlign w:val="center"/>
                </w:tcPr>
                <w:p w14:paraId="5ABA9C3D">
                  <w:pPr>
                    <w:spacing w:line="240" w:lineRule="auto"/>
                    <w:jc w:val="center"/>
                    <w:rPr>
                      <w:rFonts w:hint="default"/>
                      <w:b w:val="0"/>
                      <w:bCs w:val="0"/>
                      <w:szCs w:val="21"/>
                      <w:lang w:val="en-US" w:eastAsia="zh-CN"/>
                    </w:rPr>
                  </w:pPr>
                  <w:r>
                    <w:rPr>
                      <w:rFonts w:hint="eastAsia"/>
                      <w:b w:val="0"/>
                      <w:bCs w:val="0"/>
                      <w:szCs w:val="21"/>
                      <w:lang w:val="en-US" w:eastAsia="zh-CN"/>
                    </w:rPr>
                    <w:t>3</w:t>
                  </w:r>
                </w:p>
              </w:tc>
              <w:tc>
                <w:tcPr>
                  <w:tcW w:w="721" w:type="pct"/>
                  <w:noWrap w:val="0"/>
                  <w:vAlign w:val="center"/>
                </w:tcPr>
                <w:p w14:paraId="78DE751B">
                  <w:pPr>
                    <w:spacing w:line="240" w:lineRule="auto"/>
                    <w:jc w:val="center"/>
                    <w:rPr>
                      <w:rFonts w:hint="eastAsia" w:eastAsia="宋体"/>
                      <w:b w:val="0"/>
                      <w:bCs w:val="0"/>
                      <w:szCs w:val="21"/>
                      <w:lang w:val="en-US" w:eastAsia="zh-CN"/>
                    </w:rPr>
                  </w:pPr>
                  <w:r>
                    <w:rPr>
                      <w:rFonts w:hint="eastAsia"/>
                      <w:b w:val="0"/>
                      <w:bCs w:val="0"/>
                      <w:szCs w:val="21"/>
                      <w:lang w:val="en-US" w:eastAsia="zh-CN"/>
                    </w:rPr>
                    <w:t>/</w:t>
                  </w:r>
                </w:p>
              </w:tc>
              <w:tc>
                <w:tcPr>
                  <w:tcW w:w="781" w:type="pct"/>
                  <w:noWrap w:val="0"/>
                  <w:vAlign w:val="center"/>
                </w:tcPr>
                <w:p w14:paraId="51A0E3D0">
                  <w:pPr>
                    <w:spacing w:line="240" w:lineRule="auto"/>
                    <w:jc w:val="center"/>
                    <w:rPr>
                      <w:rFonts w:hint="default" w:eastAsia="宋体"/>
                      <w:b w:val="0"/>
                      <w:bCs w:val="0"/>
                      <w:lang w:val="en-US" w:eastAsia="zh-CN"/>
                    </w:rPr>
                  </w:pPr>
                  <w:r>
                    <w:rPr>
                      <w:rFonts w:hint="eastAsia"/>
                      <w:b w:val="0"/>
                      <w:bCs w:val="0"/>
                      <w:lang w:val="en-US" w:eastAsia="zh-CN"/>
                    </w:rPr>
                    <w:t>/</w:t>
                  </w:r>
                </w:p>
              </w:tc>
              <w:tc>
                <w:tcPr>
                  <w:tcW w:w="1438" w:type="pct"/>
                  <w:vMerge w:val="continue"/>
                  <w:noWrap w:val="0"/>
                  <w:vAlign w:val="center"/>
                </w:tcPr>
                <w:p w14:paraId="758286D2">
                  <w:pPr>
                    <w:pStyle w:val="29"/>
                    <w:spacing w:line="240" w:lineRule="auto"/>
                    <w:jc w:val="center"/>
                    <w:rPr>
                      <w:rFonts w:ascii="Times New Roman" w:hAnsi="Times New Roman" w:eastAsia="宋体" w:cs="Times New Roman"/>
                      <w:b w:val="0"/>
                      <w:bCs w:val="0"/>
                      <w:sz w:val="21"/>
                      <w:szCs w:val="21"/>
                    </w:rPr>
                  </w:pPr>
                </w:p>
              </w:tc>
            </w:tr>
          </w:tbl>
          <w:p w14:paraId="7130C238">
            <w:pPr>
              <w:pStyle w:val="20"/>
              <w:spacing w:before="0" w:beforeAutospacing="0" w:after="0" w:afterAutospacing="0" w:line="360" w:lineRule="auto"/>
              <w:jc w:val="both"/>
              <w:outlineLvl w:val="0"/>
              <w:rPr>
                <w:rFonts w:hint="eastAsia" w:ascii="Times New Roman" w:hAnsi="Times New Roman"/>
                <w:b/>
                <w:bCs/>
                <w:sz w:val="2"/>
                <w:szCs w:val="2"/>
              </w:rPr>
            </w:pPr>
            <w:r>
              <w:rPr>
                <w:rFonts w:hint="eastAsia" w:ascii="Times New Roman" w:hAnsi="Times New Roman"/>
                <w:b/>
                <w:bCs/>
                <w:sz w:val="2"/>
                <w:szCs w:val="2"/>
              </w:rPr>
              <w:t>1</w:t>
            </w:r>
          </w:p>
          <w:p w14:paraId="542460C5">
            <w:pPr>
              <w:pStyle w:val="20"/>
              <w:spacing w:before="0" w:beforeAutospacing="0" w:after="0" w:afterAutospacing="0" w:line="360" w:lineRule="auto"/>
              <w:jc w:val="both"/>
              <w:outlineLvl w:val="0"/>
              <w:rPr>
                <w:rFonts w:hint="eastAsia" w:ascii="Times New Roman" w:hAnsi="Times New Roman"/>
                <w:b/>
                <w:bCs/>
                <w:sz w:val="2"/>
                <w:szCs w:val="2"/>
              </w:rPr>
            </w:pPr>
          </w:p>
          <w:p w14:paraId="43E5AC41">
            <w:pPr>
              <w:pStyle w:val="20"/>
              <w:spacing w:before="0" w:beforeAutospacing="0" w:after="0" w:afterAutospacing="0" w:line="360" w:lineRule="auto"/>
              <w:jc w:val="both"/>
              <w:outlineLvl w:val="0"/>
              <w:rPr>
                <w:rFonts w:hint="eastAsia" w:ascii="Times New Roman" w:hAnsi="Times New Roman"/>
                <w:b/>
                <w:bCs/>
                <w:sz w:val="2"/>
                <w:szCs w:val="2"/>
              </w:rPr>
            </w:pPr>
          </w:p>
          <w:p w14:paraId="0E07CD76">
            <w:pPr>
              <w:pStyle w:val="20"/>
              <w:spacing w:before="0" w:beforeAutospacing="0" w:after="0" w:afterAutospacing="0" w:line="360" w:lineRule="auto"/>
              <w:jc w:val="both"/>
              <w:outlineLvl w:val="0"/>
              <w:rPr>
                <w:rFonts w:ascii="Times New Roman" w:hAnsi="Times New Roman"/>
                <w:b/>
                <w:bCs/>
              </w:rPr>
            </w:pPr>
            <w:r>
              <w:rPr>
                <w:rFonts w:ascii="Times New Roman" w:hAnsi="Times New Roman"/>
                <w:b/>
                <w:bCs/>
              </w:rPr>
              <w:t>4.8.3</w:t>
            </w:r>
            <w:r>
              <w:rPr>
                <w:rFonts w:hint="eastAsia" w:ascii="Times New Roman" w:hAnsi="Times New Roman"/>
                <w:b/>
                <w:bCs/>
              </w:rPr>
              <w:t>环境管理要求</w:t>
            </w:r>
          </w:p>
          <w:p w14:paraId="1914267D">
            <w:pPr>
              <w:pStyle w:val="20"/>
              <w:spacing w:before="0" w:beforeAutospacing="0" w:after="0" w:afterAutospacing="0" w:line="360" w:lineRule="auto"/>
              <w:ind w:firstLine="480" w:firstLineChars="200"/>
              <w:jc w:val="both"/>
              <w:outlineLvl w:val="0"/>
              <w:rPr>
                <w:rFonts w:ascii="Times New Roman" w:hAnsi="Times New Roman"/>
              </w:rPr>
            </w:pPr>
            <w:r>
              <w:rPr>
                <w:rFonts w:ascii="Times New Roman" w:hAnsi="Times New Roman"/>
              </w:rPr>
              <w:t>（1）一般固废管理要求</w:t>
            </w:r>
          </w:p>
          <w:p w14:paraId="0B833871">
            <w:pPr>
              <w:adjustRightInd w:val="0"/>
              <w:snapToGrid w:val="0"/>
              <w:spacing w:line="360" w:lineRule="auto"/>
              <w:ind w:firstLine="480" w:firstLineChars="200"/>
              <w:rPr>
                <w:sz w:val="24"/>
              </w:rPr>
            </w:pPr>
            <w:r>
              <w:rPr>
                <w:rFonts w:hint="eastAsia"/>
                <w:sz w:val="24"/>
                <w:lang w:val="en-US" w:eastAsia="zh-CN"/>
              </w:rPr>
              <w:t>项目生产车间东北侧建设1座</w:t>
            </w:r>
            <w:r>
              <w:rPr>
                <w:sz w:val="24"/>
              </w:rPr>
              <w:t>建筑面积</w:t>
            </w:r>
            <w:r>
              <w:rPr>
                <w:rFonts w:hint="eastAsia"/>
                <w:sz w:val="24"/>
                <w:lang w:val="en-US" w:eastAsia="zh-CN"/>
              </w:rPr>
              <w:t>20</w:t>
            </w:r>
            <w:r>
              <w:rPr>
                <w:sz w:val="24"/>
              </w:rPr>
              <w:t>0m</w:t>
            </w:r>
            <w:r>
              <w:rPr>
                <w:sz w:val="24"/>
                <w:vertAlign w:val="superscript"/>
              </w:rPr>
              <w:t>2</w:t>
            </w:r>
            <w:r>
              <w:rPr>
                <w:sz w:val="24"/>
              </w:rPr>
              <w:t xml:space="preserve">一般固废暂存库，一般固废贮存场所须严格按《一般工业固体废物贮存和填埋污染控制标准》（GB18599-2020）中相关要求进行建设，具体如下。 </w:t>
            </w:r>
          </w:p>
          <w:p w14:paraId="07D3FABE">
            <w:pPr>
              <w:adjustRightInd w:val="0"/>
              <w:snapToGrid w:val="0"/>
              <w:spacing w:line="360" w:lineRule="auto"/>
              <w:ind w:firstLine="480" w:firstLineChars="200"/>
              <w:rPr>
                <w:color w:val="auto"/>
                <w:sz w:val="24"/>
              </w:rPr>
            </w:pPr>
            <w:r>
              <w:rPr>
                <w:rFonts w:hint="eastAsia" w:ascii="Cambria Math" w:hAnsi="Cambria Math" w:cs="Cambria Math"/>
                <w:sz w:val="24"/>
                <w:lang w:val="en-US" w:eastAsia="zh-CN"/>
              </w:rPr>
              <w:t>①</w:t>
            </w:r>
            <w:r>
              <w:rPr>
                <w:sz w:val="24"/>
              </w:rPr>
              <w:t>贮存区设分隔设施，不同类型的固体废物分开贮存。</w:t>
            </w:r>
            <w:r>
              <w:rPr>
                <w:color w:val="auto"/>
                <w:sz w:val="24"/>
              </w:rPr>
              <w:t xml:space="preserve">不允许将危险废物和生活垃圾混入。 </w:t>
            </w:r>
          </w:p>
          <w:p w14:paraId="7E32A863">
            <w:pPr>
              <w:adjustRightInd w:val="0"/>
              <w:snapToGrid w:val="0"/>
              <w:spacing w:line="360" w:lineRule="auto"/>
              <w:ind w:firstLine="480" w:firstLineChars="200"/>
              <w:rPr>
                <w:sz w:val="24"/>
              </w:rPr>
            </w:pPr>
            <w:r>
              <w:rPr>
                <w:rFonts w:hint="eastAsia" w:ascii="Cambria Math" w:hAnsi="Cambria Math" w:cs="Cambria Math"/>
                <w:sz w:val="24"/>
                <w:lang w:val="en-US" w:eastAsia="zh-CN"/>
              </w:rPr>
              <w:t>②</w:t>
            </w:r>
            <w:r>
              <w:rPr>
                <w:sz w:val="24"/>
              </w:rPr>
              <w:t xml:space="preserve">一般工业固体废物暂存区避免雨水冲刷。 </w:t>
            </w:r>
          </w:p>
          <w:p w14:paraId="20D944EB">
            <w:pPr>
              <w:adjustRightInd w:val="0"/>
              <w:snapToGrid w:val="0"/>
              <w:spacing w:line="360" w:lineRule="auto"/>
              <w:ind w:firstLine="480" w:firstLineChars="200"/>
              <w:rPr>
                <w:sz w:val="24"/>
              </w:rPr>
            </w:pPr>
            <w:r>
              <w:rPr>
                <w:rFonts w:hint="eastAsia"/>
                <w:sz w:val="24"/>
                <w:lang w:val="en-US" w:eastAsia="zh-CN"/>
              </w:rPr>
              <w:t>③</w:t>
            </w:r>
            <w:r>
              <w:rPr>
                <w:sz w:val="24"/>
              </w:rPr>
              <w:t>一般工业固体废物暂存区为半密封车间，地面均采用4～6cm厚水泥防腐、防渗，经防渗处理后渗透系数≤10</w:t>
            </w:r>
            <w:r>
              <w:rPr>
                <w:sz w:val="24"/>
                <w:vertAlign w:val="superscript"/>
              </w:rPr>
              <w:t>-7</w:t>
            </w:r>
            <w:r>
              <w:rPr>
                <w:sz w:val="24"/>
              </w:rPr>
              <w:t>cm/s。</w:t>
            </w:r>
          </w:p>
          <w:p w14:paraId="2337E40D">
            <w:pPr>
              <w:adjustRightInd w:val="0"/>
              <w:snapToGrid w:val="0"/>
              <w:spacing w:line="360" w:lineRule="auto"/>
              <w:ind w:firstLine="480" w:firstLineChars="200"/>
              <w:rPr>
                <w:sz w:val="24"/>
              </w:rPr>
            </w:pPr>
            <w:r>
              <w:rPr>
                <w:rFonts w:hint="eastAsia" w:ascii="Cambria Math" w:hAnsi="Cambria Math" w:cs="Cambria Math"/>
                <w:sz w:val="24"/>
                <w:lang w:val="en-US" w:eastAsia="zh-CN"/>
              </w:rPr>
              <w:t>④</w:t>
            </w:r>
            <w:r>
              <w:rPr>
                <w:sz w:val="24"/>
              </w:rPr>
              <w:t>贮存、处置场所地按《环境保护图形标志-固体废物贮存（处置）场所》（GB15562.2-1995）设置环境保护图形标志。</w:t>
            </w:r>
          </w:p>
          <w:p w14:paraId="5365915C">
            <w:pPr>
              <w:adjustRightInd w:val="0"/>
              <w:snapToGrid w:val="0"/>
              <w:spacing w:line="360" w:lineRule="auto"/>
              <w:ind w:firstLine="480" w:firstLineChars="200"/>
              <w:rPr>
                <w:sz w:val="24"/>
              </w:rPr>
            </w:pPr>
            <w:r>
              <w:rPr>
                <w:rFonts w:hint="eastAsia" w:ascii="Cambria Math" w:hAnsi="Cambria Math" w:cs="Cambria Math"/>
                <w:sz w:val="24"/>
                <w:lang w:val="en-US" w:eastAsia="zh-CN"/>
              </w:rPr>
              <w:t>⑤</w:t>
            </w:r>
            <w:r>
              <w:rPr>
                <w:sz w:val="24"/>
              </w:rPr>
              <w:t>建立档案制度，将入场的一般工业固体废物的种类和数量等资料，详细记录在案，供随时查阅。</w:t>
            </w:r>
          </w:p>
          <w:p w14:paraId="69C03364">
            <w:pPr>
              <w:pStyle w:val="20"/>
              <w:spacing w:before="0" w:beforeAutospacing="0" w:after="0" w:afterAutospacing="0" w:line="360" w:lineRule="auto"/>
              <w:ind w:firstLine="480" w:firstLineChars="200"/>
              <w:jc w:val="both"/>
              <w:outlineLvl w:val="0"/>
              <w:rPr>
                <w:rFonts w:ascii="Times New Roman" w:hAnsi="Times New Roman"/>
              </w:rPr>
            </w:pPr>
            <w:r>
              <w:rPr>
                <w:rFonts w:ascii="Times New Roman" w:hAnsi="Times New Roman"/>
              </w:rPr>
              <w:t>（2）危险废物环境管理要求</w:t>
            </w:r>
          </w:p>
          <w:p w14:paraId="6877B60E">
            <w:pPr>
              <w:pStyle w:val="20"/>
              <w:spacing w:before="0" w:beforeAutospacing="0" w:after="0" w:afterAutospacing="0" w:line="360" w:lineRule="auto"/>
              <w:ind w:firstLine="480" w:firstLineChars="200"/>
              <w:jc w:val="both"/>
              <w:outlineLvl w:val="0"/>
              <w:rPr>
                <w:rFonts w:hint="eastAsia" w:ascii="Times New Roman" w:hAnsi="Times New Roman"/>
                <w:lang w:val="en-US" w:eastAsia="zh-CN"/>
              </w:rPr>
            </w:pPr>
            <w:r>
              <w:rPr>
                <w:rFonts w:hint="eastAsia" w:ascii="Times New Roman" w:hAnsi="Times New Roman"/>
                <w:lang w:val="en-US" w:eastAsia="zh-CN"/>
              </w:rPr>
              <w:t>项目生产车间北侧</w:t>
            </w:r>
            <w:r>
              <w:rPr>
                <w:rFonts w:hint="eastAsia"/>
                <w:sz w:val="24"/>
                <w:lang w:val="en-US" w:eastAsia="zh-CN"/>
              </w:rPr>
              <w:t>建设1座</w:t>
            </w:r>
            <w:r>
              <w:rPr>
                <w:sz w:val="24"/>
              </w:rPr>
              <w:t>建筑面</w:t>
            </w:r>
            <w:r>
              <w:rPr>
                <w:rFonts w:ascii="Times New Roman" w:hAnsi="Times New Roman" w:cs="Times New Roman"/>
              </w:rPr>
              <w:t>积</w:t>
            </w:r>
            <w:r>
              <w:rPr>
                <w:rFonts w:hint="eastAsia" w:ascii="Times New Roman" w:hAnsi="Times New Roman" w:cs="Times New Roman"/>
                <w:lang w:val="en-US" w:eastAsia="zh-CN"/>
              </w:rPr>
              <w:t>300</w:t>
            </w:r>
            <w:r>
              <w:rPr>
                <w:rFonts w:ascii="Times New Roman" w:hAnsi="Times New Roman"/>
              </w:rPr>
              <w:t>m</w:t>
            </w:r>
            <w:r>
              <w:rPr>
                <w:rFonts w:ascii="Times New Roman" w:hAnsi="Times New Roman"/>
                <w:vertAlign w:val="superscript"/>
              </w:rPr>
              <w:t>2</w:t>
            </w:r>
            <w:r>
              <w:rPr>
                <w:rFonts w:ascii="Times New Roman" w:hAnsi="Times New Roman"/>
              </w:rPr>
              <w:t>危废暂存库，</w:t>
            </w:r>
            <w:r>
              <w:rPr>
                <w:rFonts w:hint="eastAsia" w:ascii="Times New Roman" w:hAnsi="Times New Roman"/>
                <w:lang w:val="en-US" w:eastAsia="zh-CN"/>
              </w:rPr>
              <w:t>危废转移通道占地面积约占20%，则实际危废贮存面积约240m</w:t>
            </w:r>
            <w:r>
              <w:rPr>
                <w:rFonts w:hint="eastAsia" w:ascii="Times New Roman" w:hAnsi="Times New Roman"/>
                <w:vertAlign w:val="superscript"/>
                <w:lang w:val="en-US" w:eastAsia="zh-CN"/>
              </w:rPr>
              <w:t>2</w:t>
            </w:r>
            <w:r>
              <w:rPr>
                <w:rFonts w:hint="eastAsia" w:ascii="Times New Roman" w:hAnsi="Times New Roman"/>
                <w:lang w:val="en-US" w:eastAsia="zh-CN"/>
              </w:rPr>
              <w:t>，危险废物分区暂存危废暂存库后，定期委托有资质单位处置，签订危险废物处置合同，严格执行危险废物转移联单制度。厂区危废暂存库建设情况如下表所示。</w:t>
            </w:r>
          </w:p>
          <w:p w14:paraId="35E3FE71">
            <w:pPr>
              <w:pStyle w:val="20"/>
              <w:spacing w:before="0" w:beforeAutospacing="0" w:after="0" w:afterAutospacing="0" w:line="240" w:lineRule="auto"/>
              <w:ind w:firstLine="422" w:firstLineChars="200"/>
              <w:jc w:val="center"/>
              <w:outlineLvl w:val="0"/>
              <w:rPr>
                <w:rFonts w:hint="eastAsia" w:ascii="Times New Roman" w:hAnsi="Times New Roman"/>
                <w:b/>
                <w:bCs/>
                <w:lang w:val="en-US" w:eastAsia="zh-CN"/>
              </w:rPr>
            </w:pPr>
            <w:r>
              <w:rPr>
                <w:rFonts w:hint="eastAsia" w:ascii="Times New Roman" w:hAnsi="Times New Roman"/>
                <w:b/>
                <w:bCs/>
                <w:sz w:val="21"/>
                <w:szCs w:val="16"/>
                <w:lang w:val="en-US" w:eastAsia="zh-CN"/>
              </w:rPr>
              <w:t>表4-20  危废暂存库建设情况一览表</w:t>
            </w:r>
          </w:p>
          <w:tbl>
            <w:tblPr>
              <w:tblStyle w:val="25"/>
              <w:tblW w:w="7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200"/>
              <w:gridCol w:w="878"/>
              <w:gridCol w:w="1275"/>
              <w:gridCol w:w="729"/>
              <w:gridCol w:w="764"/>
              <w:gridCol w:w="886"/>
              <w:gridCol w:w="886"/>
              <w:gridCol w:w="886"/>
            </w:tblGrid>
            <w:tr w14:paraId="10FA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464" w:type="dxa"/>
                  <w:vAlign w:val="center"/>
                </w:tcPr>
                <w:p w14:paraId="7878F0A4">
                  <w:pPr>
                    <w:pStyle w:val="20"/>
                    <w:spacing w:before="0" w:beforeAutospacing="0" w:after="0" w:afterAutospacing="0" w:line="240" w:lineRule="auto"/>
                    <w:jc w:val="center"/>
                    <w:outlineLvl w:val="0"/>
                    <w:rPr>
                      <w:rFonts w:hint="default" w:ascii="Times New Roman" w:hAnsi="Times New Roman"/>
                      <w:b/>
                      <w:bCs/>
                      <w:sz w:val="21"/>
                      <w:szCs w:val="21"/>
                      <w:vertAlign w:val="baseline"/>
                      <w:lang w:val="en-US" w:eastAsia="zh-CN"/>
                    </w:rPr>
                  </w:pPr>
                  <w:r>
                    <w:rPr>
                      <w:rFonts w:hint="eastAsia" w:ascii="Times New Roman" w:hAnsi="Times New Roman"/>
                      <w:b/>
                      <w:bCs/>
                      <w:sz w:val="21"/>
                      <w:szCs w:val="21"/>
                      <w:vertAlign w:val="baseline"/>
                      <w:lang w:val="en-US" w:eastAsia="zh-CN"/>
                    </w:rPr>
                    <w:t>序号</w:t>
                  </w:r>
                </w:p>
              </w:tc>
              <w:tc>
                <w:tcPr>
                  <w:tcW w:w="1200" w:type="dxa"/>
                  <w:vAlign w:val="center"/>
                </w:tcPr>
                <w:p w14:paraId="6C8364C3">
                  <w:pPr>
                    <w:pStyle w:val="20"/>
                    <w:spacing w:before="0" w:beforeAutospacing="0" w:after="0" w:afterAutospacing="0" w:line="240" w:lineRule="auto"/>
                    <w:jc w:val="center"/>
                    <w:outlineLvl w:val="0"/>
                    <w:rPr>
                      <w:rFonts w:hint="default" w:ascii="Times New Roman" w:hAnsi="Times New Roman"/>
                      <w:b/>
                      <w:bCs/>
                      <w:sz w:val="21"/>
                      <w:szCs w:val="21"/>
                      <w:vertAlign w:val="baseline"/>
                      <w:lang w:val="en-US" w:eastAsia="zh-CN"/>
                    </w:rPr>
                  </w:pPr>
                  <w:r>
                    <w:rPr>
                      <w:rFonts w:hint="eastAsia" w:ascii="Times New Roman" w:hAnsi="Times New Roman"/>
                      <w:b/>
                      <w:bCs/>
                      <w:sz w:val="21"/>
                      <w:szCs w:val="21"/>
                      <w:vertAlign w:val="baseline"/>
                      <w:lang w:val="en-US" w:eastAsia="zh-CN"/>
                    </w:rPr>
                    <w:t>危险废物名称</w:t>
                  </w:r>
                </w:p>
              </w:tc>
              <w:tc>
                <w:tcPr>
                  <w:tcW w:w="878" w:type="dxa"/>
                  <w:vAlign w:val="center"/>
                </w:tcPr>
                <w:p w14:paraId="2B6F4E21">
                  <w:pPr>
                    <w:pStyle w:val="20"/>
                    <w:spacing w:before="0" w:beforeAutospacing="0" w:after="0" w:afterAutospacing="0" w:line="240" w:lineRule="auto"/>
                    <w:jc w:val="center"/>
                    <w:outlineLvl w:val="0"/>
                    <w:rPr>
                      <w:rFonts w:hint="default" w:ascii="Times New Roman" w:hAnsi="Times New Roman"/>
                      <w:b/>
                      <w:bCs/>
                      <w:sz w:val="21"/>
                      <w:szCs w:val="21"/>
                      <w:vertAlign w:val="baseline"/>
                      <w:lang w:val="en-US" w:eastAsia="zh-CN"/>
                    </w:rPr>
                  </w:pPr>
                  <w:r>
                    <w:rPr>
                      <w:rFonts w:hint="eastAsia" w:ascii="Times New Roman" w:hAnsi="Times New Roman"/>
                      <w:b/>
                      <w:bCs/>
                      <w:sz w:val="21"/>
                      <w:szCs w:val="21"/>
                      <w:vertAlign w:val="baseline"/>
                      <w:lang w:val="en-US" w:eastAsia="zh-CN"/>
                    </w:rPr>
                    <w:t>危险废物类别</w:t>
                  </w:r>
                </w:p>
              </w:tc>
              <w:tc>
                <w:tcPr>
                  <w:tcW w:w="1275" w:type="dxa"/>
                  <w:vAlign w:val="center"/>
                </w:tcPr>
                <w:p w14:paraId="4D3B064D">
                  <w:pPr>
                    <w:pStyle w:val="20"/>
                    <w:spacing w:before="0" w:beforeAutospacing="0" w:after="0" w:afterAutospacing="0" w:line="240" w:lineRule="auto"/>
                    <w:jc w:val="center"/>
                    <w:outlineLvl w:val="0"/>
                    <w:rPr>
                      <w:rFonts w:hint="default" w:ascii="Times New Roman" w:hAnsi="Times New Roman"/>
                      <w:b/>
                      <w:bCs/>
                      <w:sz w:val="21"/>
                      <w:szCs w:val="21"/>
                      <w:vertAlign w:val="baseline"/>
                      <w:lang w:val="en-US" w:eastAsia="zh-CN"/>
                    </w:rPr>
                  </w:pPr>
                  <w:r>
                    <w:rPr>
                      <w:rFonts w:hint="eastAsia" w:ascii="Times New Roman" w:hAnsi="Times New Roman"/>
                      <w:b/>
                      <w:bCs/>
                      <w:sz w:val="21"/>
                      <w:szCs w:val="21"/>
                      <w:vertAlign w:val="baseline"/>
                      <w:lang w:val="en-US" w:eastAsia="zh-CN"/>
                    </w:rPr>
                    <w:t>危险废物代码</w:t>
                  </w:r>
                </w:p>
              </w:tc>
              <w:tc>
                <w:tcPr>
                  <w:tcW w:w="729" w:type="dxa"/>
                  <w:vAlign w:val="center"/>
                </w:tcPr>
                <w:p w14:paraId="7157A855">
                  <w:pPr>
                    <w:pStyle w:val="20"/>
                    <w:spacing w:before="0" w:beforeAutospacing="0" w:after="0" w:afterAutospacing="0" w:line="240" w:lineRule="auto"/>
                    <w:jc w:val="center"/>
                    <w:outlineLvl w:val="0"/>
                    <w:rPr>
                      <w:rFonts w:hint="default" w:ascii="Times New Roman" w:hAnsi="Times New Roman"/>
                      <w:b/>
                      <w:bCs/>
                      <w:sz w:val="21"/>
                      <w:szCs w:val="21"/>
                      <w:vertAlign w:val="baseline"/>
                      <w:lang w:val="en-US" w:eastAsia="zh-CN"/>
                    </w:rPr>
                  </w:pPr>
                  <w:r>
                    <w:rPr>
                      <w:rFonts w:hint="eastAsia" w:ascii="Times New Roman" w:hAnsi="Times New Roman"/>
                      <w:b/>
                      <w:bCs/>
                      <w:sz w:val="21"/>
                      <w:szCs w:val="21"/>
                      <w:vertAlign w:val="baseline"/>
                      <w:lang w:val="en-US" w:eastAsia="zh-CN"/>
                    </w:rPr>
                    <w:t>位置</w:t>
                  </w:r>
                </w:p>
              </w:tc>
              <w:tc>
                <w:tcPr>
                  <w:tcW w:w="764" w:type="dxa"/>
                  <w:vAlign w:val="center"/>
                </w:tcPr>
                <w:p w14:paraId="3C267F9A">
                  <w:pPr>
                    <w:pStyle w:val="20"/>
                    <w:spacing w:before="0" w:beforeAutospacing="0" w:after="0" w:afterAutospacing="0" w:line="240" w:lineRule="auto"/>
                    <w:jc w:val="center"/>
                    <w:outlineLvl w:val="0"/>
                    <w:rPr>
                      <w:rFonts w:hint="default" w:ascii="Times New Roman" w:hAnsi="Times New Roman"/>
                      <w:b/>
                      <w:bCs/>
                      <w:sz w:val="21"/>
                      <w:szCs w:val="21"/>
                      <w:vertAlign w:val="baseline"/>
                      <w:lang w:val="en-US" w:eastAsia="zh-CN"/>
                    </w:rPr>
                  </w:pPr>
                  <w:r>
                    <w:rPr>
                      <w:rFonts w:hint="eastAsia" w:ascii="Times New Roman" w:hAnsi="Times New Roman"/>
                      <w:b/>
                      <w:bCs/>
                      <w:sz w:val="21"/>
                      <w:szCs w:val="21"/>
                      <w:vertAlign w:val="baseline"/>
                      <w:lang w:val="en-US" w:eastAsia="zh-CN"/>
                    </w:rPr>
                    <w:t>占地面积</w:t>
                  </w:r>
                </w:p>
              </w:tc>
              <w:tc>
                <w:tcPr>
                  <w:tcW w:w="886" w:type="dxa"/>
                  <w:vAlign w:val="center"/>
                </w:tcPr>
                <w:p w14:paraId="11733B9D">
                  <w:pPr>
                    <w:pStyle w:val="20"/>
                    <w:spacing w:before="0" w:beforeAutospacing="0" w:after="0" w:afterAutospacing="0" w:line="240" w:lineRule="auto"/>
                    <w:jc w:val="center"/>
                    <w:outlineLvl w:val="0"/>
                    <w:rPr>
                      <w:rFonts w:hint="default" w:ascii="Times New Roman" w:hAnsi="Times New Roman"/>
                      <w:b/>
                      <w:bCs/>
                      <w:sz w:val="21"/>
                      <w:szCs w:val="21"/>
                      <w:vertAlign w:val="baseline"/>
                      <w:lang w:val="en-US" w:eastAsia="zh-CN"/>
                    </w:rPr>
                  </w:pPr>
                  <w:r>
                    <w:rPr>
                      <w:rFonts w:hint="eastAsia" w:ascii="Times New Roman" w:hAnsi="Times New Roman"/>
                      <w:b/>
                      <w:bCs/>
                      <w:sz w:val="21"/>
                      <w:szCs w:val="21"/>
                      <w:vertAlign w:val="baseline"/>
                      <w:lang w:val="en-US" w:eastAsia="zh-CN"/>
                    </w:rPr>
                    <w:t>暂存方式</w:t>
                  </w:r>
                </w:p>
              </w:tc>
              <w:tc>
                <w:tcPr>
                  <w:tcW w:w="886" w:type="dxa"/>
                  <w:vAlign w:val="center"/>
                </w:tcPr>
                <w:p w14:paraId="7232065C">
                  <w:pPr>
                    <w:pStyle w:val="20"/>
                    <w:spacing w:before="0" w:beforeAutospacing="0" w:after="0" w:afterAutospacing="0" w:line="240" w:lineRule="auto"/>
                    <w:jc w:val="center"/>
                    <w:outlineLvl w:val="0"/>
                    <w:rPr>
                      <w:rFonts w:hint="default" w:ascii="Times New Roman" w:hAnsi="Times New Roman"/>
                      <w:b/>
                      <w:bCs/>
                      <w:sz w:val="21"/>
                      <w:szCs w:val="21"/>
                      <w:vertAlign w:val="baseline"/>
                      <w:lang w:val="en-US" w:eastAsia="zh-CN"/>
                    </w:rPr>
                  </w:pPr>
                  <w:r>
                    <w:rPr>
                      <w:rFonts w:hint="eastAsia" w:ascii="Times New Roman" w:hAnsi="Times New Roman"/>
                      <w:b/>
                      <w:bCs/>
                      <w:sz w:val="21"/>
                      <w:szCs w:val="21"/>
                      <w:vertAlign w:val="baseline"/>
                      <w:lang w:val="en-US" w:eastAsia="zh-CN"/>
                    </w:rPr>
                    <w:t>暂存能力</w:t>
                  </w:r>
                </w:p>
              </w:tc>
              <w:tc>
                <w:tcPr>
                  <w:tcW w:w="886" w:type="dxa"/>
                  <w:vAlign w:val="center"/>
                </w:tcPr>
                <w:p w14:paraId="1AB891E0">
                  <w:pPr>
                    <w:pStyle w:val="20"/>
                    <w:spacing w:before="0" w:beforeAutospacing="0" w:after="0" w:afterAutospacing="0" w:line="240" w:lineRule="auto"/>
                    <w:jc w:val="center"/>
                    <w:outlineLvl w:val="0"/>
                    <w:rPr>
                      <w:rFonts w:hint="default" w:ascii="Times New Roman" w:hAnsi="Times New Roman"/>
                      <w:b/>
                      <w:bCs/>
                      <w:sz w:val="21"/>
                      <w:szCs w:val="21"/>
                      <w:vertAlign w:val="baseline"/>
                      <w:lang w:val="en-US" w:eastAsia="zh-CN"/>
                    </w:rPr>
                  </w:pPr>
                  <w:r>
                    <w:rPr>
                      <w:rFonts w:hint="eastAsia" w:ascii="Times New Roman" w:hAnsi="Times New Roman"/>
                      <w:b/>
                      <w:bCs/>
                      <w:sz w:val="21"/>
                      <w:szCs w:val="21"/>
                      <w:vertAlign w:val="baseline"/>
                      <w:lang w:val="en-US" w:eastAsia="zh-CN"/>
                    </w:rPr>
                    <w:t>暂存周期</w:t>
                  </w:r>
                </w:p>
              </w:tc>
            </w:tr>
            <w:tr w14:paraId="0C26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464" w:type="dxa"/>
                  <w:vAlign w:val="center"/>
                </w:tcPr>
                <w:p w14:paraId="29DBC4C3">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1</w:t>
                  </w:r>
                </w:p>
              </w:tc>
              <w:tc>
                <w:tcPr>
                  <w:tcW w:w="1200" w:type="dxa"/>
                  <w:vAlign w:val="center"/>
                </w:tcPr>
                <w:p w14:paraId="3220D47B">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废燃料油</w:t>
                  </w:r>
                </w:p>
              </w:tc>
              <w:tc>
                <w:tcPr>
                  <w:tcW w:w="878" w:type="dxa"/>
                  <w:vAlign w:val="center"/>
                </w:tcPr>
                <w:p w14:paraId="4218777C">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HW08</w:t>
                  </w:r>
                </w:p>
              </w:tc>
              <w:tc>
                <w:tcPr>
                  <w:tcW w:w="1275" w:type="dxa"/>
                  <w:vAlign w:val="center"/>
                </w:tcPr>
                <w:p w14:paraId="64FA2AB0">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900-199-08</w:t>
                  </w:r>
                </w:p>
              </w:tc>
              <w:tc>
                <w:tcPr>
                  <w:tcW w:w="729" w:type="dxa"/>
                  <w:vMerge w:val="restart"/>
                  <w:vAlign w:val="center"/>
                </w:tcPr>
                <w:p w14:paraId="463628A1">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1区</w:t>
                  </w:r>
                </w:p>
              </w:tc>
              <w:tc>
                <w:tcPr>
                  <w:tcW w:w="764" w:type="dxa"/>
                  <w:vMerge w:val="restart"/>
                  <w:vAlign w:val="center"/>
                </w:tcPr>
                <w:p w14:paraId="0D7A72A3">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40m</w:t>
                  </w:r>
                  <w:r>
                    <w:rPr>
                      <w:rFonts w:hint="eastAsia" w:ascii="Times New Roman" w:hAnsi="Times New Roman"/>
                      <w:sz w:val="21"/>
                      <w:szCs w:val="21"/>
                      <w:vertAlign w:val="superscript"/>
                      <w:lang w:val="en-US" w:eastAsia="zh-CN"/>
                    </w:rPr>
                    <w:t>2</w:t>
                  </w:r>
                </w:p>
              </w:tc>
              <w:tc>
                <w:tcPr>
                  <w:tcW w:w="886" w:type="dxa"/>
                  <w:vAlign w:val="center"/>
                </w:tcPr>
                <w:p w14:paraId="18662F06">
                  <w:pPr>
                    <w:jc w:val="center"/>
                    <w:rPr>
                      <w:rFonts w:hint="default" w:ascii="Times New Roman" w:hAnsi="Times New Roman"/>
                      <w:sz w:val="21"/>
                      <w:szCs w:val="21"/>
                      <w:vertAlign w:val="baseline"/>
                      <w:lang w:val="en-US" w:eastAsia="zh-CN"/>
                    </w:rPr>
                  </w:pPr>
                  <w:r>
                    <w:rPr>
                      <w:rFonts w:hint="eastAsia"/>
                      <w:color w:val="auto"/>
                      <w:lang w:val="en-US" w:eastAsia="zh-CN"/>
                    </w:rPr>
                    <w:t>密闭桶装</w:t>
                  </w:r>
                </w:p>
              </w:tc>
              <w:tc>
                <w:tcPr>
                  <w:tcW w:w="886" w:type="dxa"/>
                  <w:vMerge w:val="restart"/>
                  <w:vAlign w:val="center"/>
                </w:tcPr>
                <w:p w14:paraId="048BDF19">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4t</w:t>
                  </w:r>
                </w:p>
              </w:tc>
              <w:tc>
                <w:tcPr>
                  <w:tcW w:w="886" w:type="dxa"/>
                  <w:vMerge w:val="restart"/>
                  <w:vAlign w:val="center"/>
                </w:tcPr>
                <w:p w14:paraId="5D219539">
                  <w:pPr>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eastAsia="宋体" w:cs="Times New Roman"/>
                      <w:color w:val="auto"/>
                      <w:lang w:val="en-US" w:eastAsia="zh-CN"/>
                    </w:rPr>
                    <w:t>15d</w:t>
                  </w:r>
                </w:p>
              </w:tc>
            </w:tr>
            <w:tr w14:paraId="6DDD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64" w:type="dxa"/>
                  <w:vAlign w:val="center"/>
                </w:tcPr>
                <w:p w14:paraId="7328320C">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2</w:t>
                  </w:r>
                </w:p>
              </w:tc>
              <w:tc>
                <w:tcPr>
                  <w:tcW w:w="1200" w:type="dxa"/>
                  <w:vAlign w:val="center"/>
                </w:tcPr>
                <w:p w14:paraId="47B6FB2A">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非燃料类废油液</w:t>
                  </w:r>
                </w:p>
              </w:tc>
              <w:tc>
                <w:tcPr>
                  <w:tcW w:w="878" w:type="dxa"/>
                  <w:vAlign w:val="center"/>
                </w:tcPr>
                <w:p w14:paraId="25BF0D93">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HW08</w:t>
                  </w:r>
                </w:p>
              </w:tc>
              <w:tc>
                <w:tcPr>
                  <w:tcW w:w="1275" w:type="dxa"/>
                  <w:vAlign w:val="center"/>
                </w:tcPr>
                <w:p w14:paraId="6F1308E2">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900-214-08</w:t>
                  </w:r>
                </w:p>
              </w:tc>
              <w:tc>
                <w:tcPr>
                  <w:tcW w:w="729" w:type="dxa"/>
                  <w:vMerge w:val="continue"/>
                  <w:vAlign w:val="center"/>
                </w:tcPr>
                <w:p w14:paraId="7B151445">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p>
              </w:tc>
              <w:tc>
                <w:tcPr>
                  <w:tcW w:w="764" w:type="dxa"/>
                  <w:vMerge w:val="continue"/>
                  <w:vAlign w:val="center"/>
                </w:tcPr>
                <w:p w14:paraId="2CE498AA">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p>
              </w:tc>
              <w:tc>
                <w:tcPr>
                  <w:tcW w:w="886" w:type="dxa"/>
                  <w:vAlign w:val="center"/>
                </w:tcPr>
                <w:p w14:paraId="64B8C214">
                  <w:pPr>
                    <w:jc w:val="center"/>
                    <w:rPr>
                      <w:rFonts w:hint="default" w:ascii="Times New Roman" w:hAnsi="Times New Roman"/>
                      <w:sz w:val="21"/>
                      <w:szCs w:val="21"/>
                      <w:vertAlign w:val="baseline"/>
                      <w:lang w:val="en-US" w:eastAsia="zh-CN"/>
                    </w:rPr>
                  </w:pPr>
                  <w:r>
                    <w:rPr>
                      <w:rFonts w:hint="eastAsia"/>
                      <w:color w:val="auto"/>
                      <w:lang w:val="en-US" w:eastAsia="zh-CN"/>
                    </w:rPr>
                    <w:t>耐腐蚀容器</w:t>
                  </w:r>
                </w:p>
              </w:tc>
              <w:tc>
                <w:tcPr>
                  <w:tcW w:w="886" w:type="dxa"/>
                  <w:vMerge w:val="continue"/>
                  <w:vAlign w:val="center"/>
                </w:tcPr>
                <w:p w14:paraId="0A16D705">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p>
              </w:tc>
              <w:tc>
                <w:tcPr>
                  <w:tcW w:w="886" w:type="dxa"/>
                  <w:vMerge w:val="continue"/>
                  <w:vAlign w:val="center"/>
                </w:tcPr>
                <w:p w14:paraId="5788B2A3">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p>
              </w:tc>
            </w:tr>
            <w:tr w14:paraId="7BB4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Align w:val="center"/>
                </w:tcPr>
                <w:p w14:paraId="015C19C1">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3</w:t>
                  </w:r>
                </w:p>
              </w:tc>
              <w:tc>
                <w:tcPr>
                  <w:tcW w:w="1200" w:type="dxa"/>
                  <w:vAlign w:val="center"/>
                </w:tcPr>
                <w:p w14:paraId="230CE92E">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废机油、燃油滤清器</w:t>
                  </w:r>
                </w:p>
              </w:tc>
              <w:tc>
                <w:tcPr>
                  <w:tcW w:w="878" w:type="dxa"/>
                  <w:vAlign w:val="center"/>
                </w:tcPr>
                <w:p w14:paraId="25678BDA">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HW08</w:t>
                  </w:r>
                </w:p>
              </w:tc>
              <w:tc>
                <w:tcPr>
                  <w:tcW w:w="1275" w:type="dxa"/>
                  <w:vAlign w:val="center"/>
                </w:tcPr>
                <w:p w14:paraId="022C8C9E">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900-249-08</w:t>
                  </w:r>
                </w:p>
              </w:tc>
              <w:tc>
                <w:tcPr>
                  <w:tcW w:w="729" w:type="dxa"/>
                  <w:vMerge w:val="continue"/>
                  <w:vAlign w:val="center"/>
                </w:tcPr>
                <w:p w14:paraId="778276FD">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p>
              </w:tc>
              <w:tc>
                <w:tcPr>
                  <w:tcW w:w="764" w:type="dxa"/>
                  <w:vMerge w:val="continue"/>
                  <w:vAlign w:val="center"/>
                </w:tcPr>
                <w:p w14:paraId="1CF5D4E3">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p>
              </w:tc>
              <w:tc>
                <w:tcPr>
                  <w:tcW w:w="886" w:type="dxa"/>
                  <w:vAlign w:val="center"/>
                </w:tcPr>
                <w:p w14:paraId="45C09467">
                  <w:pPr>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color w:val="auto"/>
                      <w:lang w:val="en-US" w:eastAsia="zh-CN"/>
                    </w:rPr>
                    <w:t>耐腐蚀容器</w:t>
                  </w:r>
                </w:p>
              </w:tc>
              <w:tc>
                <w:tcPr>
                  <w:tcW w:w="886" w:type="dxa"/>
                  <w:vMerge w:val="continue"/>
                  <w:vAlign w:val="center"/>
                </w:tcPr>
                <w:p w14:paraId="3CC3E14B">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p>
              </w:tc>
              <w:tc>
                <w:tcPr>
                  <w:tcW w:w="886" w:type="dxa"/>
                  <w:vMerge w:val="continue"/>
                  <w:vAlign w:val="center"/>
                </w:tcPr>
                <w:p w14:paraId="591A01FC">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p>
              </w:tc>
            </w:tr>
            <w:tr w14:paraId="5D7F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Align w:val="center"/>
                </w:tcPr>
                <w:p w14:paraId="418E80BB">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4</w:t>
                  </w:r>
                </w:p>
              </w:tc>
              <w:tc>
                <w:tcPr>
                  <w:tcW w:w="1200" w:type="dxa"/>
                  <w:vAlign w:val="center"/>
                </w:tcPr>
                <w:p w14:paraId="49BF1AC6">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污水处理站油泥</w:t>
                  </w:r>
                </w:p>
              </w:tc>
              <w:tc>
                <w:tcPr>
                  <w:tcW w:w="878" w:type="dxa"/>
                  <w:vAlign w:val="center"/>
                </w:tcPr>
                <w:p w14:paraId="2A51A56B">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HW08</w:t>
                  </w:r>
                </w:p>
              </w:tc>
              <w:tc>
                <w:tcPr>
                  <w:tcW w:w="1275" w:type="dxa"/>
                  <w:vAlign w:val="center"/>
                </w:tcPr>
                <w:p w14:paraId="3406ED9E">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900-210-08</w:t>
                  </w:r>
                </w:p>
              </w:tc>
              <w:tc>
                <w:tcPr>
                  <w:tcW w:w="729" w:type="dxa"/>
                  <w:vMerge w:val="continue"/>
                  <w:vAlign w:val="center"/>
                </w:tcPr>
                <w:p w14:paraId="44ADD724">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p>
              </w:tc>
              <w:tc>
                <w:tcPr>
                  <w:tcW w:w="764" w:type="dxa"/>
                  <w:vMerge w:val="continue"/>
                  <w:vAlign w:val="center"/>
                </w:tcPr>
                <w:p w14:paraId="604F8316">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p>
              </w:tc>
              <w:tc>
                <w:tcPr>
                  <w:tcW w:w="886" w:type="dxa"/>
                  <w:vAlign w:val="center"/>
                </w:tcPr>
                <w:p w14:paraId="2ADEEEE8">
                  <w:pPr>
                    <w:spacing w:before="0" w:beforeAutospacing="0" w:after="0" w:afterAutospacing="0" w:line="240" w:lineRule="auto"/>
                    <w:jc w:val="center"/>
                    <w:outlineLvl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耐腐蚀容器</w:t>
                  </w:r>
                </w:p>
              </w:tc>
              <w:tc>
                <w:tcPr>
                  <w:tcW w:w="886" w:type="dxa"/>
                  <w:vMerge w:val="continue"/>
                  <w:vAlign w:val="center"/>
                </w:tcPr>
                <w:p w14:paraId="6A56E834">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p>
              </w:tc>
              <w:tc>
                <w:tcPr>
                  <w:tcW w:w="886" w:type="dxa"/>
                  <w:vMerge w:val="continue"/>
                  <w:vAlign w:val="center"/>
                </w:tcPr>
                <w:p w14:paraId="71D4B469">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p>
              </w:tc>
            </w:tr>
            <w:tr w14:paraId="7B7D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Align w:val="center"/>
                </w:tcPr>
                <w:p w14:paraId="09425735">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5</w:t>
                  </w:r>
                </w:p>
              </w:tc>
              <w:tc>
                <w:tcPr>
                  <w:tcW w:w="1200" w:type="dxa"/>
                  <w:vAlign w:val="center"/>
                </w:tcPr>
                <w:p w14:paraId="4FA60A7E">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废油箱</w:t>
                  </w:r>
                </w:p>
              </w:tc>
              <w:tc>
                <w:tcPr>
                  <w:tcW w:w="878" w:type="dxa"/>
                  <w:vAlign w:val="center"/>
                </w:tcPr>
                <w:p w14:paraId="11559C32">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HW08</w:t>
                  </w:r>
                </w:p>
              </w:tc>
              <w:tc>
                <w:tcPr>
                  <w:tcW w:w="1275" w:type="dxa"/>
                  <w:vAlign w:val="center"/>
                </w:tcPr>
                <w:p w14:paraId="1483EB18">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900-249-08</w:t>
                  </w:r>
                </w:p>
              </w:tc>
              <w:tc>
                <w:tcPr>
                  <w:tcW w:w="729" w:type="dxa"/>
                  <w:vAlign w:val="center"/>
                </w:tcPr>
                <w:p w14:paraId="342BDBAC">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2区</w:t>
                  </w:r>
                </w:p>
              </w:tc>
              <w:tc>
                <w:tcPr>
                  <w:tcW w:w="764" w:type="dxa"/>
                  <w:vAlign w:val="center"/>
                </w:tcPr>
                <w:p w14:paraId="30ED6B9D">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80m</w:t>
                  </w:r>
                  <w:r>
                    <w:rPr>
                      <w:rFonts w:hint="eastAsia" w:ascii="Times New Roman" w:hAnsi="Times New Roman"/>
                      <w:sz w:val="21"/>
                      <w:szCs w:val="21"/>
                      <w:vertAlign w:val="superscript"/>
                      <w:lang w:val="en-US" w:eastAsia="zh-CN"/>
                    </w:rPr>
                    <w:t>2</w:t>
                  </w:r>
                </w:p>
              </w:tc>
              <w:tc>
                <w:tcPr>
                  <w:tcW w:w="886" w:type="dxa"/>
                  <w:vAlign w:val="center"/>
                </w:tcPr>
                <w:p w14:paraId="0C3A0703">
                  <w:pPr>
                    <w:spacing w:before="0" w:beforeAutospacing="0" w:after="0" w:afterAutospacing="0" w:line="240" w:lineRule="auto"/>
                    <w:jc w:val="center"/>
                    <w:outlineLvl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耐腐蚀容器</w:t>
                  </w:r>
                </w:p>
              </w:tc>
              <w:tc>
                <w:tcPr>
                  <w:tcW w:w="886" w:type="dxa"/>
                  <w:vAlign w:val="center"/>
                </w:tcPr>
                <w:p w14:paraId="287E16A5">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30t</w:t>
                  </w:r>
                </w:p>
              </w:tc>
              <w:tc>
                <w:tcPr>
                  <w:tcW w:w="886" w:type="dxa"/>
                  <w:vAlign w:val="center"/>
                </w:tcPr>
                <w:p w14:paraId="19055527">
                  <w:pPr>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color w:val="auto"/>
                      <w:lang w:val="en-US" w:eastAsia="zh-CN"/>
                    </w:rPr>
                    <w:t>15d</w:t>
                  </w:r>
                </w:p>
              </w:tc>
            </w:tr>
            <w:tr w14:paraId="24E8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Align w:val="center"/>
                </w:tcPr>
                <w:p w14:paraId="2683C4CA">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6</w:t>
                  </w:r>
                </w:p>
              </w:tc>
              <w:tc>
                <w:tcPr>
                  <w:tcW w:w="1200" w:type="dxa"/>
                  <w:vAlign w:val="center"/>
                </w:tcPr>
                <w:p w14:paraId="4E6CBC96">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废防冻冷却液、废挡风玻璃清洗剂</w:t>
                  </w:r>
                </w:p>
              </w:tc>
              <w:tc>
                <w:tcPr>
                  <w:tcW w:w="878" w:type="dxa"/>
                  <w:vAlign w:val="center"/>
                </w:tcPr>
                <w:p w14:paraId="30C7D869">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HW06</w:t>
                  </w:r>
                </w:p>
              </w:tc>
              <w:tc>
                <w:tcPr>
                  <w:tcW w:w="1275" w:type="dxa"/>
                  <w:vAlign w:val="center"/>
                </w:tcPr>
                <w:p w14:paraId="3DED2137">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900-402-06</w:t>
                  </w:r>
                </w:p>
              </w:tc>
              <w:tc>
                <w:tcPr>
                  <w:tcW w:w="729" w:type="dxa"/>
                  <w:vAlign w:val="center"/>
                </w:tcPr>
                <w:p w14:paraId="6E4221A8">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3区</w:t>
                  </w:r>
                </w:p>
              </w:tc>
              <w:tc>
                <w:tcPr>
                  <w:tcW w:w="764" w:type="dxa"/>
                  <w:vAlign w:val="center"/>
                </w:tcPr>
                <w:p w14:paraId="21051ED6">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30m</w:t>
                  </w:r>
                  <w:r>
                    <w:rPr>
                      <w:rFonts w:hint="eastAsia" w:ascii="Times New Roman" w:hAnsi="Times New Roman"/>
                      <w:sz w:val="21"/>
                      <w:szCs w:val="21"/>
                      <w:vertAlign w:val="superscript"/>
                      <w:lang w:val="en-US" w:eastAsia="zh-CN"/>
                    </w:rPr>
                    <w:t>2</w:t>
                  </w:r>
                </w:p>
              </w:tc>
              <w:tc>
                <w:tcPr>
                  <w:tcW w:w="886" w:type="dxa"/>
                  <w:vAlign w:val="center"/>
                </w:tcPr>
                <w:p w14:paraId="3EDBA082">
                  <w:pPr>
                    <w:spacing w:before="0" w:beforeAutospacing="0" w:after="0" w:afterAutospacing="0" w:line="240" w:lineRule="auto"/>
                    <w:jc w:val="center"/>
                    <w:outlineLvl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耐腐蚀容器</w:t>
                  </w:r>
                </w:p>
              </w:tc>
              <w:tc>
                <w:tcPr>
                  <w:tcW w:w="886" w:type="dxa"/>
                  <w:vAlign w:val="center"/>
                </w:tcPr>
                <w:p w14:paraId="2FECC0C7">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3t</w:t>
                  </w:r>
                </w:p>
              </w:tc>
              <w:tc>
                <w:tcPr>
                  <w:tcW w:w="886" w:type="dxa"/>
                  <w:vAlign w:val="center"/>
                </w:tcPr>
                <w:p w14:paraId="7F13BC11">
                  <w:pPr>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color w:val="auto"/>
                      <w:lang w:val="en-US" w:eastAsia="zh-CN"/>
                    </w:rPr>
                    <w:t>15d</w:t>
                  </w:r>
                </w:p>
              </w:tc>
            </w:tr>
            <w:tr w14:paraId="6893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Align w:val="center"/>
                </w:tcPr>
                <w:p w14:paraId="69DA2CFE">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7</w:t>
                  </w:r>
                </w:p>
              </w:tc>
              <w:tc>
                <w:tcPr>
                  <w:tcW w:w="1200" w:type="dxa"/>
                  <w:vAlign w:val="center"/>
                </w:tcPr>
                <w:p w14:paraId="748798AB">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废铅酸蓄电池</w:t>
                  </w:r>
                </w:p>
              </w:tc>
              <w:tc>
                <w:tcPr>
                  <w:tcW w:w="878" w:type="dxa"/>
                  <w:vAlign w:val="center"/>
                </w:tcPr>
                <w:p w14:paraId="1627A507">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HW31</w:t>
                  </w:r>
                </w:p>
              </w:tc>
              <w:tc>
                <w:tcPr>
                  <w:tcW w:w="1275" w:type="dxa"/>
                  <w:vAlign w:val="center"/>
                </w:tcPr>
                <w:p w14:paraId="5B773FD2">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900-052-31</w:t>
                  </w:r>
                </w:p>
              </w:tc>
              <w:tc>
                <w:tcPr>
                  <w:tcW w:w="729" w:type="dxa"/>
                  <w:vAlign w:val="center"/>
                </w:tcPr>
                <w:p w14:paraId="2903BE9B">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4区</w:t>
                  </w:r>
                </w:p>
              </w:tc>
              <w:tc>
                <w:tcPr>
                  <w:tcW w:w="764" w:type="dxa"/>
                  <w:vAlign w:val="center"/>
                </w:tcPr>
                <w:p w14:paraId="6E24033E">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30m</w:t>
                  </w:r>
                  <w:r>
                    <w:rPr>
                      <w:rFonts w:hint="eastAsia" w:ascii="Times New Roman" w:hAnsi="Times New Roman"/>
                      <w:sz w:val="21"/>
                      <w:szCs w:val="21"/>
                      <w:vertAlign w:val="superscript"/>
                      <w:lang w:val="en-US" w:eastAsia="zh-CN"/>
                    </w:rPr>
                    <w:t>2</w:t>
                  </w:r>
                </w:p>
              </w:tc>
              <w:tc>
                <w:tcPr>
                  <w:tcW w:w="886" w:type="dxa"/>
                  <w:vAlign w:val="center"/>
                </w:tcPr>
                <w:p w14:paraId="702A9EA6">
                  <w:pPr>
                    <w:spacing w:before="0" w:beforeAutospacing="0" w:after="0" w:afterAutospacing="0" w:line="240" w:lineRule="auto"/>
                    <w:jc w:val="center"/>
                    <w:outlineLvl w:val="0"/>
                    <w:rPr>
                      <w:rFonts w:hint="eastAsia" w:ascii="Times New Roman" w:hAnsi="Times New Roman" w:eastAsia="宋体" w:cs="Times New Roman"/>
                      <w:color w:val="auto"/>
                      <w:lang w:val="en-US" w:eastAsia="zh-CN"/>
                    </w:rPr>
                  </w:pPr>
                  <w:r>
                    <w:rPr>
                      <w:rFonts w:hint="eastAsia"/>
                      <w:color w:val="auto"/>
                      <w:lang w:val="en-US" w:eastAsia="zh-CN"/>
                    </w:rPr>
                    <w:t>耐腐蚀容器</w:t>
                  </w:r>
                </w:p>
              </w:tc>
              <w:tc>
                <w:tcPr>
                  <w:tcW w:w="886" w:type="dxa"/>
                  <w:vAlign w:val="center"/>
                </w:tcPr>
                <w:p w14:paraId="4CFE7860">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5t</w:t>
                  </w:r>
                </w:p>
              </w:tc>
              <w:tc>
                <w:tcPr>
                  <w:tcW w:w="886" w:type="dxa"/>
                  <w:vAlign w:val="center"/>
                </w:tcPr>
                <w:p w14:paraId="2C80294E">
                  <w:pPr>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color w:val="auto"/>
                      <w:lang w:val="en-US" w:eastAsia="zh-CN"/>
                    </w:rPr>
                    <w:t>15d</w:t>
                  </w:r>
                </w:p>
              </w:tc>
            </w:tr>
            <w:tr w14:paraId="151B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64" w:type="dxa"/>
                  <w:vAlign w:val="center"/>
                </w:tcPr>
                <w:p w14:paraId="5032A66B">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8</w:t>
                  </w:r>
                </w:p>
              </w:tc>
              <w:tc>
                <w:tcPr>
                  <w:tcW w:w="1200" w:type="dxa"/>
                  <w:vAlign w:val="center"/>
                </w:tcPr>
                <w:p w14:paraId="674B18C4">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废制冷剂</w:t>
                  </w:r>
                </w:p>
              </w:tc>
              <w:tc>
                <w:tcPr>
                  <w:tcW w:w="878" w:type="dxa"/>
                  <w:vAlign w:val="center"/>
                </w:tcPr>
                <w:p w14:paraId="770CF317">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HW49</w:t>
                  </w:r>
                </w:p>
              </w:tc>
              <w:tc>
                <w:tcPr>
                  <w:tcW w:w="1275" w:type="dxa"/>
                  <w:vAlign w:val="center"/>
                </w:tcPr>
                <w:p w14:paraId="01043F5B">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900-999-49</w:t>
                  </w:r>
                </w:p>
              </w:tc>
              <w:tc>
                <w:tcPr>
                  <w:tcW w:w="729" w:type="dxa"/>
                  <w:vAlign w:val="center"/>
                </w:tcPr>
                <w:p w14:paraId="414DB96B">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5区</w:t>
                  </w:r>
                </w:p>
              </w:tc>
              <w:tc>
                <w:tcPr>
                  <w:tcW w:w="764" w:type="dxa"/>
                  <w:vAlign w:val="center"/>
                </w:tcPr>
                <w:p w14:paraId="6F466AE5">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10m</w:t>
                  </w:r>
                  <w:r>
                    <w:rPr>
                      <w:rFonts w:hint="eastAsia" w:ascii="Times New Roman" w:hAnsi="Times New Roman"/>
                      <w:sz w:val="21"/>
                      <w:szCs w:val="21"/>
                      <w:vertAlign w:val="superscript"/>
                      <w:lang w:val="en-US" w:eastAsia="zh-CN"/>
                    </w:rPr>
                    <w:t>2</w:t>
                  </w:r>
                </w:p>
              </w:tc>
              <w:tc>
                <w:tcPr>
                  <w:tcW w:w="886" w:type="dxa"/>
                  <w:vAlign w:val="center"/>
                </w:tcPr>
                <w:p w14:paraId="5B6A359C">
                  <w:pPr>
                    <w:spacing w:before="0" w:beforeAutospacing="0" w:after="0" w:afterAutospacing="0" w:line="240" w:lineRule="auto"/>
                    <w:jc w:val="center"/>
                    <w:outlineLvl w:val="0"/>
                    <w:rPr>
                      <w:rFonts w:hint="default"/>
                      <w:color w:val="auto"/>
                      <w:lang w:val="en-US" w:eastAsia="zh-CN"/>
                    </w:rPr>
                  </w:pPr>
                  <w:r>
                    <w:rPr>
                      <w:rFonts w:hint="eastAsia"/>
                      <w:color w:val="auto"/>
                      <w:lang w:val="en-US" w:eastAsia="zh-CN"/>
                    </w:rPr>
                    <w:t>钢瓶</w:t>
                  </w:r>
                </w:p>
              </w:tc>
              <w:tc>
                <w:tcPr>
                  <w:tcW w:w="886" w:type="dxa"/>
                  <w:vAlign w:val="center"/>
                </w:tcPr>
                <w:p w14:paraId="3D1F7786">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0.2t</w:t>
                  </w:r>
                </w:p>
              </w:tc>
              <w:tc>
                <w:tcPr>
                  <w:tcW w:w="886" w:type="dxa"/>
                  <w:vAlign w:val="center"/>
                </w:tcPr>
                <w:p w14:paraId="66078A4C">
                  <w:pPr>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color w:val="auto"/>
                      <w:lang w:val="en-US" w:eastAsia="zh-CN"/>
                    </w:rPr>
                    <w:t>15d</w:t>
                  </w:r>
                </w:p>
              </w:tc>
            </w:tr>
            <w:tr w14:paraId="46D5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64" w:type="dxa"/>
                  <w:vAlign w:val="center"/>
                </w:tcPr>
                <w:p w14:paraId="51CB5A5E">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9</w:t>
                  </w:r>
                </w:p>
              </w:tc>
              <w:tc>
                <w:tcPr>
                  <w:tcW w:w="1200" w:type="dxa"/>
                  <w:vAlign w:val="center"/>
                </w:tcPr>
                <w:p w14:paraId="2451B6D3">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废液化气罐</w:t>
                  </w:r>
                </w:p>
              </w:tc>
              <w:tc>
                <w:tcPr>
                  <w:tcW w:w="878" w:type="dxa"/>
                  <w:vAlign w:val="center"/>
                </w:tcPr>
                <w:p w14:paraId="190F8605">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HW49</w:t>
                  </w:r>
                </w:p>
              </w:tc>
              <w:tc>
                <w:tcPr>
                  <w:tcW w:w="1275" w:type="dxa"/>
                  <w:vAlign w:val="center"/>
                </w:tcPr>
                <w:p w14:paraId="07C2E07F">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900-041-49</w:t>
                  </w:r>
                </w:p>
              </w:tc>
              <w:tc>
                <w:tcPr>
                  <w:tcW w:w="729" w:type="dxa"/>
                  <w:vMerge w:val="restart"/>
                  <w:vAlign w:val="center"/>
                </w:tcPr>
                <w:p w14:paraId="02DA7FBF">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6区</w:t>
                  </w:r>
                </w:p>
              </w:tc>
              <w:tc>
                <w:tcPr>
                  <w:tcW w:w="764" w:type="dxa"/>
                  <w:vMerge w:val="restart"/>
                  <w:vAlign w:val="center"/>
                </w:tcPr>
                <w:p w14:paraId="34B947B4">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20m</w:t>
                  </w:r>
                  <w:r>
                    <w:rPr>
                      <w:rFonts w:hint="eastAsia" w:ascii="Times New Roman" w:hAnsi="Times New Roman"/>
                      <w:sz w:val="21"/>
                      <w:szCs w:val="21"/>
                      <w:vertAlign w:val="superscript"/>
                      <w:lang w:val="en-US" w:eastAsia="zh-CN"/>
                    </w:rPr>
                    <w:t>2</w:t>
                  </w:r>
                </w:p>
              </w:tc>
              <w:tc>
                <w:tcPr>
                  <w:tcW w:w="886" w:type="dxa"/>
                  <w:vAlign w:val="center"/>
                </w:tcPr>
                <w:p w14:paraId="314FCD62">
                  <w:pPr>
                    <w:jc w:val="center"/>
                    <w:rPr>
                      <w:rFonts w:hint="eastAsia"/>
                      <w:color w:val="auto"/>
                      <w:lang w:val="en-US" w:eastAsia="zh-CN"/>
                    </w:rPr>
                  </w:pPr>
                  <w:r>
                    <w:rPr>
                      <w:rFonts w:hint="eastAsia"/>
                      <w:color w:val="auto"/>
                      <w:lang w:val="en-US" w:eastAsia="zh-CN"/>
                    </w:rPr>
                    <w:t>耐腐蚀容器</w:t>
                  </w:r>
                </w:p>
              </w:tc>
              <w:tc>
                <w:tcPr>
                  <w:tcW w:w="886" w:type="dxa"/>
                  <w:vMerge w:val="restart"/>
                  <w:vAlign w:val="center"/>
                </w:tcPr>
                <w:p w14:paraId="1CC63901">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2t</w:t>
                  </w:r>
                </w:p>
              </w:tc>
              <w:tc>
                <w:tcPr>
                  <w:tcW w:w="886" w:type="dxa"/>
                  <w:vMerge w:val="restart"/>
                  <w:vAlign w:val="center"/>
                </w:tcPr>
                <w:p w14:paraId="0D858E3B">
                  <w:pPr>
                    <w:spacing w:before="0" w:beforeAutospacing="0" w:after="0" w:afterAutospacing="0" w:line="240" w:lineRule="auto"/>
                    <w:jc w:val="center"/>
                    <w:outlineLvl w:val="0"/>
                    <w:rPr>
                      <w:rFonts w:hint="default"/>
                      <w:lang w:val="en-US" w:eastAsia="zh-CN"/>
                    </w:rPr>
                  </w:pPr>
                  <w:r>
                    <w:rPr>
                      <w:rFonts w:hint="eastAsia"/>
                      <w:color w:val="auto"/>
                      <w:lang w:val="en-US" w:eastAsia="zh-CN"/>
                    </w:rPr>
                    <w:t>15d</w:t>
                  </w:r>
                </w:p>
              </w:tc>
            </w:tr>
            <w:tr w14:paraId="06DE8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Align w:val="center"/>
                </w:tcPr>
                <w:p w14:paraId="076B5D48">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10</w:t>
                  </w:r>
                </w:p>
              </w:tc>
              <w:tc>
                <w:tcPr>
                  <w:tcW w:w="1200" w:type="dxa"/>
                  <w:vAlign w:val="center"/>
                </w:tcPr>
                <w:p w14:paraId="584DBFDD">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废电容器</w:t>
                  </w:r>
                </w:p>
              </w:tc>
              <w:tc>
                <w:tcPr>
                  <w:tcW w:w="878" w:type="dxa"/>
                  <w:vAlign w:val="center"/>
                </w:tcPr>
                <w:p w14:paraId="1E611ED7">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HW49</w:t>
                  </w:r>
                </w:p>
              </w:tc>
              <w:tc>
                <w:tcPr>
                  <w:tcW w:w="1275" w:type="dxa"/>
                  <w:vAlign w:val="center"/>
                </w:tcPr>
                <w:p w14:paraId="2F2BA4B2">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900-045-49</w:t>
                  </w:r>
                </w:p>
              </w:tc>
              <w:tc>
                <w:tcPr>
                  <w:tcW w:w="729" w:type="dxa"/>
                  <w:vMerge w:val="continue"/>
                  <w:vAlign w:val="center"/>
                </w:tcPr>
                <w:p w14:paraId="5922CF38">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p>
              </w:tc>
              <w:tc>
                <w:tcPr>
                  <w:tcW w:w="764" w:type="dxa"/>
                  <w:vMerge w:val="continue"/>
                  <w:vAlign w:val="center"/>
                </w:tcPr>
                <w:p w14:paraId="7FEFF001">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p>
              </w:tc>
              <w:tc>
                <w:tcPr>
                  <w:tcW w:w="886" w:type="dxa"/>
                  <w:vAlign w:val="center"/>
                </w:tcPr>
                <w:p w14:paraId="4721EC07">
                  <w:pPr>
                    <w:jc w:val="center"/>
                    <w:rPr>
                      <w:rFonts w:hint="eastAsia"/>
                      <w:color w:val="auto"/>
                      <w:lang w:val="en-US" w:eastAsia="zh-CN"/>
                    </w:rPr>
                  </w:pPr>
                  <w:r>
                    <w:rPr>
                      <w:rFonts w:hint="eastAsia"/>
                      <w:color w:val="auto"/>
                      <w:lang w:val="en-US" w:eastAsia="zh-CN"/>
                    </w:rPr>
                    <w:t>盒装</w:t>
                  </w:r>
                </w:p>
              </w:tc>
              <w:tc>
                <w:tcPr>
                  <w:tcW w:w="886" w:type="dxa"/>
                  <w:vMerge w:val="continue"/>
                  <w:vAlign w:val="center"/>
                </w:tcPr>
                <w:p w14:paraId="688D698B">
                  <w:pPr>
                    <w:pStyle w:val="20"/>
                    <w:spacing w:before="0" w:beforeAutospacing="0" w:after="0" w:afterAutospacing="0" w:line="240" w:lineRule="auto"/>
                    <w:jc w:val="center"/>
                    <w:outlineLvl w:val="0"/>
                    <w:rPr>
                      <w:rFonts w:hint="eastAsia" w:ascii="Times New Roman" w:hAnsi="Times New Roman"/>
                      <w:sz w:val="21"/>
                      <w:szCs w:val="21"/>
                      <w:vertAlign w:val="baseline"/>
                      <w:lang w:val="en-US" w:eastAsia="zh-CN"/>
                    </w:rPr>
                  </w:pPr>
                </w:p>
              </w:tc>
              <w:tc>
                <w:tcPr>
                  <w:tcW w:w="886" w:type="dxa"/>
                  <w:vMerge w:val="continue"/>
                  <w:vAlign w:val="center"/>
                </w:tcPr>
                <w:p w14:paraId="7E1AE4F4">
                  <w:pPr>
                    <w:pStyle w:val="20"/>
                    <w:spacing w:before="0" w:beforeAutospacing="0" w:after="0" w:afterAutospacing="0" w:line="240" w:lineRule="auto"/>
                    <w:jc w:val="center"/>
                    <w:outlineLvl w:val="0"/>
                    <w:rPr>
                      <w:rFonts w:hint="eastAsia" w:ascii="Times New Roman" w:hAnsi="Times New Roman"/>
                      <w:sz w:val="21"/>
                      <w:szCs w:val="21"/>
                      <w:vertAlign w:val="baseline"/>
                      <w:lang w:val="en-US" w:eastAsia="zh-CN"/>
                    </w:rPr>
                  </w:pPr>
                </w:p>
              </w:tc>
            </w:tr>
            <w:tr w14:paraId="5C45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Align w:val="center"/>
                </w:tcPr>
                <w:p w14:paraId="7100B79C">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11</w:t>
                  </w:r>
                </w:p>
              </w:tc>
              <w:tc>
                <w:tcPr>
                  <w:tcW w:w="1200" w:type="dxa"/>
                  <w:vAlign w:val="center"/>
                </w:tcPr>
                <w:p w14:paraId="7ACD8FF5">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废活性炭</w:t>
                  </w:r>
                </w:p>
              </w:tc>
              <w:tc>
                <w:tcPr>
                  <w:tcW w:w="878" w:type="dxa"/>
                  <w:vAlign w:val="center"/>
                </w:tcPr>
                <w:p w14:paraId="1CF20CB1">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HW49</w:t>
                  </w:r>
                </w:p>
              </w:tc>
              <w:tc>
                <w:tcPr>
                  <w:tcW w:w="1275" w:type="dxa"/>
                  <w:vAlign w:val="center"/>
                </w:tcPr>
                <w:p w14:paraId="133DC984">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900-039-49</w:t>
                  </w:r>
                </w:p>
              </w:tc>
              <w:tc>
                <w:tcPr>
                  <w:tcW w:w="729" w:type="dxa"/>
                  <w:vAlign w:val="center"/>
                </w:tcPr>
                <w:p w14:paraId="3B875410">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7区</w:t>
                  </w:r>
                </w:p>
              </w:tc>
              <w:tc>
                <w:tcPr>
                  <w:tcW w:w="764" w:type="dxa"/>
                  <w:vAlign w:val="center"/>
                </w:tcPr>
                <w:p w14:paraId="6166D1C2">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10m</w:t>
                  </w:r>
                  <w:r>
                    <w:rPr>
                      <w:rFonts w:hint="eastAsia" w:ascii="Times New Roman" w:hAnsi="Times New Roman"/>
                      <w:sz w:val="21"/>
                      <w:szCs w:val="21"/>
                      <w:vertAlign w:val="superscript"/>
                      <w:lang w:val="en-US" w:eastAsia="zh-CN"/>
                    </w:rPr>
                    <w:t>2</w:t>
                  </w:r>
                </w:p>
              </w:tc>
              <w:tc>
                <w:tcPr>
                  <w:tcW w:w="886" w:type="dxa"/>
                  <w:vAlign w:val="center"/>
                </w:tcPr>
                <w:p w14:paraId="09F83F2A">
                  <w:pPr>
                    <w:jc w:val="center"/>
                    <w:rPr>
                      <w:rFonts w:hint="default"/>
                      <w:color w:val="auto"/>
                      <w:lang w:val="en-US" w:eastAsia="zh-CN"/>
                    </w:rPr>
                  </w:pPr>
                  <w:r>
                    <w:rPr>
                      <w:rFonts w:hint="eastAsia"/>
                      <w:color w:val="auto"/>
                      <w:lang w:val="en-US" w:eastAsia="zh-CN"/>
                    </w:rPr>
                    <w:t>盒装</w:t>
                  </w:r>
                </w:p>
              </w:tc>
              <w:tc>
                <w:tcPr>
                  <w:tcW w:w="886" w:type="dxa"/>
                  <w:vAlign w:val="center"/>
                </w:tcPr>
                <w:p w14:paraId="581C9CC2">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0.2t</w:t>
                  </w:r>
                </w:p>
              </w:tc>
              <w:tc>
                <w:tcPr>
                  <w:tcW w:w="886" w:type="dxa"/>
                  <w:vAlign w:val="center"/>
                </w:tcPr>
                <w:p w14:paraId="6DBA73A3">
                  <w:pPr>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color w:val="auto"/>
                      <w:lang w:val="en-US" w:eastAsia="zh-CN"/>
                    </w:rPr>
                    <w:t>15d</w:t>
                  </w:r>
                </w:p>
              </w:tc>
            </w:tr>
            <w:tr w14:paraId="5ED0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Align w:val="center"/>
                </w:tcPr>
                <w:p w14:paraId="3AC81539">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12</w:t>
                  </w:r>
                </w:p>
              </w:tc>
              <w:tc>
                <w:tcPr>
                  <w:tcW w:w="1200" w:type="dxa"/>
                  <w:vAlign w:val="center"/>
                </w:tcPr>
                <w:p w14:paraId="049123DA">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废电路板及电子元器件</w:t>
                  </w:r>
                </w:p>
              </w:tc>
              <w:tc>
                <w:tcPr>
                  <w:tcW w:w="878" w:type="dxa"/>
                  <w:vAlign w:val="center"/>
                </w:tcPr>
                <w:p w14:paraId="3BCB9D39">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HW49</w:t>
                  </w:r>
                </w:p>
              </w:tc>
              <w:tc>
                <w:tcPr>
                  <w:tcW w:w="1275" w:type="dxa"/>
                  <w:vAlign w:val="center"/>
                </w:tcPr>
                <w:p w14:paraId="3525001E">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900-045-49</w:t>
                  </w:r>
                </w:p>
              </w:tc>
              <w:tc>
                <w:tcPr>
                  <w:tcW w:w="729" w:type="dxa"/>
                  <w:vAlign w:val="center"/>
                </w:tcPr>
                <w:p w14:paraId="0B8C5CD6">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8区</w:t>
                  </w:r>
                </w:p>
              </w:tc>
              <w:tc>
                <w:tcPr>
                  <w:tcW w:w="764" w:type="dxa"/>
                  <w:vAlign w:val="center"/>
                </w:tcPr>
                <w:p w14:paraId="77B8D1F2">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10m</w:t>
                  </w:r>
                  <w:r>
                    <w:rPr>
                      <w:rFonts w:hint="eastAsia" w:ascii="Times New Roman" w:hAnsi="Times New Roman"/>
                      <w:sz w:val="21"/>
                      <w:szCs w:val="21"/>
                      <w:vertAlign w:val="superscript"/>
                      <w:lang w:val="en-US" w:eastAsia="zh-CN"/>
                    </w:rPr>
                    <w:t>2</w:t>
                  </w:r>
                </w:p>
              </w:tc>
              <w:tc>
                <w:tcPr>
                  <w:tcW w:w="886" w:type="dxa"/>
                  <w:vAlign w:val="center"/>
                </w:tcPr>
                <w:p w14:paraId="23872A64">
                  <w:pPr>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耐腐蚀容器</w:t>
                  </w:r>
                </w:p>
              </w:tc>
              <w:tc>
                <w:tcPr>
                  <w:tcW w:w="886" w:type="dxa"/>
                  <w:vAlign w:val="center"/>
                </w:tcPr>
                <w:p w14:paraId="5196B0FE">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2t</w:t>
                  </w:r>
                </w:p>
              </w:tc>
              <w:tc>
                <w:tcPr>
                  <w:tcW w:w="886" w:type="dxa"/>
                  <w:vAlign w:val="center"/>
                </w:tcPr>
                <w:p w14:paraId="28C8C8A0">
                  <w:pPr>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color w:val="auto"/>
                      <w:lang w:val="en-US" w:eastAsia="zh-CN"/>
                    </w:rPr>
                    <w:t>15d</w:t>
                  </w:r>
                </w:p>
              </w:tc>
            </w:tr>
            <w:tr w14:paraId="10E9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Align w:val="center"/>
                </w:tcPr>
                <w:p w14:paraId="367887FA">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13</w:t>
                  </w:r>
                </w:p>
              </w:tc>
              <w:tc>
                <w:tcPr>
                  <w:tcW w:w="0" w:type="auto"/>
                </w:tcPr>
                <w:p w14:paraId="18072FAC">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废尾气净化器</w:t>
                  </w:r>
                </w:p>
              </w:tc>
              <w:tc>
                <w:tcPr>
                  <w:tcW w:w="878" w:type="dxa"/>
                  <w:vAlign w:val="center"/>
                </w:tcPr>
                <w:p w14:paraId="2D9A0439">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HW50</w:t>
                  </w:r>
                </w:p>
              </w:tc>
              <w:tc>
                <w:tcPr>
                  <w:tcW w:w="1275" w:type="dxa"/>
                  <w:vAlign w:val="center"/>
                </w:tcPr>
                <w:p w14:paraId="395E52BB">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900-049-50</w:t>
                  </w:r>
                </w:p>
              </w:tc>
              <w:tc>
                <w:tcPr>
                  <w:tcW w:w="729" w:type="dxa"/>
                  <w:vAlign w:val="center"/>
                </w:tcPr>
                <w:p w14:paraId="2B486A4B">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9区</w:t>
                  </w:r>
                </w:p>
              </w:tc>
              <w:tc>
                <w:tcPr>
                  <w:tcW w:w="764" w:type="dxa"/>
                  <w:vAlign w:val="center"/>
                </w:tcPr>
                <w:p w14:paraId="18FC4518">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10m</w:t>
                  </w:r>
                  <w:r>
                    <w:rPr>
                      <w:rFonts w:hint="eastAsia" w:ascii="Times New Roman" w:hAnsi="Times New Roman"/>
                      <w:sz w:val="21"/>
                      <w:szCs w:val="21"/>
                      <w:vertAlign w:val="superscript"/>
                      <w:lang w:val="en-US" w:eastAsia="zh-CN"/>
                    </w:rPr>
                    <w:t>2</w:t>
                  </w:r>
                </w:p>
              </w:tc>
              <w:tc>
                <w:tcPr>
                  <w:tcW w:w="0" w:type="auto"/>
                  <w:vAlign w:val="center"/>
                </w:tcPr>
                <w:p w14:paraId="52E7FFB1">
                  <w:pPr>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盒装</w:t>
                  </w:r>
                </w:p>
              </w:tc>
              <w:tc>
                <w:tcPr>
                  <w:tcW w:w="0" w:type="auto"/>
                  <w:vAlign w:val="center"/>
                </w:tcPr>
                <w:p w14:paraId="3DB4FC7E">
                  <w:pPr>
                    <w:pStyle w:val="20"/>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0.5t</w:t>
                  </w:r>
                </w:p>
              </w:tc>
              <w:tc>
                <w:tcPr>
                  <w:tcW w:w="0" w:type="auto"/>
                  <w:vAlign w:val="center"/>
                </w:tcPr>
                <w:p w14:paraId="6CBFC674">
                  <w:pPr>
                    <w:spacing w:before="0" w:beforeAutospacing="0" w:after="0" w:afterAutospacing="0" w:line="240" w:lineRule="auto"/>
                    <w:jc w:val="center"/>
                    <w:outlineLvl w:val="0"/>
                    <w:rPr>
                      <w:rFonts w:hint="default" w:ascii="Times New Roman" w:hAnsi="Times New Roman"/>
                      <w:sz w:val="21"/>
                      <w:szCs w:val="21"/>
                      <w:vertAlign w:val="baseline"/>
                      <w:lang w:val="en-US" w:eastAsia="zh-CN"/>
                    </w:rPr>
                  </w:pPr>
                  <w:r>
                    <w:rPr>
                      <w:rFonts w:hint="eastAsia"/>
                      <w:color w:val="auto"/>
                      <w:lang w:val="en-US" w:eastAsia="zh-CN"/>
                    </w:rPr>
                    <w:t>15d</w:t>
                  </w:r>
                </w:p>
              </w:tc>
            </w:tr>
          </w:tbl>
          <w:p w14:paraId="48EFD5F0">
            <w:pPr>
              <w:pStyle w:val="20"/>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ind w:firstLine="480" w:firstLineChars="200"/>
              <w:jc w:val="both"/>
              <w:textAlignment w:val="auto"/>
              <w:outlineLvl w:val="0"/>
              <w:rPr>
                <w:rFonts w:ascii="Times New Roman" w:hAnsi="Times New Roman"/>
                <w:lang w:val="en-US" w:eastAsia="zh-CN"/>
              </w:rPr>
            </w:pPr>
            <w:r>
              <w:rPr>
                <w:rFonts w:hint="eastAsia" w:ascii="Times New Roman" w:hAnsi="Times New Roman"/>
                <w:lang w:val="en-US" w:eastAsia="zh-CN"/>
              </w:rPr>
              <w:t>根据</w:t>
            </w:r>
            <w:r>
              <w:rPr>
                <w:rFonts w:ascii="Times New Roman" w:hAnsi="Times New Roman"/>
                <w:lang w:val="en-US" w:eastAsia="zh-CN"/>
              </w:rPr>
              <w:t>《危险废物贮存污染控制标准》（GB18579-20</w:t>
            </w:r>
            <w:r>
              <w:rPr>
                <w:rFonts w:hint="eastAsia" w:ascii="Times New Roman" w:hAnsi="Times New Roman"/>
                <w:lang w:val="en-US" w:eastAsia="zh-CN"/>
              </w:rPr>
              <w:t>23</w:t>
            </w:r>
            <w:r>
              <w:rPr>
                <w:rFonts w:ascii="Times New Roman" w:hAnsi="Times New Roman"/>
                <w:lang w:val="en-US" w:eastAsia="zh-CN"/>
              </w:rPr>
              <w:t>）</w:t>
            </w:r>
            <w:r>
              <w:rPr>
                <w:rFonts w:hint="eastAsia" w:ascii="Times New Roman" w:hAnsi="Times New Roman"/>
                <w:lang w:val="en-US" w:eastAsia="zh-CN"/>
              </w:rPr>
              <w:t>可知</w:t>
            </w:r>
            <w:r>
              <w:rPr>
                <w:rFonts w:ascii="Times New Roman" w:hAnsi="Times New Roman"/>
                <w:lang w:val="en-US" w:eastAsia="zh-CN"/>
              </w:rPr>
              <w:t>，</w:t>
            </w:r>
            <w:r>
              <w:rPr>
                <w:rFonts w:hint="eastAsia" w:ascii="Times New Roman" w:hAnsi="Times New Roman"/>
                <w:lang w:val="en-US" w:eastAsia="zh-CN"/>
              </w:rPr>
              <w:t>拟建项目</w:t>
            </w:r>
            <w:r>
              <w:rPr>
                <w:rFonts w:ascii="Times New Roman" w:hAnsi="Times New Roman"/>
                <w:lang w:val="en-US" w:eastAsia="zh-CN"/>
              </w:rPr>
              <w:t>危废暂存库具体</w:t>
            </w:r>
            <w:r>
              <w:rPr>
                <w:rFonts w:hint="eastAsia" w:ascii="Times New Roman" w:hAnsi="Times New Roman"/>
                <w:lang w:val="en-US" w:eastAsia="zh-CN"/>
              </w:rPr>
              <w:t>建设</w:t>
            </w:r>
            <w:r>
              <w:rPr>
                <w:rFonts w:ascii="Times New Roman" w:hAnsi="Times New Roman"/>
                <w:lang w:val="en-US" w:eastAsia="zh-CN"/>
              </w:rPr>
              <w:t>要求如下。</w:t>
            </w:r>
          </w:p>
          <w:p w14:paraId="0B7F0401">
            <w:pPr>
              <w:adjustRightInd w:val="0"/>
              <w:snapToGrid w:val="0"/>
              <w:spacing w:line="360" w:lineRule="auto"/>
              <w:ind w:firstLine="480" w:firstLineChars="200"/>
              <w:rPr>
                <w:sz w:val="24"/>
              </w:rPr>
            </w:pPr>
            <w:r>
              <w:rPr>
                <w:rFonts w:hint="eastAsia" w:ascii="Cambria Math" w:hAnsi="Cambria Math" w:cs="Cambria Math"/>
                <w:sz w:val="24"/>
                <w:lang w:val="en-US" w:eastAsia="zh-CN"/>
              </w:rPr>
              <w:t>①</w:t>
            </w:r>
            <w:r>
              <w:rPr>
                <w:sz w:val="24"/>
              </w:rPr>
              <w:t>危废暂存库实行防腐、防渗、防盗、防风、防晒、防雨淋处理，防渗层为至少1米厚粘土层（渗透系数≤10</w:t>
            </w:r>
            <w:r>
              <w:rPr>
                <w:sz w:val="24"/>
                <w:vertAlign w:val="superscript"/>
              </w:rPr>
              <w:t>-7</w:t>
            </w:r>
            <w:r>
              <w:rPr>
                <w:sz w:val="24"/>
              </w:rPr>
              <w:t>cm/s），或2毫米厚高密度聚乙烯，或至少2毫米厚的其它人工材料，渗透系数≤10</w:t>
            </w:r>
            <w:r>
              <w:rPr>
                <w:sz w:val="24"/>
                <w:vertAlign w:val="superscript"/>
              </w:rPr>
              <w:t>-10</w:t>
            </w:r>
            <w:r>
              <w:rPr>
                <w:sz w:val="24"/>
              </w:rPr>
              <w:t>cm/s。</w:t>
            </w:r>
          </w:p>
          <w:p w14:paraId="4E6DACA6">
            <w:pPr>
              <w:adjustRightInd w:val="0"/>
              <w:snapToGrid w:val="0"/>
              <w:spacing w:line="360" w:lineRule="auto"/>
              <w:ind w:firstLine="480" w:firstLineChars="200"/>
              <w:rPr>
                <w:sz w:val="24"/>
              </w:rPr>
            </w:pPr>
            <w:r>
              <w:rPr>
                <w:rFonts w:hint="eastAsia" w:ascii="Cambria Math" w:hAnsi="Cambria Math" w:cs="Cambria Math"/>
                <w:sz w:val="24"/>
                <w:lang w:val="en-US" w:eastAsia="zh-CN"/>
              </w:rPr>
              <w:t>②</w:t>
            </w:r>
            <w:r>
              <w:rPr>
                <w:sz w:val="24"/>
              </w:rPr>
              <w:t>危废暂存库四周设置围堰。</w:t>
            </w:r>
          </w:p>
          <w:p w14:paraId="44A6A689">
            <w:pPr>
              <w:adjustRightInd w:val="0"/>
              <w:snapToGrid w:val="0"/>
              <w:spacing w:line="360" w:lineRule="auto"/>
              <w:ind w:firstLine="480" w:firstLineChars="200"/>
              <w:rPr>
                <w:sz w:val="24"/>
              </w:rPr>
            </w:pPr>
            <w:r>
              <w:rPr>
                <w:rFonts w:hint="eastAsia"/>
                <w:sz w:val="24"/>
                <w:lang w:val="en-US" w:eastAsia="zh-CN"/>
              </w:rPr>
              <w:t>③</w:t>
            </w:r>
            <w:r>
              <w:rPr>
                <w:sz w:val="24"/>
              </w:rPr>
              <w:t>危废暂存库需按GB15562.2设置警示标志及环境保护图形标志。</w:t>
            </w:r>
          </w:p>
          <w:p w14:paraId="52596358">
            <w:pPr>
              <w:adjustRightInd w:val="0"/>
              <w:snapToGrid w:val="0"/>
              <w:spacing w:line="360" w:lineRule="auto"/>
              <w:ind w:firstLine="480" w:firstLineChars="200"/>
              <w:rPr>
                <w:sz w:val="24"/>
              </w:rPr>
            </w:pPr>
            <w:r>
              <w:rPr>
                <w:rFonts w:hint="eastAsia"/>
                <w:sz w:val="24"/>
                <w:lang w:val="en-US" w:eastAsia="zh-CN"/>
              </w:rPr>
              <w:t>④</w:t>
            </w:r>
            <w:r>
              <w:rPr>
                <w:sz w:val="24"/>
              </w:rPr>
              <w:t>危险废物须妥善地保存于危废暂存库中，严禁露天堆放。</w:t>
            </w:r>
          </w:p>
          <w:p w14:paraId="7700F8ED">
            <w:pPr>
              <w:adjustRightInd w:val="0"/>
              <w:snapToGrid w:val="0"/>
              <w:spacing w:line="360" w:lineRule="auto"/>
              <w:ind w:firstLine="480" w:firstLineChars="200"/>
              <w:rPr>
                <w:sz w:val="24"/>
              </w:rPr>
            </w:pPr>
            <w:r>
              <w:rPr>
                <w:rFonts w:hint="eastAsia" w:ascii="Cambria Math" w:hAnsi="Cambria Math" w:cs="Cambria Math"/>
                <w:sz w:val="24"/>
                <w:lang w:val="en-US" w:eastAsia="zh-CN"/>
              </w:rPr>
              <w:t>⑤</w:t>
            </w:r>
            <w:r>
              <w:rPr>
                <w:sz w:val="24"/>
              </w:rPr>
              <w:t>危险废物应当使用符合标准的容器盛装，盛装危险废物的容器上必须粘贴符合标准的标签。必须定期对所贮存的危险废物包装容器及贮存设施进行检查，发现破损，应及时采取措施清理更换。</w:t>
            </w:r>
          </w:p>
          <w:p w14:paraId="5C42006A">
            <w:pPr>
              <w:adjustRightInd w:val="0"/>
              <w:snapToGrid w:val="0"/>
              <w:spacing w:line="360" w:lineRule="auto"/>
              <w:ind w:firstLine="480" w:firstLineChars="200"/>
              <w:rPr>
                <w:sz w:val="24"/>
              </w:rPr>
            </w:pPr>
            <w:r>
              <w:rPr>
                <w:rFonts w:hint="eastAsia" w:ascii="Cambria Math" w:hAnsi="Cambria Math" w:cs="Cambria Math"/>
                <w:sz w:val="24"/>
                <w:lang w:val="en-US" w:eastAsia="zh-CN"/>
              </w:rPr>
              <w:t>⑥</w:t>
            </w:r>
            <w:r>
              <w:rPr>
                <w:sz w:val="24"/>
              </w:rPr>
              <w:t>配备通讯设备、照明设施、安全防护服装及工具，并设有应急防护设施。建立检查维护制度，发现有损坏可能或异常，应及时采取必要措施，以保障正常运行；详细记录入库的危险废物种类和数量以及其他相关资料并长期保存，供随时查阅。</w:t>
            </w:r>
          </w:p>
          <w:p w14:paraId="3EA07B8A">
            <w:pPr>
              <w:adjustRightInd w:val="0"/>
              <w:snapToGrid w:val="0"/>
              <w:spacing w:line="360" w:lineRule="auto"/>
              <w:ind w:firstLine="480" w:firstLineChars="200"/>
              <w:rPr>
                <w:sz w:val="24"/>
              </w:rPr>
            </w:pPr>
            <w:r>
              <w:rPr>
                <w:rFonts w:hint="eastAsia" w:ascii="Cambria Math" w:hAnsi="Cambria Math" w:cs="Cambria Math"/>
                <w:sz w:val="24"/>
                <w:lang w:val="en-US" w:eastAsia="zh-CN"/>
              </w:rPr>
              <w:t>⑦</w:t>
            </w:r>
            <w:r>
              <w:rPr>
                <w:sz w:val="24"/>
              </w:rPr>
              <w:t>危险废物产生量、拟采取的处置措施及去向应按规定向环境保护主管部门申报，填报危险废物转移联单，按要求进行全过程严格管理和安全处置。</w:t>
            </w:r>
          </w:p>
          <w:p w14:paraId="6982C72B">
            <w:pPr>
              <w:pStyle w:val="20"/>
              <w:spacing w:before="0" w:beforeAutospacing="0" w:after="0" w:afterAutospacing="0" w:line="360" w:lineRule="auto"/>
              <w:jc w:val="both"/>
              <w:outlineLvl w:val="0"/>
              <w:rPr>
                <w:rFonts w:ascii="Times New Roman" w:hAnsi="Times New Roman"/>
                <w:b/>
                <w:bCs/>
              </w:rPr>
            </w:pPr>
            <w:r>
              <w:rPr>
                <w:rFonts w:hint="eastAsia" w:ascii="Times New Roman" w:hAnsi="Times New Roman"/>
                <w:b/>
                <w:bCs/>
              </w:rPr>
              <w:t>4</w:t>
            </w:r>
            <w:r>
              <w:rPr>
                <w:rFonts w:ascii="Times New Roman" w:hAnsi="Times New Roman"/>
                <w:b/>
                <w:bCs/>
              </w:rPr>
              <w:t>.9</w:t>
            </w:r>
            <w:r>
              <w:rPr>
                <w:rFonts w:hint="eastAsia" w:ascii="Times New Roman" w:hAnsi="Times New Roman"/>
                <w:b/>
                <w:bCs/>
              </w:rPr>
              <w:t>营运期地下水、土壤环境影响分析</w:t>
            </w:r>
          </w:p>
          <w:p w14:paraId="51D57066">
            <w:pPr>
              <w:pStyle w:val="20"/>
              <w:spacing w:before="0" w:beforeAutospacing="0" w:after="0" w:afterAutospacing="0" w:line="360" w:lineRule="auto"/>
              <w:jc w:val="both"/>
              <w:outlineLvl w:val="0"/>
              <w:rPr>
                <w:rFonts w:ascii="Times New Roman" w:hAnsi="Times New Roman"/>
                <w:b/>
                <w:bCs/>
              </w:rPr>
            </w:pPr>
            <w:r>
              <w:rPr>
                <w:rFonts w:ascii="Times New Roman" w:hAnsi="Times New Roman"/>
                <w:b/>
                <w:bCs/>
              </w:rPr>
              <w:t>4.9.1</w:t>
            </w:r>
            <w:r>
              <w:rPr>
                <w:rFonts w:hint="eastAsia" w:ascii="Times New Roman" w:hAnsi="Times New Roman"/>
                <w:b/>
                <w:bCs/>
              </w:rPr>
              <w:t>污染源项分析</w:t>
            </w:r>
          </w:p>
          <w:p w14:paraId="4FB2C8B8">
            <w:pPr>
              <w:pStyle w:val="20"/>
              <w:spacing w:before="0" w:beforeAutospacing="0" w:after="0" w:afterAutospacing="0" w:line="360" w:lineRule="auto"/>
              <w:ind w:firstLine="480" w:firstLineChars="200"/>
              <w:jc w:val="both"/>
              <w:outlineLvl w:val="0"/>
              <w:rPr>
                <w:rFonts w:hint="eastAsia" w:ascii="Times New Roman" w:hAnsi="Times New Roman"/>
              </w:rPr>
            </w:pPr>
            <w:r>
              <w:rPr>
                <w:rFonts w:hint="eastAsia" w:ascii="Times New Roman" w:hAnsi="Times New Roman"/>
              </w:rPr>
              <w:t>项目营运期对区域地下水、土壤环境影响途径主要包括：</w:t>
            </w:r>
          </w:p>
          <w:p w14:paraId="66B685D3">
            <w:pPr>
              <w:pStyle w:val="20"/>
              <w:spacing w:before="0" w:beforeAutospacing="0" w:after="0" w:afterAutospacing="0" w:line="360" w:lineRule="auto"/>
              <w:ind w:firstLine="480" w:firstLineChars="200"/>
              <w:jc w:val="both"/>
              <w:outlineLvl w:val="0"/>
              <w:rPr>
                <w:rFonts w:hint="eastAsia" w:ascii="Times New Roman" w:hAnsi="Times New Roman"/>
                <w:bCs/>
                <w:color w:val="000000"/>
              </w:rPr>
            </w:pPr>
            <w:r>
              <w:rPr>
                <w:rFonts w:hint="eastAsia" w:ascii="Times New Roman" w:hAnsi="Times New Roman"/>
                <w:bCs/>
                <w:color w:val="000000"/>
              </w:rPr>
              <w:t>①污水处理站及排水管道防渗层损坏，废水下渗造成地下水、土壤污染；</w:t>
            </w:r>
          </w:p>
          <w:p w14:paraId="2C2F5A86">
            <w:pPr>
              <w:pStyle w:val="20"/>
              <w:spacing w:before="0" w:beforeAutospacing="0" w:after="0" w:afterAutospacing="0" w:line="360" w:lineRule="auto"/>
              <w:ind w:firstLine="480" w:firstLineChars="200"/>
              <w:jc w:val="both"/>
              <w:outlineLvl w:val="0"/>
              <w:rPr>
                <w:rFonts w:hint="eastAsia" w:ascii="Times New Roman" w:hAnsi="Times New Roman"/>
                <w:bCs/>
                <w:color w:val="000000"/>
              </w:rPr>
            </w:pPr>
            <w:r>
              <w:rPr>
                <w:rFonts w:hint="eastAsia" w:ascii="Times New Roman" w:hAnsi="Times New Roman"/>
                <w:bCs/>
                <w:color w:val="000000"/>
              </w:rPr>
              <w:t>②</w:t>
            </w:r>
            <w:r>
              <w:rPr>
                <w:rFonts w:hint="eastAsia" w:ascii="Times New Roman" w:hAnsi="Times New Roman"/>
                <w:bCs/>
                <w:color w:val="000000"/>
                <w:lang w:val="en-US" w:eastAsia="zh-CN"/>
              </w:rPr>
              <w:t>废机动车暂存区、拆解</w:t>
            </w:r>
            <w:r>
              <w:rPr>
                <w:rFonts w:hint="eastAsia" w:ascii="Times New Roman" w:hAnsi="Times New Roman"/>
                <w:bCs/>
                <w:color w:val="000000"/>
              </w:rPr>
              <w:t>车间防渗层损坏，</w:t>
            </w:r>
            <w:r>
              <w:rPr>
                <w:rFonts w:hint="eastAsia" w:ascii="Times New Roman" w:hAnsi="Times New Roman"/>
                <w:bCs/>
                <w:color w:val="000000"/>
                <w:lang w:val="en-US" w:eastAsia="zh-CN"/>
              </w:rPr>
              <w:t>废油液</w:t>
            </w:r>
            <w:r>
              <w:rPr>
                <w:rFonts w:hint="eastAsia" w:ascii="Times New Roman" w:hAnsi="Times New Roman"/>
                <w:bCs/>
                <w:color w:val="000000"/>
              </w:rPr>
              <w:t>下渗造成的地下水、土壤污染；</w:t>
            </w:r>
          </w:p>
          <w:p w14:paraId="77101C13">
            <w:pPr>
              <w:pStyle w:val="20"/>
              <w:spacing w:before="0" w:beforeAutospacing="0" w:after="0" w:afterAutospacing="0" w:line="360" w:lineRule="auto"/>
              <w:ind w:firstLine="480" w:firstLineChars="200"/>
              <w:jc w:val="both"/>
              <w:outlineLvl w:val="0"/>
              <w:rPr>
                <w:rFonts w:hint="eastAsia" w:ascii="Times New Roman" w:hAnsi="Times New Roman"/>
                <w:bCs/>
                <w:color w:val="000000"/>
              </w:rPr>
            </w:pPr>
            <w:r>
              <w:rPr>
                <w:rFonts w:hint="eastAsia" w:ascii="Times New Roman" w:hAnsi="Times New Roman"/>
                <w:bCs/>
                <w:color w:val="000000"/>
              </w:rPr>
              <w:t>③危废暂存库防渗层损坏，</w:t>
            </w:r>
            <w:r>
              <w:rPr>
                <w:rFonts w:hint="eastAsia" w:ascii="Times New Roman" w:hAnsi="Times New Roman"/>
                <w:bCs/>
                <w:color w:val="000000"/>
                <w:lang w:val="en-US" w:eastAsia="zh-CN"/>
              </w:rPr>
              <w:t>危险废物</w:t>
            </w:r>
            <w:r>
              <w:rPr>
                <w:rFonts w:hint="eastAsia" w:ascii="Times New Roman" w:hAnsi="Times New Roman"/>
                <w:bCs/>
                <w:color w:val="000000"/>
              </w:rPr>
              <w:t>下渗造成的土壤、地下水污染。</w:t>
            </w:r>
          </w:p>
          <w:p w14:paraId="2FCD4BBF">
            <w:pPr>
              <w:pStyle w:val="20"/>
              <w:spacing w:before="0" w:beforeAutospacing="0" w:after="0" w:afterAutospacing="0" w:line="360" w:lineRule="auto"/>
              <w:jc w:val="both"/>
              <w:outlineLvl w:val="0"/>
              <w:rPr>
                <w:rFonts w:ascii="Times New Roman" w:hAnsi="Times New Roman"/>
                <w:b/>
                <w:color w:val="000000"/>
              </w:rPr>
            </w:pPr>
            <w:r>
              <w:rPr>
                <w:rFonts w:hint="eastAsia" w:ascii="Times New Roman" w:hAnsi="Times New Roman"/>
                <w:b/>
                <w:color w:val="000000"/>
              </w:rPr>
              <w:t>4</w:t>
            </w:r>
            <w:r>
              <w:rPr>
                <w:rFonts w:ascii="Times New Roman" w:hAnsi="Times New Roman"/>
                <w:b/>
                <w:color w:val="000000"/>
              </w:rPr>
              <w:t>.9.2污染控制措施</w:t>
            </w:r>
          </w:p>
          <w:p w14:paraId="69EEE32F">
            <w:pPr>
              <w:widowControl/>
              <w:spacing w:line="360" w:lineRule="auto"/>
              <w:ind w:firstLine="480" w:firstLineChars="200"/>
              <w:jc w:val="left"/>
              <w:rPr>
                <w:kern w:val="0"/>
                <w:sz w:val="24"/>
                <w:lang w:bidi="ar"/>
              </w:rPr>
            </w:pPr>
            <w:r>
              <w:rPr>
                <w:kern w:val="0"/>
                <w:sz w:val="24"/>
                <w:lang w:bidi="ar"/>
              </w:rPr>
              <w:t>为</w:t>
            </w:r>
            <w:r>
              <w:rPr>
                <w:rFonts w:hint="eastAsia"/>
                <w:kern w:val="0"/>
                <w:sz w:val="24"/>
                <w:lang w:bidi="ar"/>
              </w:rPr>
              <w:t>防止项目营运期</w:t>
            </w:r>
            <w:r>
              <w:rPr>
                <w:kern w:val="0"/>
                <w:sz w:val="24"/>
                <w:lang w:bidi="ar"/>
              </w:rPr>
              <w:t>对地下水造成污染</w:t>
            </w:r>
            <w:r>
              <w:rPr>
                <w:rFonts w:hint="eastAsia"/>
                <w:kern w:val="0"/>
                <w:sz w:val="24"/>
                <w:lang w:bidi="ar"/>
              </w:rPr>
              <w:t>，</w:t>
            </w:r>
            <w:r>
              <w:rPr>
                <w:kern w:val="0"/>
                <w:sz w:val="24"/>
                <w:lang w:bidi="ar"/>
              </w:rPr>
              <w:t>建设单位采取以下防范措施：</w:t>
            </w:r>
          </w:p>
          <w:p w14:paraId="6EA509AA">
            <w:pPr>
              <w:widowControl/>
              <w:spacing w:line="360" w:lineRule="auto"/>
              <w:ind w:firstLine="480" w:firstLineChars="200"/>
              <w:jc w:val="left"/>
            </w:pPr>
            <w:r>
              <w:rPr>
                <w:kern w:val="0"/>
                <w:sz w:val="24"/>
                <w:lang w:bidi="ar"/>
              </w:rPr>
              <w:t xml:space="preserve">（1）源头控制措施 </w:t>
            </w:r>
          </w:p>
          <w:p w14:paraId="217B6306">
            <w:pPr>
              <w:widowControl/>
              <w:spacing w:line="360" w:lineRule="auto"/>
              <w:ind w:firstLine="480" w:firstLineChars="200"/>
              <w:jc w:val="both"/>
              <w:rPr>
                <w:rFonts w:hint="eastAsia" w:ascii="Times New Roman" w:hAnsi="Times New Roman" w:eastAsia="宋体" w:cs="Times New Roman"/>
                <w:kern w:val="0"/>
                <w:sz w:val="24"/>
                <w:lang w:bidi="ar"/>
              </w:rPr>
            </w:pPr>
            <w:r>
              <w:rPr>
                <w:rFonts w:hint="eastAsia" w:ascii="Times New Roman" w:hAnsi="Times New Roman" w:eastAsia="宋体" w:cs="Times New Roman"/>
                <w:kern w:val="0"/>
                <w:sz w:val="24"/>
                <w:lang w:val="en-US" w:eastAsia="zh-CN" w:bidi="ar"/>
              </w:rPr>
              <w:t>严格操作规程，加强员工培训，从源头控制</w:t>
            </w:r>
            <w:r>
              <w:rPr>
                <w:rFonts w:hint="eastAsia" w:ascii="Times New Roman" w:hAnsi="Times New Roman" w:eastAsia="宋体" w:cs="Times New Roman"/>
                <w:kern w:val="0"/>
                <w:sz w:val="24"/>
                <w:lang w:bidi="ar"/>
              </w:rPr>
              <w:t>生产过程中“跑、冒、滴、漏”现象发生。</w:t>
            </w:r>
          </w:p>
          <w:p w14:paraId="0E423636">
            <w:pPr>
              <w:widowControl/>
              <w:spacing w:line="360" w:lineRule="auto"/>
              <w:ind w:firstLine="480" w:firstLineChars="200"/>
              <w:jc w:val="left"/>
            </w:pPr>
            <w:r>
              <w:rPr>
                <w:rFonts w:hint="eastAsia"/>
                <w:kern w:val="0"/>
                <w:sz w:val="24"/>
                <w:lang w:bidi="ar"/>
              </w:rPr>
              <w:t>（</w:t>
            </w:r>
            <w:r>
              <w:rPr>
                <w:kern w:val="0"/>
                <w:sz w:val="24"/>
                <w:lang w:bidi="ar"/>
              </w:rPr>
              <w:t>2）分区防渗措施</w:t>
            </w:r>
          </w:p>
          <w:p w14:paraId="0EF4971E">
            <w:pPr>
              <w:widowControl/>
              <w:spacing w:line="360" w:lineRule="auto"/>
              <w:ind w:firstLine="480" w:firstLineChars="200"/>
              <w:jc w:val="left"/>
              <w:rPr>
                <w:kern w:val="0"/>
                <w:sz w:val="24"/>
                <w:lang w:bidi="ar"/>
              </w:rPr>
            </w:pPr>
            <w:r>
              <w:rPr>
                <w:kern w:val="0"/>
                <w:sz w:val="24"/>
                <w:lang w:bidi="ar"/>
              </w:rPr>
              <w:t>根据厂区可能泄漏至地面区域污染物的性质和生产单元的构筑方式，将厂区划分为重点</w:t>
            </w:r>
            <w:r>
              <w:rPr>
                <w:rFonts w:hint="eastAsia"/>
                <w:kern w:val="0"/>
                <w:sz w:val="24"/>
                <w:lang w:val="en-US" w:eastAsia="zh-CN" w:bidi="ar"/>
              </w:rPr>
              <w:t>防渗区</w:t>
            </w:r>
            <w:r>
              <w:rPr>
                <w:kern w:val="0"/>
                <w:sz w:val="24"/>
                <w:lang w:bidi="ar"/>
              </w:rPr>
              <w:t>、一般防渗区和简单防渗区。针对不同的区域提出相应的防渗要求。</w:t>
            </w:r>
          </w:p>
          <w:p w14:paraId="784F3E25">
            <w:pPr>
              <w:widowControl/>
              <w:spacing w:line="360" w:lineRule="auto"/>
              <w:ind w:firstLine="480" w:firstLineChars="200"/>
              <w:jc w:val="left"/>
              <w:rPr>
                <w:kern w:val="0"/>
                <w:sz w:val="24"/>
                <w:lang w:bidi="ar"/>
              </w:rPr>
            </w:pPr>
            <w:r>
              <w:rPr>
                <w:rFonts w:hint="eastAsia" w:ascii="Cambria Math" w:hAnsi="Cambria Math" w:cs="Cambria Math"/>
                <w:kern w:val="0"/>
                <w:sz w:val="24"/>
                <w:lang w:val="en-US" w:eastAsia="zh-CN" w:bidi="ar"/>
              </w:rPr>
              <w:t>①</w:t>
            </w:r>
            <w:r>
              <w:rPr>
                <w:kern w:val="0"/>
                <w:sz w:val="24"/>
                <w:lang w:bidi="ar"/>
              </w:rPr>
              <w:t>重点防渗区</w:t>
            </w:r>
          </w:p>
          <w:p w14:paraId="72D2D09B">
            <w:pPr>
              <w:widowControl/>
              <w:spacing w:line="360" w:lineRule="auto"/>
              <w:ind w:firstLine="480" w:firstLineChars="200"/>
              <w:rPr>
                <w:kern w:val="0"/>
                <w:sz w:val="24"/>
                <w:lang w:bidi="ar"/>
              </w:rPr>
            </w:pPr>
            <w:r>
              <w:rPr>
                <w:kern w:val="0"/>
                <w:sz w:val="24"/>
                <w:lang w:bidi="ar"/>
              </w:rPr>
              <w:t>重点防渗区包括危废暂存库、污水处理站</w:t>
            </w:r>
            <w:r>
              <w:rPr>
                <w:rFonts w:hint="eastAsia"/>
                <w:kern w:val="0"/>
                <w:sz w:val="24"/>
                <w:lang w:bidi="ar"/>
              </w:rPr>
              <w:t>、</w:t>
            </w:r>
            <w:r>
              <w:rPr>
                <w:rFonts w:hint="eastAsia"/>
                <w:kern w:val="0"/>
                <w:sz w:val="24"/>
                <w:lang w:val="en-US" w:eastAsia="zh-CN" w:bidi="ar"/>
              </w:rPr>
              <w:t>初期雨水收集池、应急事故</w:t>
            </w:r>
            <w:r>
              <w:rPr>
                <w:rFonts w:hint="eastAsia"/>
                <w:kern w:val="0"/>
                <w:sz w:val="24"/>
                <w:lang w:bidi="ar"/>
              </w:rPr>
              <w:t>池</w:t>
            </w:r>
            <w:r>
              <w:rPr>
                <w:kern w:val="0"/>
                <w:sz w:val="24"/>
                <w:lang w:bidi="ar"/>
              </w:rPr>
              <w:t>。等效黏土防渗层Mb≥6.0m，K≤1×10</w:t>
            </w:r>
            <w:r>
              <w:rPr>
                <w:kern w:val="0"/>
                <w:sz w:val="24"/>
                <w:vertAlign w:val="superscript"/>
                <w:lang w:bidi="ar"/>
              </w:rPr>
              <w:t>-7</w:t>
            </w:r>
            <w:r>
              <w:rPr>
                <w:kern w:val="0"/>
                <w:sz w:val="24"/>
                <w:lang w:bidi="ar"/>
              </w:rPr>
              <w:t>cm/s。危废暂存</w:t>
            </w:r>
            <w:r>
              <w:rPr>
                <w:rFonts w:hint="eastAsia"/>
                <w:kern w:val="0"/>
                <w:sz w:val="24"/>
                <w:lang w:val="en-US" w:eastAsia="zh-CN" w:bidi="ar"/>
              </w:rPr>
              <w:t>库</w:t>
            </w:r>
            <w:r>
              <w:rPr>
                <w:kern w:val="0"/>
                <w:sz w:val="24"/>
                <w:lang w:bidi="ar"/>
              </w:rPr>
              <w:t>地面及裙脚采用约20cm厚的水泥防渗混凝土基础，加设厚度1.5mm以上的糙面高密度聚乙烯防渗涂层，上方铺设防腐防渗环氧树脂漆。污水处理站、</w:t>
            </w:r>
            <w:r>
              <w:rPr>
                <w:rFonts w:hint="eastAsia"/>
                <w:kern w:val="0"/>
                <w:sz w:val="24"/>
                <w:lang w:val="en-US" w:eastAsia="zh-CN" w:bidi="ar"/>
              </w:rPr>
              <w:t>初期雨水收集池、应急事故</w:t>
            </w:r>
            <w:r>
              <w:rPr>
                <w:rFonts w:hint="eastAsia"/>
                <w:kern w:val="0"/>
                <w:sz w:val="24"/>
                <w:lang w:bidi="ar"/>
              </w:rPr>
              <w:t>池</w:t>
            </w:r>
            <w:r>
              <w:rPr>
                <w:kern w:val="0"/>
                <w:sz w:val="24"/>
                <w:lang w:bidi="ar"/>
              </w:rPr>
              <w:t>池底、池壁采用约20cm厚的钢筋混凝土基础，加设厚度1.5mm以上的糙面高密度聚乙烯防渗涂层。</w:t>
            </w:r>
          </w:p>
          <w:p w14:paraId="107FFDAC">
            <w:pPr>
              <w:widowControl/>
              <w:spacing w:line="360" w:lineRule="auto"/>
              <w:ind w:firstLine="480" w:firstLineChars="200"/>
              <w:rPr>
                <w:kern w:val="0"/>
                <w:sz w:val="24"/>
                <w:lang w:bidi="ar"/>
              </w:rPr>
            </w:pPr>
            <w:r>
              <w:rPr>
                <w:rFonts w:hint="eastAsia" w:ascii="Cambria Math" w:hAnsi="Cambria Math" w:cs="Cambria Math"/>
                <w:kern w:val="0"/>
                <w:sz w:val="24"/>
                <w:lang w:val="en-US" w:eastAsia="zh-CN" w:bidi="ar"/>
              </w:rPr>
              <w:t>②</w:t>
            </w:r>
            <w:r>
              <w:rPr>
                <w:kern w:val="0"/>
                <w:sz w:val="24"/>
                <w:lang w:bidi="ar"/>
              </w:rPr>
              <w:t>一般防渗区</w:t>
            </w:r>
          </w:p>
          <w:p w14:paraId="292B18D1">
            <w:pPr>
              <w:widowControl/>
              <w:spacing w:line="360" w:lineRule="auto"/>
              <w:ind w:firstLine="480" w:firstLineChars="200"/>
              <w:rPr>
                <w:kern w:val="0"/>
                <w:sz w:val="24"/>
                <w:lang w:bidi="ar"/>
              </w:rPr>
            </w:pPr>
            <w:r>
              <w:rPr>
                <w:kern w:val="0"/>
                <w:sz w:val="24"/>
                <w:lang w:bidi="ar"/>
              </w:rPr>
              <w:t>一般防渗区</w:t>
            </w:r>
            <w:r>
              <w:rPr>
                <w:rFonts w:hint="eastAsia"/>
                <w:kern w:val="0"/>
                <w:sz w:val="24"/>
                <w:lang w:val="en-US" w:eastAsia="zh-CN" w:bidi="ar"/>
              </w:rPr>
              <w:t>包括生产车间、报废机动车暂存区、</w:t>
            </w:r>
            <w:r>
              <w:rPr>
                <w:kern w:val="0"/>
                <w:sz w:val="24"/>
                <w:lang w:bidi="ar"/>
              </w:rPr>
              <w:t>一般固废暂存库等，等效黏土防渗层Mb≥1.50m，K≤1×10</w:t>
            </w:r>
            <w:r>
              <w:rPr>
                <w:kern w:val="0"/>
                <w:sz w:val="24"/>
                <w:vertAlign w:val="superscript"/>
                <w:lang w:bidi="ar"/>
              </w:rPr>
              <w:t>-7</w:t>
            </w:r>
            <w:r>
              <w:rPr>
                <w:kern w:val="0"/>
                <w:sz w:val="24"/>
                <w:lang w:bidi="ar"/>
              </w:rPr>
              <w:t>cm/s，采用水泥混凝土基础，铺设防腐防渗环氧树脂漆。</w:t>
            </w:r>
          </w:p>
          <w:p w14:paraId="08185D1D">
            <w:pPr>
              <w:widowControl/>
              <w:spacing w:line="360" w:lineRule="auto"/>
              <w:ind w:firstLine="480" w:firstLineChars="200"/>
              <w:rPr>
                <w:kern w:val="0"/>
                <w:sz w:val="24"/>
                <w:lang w:bidi="ar"/>
              </w:rPr>
            </w:pPr>
            <w:r>
              <w:rPr>
                <w:rFonts w:hint="eastAsia"/>
                <w:kern w:val="0"/>
                <w:sz w:val="24"/>
                <w:lang w:val="en-US" w:eastAsia="zh-CN" w:bidi="ar"/>
              </w:rPr>
              <w:t>③</w:t>
            </w:r>
            <w:r>
              <w:rPr>
                <w:kern w:val="0"/>
                <w:sz w:val="24"/>
                <w:lang w:bidi="ar"/>
              </w:rPr>
              <w:t>简单防渗区</w:t>
            </w:r>
          </w:p>
          <w:p w14:paraId="5A6E074E">
            <w:pPr>
              <w:widowControl/>
              <w:spacing w:line="360" w:lineRule="auto"/>
              <w:ind w:firstLine="480" w:firstLineChars="200"/>
              <w:rPr>
                <w:kern w:val="0"/>
                <w:sz w:val="24"/>
                <w:lang w:bidi="ar"/>
              </w:rPr>
            </w:pPr>
            <w:r>
              <w:rPr>
                <w:kern w:val="0"/>
                <w:sz w:val="24"/>
                <w:lang w:bidi="ar"/>
              </w:rPr>
              <w:t>简单防渗区</w:t>
            </w:r>
            <w:r>
              <w:rPr>
                <w:rFonts w:hint="eastAsia"/>
                <w:kern w:val="0"/>
                <w:sz w:val="24"/>
                <w:lang w:val="en-US" w:eastAsia="zh-CN" w:bidi="ar"/>
              </w:rPr>
              <w:t>为办公用房</w:t>
            </w:r>
            <w:r>
              <w:rPr>
                <w:kern w:val="0"/>
                <w:sz w:val="24"/>
                <w:lang w:bidi="ar"/>
              </w:rPr>
              <w:t>，采用水泥硬化处理。具体分区防渗</w:t>
            </w:r>
            <w:r>
              <w:rPr>
                <w:bCs/>
                <w:sz w:val="24"/>
              </w:rPr>
              <w:t>见</w:t>
            </w:r>
            <w:r>
              <w:rPr>
                <w:rFonts w:hint="eastAsia"/>
                <w:bCs/>
                <w:sz w:val="24"/>
                <w:lang w:val="en-US" w:eastAsia="zh-CN"/>
              </w:rPr>
              <w:t>下表</w:t>
            </w:r>
            <w:r>
              <w:rPr>
                <w:kern w:val="0"/>
                <w:sz w:val="24"/>
                <w:lang w:bidi="ar"/>
              </w:rPr>
              <w:t>。</w:t>
            </w:r>
          </w:p>
          <w:p w14:paraId="29F5150E">
            <w:pPr>
              <w:widowControl/>
              <w:spacing w:line="240" w:lineRule="atLeast"/>
              <w:ind w:firstLine="422" w:firstLineChars="200"/>
              <w:jc w:val="center"/>
              <w:rPr>
                <w:b/>
                <w:bCs/>
                <w:kern w:val="0"/>
                <w:szCs w:val="21"/>
                <w:lang w:bidi="ar"/>
              </w:rPr>
            </w:pPr>
            <w:r>
              <w:rPr>
                <w:b/>
                <w:bCs/>
                <w:kern w:val="0"/>
                <w:szCs w:val="21"/>
                <w:lang w:bidi="ar"/>
              </w:rPr>
              <w:t>表4-</w:t>
            </w:r>
            <w:r>
              <w:rPr>
                <w:rFonts w:hint="eastAsia"/>
                <w:b/>
                <w:bCs/>
                <w:kern w:val="0"/>
                <w:szCs w:val="21"/>
                <w:lang w:val="en-US" w:eastAsia="zh-CN" w:bidi="ar"/>
              </w:rPr>
              <w:t>21</w:t>
            </w:r>
            <w:r>
              <w:rPr>
                <w:b/>
                <w:bCs/>
                <w:kern w:val="0"/>
                <w:szCs w:val="21"/>
                <w:lang w:bidi="ar"/>
              </w:rPr>
              <w:t xml:space="preserve">  各污染防治区防渗设计要求一览表</w:t>
            </w:r>
          </w:p>
          <w:tbl>
            <w:tblPr>
              <w:tblStyle w:val="24"/>
              <w:tblW w:w="7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2"/>
              <w:gridCol w:w="1129"/>
              <w:gridCol w:w="2692"/>
              <w:gridCol w:w="1375"/>
            </w:tblGrid>
            <w:tr w14:paraId="2DE86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2762" w:type="dxa"/>
                  <w:noWrap w:val="0"/>
                  <w:vAlign w:val="center"/>
                </w:tcPr>
                <w:p w14:paraId="17F126FA">
                  <w:pPr>
                    <w:widowControl/>
                    <w:jc w:val="center"/>
                    <w:rPr>
                      <w:b/>
                      <w:bCs/>
                      <w:kern w:val="0"/>
                      <w:szCs w:val="21"/>
                      <w:lang w:bidi="ar"/>
                    </w:rPr>
                  </w:pPr>
                  <w:r>
                    <w:rPr>
                      <w:b/>
                      <w:bCs/>
                      <w:kern w:val="0"/>
                      <w:szCs w:val="21"/>
                      <w:lang w:bidi="ar"/>
                    </w:rPr>
                    <w:t>防渗区域</w:t>
                  </w:r>
                </w:p>
              </w:tc>
              <w:tc>
                <w:tcPr>
                  <w:tcW w:w="1129" w:type="dxa"/>
                  <w:noWrap w:val="0"/>
                  <w:vAlign w:val="center"/>
                </w:tcPr>
                <w:p w14:paraId="05726842">
                  <w:pPr>
                    <w:widowControl/>
                    <w:jc w:val="center"/>
                    <w:rPr>
                      <w:b/>
                      <w:bCs/>
                      <w:kern w:val="0"/>
                      <w:szCs w:val="21"/>
                      <w:lang w:bidi="ar"/>
                    </w:rPr>
                  </w:pPr>
                  <w:r>
                    <w:rPr>
                      <w:b/>
                      <w:bCs/>
                      <w:kern w:val="0"/>
                      <w:szCs w:val="21"/>
                      <w:lang w:bidi="ar"/>
                    </w:rPr>
                    <w:t>防渗分区</w:t>
                  </w:r>
                </w:p>
              </w:tc>
              <w:tc>
                <w:tcPr>
                  <w:tcW w:w="2692" w:type="dxa"/>
                  <w:noWrap w:val="0"/>
                  <w:vAlign w:val="center"/>
                </w:tcPr>
                <w:p w14:paraId="580FCF16">
                  <w:pPr>
                    <w:widowControl/>
                    <w:jc w:val="center"/>
                    <w:rPr>
                      <w:b/>
                      <w:bCs/>
                      <w:kern w:val="0"/>
                      <w:szCs w:val="21"/>
                      <w:lang w:bidi="ar"/>
                    </w:rPr>
                  </w:pPr>
                  <w:r>
                    <w:rPr>
                      <w:b/>
                      <w:bCs/>
                      <w:kern w:val="0"/>
                      <w:szCs w:val="21"/>
                      <w:lang w:bidi="ar"/>
                    </w:rPr>
                    <w:t>防渗原则</w:t>
                  </w:r>
                </w:p>
              </w:tc>
              <w:tc>
                <w:tcPr>
                  <w:tcW w:w="1375" w:type="dxa"/>
                  <w:noWrap w:val="0"/>
                  <w:vAlign w:val="center"/>
                </w:tcPr>
                <w:p w14:paraId="38F359EA">
                  <w:pPr>
                    <w:widowControl/>
                    <w:jc w:val="center"/>
                    <w:rPr>
                      <w:b/>
                      <w:bCs/>
                      <w:kern w:val="0"/>
                      <w:szCs w:val="21"/>
                      <w:lang w:bidi="ar"/>
                    </w:rPr>
                  </w:pPr>
                  <w:r>
                    <w:rPr>
                      <w:b/>
                      <w:bCs/>
                      <w:kern w:val="0"/>
                      <w:szCs w:val="21"/>
                      <w:lang w:bidi="ar"/>
                    </w:rPr>
                    <w:t>防渗区域</w:t>
                  </w:r>
                </w:p>
              </w:tc>
            </w:tr>
            <w:tr w14:paraId="74641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2" w:type="dxa"/>
                  <w:noWrap w:val="0"/>
                  <w:vAlign w:val="center"/>
                </w:tcPr>
                <w:p w14:paraId="47AD5450">
                  <w:pPr>
                    <w:widowControl/>
                    <w:jc w:val="center"/>
                    <w:rPr>
                      <w:kern w:val="0"/>
                      <w:szCs w:val="21"/>
                      <w:lang w:bidi="ar"/>
                    </w:rPr>
                  </w:pPr>
                  <w:r>
                    <w:rPr>
                      <w:kern w:val="0"/>
                      <w:szCs w:val="21"/>
                      <w:lang w:bidi="ar"/>
                    </w:rPr>
                    <w:t>危废暂存库、污水处理站、</w:t>
                  </w:r>
                  <w:r>
                    <w:rPr>
                      <w:rFonts w:hint="eastAsia"/>
                      <w:kern w:val="0"/>
                      <w:szCs w:val="21"/>
                      <w:lang w:val="en-US" w:eastAsia="zh-CN" w:bidi="ar"/>
                    </w:rPr>
                    <w:t>初期雨水收集池、应急事故</w:t>
                  </w:r>
                  <w:r>
                    <w:rPr>
                      <w:rFonts w:hint="eastAsia"/>
                      <w:kern w:val="0"/>
                      <w:szCs w:val="21"/>
                      <w:lang w:bidi="ar"/>
                    </w:rPr>
                    <w:t>池</w:t>
                  </w:r>
                </w:p>
              </w:tc>
              <w:tc>
                <w:tcPr>
                  <w:tcW w:w="1129" w:type="dxa"/>
                  <w:noWrap w:val="0"/>
                  <w:vAlign w:val="center"/>
                </w:tcPr>
                <w:p w14:paraId="0AF2406B">
                  <w:pPr>
                    <w:widowControl/>
                    <w:jc w:val="center"/>
                    <w:rPr>
                      <w:kern w:val="0"/>
                      <w:szCs w:val="21"/>
                      <w:lang w:bidi="ar"/>
                    </w:rPr>
                  </w:pPr>
                  <w:r>
                    <w:rPr>
                      <w:kern w:val="0"/>
                      <w:szCs w:val="21"/>
                      <w:lang w:bidi="ar"/>
                    </w:rPr>
                    <w:t>重点防渗</w:t>
                  </w:r>
                </w:p>
              </w:tc>
              <w:tc>
                <w:tcPr>
                  <w:tcW w:w="2692" w:type="dxa"/>
                  <w:noWrap w:val="0"/>
                  <w:vAlign w:val="center"/>
                </w:tcPr>
                <w:p w14:paraId="1C559FF3">
                  <w:pPr>
                    <w:widowControl/>
                    <w:jc w:val="center"/>
                    <w:rPr>
                      <w:kern w:val="0"/>
                      <w:szCs w:val="21"/>
                      <w:lang w:bidi="ar"/>
                    </w:rPr>
                  </w:pPr>
                  <w:r>
                    <w:rPr>
                      <w:kern w:val="0"/>
                      <w:szCs w:val="21"/>
                      <w:lang w:bidi="ar"/>
                    </w:rPr>
                    <w:t>等效黏土防渗层Mb≥6.0m，K≤1×10</w:t>
                  </w:r>
                  <w:r>
                    <w:rPr>
                      <w:kern w:val="0"/>
                      <w:szCs w:val="21"/>
                      <w:vertAlign w:val="superscript"/>
                      <w:lang w:bidi="ar"/>
                    </w:rPr>
                    <w:t>-7</w:t>
                  </w:r>
                  <w:r>
                    <w:rPr>
                      <w:kern w:val="0"/>
                      <w:szCs w:val="21"/>
                      <w:lang w:bidi="ar"/>
                    </w:rPr>
                    <w:t>cm/s；或参照GB18598执行</w:t>
                  </w:r>
                </w:p>
              </w:tc>
              <w:tc>
                <w:tcPr>
                  <w:tcW w:w="1375" w:type="dxa"/>
                  <w:noWrap w:val="0"/>
                  <w:vAlign w:val="center"/>
                </w:tcPr>
                <w:p w14:paraId="57100176">
                  <w:pPr>
                    <w:widowControl/>
                    <w:jc w:val="center"/>
                    <w:rPr>
                      <w:kern w:val="0"/>
                      <w:szCs w:val="21"/>
                      <w:lang w:bidi="ar"/>
                    </w:rPr>
                  </w:pPr>
                  <w:r>
                    <w:rPr>
                      <w:kern w:val="0"/>
                      <w:szCs w:val="21"/>
                      <w:lang w:bidi="ar"/>
                    </w:rPr>
                    <w:t>地面、裙脚、水池池底及池壁</w:t>
                  </w:r>
                </w:p>
              </w:tc>
            </w:tr>
            <w:tr w14:paraId="052D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2762" w:type="dxa"/>
                  <w:noWrap w:val="0"/>
                  <w:vAlign w:val="center"/>
                </w:tcPr>
                <w:p w14:paraId="0CC2F92B">
                  <w:pPr>
                    <w:widowControl/>
                    <w:jc w:val="center"/>
                    <w:rPr>
                      <w:kern w:val="0"/>
                      <w:szCs w:val="21"/>
                      <w:lang w:bidi="ar"/>
                    </w:rPr>
                  </w:pPr>
                  <w:r>
                    <w:rPr>
                      <w:rFonts w:hint="eastAsia"/>
                      <w:kern w:val="0"/>
                      <w:szCs w:val="21"/>
                      <w:lang w:val="en-US" w:eastAsia="zh-CN" w:bidi="ar"/>
                    </w:rPr>
                    <w:t>生产</w:t>
                  </w:r>
                  <w:r>
                    <w:rPr>
                      <w:rFonts w:hint="eastAsia"/>
                      <w:kern w:val="0"/>
                      <w:szCs w:val="21"/>
                      <w:lang w:bidi="ar"/>
                    </w:rPr>
                    <w:t>车间</w:t>
                  </w:r>
                  <w:r>
                    <w:rPr>
                      <w:kern w:val="0"/>
                      <w:szCs w:val="21"/>
                      <w:lang w:bidi="ar"/>
                    </w:rPr>
                    <w:t>、</w:t>
                  </w:r>
                  <w:r>
                    <w:rPr>
                      <w:rFonts w:hint="eastAsia"/>
                      <w:kern w:val="0"/>
                      <w:szCs w:val="21"/>
                      <w:lang w:val="en-US" w:eastAsia="zh-CN" w:bidi="ar"/>
                    </w:rPr>
                    <w:t>报废机动车暂存区</w:t>
                  </w:r>
                  <w:r>
                    <w:rPr>
                      <w:rFonts w:hint="eastAsia"/>
                      <w:kern w:val="0"/>
                      <w:szCs w:val="21"/>
                      <w:lang w:bidi="ar"/>
                    </w:rPr>
                    <w:t>、</w:t>
                  </w:r>
                  <w:r>
                    <w:rPr>
                      <w:kern w:val="0"/>
                      <w:szCs w:val="21"/>
                      <w:lang w:bidi="ar"/>
                    </w:rPr>
                    <w:t>一般固废暂存库</w:t>
                  </w:r>
                </w:p>
              </w:tc>
              <w:tc>
                <w:tcPr>
                  <w:tcW w:w="1129" w:type="dxa"/>
                  <w:noWrap w:val="0"/>
                  <w:vAlign w:val="center"/>
                </w:tcPr>
                <w:p w14:paraId="0A8FAC0F">
                  <w:pPr>
                    <w:widowControl/>
                    <w:jc w:val="center"/>
                    <w:rPr>
                      <w:kern w:val="0"/>
                      <w:szCs w:val="21"/>
                      <w:lang w:bidi="ar"/>
                    </w:rPr>
                  </w:pPr>
                  <w:r>
                    <w:rPr>
                      <w:kern w:val="0"/>
                      <w:szCs w:val="21"/>
                      <w:lang w:bidi="ar"/>
                    </w:rPr>
                    <w:t>一般防渗</w:t>
                  </w:r>
                </w:p>
              </w:tc>
              <w:tc>
                <w:tcPr>
                  <w:tcW w:w="2692" w:type="dxa"/>
                  <w:noWrap w:val="0"/>
                  <w:vAlign w:val="center"/>
                </w:tcPr>
                <w:p w14:paraId="61378E8D">
                  <w:pPr>
                    <w:widowControl/>
                    <w:jc w:val="center"/>
                  </w:pPr>
                  <w:r>
                    <w:t>等效黏土防渗层Mb≥1.5m，K≤1×10</w:t>
                  </w:r>
                  <w:r>
                    <w:rPr>
                      <w:vertAlign w:val="superscript"/>
                    </w:rPr>
                    <w:t>-7</w:t>
                  </w:r>
                  <w:r>
                    <w:t>cm/s；或参照GB16889执行</w:t>
                  </w:r>
                </w:p>
              </w:tc>
              <w:tc>
                <w:tcPr>
                  <w:tcW w:w="1375" w:type="dxa"/>
                  <w:noWrap w:val="0"/>
                  <w:vAlign w:val="center"/>
                </w:tcPr>
                <w:p w14:paraId="0B23ACEB">
                  <w:pPr>
                    <w:widowControl/>
                    <w:jc w:val="center"/>
                    <w:rPr>
                      <w:kern w:val="0"/>
                      <w:szCs w:val="21"/>
                      <w:lang w:bidi="ar"/>
                    </w:rPr>
                  </w:pPr>
                  <w:r>
                    <w:rPr>
                      <w:kern w:val="0"/>
                      <w:szCs w:val="21"/>
                      <w:lang w:bidi="ar"/>
                    </w:rPr>
                    <w:t>地面、裙脚</w:t>
                  </w:r>
                </w:p>
              </w:tc>
            </w:tr>
            <w:tr w14:paraId="0E62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762" w:type="dxa"/>
                  <w:noWrap w:val="0"/>
                  <w:vAlign w:val="center"/>
                </w:tcPr>
                <w:p w14:paraId="2F610FC0">
                  <w:pPr>
                    <w:widowControl/>
                    <w:jc w:val="center"/>
                    <w:rPr>
                      <w:kern w:val="0"/>
                      <w:szCs w:val="21"/>
                      <w:lang w:bidi="ar"/>
                    </w:rPr>
                  </w:pPr>
                  <w:r>
                    <w:rPr>
                      <w:rFonts w:hint="eastAsia"/>
                      <w:kern w:val="0"/>
                      <w:szCs w:val="21"/>
                      <w:lang w:val="en-US" w:eastAsia="zh-CN" w:bidi="ar"/>
                    </w:rPr>
                    <w:t>办公用房</w:t>
                  </w:r>
                </w:p>
              </w:tc>
              <w:tc>
                <w:tcPr>
                  <w:tcW w:w="1129" w:type="dxa"/>
                  <w:noWrap w:val="0"/>
                  <w:vAlign w:val="center"/>
                </w:tcPr>
                <w:p w14:paraId="2A583FBD">
                  <w:pPr>
                    <w:widowControl/>
                    <w:jc w:val="center"/>
                    <w:rPr>
                      <w:kern w:val="0"/>
                      <w:szCs w:val="21"/>
                      <w:lang w:bidi="ar"/>
                    </w:rPr>
                  </w:pPr>
                  <w:r>
                    <w:rPr>
                      <w:kern w:val="0"/>
                      <w:szCs w:val="21"/>
                      <w:lang w:bidi="ar"/>
                    </w:rPr>
                    <w:t>简单防渗</w:t>
                  </w:r>
                </w:p>
              </w:tc>
              <w:tc>
                <w:tcPr>
                  <w:tcW w:w="2692" w:type="dxa"/>
                  <w:noWrap w:val="0"/>
                  <w:vAlign w:val="center"/>
                </w:tcPr>
                <w:p w14:paraId="3D44EAEC">
                  <w:pPr>
                    <w:widowControl/>
                    <w:jc w:val="center"/>
                  </w:pPr>
                  <w:r>
                    <w:t>一般地面硬化</w:t>
                  </w:r>
                </w:p>
              </w:tc>
              <w:tc>
                <w:tcPr>
                  <w:tcW w:w="1375" w:type="dxa"/>
                  <w:noWrap w:val="0"/>
                  <w:vAlign w:val="center"/>
                </w:tcPr>
                <w:p w14:paraId="3CC32724">
                  <w:pPr>
                    <w:widowControl/>
                    <w:jc w:val="center"/>
                    <w:rPr>
                      <w:kern w:val="0"/>
                      <w:szCs w:val="21"/>
                      <w:lang w:bidi="ar"/>
                    </w:rPr>
                  </w:pPr>
                  <w:r>
                    <w:rPr>
                      <w:kern w:val="0"/>
                      <w:szCs w:val="21"/>
                      <w:lang w:bidi="ar"/>
                    </w:rPr>
                    <w:t>地面</w:t>
                  </w:r>
                </w:p>
              </w:tc>
            </w:tr>
          </w:tbl>
          <w:p w14:paraId="5D7D1BCF">
            <w:pPr>
              <w:widowControl/>
              <w:spacing w:line="360" w:lineRule="auto"/>
              <w:ind w:firstLine="480" w:firstLineChars="200"/>
              <w:jc w:val="left"/>
              <w:rPr>
                <w:rFonts w:hint="default" w:ascii="Times New Roman" w:hAnsi="Times New Roman" w:cs="Times New Roman"/>
              </w:rPr>
            </w:pPr>
            <w:r>
              <w:rPr>
                <w:rFonts w:hint="eastAsia" w:ascii="Times New Roman" w:hAnsi="Times New Roman" w:cs="Times New Roman"/>
                <w:kern w:val="0"/>
                <w:sz w:val="24"/>
                <w:lang w:eastAsia="zh-CN" w:bidi="ar"/>
              </w:rPr>
              <w:t>（</w:t>
            </w:r>
            <w:r>
              <w:rPr>
                <w:rFonts w:hint="default" w:ascii="Times New Roman" w:hAnsi="Times New Roman" w:cs="Times New Roman"/>
                <w:kern w:val="0"/>
                <w:sz w:val="24"/>
                <w:lang w:bidi="ar"/>
              </w:rPr>
              <w:t>3）污染监控措施</w:t>
            </w:r>
          </w:p>
          <w:p w14:paraId="167A7BB8">
            <w:pPr>
              <w:widowControl/>
              <w:spacing w:line="360" w:lineRule="auto"/>
              <w:ind w:firstLine="480" w:firstLineChars="200"/>
              <w:rPr>
                <w:rFonts w:hint="default" w:ascii="Times New Roman" w:hAnsi="Times New Roman" w:cs="Times New Roman"/>
                <w:kern w:val="0"/>
                <w:sz w:val="24"/>
                <w:lang w:bidi="ar"/>
              </w:rPr>
            </w:pPr>
            <w:r>
              <w:rPr>
                <w:rFonts w:hint="default" w:ascii="Times New Roman" w:hAnsi="Times New Roman" w:cs="Times New Roman"/>
                <w:kern w:val="0"/>
                <w:sz w:val="24"/>
                <w:lang w:bidi="ar"/>
              </w:rPr>
              <w:t>根据《环境影响评价技术导则  地下水环境》（HJ610-2016）及《地下水环境监测技术规范》（HJ/T164-2004）等规定，项目应建设地下水环境监控体系，包括建立地下水污染监控井及监控制度和环境管理体系，制定监测计划，建成后应对地下水环境进行长期动态监测，地下水监控井应不少于1个。本项目监测井具体监测情况见</w:t>
            </w:r>
            <w:r>
              <w:rPr>
                <w:rFonts w:hint="eastAsia" w:ascii="Times New Roman" w:hAnsi="Times New Roman" w:cs="Times New Roman"/>
                <w:kern w:val="0"/>
                <w:sz w:val="24"/>
                <w:lang w:val="en-US" w:eastAsia="zh-CN" w:bidi="ar"/>
              </w:rPr>
              <w:t>下表</w:t>
            </w:r>
            <w:r>
              <w:rPr>
                <w:rFonts w:hint="default" w:ascii="Times New Roman" w:hAnsi="Times New Roman" w:cs="Times New Roman"/>
                <w:kern w:val="0"/>
                <w:sz w:val="24"/>
                <w:lang w:bidi="ar"/>
              </w:rPr>
              <w:t>。</w:t>
            </w:r>
          </w:p>
          <w:p w14:paraId="56A3E0C6">
            <w:pPr>
              <w:widowControl/>
              <w:spacing w:line="240" w:lineRule="atLeast"/>
              <w:ind w:firstLine="422" w:firstLineChars="200"/>
              <w:jc w:val="center"/>
              <w:rPr>
                <w:rFonts w:hint="default" w:ascii="Times New Roman" w:hAnsi="Times New Roman" w:cs="Times New Roman"/>
                <w:b/>
                <w:bCs/>
                <w:kern w:val="0"/>
                <w:szCs w:val="21"/>
                <w:lang w:bidi="ar"/>
              </w:rPr>
            </w:pPr>
            <w:r>
              <w:rPr>
                <w:rFonts w:hint="default" w:ascii="Times New Roman" w:hAnsi="Times New Roman" w:cs="Times New Roman"/>
                <w:b/>
                <w:bCs/>
                <w:kern w:val="0"/>
                <w:szCs w:val="21"/>
                <w:lang w:bidi="ar"/>
              </w:rPr>
              <w:t>表</w:t>
            </w:r>
            <w:r>
              <w:rPr>
                <w:rFonts w:hint="eastAsia" w:ascii="Times New Roman" w:hAnsi="Times New Roman" w:cs="Times New Roman"/>
                <w:b/>
                <w:bCs/>
                <w:kern w:val="0"/>
                <w:szCs w:val="21"/>
                <w:lang w:val="en-US" w:eastAsia="zh-CN" w:bidi="ar"/>
              </w:rPr>
              <w:t>4-2</w:t>
            </w:r>
            <w:r>
              <w:rPr>
                <w:rFonts w:hint="eastAsia" w:cs="Times New Roman"/>
                <w:b/>
                <w:bCs/>
                <w:kern w:val="0"/>
                <w:szCs w:val="21"/>
                <w:lang w:val="en-US" w:eastAsia="zh-CN" w:bidi="ar"/>
              </w:rPr>
              <w:t>2</w:t>
            </w:r>
            <w:r>
              <w:rPr>
                <w:rFonts w:hint="default" w:ascii="Times New Roman" w:hAnsi="Times New Roman" w:cs="Times New Roman"/>
                <w:b/>
                <w:bCs/>
                <w:kern w:val="0"/>
                <w:szCs w:val="21"/>
                <w:lang w:bidi="ar"/>
              </w:rPr>
              <w:t xml:space="preserve">  项目地下水跟踪监测点布设情况</w:t>
            </w:r>
          </w:p>
          <w:tbl>
            <w:tblPr>
              <w:tblStyle w:val="25"/>
              <w:tblW w:w="7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16"/>
              <w:gridCol w:w="1100"/>
              <w:gridCol w:w="1134"/>
              <w:gridCol w:w="3494"/>
            </w:tblGrid>
            <w:tr w14:paraId="64E5B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13" w:type="dxa"/>
                  <w:vAlign w:val="center"/>
                </w:tcPr>
                <w:p w14:paraId="424E4B1C">
                  <w:pPr>
                    <w:widowControl/>
                    <w:jc w:val="center"/>
                    <w:rPr>
                      <w:rFonts w:hint="eastAsia" w:ascii="Times New Roman" w:hAnsi="Times New Roman" w:eastAsia="宋体" w:cs="Times New Roman"/>
                      <w:b/>
                      <w:bCs/>
                      <w:kern w:val="0"/>
                      <w:szCs w:val="21"/>
                      <w:lang w:eastAsia="zh-CN" w:bidi="ar"/>
                    </w:rPr>
                  </w:pPr>
                  <w:r>
                    <w:rPr>
                      <w:rFonts w:hint="eastAsia" w:ascii="Times New Roman" w:hAnsi="Times New Roman" w:cs="Times New Roman"/>
                      <w:b/>
                      <w:bCs/>
                      <w:kern w:val="0"/>
                      <w:szCs w:val="21"/>
                      <w:lang w:val="en-US" w:eastAsia="zh-CN" w:bidi="ar"/>
                    </w:rPr>
                    <w:t>序号</w:t>
                  </w:r>
                </w:p>
              </w:tc>
              <w:tc>
                <w:tcPr>
                  <w:tcW w:w="1516" w:type="dxa"/>
                  <w:vAlign w:val="center"/>
                </w:tcPr>
                <w:p w14:paraId="344098AE">
                  <w:pPr>
                    <w:widowControl/>
                    <w:jc w:val="center"/>
                    <w:rPr>
                      <w:rFonts w:hint="default" w:ascii="Times New Roman" w:hAnsi="Times New Roman" w:cs="Times New Roman"/>
                      <w:b/>
                      <w:bCs/>
                      <w:kern w:val="0"/>
                      <w:szCs w:val="21"/>
                      <w:lang w:bidi="ar"/>
                    </w:rPr>
                  </w:pPr>
                  <w:r>
                    <w:rPr>
                      <w:rFonts w:hint="default" w:ascii="Times New Roman" w:hAnsi="Times New Roman" w:cs="Times New Roman"/>
                      <w:b/>
                      <w:bCs/>
                      <w:kern w:val="0"/>
                      <w:szCs w:val="21"/>
                      <w:lang w:bidi="ar"/>
                    </w:rPr>
                    <w:t>位置</w:t>
                  </w:r>
                </w:p>
              </w:tc>
              <w:tc>
                <w:tcPr>
                  <w:tcW w:w="1100" w:type="dxa"/>
                  <w:vAlign w:val="center"/>
                </w:tcPr>
                <w:p w14:paraId="24F23FB7">
                  <w:pPr>
                    <w:widowControl/>
                    <w:jc w:val="center"/>
                    <w:rPr>
                      <w:rFonts w:hint="default" w:ascii="Times New Roman" w:hAnsi="Times New Roman" w:cs="Times New Roman"/>
                      <w:b/>
                      <w:bCs/>
                      <w:kern w:val="0"/>
                      <w:szCs w:val="21"/>
                      <w:lang w:bidi="ar"/>
                    </w:rPr>
                  </w:pPr>
                  <w:r>
                    <w:rPr>
                      <w:rFonts w:hint="default" w:ascii="Times New Roman" w:hAnsi="Times New Roman" w:cs="Times New Roman"/>
                      <w:b/>
                      <w:bCs/>
                      <w:kern w:val="0"/>
                      <w:szCs w:val="21"/>
                      <w:lang w:bidi="ar"/>
                    </w:rPr>
                    <w:t>功能</w:t>
                  </w:r>
                </w:p>
              </w:tc>
              <w:tc>
                <w:tcPr>
                  <w:tcW w:w="1134" w:type="dxa"/>
                  <w:vAlign w:val="center"/>
                </w:tcPr>
                <w:p w14:paraId="78532995">
                  <w:pPr>
                    <w:widowControl/>
                    <w:jc w:val="center"/>
                    <w:rPr>
                      <w:rFonts w:hint="default" w:ascii="Times New Roman" w:hAnsi="Times New Roman" w:cs="Times New Roman"/>
                      <w:b/>
                      <w:bCs/>
                      <w:kern w:val="0"/>
                      <w:szCs w:val="21"/>
                      <w:lang w:bidi="ar"/>
                    </w:rPr>
                  </w:pPr>
                  <w:r>
                    <w:rPr>
                      <w:rFonts w:hint="default" w:ascii="Times New Roman" w:hAnsi="Times New Roman" w:cs="Times New Roman"/>
                      <w:b/>
                      <w:bCs/>
                      <w:kern w:val="0"/>
                      <w:szCs w:val="21"/>
                      <w:lang w:bidi="ar"/>
                    </w:rPr>
                    <w:t>监测频率</w:t>
                  </w:r>
                </w:p>
              </w:tc>
              <w:tc>
                <w:tcPr>
                  <w:tcW w:w="3494" w:type="dxa"/>
                  <w:vAlign w:val="center"/>
                </w:tcPr>
                <w:p w14:paraId="6EA3270A">
                  <w:pPr>
                    <w:widowControl/>
                    <w:jc w:val="center"/>
                    <w:rPr>
                      <w:rFonts w:hint="default" w:ascii="Times New Roman" w:hAnsi="Times New Roman" w:cs="Times New Roman"/>
                      <w:b/>
                      <w:bCs/>
                      <w:kern w:val="0"/>
                      <w:szCs w:val="21"/>
                      <w:lang w:bidi="ar"/>
                    </w:rPr>
                  </w:pPr>
                  <w:r>
                    <w:rPr>
                      <w:rFonts w:hint="default" w:ascii="Times New Roman" w:hAnsi="Times New Roman" w:cs="Times New Roman"/>
                      <w:b/>
                      <w:bCs/>
                      <w:kern w:val="0"/>
                      <w:szCs w:val="21"/>
                      <w:lang w:bidi="ar"/>
                    </w:rPr>
                    <w:t>监测项目</w:t>
                  </w:r>
                </w:p>
              </w:tc>
            </w:tr>
            <w:tr w14:paraId="5C9B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13" w:type="dxa"/>
                  <w:vAlign w:val="center"/>
                </w:tcPr>
                <w:p w14:paraId="21F2F6FA">
                  <w:pPr>
                    <w:widowControl/>
                    <w:jc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1</w:t>
                  </w:r>
                </w:p>
              </w:tc>
              <w:tc>
                <w:tcPr>
                  <w:tcW w:w="1516" w:type="dxa"/>
                  <w:vAlign w:val="center"/>
                </w:tcPr>
                <w:p w14:paraId="213370C7">
                  <w:pPr>
                    <w:widowControl/>
                    <w:jc w:val="center"/>
                    <w:rPr>
                      <w:rFonts w:hint="default" w:ascii="Times New Roman" w:hAnsi="Times New Roman" w:cs="Times New Roman"/>
                      <w:kern w:val="0"/>
                      <w:szCs w:val="21"/>
                      <w:lang w:bidi="ar"/>
                    </w:rPr>
                  </w:pPr>
                  <w:r>
                    <w:rPr>
                      <w:rFonts w:hint="eastAsia" w:cs="Times New Roman"/>
                      <w:kern w:val="0"/>
                      <w:szCs w:val="21"/>
                      <w:lang w:val="en-US" w:eastAsia="zh-CN" w:bidi="ar"/>
                    </w:rPr>
                    <w:t>车间西北</w:t>
                  </w:r>
                  <w:r>
                    <w:rPr>
                      <w:rFonts w:hint="default" w:ascii="Times New Roman" w:hAnsi="Times New Roman" w:cs="Times New Roman"/>
                      <w:kern w:val="0"/>
                      <w:szCs w:val="21"/>
                      <w:lang w:bidi="ar"/>
                    </w:rPr>
                    <w:t>角设置1处监测井</w:t>
                  </w:r>
                </w:p>
              </w:tc>
              <w:tc>
                <w:tcPr>
                  <w:tcW w:w="1100" w:type="dxa"/>
                  <w:vAlign w:val="center"/>
                </w:tcPr>
                <w:p w14:paraId="6838AE16">
                  <w:pPr>
                    <w:widowControl/>
                    <w:jc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地下水跟踪监测</w:t>
                  </w:r>
                </w:p>
              </w:tc>
              <w:tc>
                <w:tcPr>
                  <w:tcW w:w="1134" w:type="dxa"/>
                  <w:vAlign w:val="center"/>
                </w:tcPr>
                <w:p w14:paraId="4271CEA4">
                  <w:pPr>
                    <w:widowControl/>
                    <w:jc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1次/年</w:t>
                  </w:r>
                </w:p>
              </w:tc>
              <w:tc>
                <w:tcPr>
                  <w:tcW w:w="3494" w:type="dxa"/>
                  <w:vAlign w:val="center"/>
                </w:tcPr>
                <w:p w14:paraId="74642953">
                  <w:pPr>
                    <w:widowControl/>
                    <w:jc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pH、石油类、总硬度、溶解性总固体、氨氮、硝酸盐、亚硝酸盐、挥发酚、氰化物、高锰酸钾指数、氯化物</w:t>
                  </w:r>
                </w:p>
              </w:tc>
            </w:tr>
            <w:tr w14:paraId="3E05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957" w:type="dxa"/>
                  <w:gridSpan w:val="5"/>
                  <w:vAlign w:val="center"/>
                </w:tcPr>
                <w:p w14:paraId="15978C2B">
                  <w:pPr>
                    <w:widowControl/>
                    <w:jc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由建设单位委托有资质的检测机构进行地下水跟踪监测点的水样检测 ，并编制地下水跟踪监测报告</w:t>
                  </w:r>
                </w:p>
              </w:tc>
            </w:tr>
          </w:tbl>
          <w:p w14:paraId="08A70E5A">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jc w:val="left"/>
              <w:textAlignment w:val="auto"/>
            </w:pPr>
            <w:r>
              <w:rPr>
                <w:kern w:val="0"/>
                <w:sz w:val="24"/>
                <w:lang w:bidi="ar"/>
              </w:rPr>
              <w:t>综上所述，本项目在采取上述防渗措施后，可有效防止营运期对区域地下水、土壤环境的影响。</w:t>
            </w:r>
          </w:p>
          <w:p w14:paraId="5C27CD46">
            <w:pPr>
              <w:pStyle w:val="20"/>
              <w:spacing w:before="0" w:beforeAutospacing="0" w:after="0" w:afterAutospacing="0" w:line="360" w:lineRule="auto"/>
              <w:jc w:val="both"/>
              <w:outlineLvl w:val="0"/>
              <w:rPr>
                <w:rFonts w:ascii="Times New Roman" w:hAnsi="Times New Roman"/>
                <w:b/>
                <w:color w:val="000000"/>
              </w:rPr>
            </w:pPr>
            <w:r>
              <w:rPr>
                <w:rFonts w:ascii="Times New Roman" w:hAnsi="Times New Roman"/>
                <w:b/>
                <w:color w:val="000000"/>
              </w:rPr>
              <w:t>4.10环境风险分析</w:t>
            </w:r>
          </w:p>
          <w:p w14:paraId="32A8763D">
            <w:pPr>
              <w:pStyle w:val="54"/>
              <w:ind w:firstLine="482"/>
              <w:rPr>
                <w:rFonts w:hint="default" w:eastAsia="宋体"/>
                <w:b/>
                <w:bCs/>
                <w:szCs w:val="24"/>
                <w:lang w:val="en-US" w:eastAsia="zh-CN"/>
              </w:rPr>
            </w:pPr>
            <w:r>
              <w:rPr>
                <w:rFonts w:hint="eastAsia"/>
                <w:b/>
                <w:bCs/>
                <w:szCs w:val="24"/>
              </w:rPr>
              <w:t>（1）风险</w:t>
            </w:r>
            <w:r>
              <w:rPr>
                <w:rFonts w:hint="eastAsia"/>
                <w:b/>
                <w:bCs/>
                <w:szCs w:val="24"/>
                <w:lang w:val="en-US" w:eastAsia="zh-CN"/>
              </w:rPr>
              <w:t>调查</w:t>
            </w:r>
          </w:p>
          <w:p w14:paraId="76558AF7">
            <w:pPr>
              <w:pStyle w:val="54"/>
              <w:ind w:firstLine="480"/>
              <w:rPr>
                <w:rFonts w:hint="eastAsia"/>
                <w:bCs/>
                <w:lang w:val="en-US" w:eastAsia="zh-CN"/>
              </w:rPr>
            </w:pPr>
            <w:r>
              <w:rPr>
                <w:rFonts w:hint="eastAsia"/>
                <w:bCs/>
                <w:lang w:val="en-US" w:eastAsia="zh-CN"/>
              </w:rPr>
              <w:t>①风险物质识别</w:t>
            </w:r>
          </w:p>
          <w:p w14:paraId="2845B643">
            <w:pPr>
              <w:pStyle w:val="54"/>
              <w:ind w:firstLine="480"/>
              <w:rPr>
                <w:rFonts w:hint="eastAsia"/>
                <w:bCs/>
                <w:lang w:val="en-US" w:eastAsia="zh-CN"/>
              </w:rPr>
            </w:pPr>
            <w:r>
              <w:rPr>
                <w:rFonts w:hint="eastAsia"/>
                <w:bCs/>
                <w:lang w:val="en-US" w:eastAsia="zh-CN"/>
              </w:rPr>
              <w:t>对照《建设项目环境风险评价技术导则》（HJ/T169-2018）附录B可知，本项目涉及的环境风险物质主要为废油液（汽油、柴油、机油、润滑油等）以及乙炔。对照各风险物质临界量，计算所涉及的每种危险物质在厂界内的最大存在量与其对应临界量的比值Q。</w:t>
            </w:r>
          </w:p>
          <w:p w14:paraId="55A820E7">
            <w:pPr>
              <w:pStyle w:val="54"/>
              <w:ind w:firstLine="480"/>
              <w:jc w:val="center"/>
              <w:rPr>
                <w:rFonts w:hint="default"/>
                <w:bCs/>
                <w:lang w:val="en-US" w:eastAsia="zh-CN"/>
              </w:rPr>
            </w:pPr>
            <w:r>
              <w:rPr>
                <w:rFonts w:hint="eastAsia"/>
                <w:bCs/>
                <w:lang w:val="en-US" w:eastAsia="zh-CN"/>
              </w:rPr>
              <w:t>Q=q</w:t>
            </w:r>
            <w:r>
              <w:rPr>
                <w:rFonts w:hint="eastAsia"/>
                <w:bCs/>
                <w:vertAlign w:val="subscript"/>
                <w:lang w:val="en-US" w:eastAsia="zh-CN"/>
              </w:rPr>
              <w:t>1</w:t>
            </w:r>
            <w:r>
              <w:rPr>
                <w:rFonts w:hint="eastAsia"/>
                <w:bCs/>
                <w:lang w:val="en-US" w:eastAsia="zh-CN"/>
              </w:rPr>
              <w:t>/Q</w:t>
            </w:r>
            <w:r>
              <w:rPr>
                <w:rFonts w:hint="eastAsia"/>
                <w:bCs/>
                <w:vertAlign w:val="subscript"/>
                <w:lang w:val="en-US" w:eastAsia="zh-CN"/>
              </w:rPr>
              <w:t>1</w:t>
            </w:r>
            <w:r>
              <w:rPr>
                <w:rFonts w:hint="eastAsia"/>
                <w:bCs/>
                <w:lang w:val="en-US" w:eastAsia="zh-CN"/>
              </w:rPr>
              <w:t>+q</w:t>
            </w:r>
            <w:r>
              <w:rPr>
                <w:rFonts w:hint="eastAsia"/>
                <w:bCs/>
                <w:vertAlign w:val="subscript"/>
                <w:lang w:val="en-US" w:eastAsia="zh-CN"/>
              </w:rPr>
              <w:t>2</w:t>
            </w:r>
            <w:r>
              <w:rPr>
                <w:rFonts w:hint="eastAsia"/>
                <w:bCs/>
                <w:lang w:val="en-US" w:eastAsia="zh-CN"/>
              </w:rPr>
              <w:t>/Q</w:t>
            </w:r>
            <w:r>
              <w:rPr>
                <w:rFonts w:hint="eastAsia"/>
                <w:bCs/>
                <w:vertAlign w:val="subscript"/>
                <w:lang w:val="en-US" w:eastAsia="zh-CN"/>
              </w:rPr>
              <w:t>2</w:t>
            </w:r>
            <w:r>
              <w:rPr>
                <w:rFonts w:hint="eastAsia"/>
                <w:bCs/>
                <w:lang w:val="en-US" w:eastAsia="zh-CN"/>
              </w:rPr>
              <w:t>+...q</w:t>
            </w:r>
            <w:r>
              <w:rPr>
                <w:rFonts w:hint="eastAsia"/>
                <w:bCs/>
                <w:vertAlign w:val="subscript"/>
                <w:lang w:val="en-US" w:eastAsia="zh-CN"/>
              </w:rPr>
              <w:t>n</w:t>
            </w:r>
            <w:r>
              <w:rPr>
                <w:rFonts w:hint="eastAsia"/>
                <w:bCs/>
                <w:lang w:val="en-US" w:eastAsia="zh-CN"/>
              </w:rPr>
              <w:t>/Q</w:t>
            </w:r>
            <w:r>
              <w:rPr>
                <w:rFonts w:hint="eastAsia"/>
                <w:bCs/>
                <w:vertAlign w:val="subscript"/>
                <w:lang w:val="en-US" w:eastAsia="zh-CN"/>
              </w:rPr>
              <w:t>n</w:t>
            </w:r>
          </w:p>
          <w:p w14:paraId="614C7175">
            <w:pPr>
              <w:pStyle w:val="54"/>
              <w:ind w:firstLine="480"/>
              <w:rPr>
                <w:rFonts w:hint="eastAsia"/>
                <w:bCs/>
                <w:lang w:val="en-US" w:eastAsia="zh-CN"/>
              </w:rPr>
            </w:pPr>
            <w:r>
              <w:rPr>
                <w:rFonts w:hint="eastAsia"/>
                <w:bCs/>
                <w:lang w:val="en-US" w:eastAsia="zh-CN"/>
              </w:rPr>
              <w:t>式中：q</w:t>
            </w:r>
            <w:r>
              <w:rPr>
                <w:rFonts w:hint="eastAsia"/>
                <w:bCs/>
                <w:vertAlign w:val="subscript"/>
                <w:lang w:val="en-US" w:eastAsia="zh-CN"/>
              </w:rPr>
              <w:t>1</w:t>
            </w:r>
            <w:r>
              <w:rPr>
                <w:rFonts w:hint="eastAsia"/>
                <w:bCs/>
                <w:lang w:val="en-US" w:eastAsia="zh-CN"/>
              </w:rPr>
              <w:t>，q</w:t>
            </w:r>
            <w:r>
              <w:rPr>
                <w:rFonts w:hint="eastAsia"/>
                <w:bCs/>
                <w:vertAlign w:val="subscript"/>
                <w:lang w:val="en-US" w:eastAsia="zh-CN"/>
              </w:rPr>
              <w:t>2</w:t>
            </w:r>
            <w:r>
              <w:rPr>
                <w:rFonts w:hint="eastAsia"/>
                <w:bCs/>
                <w:lang w:val="en-US" w:eastAsia="zh-CN"/>
              </w:rPr>
              <w:t>，...，q</w:t>
            </w:r>
            <w:r>
              <w:rPr>
                <w:rFonts w:hint="eastAsia"/>
                <w:bCs/>
                <w:vertAlign w:val="subscript"/>
                <w:lang w:val="en-US" w:eastAsia="zh-CN"/>
              </w:rPr>
              <w:t>n</w:t>
            </w:r>
            <w:r>
              <w:rPr>
                <w:rFonts w:hint="eastAsia"/>
                <w:bCs/>
                <w:lang w:val="en-US" w:eastAsia="zh-CN"/>
              </w:rPr>
              <w:t>——每种危险物质的最大存在总量，t；</w:t>
            </w:r>
          </w:p>
          <w:p w14:paraId="7FDE76C0">
            <w:pPr>
              <w:pStyle w:val="54"/>
              <w:ind w:firstLine="480"/>
              <w:rPr>
                <w:rFonts w:hint="eastAsia"/>
                <w:bCs/>
                <w:lang w:val="en-US" w:eastAsia="zh-CN"/>
              </w:rPr>
            </w:pPr>
            <w:r>
              <w:rPr>
                <w:rFonts w:hint="eastAsia"/>
                <w:bCs/>
                <w:lang w:val="en-US" w:eastAsia="zh-CN"/>
              </w:rPr>
              <w:t>Q</w:t>
            </w:r>
            <w:r>
              <w:rPr>
                <w:rFonts w:hint="eastAsia"/>
                <w:bCs/>
                <w:vertAlign w:val="subscript"/>
                <w:lang w:val="en-US" w:eastAsia="zh-CN"/>
              </w:rPr>
              <w:t>1</w:t>
            </w:r>
            <w:r>
              <w:rPr>
                <w:rFonts w:hint="eastAsia"/>
                <w:bCs/>
                <w:lang w:val="en-US" w:eastAsia="zh-CN"/>
              </w:rPr>
              <w:t>，Q</w:t>
            </w:r>
            <w:r>
              <w:rPr>
                <w:rFonts w:hint="eastAsia"/>
                <w:bCs/>
                <w:vertAlign w:val="subscript"/>
                <w:lang w:val="en-US" w:eastAsia="zh-CN"/>
              </w:rPr>
              <w:t>2</w:t>
            </w:r>
            <w:r>
              <w:rPr>
                <w:rFonts w:hint="eastAsia"/>
                <w:bCs/>
                <w:lang w:val="en-US" w:eastAsia="zh-CN"/>
              </w:rPr>
              <w:t>，...，Q</w:t>
            </w:r>
            <w:r>
              <w:rPr>
                <w:rFonts w:hint="eastAsia"/>
                <w:bCs/>
                <w:vertAlign w:val="subscript"/>
                <w:lang w:val="en-US" w:eastAsia="zh-CN"/>
              </w:rPr>
              <w:t>n</w:t>
            </w:r>
            <w:r>
              <w:rPr>
                <w:rFonts w:hint="eastAsia"/>
                <w:bCs/>
                <w:lang w:val="en-US" w:eastAsia="zh-CN"/>
              </w:rPr>
              <w:t>——每种危险物质的临界量，t。</w:t>
            </w:r>
          </w:p>
          <w:p w14:paraId="1BE3D4E4">
            <w:pPr>
              <w:pStyle w:val="54"/>
              <w:ind w:firstLine="480"/>
              <w:rPr>
                <w:rFonts w:hint="eastAsia"/>
                <w:bCs/>
                <w:lang w:val="en-US" w:eastAsia="zh-CN"/>
              </w:rPr>
            </w:pPr>
            <w:r>
              <w:rPr>
                <w:rFonts w:hint="eastAsia"/>
                <w:bCs/>
                <w:lang w:val="en-US" w:eastAsia="zh-CN"/>
              </w:rPr>
              <w:t>当Q＜1时，该项目环境风险潜势为Ⅰ。</w:t>
            </w:r>
          </w:p>
          <w:p w14:paraId="6EA6E4BF">
            <w:pPr>
              <w:pStyle w:val="54"/>
              <w:ind w:firstLine="480"/>
              <w:rPr>
                <w:rFonts w:hint="default"/>
                <w:bCs/>
                <w:lang w:val="en-US" w:eastAsia="zh-CN"/>
              </w:rPr>
            </w:pPr>
            <w:r>
              <w:rPr>
                <w:rFonts w:hint="eastAsia"/>
                <w:bCs/>
                <w:lang w:val="en-US" w:eastAsia="zh-CN"/>
              </w:rPr>
              <w:t>当Q≥1时，将Q值划分为：（1）1≤Q＜10；（2）10≤Q＜100；（3）Q≥100。</w:t>
            </w:r>
          </w:p>
          <w:p w14:paraId="65E448FA">
            <w:pPr>
              <w:pStyle w:val="54"/>
              <w:ind w:firstLine="480"/>
              <w:rPr>
                <w:rFonts w:hint="default" w:ascii="Times New Roman" w:hAnsi="Times New Roman" w:cs="Times New Roman"/>
                <w:bCs/>
                <w:szCs w:val="22"/>
              </w:rPr>
            </w:pPr>
            <w:r>
              <w:rPr>
                <w:rFonts w:hint="eastAsia"/>
                <w:bCs/>
                <w:lang w:val="en-US" w:eastAsia="zh-CN"/>
              </w:rPr>
              <w:t>厂区乙炔最大储存量为6瓶，10kg/瓶，即乙炔储存量为0.06t。废燃料油以及废油液转运周期为1个月，厂区废油液最大储存量为10t。</w:t>
            </w:r>
            <w:r>
              <w:rPr>
                <w:rFonts w:hint="default" w:ascii="Times New Roman" w:hAnsi="Times New Roman" w:cs="Times New Roman"/>
                <w:bCs/>
              </w:rPr>
              <w:t>本项目</w:t>
            </w:r>
            <w:r>
              <w:rPr>
                <w:rFonts w:hint="default" w:ascii="Times New Roman" w:hAnsi="Times New Roman" w:cs="Times New Roman"/>
                <w:bCs/>
                <w:szCs w:val="22"/>
              </w:rPr>
              <w:t>营运期危险物质数量及分布情况见下表。</w:t>
            </w:r>
          </w:p>
          <w:p w14:paraId="177695E7">
            <w:pPr>
              <w:pStyle w:val="54"/>
              <w:spacing w:line="240" w:lineRule="atLeast"/>
              <w:ind w:firstLine="422"/>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eastAsia" w:ascii="Times New Roman" w:hAnsi="Times New Roman" w:cs="Times New Roman"/>
                <w:b/>
                <w:bCs/>
                <w:sz w:val="21"/>
                <w:szCs w:val="21"/>
                <w:lang w:val="en-US" w:eastAsia="zh-CN"/>
              </w:rPr>
              <w:t>4-2</w:t>
            </w:r>
            <w:r>
              <w:rPr>
                <w:rFonts w:hint="eastAsia" w:cs="Times New Roman"/>
                <w:b/>
                <w:bCs/>
                <w:sz w:val="21"/>
                <w:szCs w:val="21"/>
                <w:lang w:val="en-US" w:eastAsia="zh-CN"/>
              </w:rPr>
              <w:t>3</w:t>
            </w:r>
            <w:r>
              <w:rPr>
                <w:rFonts w:hint="default" w:ascii="Times New Roman" w:hAnsi="Times New Roman" w:cs="Times New Roman"/>
                <w:b/>
                <w:bCs/>
                <w:sz w:val="21"/>
                <w:szCs w:val="21"/>
              </w:rPr>
              <w:t xml:space="preserve">  项目危险物质数量及分布情况一览表</w:t>
            </w:r>
          </w:p>
          <w:tbl>
            <w:tblPr>
              <w:tblStyle w:val="25"/>
              <w:tblW w:w="7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948"/>
              <w:gridCol w:w="1380"/>
              <w:gridCol w:w="1884"/>
              <w:gridCol w:w="972"/>
              <w:gridCol w:w="948"/>
              <w:gridCol w:w="1303"/>
            </w:tblGrid>
            <w:tr w14:paraId="6EE5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483" w:type="dxa"/>
                  <w:vAlign w:val="center"/>
                </w:tcPr>
                <w:p w14:paraId="6334024D">
                  <w:pPr>
                    <w:pStyle w:val="54"/>
                    <w:widowControl w:val="0"/>
                    <w:spacing w:line="240" w:lineRule="atLeast"/>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948" w:type="dxa"/>
                  <w:vAlign w:val="center"/>
                </w:tcPr>
                <w:p w14:paraId="4FDC90AB">
                  <w:pPr>
                    <w:pStyle w:val="54"/>
                    <w:widowControl w:val="0"/>
                    <w:spacing w:line="240" w:lineRule="atLeast"/>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风险物质</w:t>
                  </w:r>
                </w:p>
              </w:tc>
              <w:tc>
                <w:tcPr>
                  <w:tcW w:w="1380" w:type="dxa"/>
                  <w:vAlign w:val="center"/>
                </w:tcPr>
                <w:p w14:paraId="4BE8D3B5">
                  <w:pPr>
                    <w:pStyle w:val="54"/>
                    <w:widowControl w:val="0"/>
                    <w:spacing w:line="240" w:lineRule="atLeast"/>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储存地点</w:t>
                  </w:r>
                </w:p>
              </w:tc>
              <w:tc>
                <w:tcPr>
                  <w:tcW w:w="1884" w:type="dxa"/>
                  <w:vAlign w:val="center"/>
                </w:tcPr>
                <w:p w14:paraId="6AD0CD97">
                  <w:pPr>
                    <w:pStyle w:val="54"/>
                    <w:widowControl w:val="0"/>
                    <w:spacing w:line="240" w:lineRule="atLeast"/>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主要成分</w:t>
                  </w:r>
                </w:p>
              </w:tc>
              <w:tc>
                <w:tcPr>
                  <w:tcW w:w="972" w:type="dxa"/>
                  <w:vAlign w:val="center"/>
                </w:tcPr>
                <w:p w14:paraId="1A834F39">
                  <w:pPr>
                    <w:pStyle w:val="54"/>
                    <w:widowControl w:val="0"/>
                    <w:spacing w:line="240" w:lineRule="atLeast"/>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厂区最大存储量（t）</w:t>
                  </w:r>
                </w:p>
              </w:tc>
              <w:tc>
                <w:tcPr>
                  <w:tcW w:w="948" w:type="dxa"/>
                  <w:vAlign w:val="center"/>
                </w:tcPr>
                <w:p w14:paraId="700FEFC0">
                  <w:pPr>
                    <w:pStyle w:val="54"/>
                    <w:widowControl w:val="0"/>
                    <w:spacing w:line="240" w:lineRule="atLeast"/>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临界量（t）</w:t>
                  </w:r>
                </w:p>
              </w:tc>
              <w:tc>
                <w:tcPr>
                  <w:tcW w:w="1303" w:type="dxa"/>
                  <w:vAlign w:val="center"/>
                </w:tcPr>
                <w:p w14:paraId="58A2652D">
                  <w:pPr>
                    <w:pStyle w:val="54"/>
                    <w:widowControl w:val="0"/>
                    <w:spacing w:line="240" w:lineRule="atLeast"/>
                    <w:ind w:firstLine="0" w:firstLineChars="0"/>
                    <w:jc w:val="center"/>
                    <w:rPr>
                      <w:rFonts w:hint="default" w:ascii="Times New Roman" w:hAnsi="Times New Roman" w:cs="Times New Roman"/>
                      <w:b/>
                      <w:bCs/>
                      <w:sz w:val="21"/>
                      <w:szCs w:val="21"/>
                    </w:rPr>
                  </w:pPr>
                  <w:r>
                    <w:rPr>
                      <w:rFonts w:hint="eastAsia" w:ascii="Times New Roman" w:hAnsi="Times New Roman" w:eastAsia="宋体" w:cs="Times New Roman"/>
                      <w:b/>
                      <w:bCs/>
                      <w:sz w:val="21"/>
                      <w:szCs w:val="21"/>
                      <w:lang w:val="en-US" w:eastAsia="zh-CN"/>
                    </w:rPr>
                    <w:t>Q（危险物质数量与临界量比值）</w:t>
                  </w:r>
                </w:p>
              </w:tc>
            </w:tr>
            <w:tr w14:paraId="65D5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483" w:type="dxa"/>
                  <w:vAlign w:val="center"/>
                </w:tcPr>
                <w:p w14:paraId="7A54B577">
                  <w:pPr>
                    <w:pStyle w:val="54"/>
                    <w:widowControl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948" w:type="dxa"/>
                  <w:vAlign w:val="center"/>
                </w:tcPr>
                <w:p w14:paraId="32735066">
                  <w:pPr>
                    <w:pStyle w:val="54"/>
                    <w:widowControl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乙炔</w:t>
                  </w:r>
                </w:p>
              </w:tc>
              <w:tc>
                <w:tcPr>
                  <w:tcW w:w="1380" w:type="dxa"/>
                  <w:vAlign w:val="center"/>
                </w:tcPr>
                <w:p w14:paraId="4A7B3591">
                  <w:pPr>
                    <w:pStyle w:val="54"/>
                    <w:widowControl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拆解车间</w:t>
                  </w:r>
                </w:p>
              </w:tc>
              <w:tc>
                <w:tcPr>
                  <w:tcW w:w="1884" w:type="dxa"/>
                  <w:vAlign w:val="center"/>
                </w:tcPr>
                <w:p w14:paraId="37C88FA6">
                  <w:pPr>
                    <w:pStyle w:val="54"/>
                    <w:widowControl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乙炔</w:t>
                  </w:r>
                </w:p>
              </w:tc>
              <w:tc>
                <w:tcPr>
                  <w:tcW w:w="972" w:type="dxa"/>
                  <w:vAlign w:val="center"/>
                </w:tcPr>
                <w:p w14:paraId="789B6543">
                  <w:pPr>
                    <w:pStyle w:val="54"/>
                    <w:widowControl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0.06</w:t>
                  </w:r>
                </w:p>
              </w:tc>
              <w:tc>
                <w:tcPr>
                  <w:tcW w:w="948" w:type="dxa"/>
                  <w:vAlign w:val="center"/>
                </w:tcPr>
                <w:p w14:paraId="74A0789F">
                  <w:pPr>
                    <w:pStyle w:val="54"/>
                    <w:widowControl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303" w:type="dxa"/>
                  <w:vAlign w:val="center"/>
                </w:tcPr>
                <w:p w14:paraId="57311833">
                  <w:pPr>
                    <w:pStyle w:val="54"/>
                    <w:widowControl w:val="0"/>
                    <w:spacing w:line="240" w:lineRule="atLeast"/>
                    <w:ind w:firstLine="0" w:firstLineChars="0"/>
                    <w:jc w:val="center"/>
                    <w:rPr>
                      <w:rFonts w:hint="default" w:cs="Times New Roman"/>
                      <w:sz w:val="21"/>
                      <w:szCs w:val="21"/>
                      <w:lang w:val="en-US" w:eastAsia="zh-CN"/>
                    </w:rPr>
                  </w:pPr>
                  <w:r>
                    <w:rPr>
                      <w:rFonts w:hint="eastAsia" w:cs="Times New Roman"/>
                      <w:sz w:val="21"/>
                      <w:szCs w:val="21"/>
                      <w:lang w:val="en-US" w:eastAsia="zh-CN"/>
                    </w:rPr>
                    <w:t>0.006</w:t>
                  </w:r>
                </w:p>
              </w:tc>
            </w:tr>
            <w:tr w14:paraId="089C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483" w:type="dxa"/>
                  <w:vAlign w:val="center"/>
                </w:tcPr>
                <w:p w14:paraId="3F1D0026">
                  <w:pPr>
                    <w:pStyle w:val="54"/>
                    <w:widowControl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948" w:type="dxa"/>
                  <w:vAlign w:val="center"/>
                </w:tcPr>
                <w:p w14:paraId="6387368C">
                  <w:pPr>
                    <w:pStyle w:val="54"/>
                    <w:widowControl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废油</w:t>
                  </w:r>
                </w:p>
              </w:tc>
              <w:tc>
                <w:tcPr>
                  <w:tcW w:w="1380" w:type="dxa"/>
                  <w:vAlign w:val="center"/>
                </w:tcPr>
                <w:p w14:paraId="4D8C9CAA">
                  <w:pPr>
                    <w:pStyle w:val="54"/>
                    <w:widowControl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拆解车间、危废暂存库</w:t>
                  </w:r>
                </w:p>
              </w:tc>
              <w:tc>
                <w:tcPr>
                  <w:tcW w:w="1884" w:type="dxa"/>
                  <w:vAlign w:val="center"/>
                </w:tcPr>
                <w:p w14:paraId="6AEB2880">
                  <w:pPr>
                    <w:pStyle w:val="54"/>
                    <w:widowControl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废</w:t>
                  </w:r>
                  <w:r>
                    <w:rPr>
                      <w:rFonts w:hint="eastAsia" w:cs="Times New Roman"/>
                      <w:sz w:val="21"/>
                      <w:szCs w:val="21"/>
                      <w:lang w:val="en-US" w:eastAsia="zh-CN"/>
                    </w:rPr>
                    <w:t>汽油、废机</w:t>
                  </w:r>
                  <w:r>
                    <w:rPr>
                      <w:rFonts w:hint="default" w:ascii="Times New Roman" w:hAnsi="Times New Roman" w:cs="Times New Roman"/>
                      <w:sz w:val="21"/>
                      <w:szCs w:val="21"/>
                    </w:rPr>
                    <w:t>油等</w:t>
                  </w:r>
                </w:p>
              </w:tc>
              <w:tc>
                <w:tcPr>
                  <w:tcW w:w="972" w:type="dxa"/>
                  <w:vAlign w:val="center"/>
                </w:tcPr>
                <w:p w14:paraId="1EC23CA8">
                  <w:pPr>
                    <w:pStyle w:val="54"/>
                    <w:widowControl w:val="0"/>
                    <w:spacing w:line="240" w:lineRule="atLeast"/>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w:t>
                  </w:r>
                </w:p>
              </w:tc>
              <w:tc>
                <w:tcPr>
                  <w:tcW w:w="948" w:type="dxa"/>
                  <w:vAlign w:val="center"/>
                </w:tcPr>
                <w:p w14:paraId="7B68A978">
                  <w:pPr>
                    <w:pStyle w:val="54"/>
                    <w:widowControl w:val="0"/>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2500</w:t>
                  </w:r>
                </w:p>
              </w:tc>
              <w:tc>
                <w:tcPr>
                  <w:tcW w:w="1303" w:type="dxa"/>
                  <w:vAlign w:val="center"/>
                </w:tcPr>
                <w:p w14:paraId="0B0C226B">
                  <w:pPr>
                    <w:pStyle w:val="54"/>
                    <w:widowControl w:val="0"/>
                    <w:spacing w:line="240" w:lineRule="atLeast"/>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0.0016</w:t>
                  </w:r>
                </w:p>
              </w:tc>
            </w:tr>
            <w:tr w14:paraId="72204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483" w:type="dxa"/>
                  <w:vAlign w:val="center"/>
                </w:tcPr>
                <w:p w14:paraId="4CC9F6A4">
                  <w:pPr>
                    <w:pStyle w:val="54"/>
                    <w:widowControl w:val="0"/>
                    <w:spacing w:line="240" w:lineRule="atLeast"/>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3</w:t>
                  </w:r>
                </w:p>
              </w:tc>
              <w:tc>
                <w:tcPr>
                  <w:tcW w:w="948" w:type="dxa"/>
                  <w:vAlign w:val="center"/>
                </w:tcPr>
                <w:p w14:paraId="514C1B4C">
                  <w:pPr>
                    <w:pStyle w:val="54"/>
                    <w:widowControl w:val="0"/>
                    <w:spacing w:line="240" w:lineRule="atLeast"/>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其他危险废物</w:t>
                  </w:r>
                </w:p>
              </w:tc>
              <w:tc>
                <w:tcPr>
                  <w:tcW w:w="1380" w:type="dxa"/>
                  <w:vAlign w:val="center"/>
                </w:tcPr>
                <w:p w14:paraId="6A251D99">
                  <w:pPr>
                    <w:pStyle w:val="54"/>
                    <w:widowControl w:val="0"/>
                    <w:spacing w:line="240" w:lineRule="atLeast"/>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危废暂存库</w:t>
                  </w:r>
                </w:p>
              </w:tc>
              <w:tc>
                <w:tcPr>
                  <w:tcW w:w="1884" w:type="dxa"/>
                  <w:vAlign w:val="center"/>
                </w:tcPr>
                <w:p w14:paraId="7B893982">
                  <w:pPr>
                    <w:pStyle w:val="54"/>
                    <w:widowControl w:val="0"/>
                    <w:spacing w:line="240" w:lineRule="atLeast"/>
                    <w:ind w:firstLine="0" w:firstLineChars="0"/>
                    <w:jc w:val="center"/>
                    <w:rPr>
                      <w:rFonts w:hint="default" w:ascii="Times New Roman" w:hAnsi="Times New Roman" w:cs="Times New Roman"/>
                      <w:sz w:val="21"/>
                      <w:szCs w:val="21"/>
                    </w:rPr>
                  </w:pPr>
                  <w:r>
                    <w:rPr>
                      <w:rFonts w:hint="eastAsia"/>
                      <w:color w:val="auto"/>
                      <w:lang w:val="en-US" w:eastAsia="zh-CN"/>
                    </w:rPr>
                    <w:t>健康危险急性毒性物质（类别2，类别3）</w:t>
                  </w:r>
                </w:p>
              </w:tc>
              <w:tc>
                <w:tcPr>
                  <w:tcW w:w="972" w:type="dxa"/>
                  <w:vAlign w:val="center"/>
                </w:tcPr>
                <w:p w14:paraId="346464C5">
                  <w:pPr>
                    <w:pStyle w:val="54"/>
                    <w:widowControl w:val="0"/>
                    <w:spacing w:line="240" w:lineRule="atLeast"/>
                    <w:ind w:firstLine="0" w:firstLineChars="0"/>
                    <w:jc w:val="center"/>
                    <w:rPr>
                      <w:rFonts w:hint="default" w:cs="Times New Roman"/>
                      <w:sz w:val="21"/>
                      <w:szCs w:val="21"/>
                      <w:lang w:val="en-US" w:eastAsia="zh-CN"/>
                    </w:rPr>
                  </w:pPr>
                  <w:r>
                    <w:rPr>
                      <w:rFonts w:hint="eastAsia" w:cs="Times New Roman"/>
                      <w:sz w:val="21"/>
                      <w:szCs w:val="21"/>
                      <w:lang w:val="en-US" w:eastAsia="zh-CN"/>
                    </w:rPr>
                    <w:t>42.9</w:t>
                  </w:r>
                </w:p>
              </w:tc>
              <w:tc>
                <w:tcPr>
                  <w:tcW w:w="948" w:type="dxa"/>
                  <w:vAlign w:val="center"/>
                </w:tcPr>
                <w:p w14:paraId="1CCFE7F1">
                  <w:pPr>
                    <w:pStyle w:val="54"/>
                    <w:widowControl w:val="0"/>
                    <w:spacing w:line="240" w:lineRule="atLeast"/>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w:t>
                  </w:r>
                </w:p>
              </w:tc>
              <w:tc>
                <w:tcPr>
                  <w:tcW w:w="1303" w:type="dxa"/>
                  <w:vAlign w:val="center"/>
                </w:tcPr>
                <w:p w14:paraId="474FC81A">
                  <w:pPr>
                    <w:pStyle w:val="54"/>
                    <w:widowControl w:val="0"/>
                    <w:spacing w:line="240" w:lineRule="atLeast"/>
                    <w:ind w:firstLine="0" w:firstLineChars="0"/>
                    <w:jc w:val="center"/>
                    <w:rPr>
                      <w:rFonts w:hint="default" w:cs="Times New Roman"/>
                      <w:sz w:val="21"/>
                      <w:szCs w:val="21"/>
                      <w:lang w:val="en-US" w:eastAsia="zh-CN"/>
                    </w:rPr>
                  </w:pPr>
                  <w:r>
                    <w:rPr>
                      <w:rFonts w:hint="eastAsia" w:cs="Times New Roman"/>
                      <w:sz w:val="21"/>
                      <w:szCs w:val="21"/>
                      <w:lang w:val="en-US" w:eastAsia="zh-CN"/>
                    </w:rPr>
                    <w:t>0.858</w:t>
                  </w:r>
                </w:p>
              </w:tc>
            </w:tr>
            <w:tr w14:paraId="33A48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615" w:type="dxa"/>
                  <w:gridSpan w:val="6"/>
                  <w:vAlign w:val="center"/>
                </w:tcPr>
                <w:p w14:paraId="504DDC61">
                  <w:pPr>
                    <w:pStyle w:val="54"/>
                    <w:widowControl w:val="0"/>
                    <w:spacing w:line="240" w:lineRule="atLeast"/>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合计</w:t>
                  </w:r>
                </w:p>
              </w:tc>
              <w:tc>
                <w:tcPr>
                  <w:tcW w:w="1303" w:type="dxa"/>
                  <w:vAlign w:val="center"/>
                </w:tcPr>
                <w:p w14:paraId="67C8FF60">
                  <w:pPr>
                    <w:pStyle w:val="54"/>
                    <w:widowControl w:val="0"/>
                    <w:spacing w:line="240" w:lineRule="atLeast"/>
                    <w:ind w:firstLine="0" w:firstLineChars="0"/>
                    <w:jc w:val="center"/>
                    <w:rPr>
                      <w:rFonts w:hint="default" w:cs="Times New Roman"/>
                      <w:sz w:val="21"/>
                      <w:szCs w:val="21"/>
                      <w:lang w:val="en-US" w:eastAsia="zh-CN"/>
                    </w:rPr>
                  </w:pPr>
                  <w:r>
                    <w:rPr>
                      <w:rFonts w:hint="eastAsia" w:cs="Times New Roman"/>
                      <w:sz w:val="21"/>
                      <w:szCs w:val="21"/>
                      <w:lang w:val="en-US" w:eastAsia="zh-CN"/>
                    </w:rPr>
                    <w:t>0.8656</w:t>
                  </w:r>
                </w:p>
              </w:tc>
            </w:tr>
          </w:tbl>
          <w:p w14:paraId="06577CA2">
            <w:pPr>
              <w:pStyle w:val="29"/>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rPr>
            </w:pPr>
            <w:r>
              <w:rPr>
                <w:rFonts w:hint="default" w:ascii="Times New Roman" w:hAnsi="Times New Roman" w:eastAsia="宋体" w:cs="Times New Roman"/>
                <w:b w:val="0"/>
                <w:bCs/>
              </w:rPr>
              <w:t>由上表可知，项目危险物质数量与临界量比值Q=0.</w:t>
            </w:r>
            <w:r>
              <w:rPr>
                <w:rFonts w:hint="eastAsia" w:ascii="Times New Roman" w:eastAsia="宋体" w:cs="Times New Roman"/>
                <w:b w:val="0"/>
                <w:bCs/>
                <w:lang w:val="en-US" w:eastAsia="zh-CN"/>
              </w:rPr>
              <w:t>8656</w:t>
            </w:r>
            <w:r>
              <w:rPr>
                <w:rFonts w:hint="eastAsia" w:ascii="Times New Roman" w:hAnsi="Times New Roman" w:eastAsia="宋体" w:cs="Times New Roman"/>
                <w:b w:val="0"/>
                <w:bCs/>
                <w:lang w:val="en-US" w:eastAsia="zh-CN"/>
              </w:rPr>
              <w:t>＜</w:t>
            </w:r>
            <w:r>
              <w:rPr>
                <w:rFonts w:hint="default" w:ascii="Times New Roman" w:hAnsi="Times New Roman" w:eastAsia="宋体" w:cs="Times New Roman"/>
                <w:b w:val="0"/>
                <w:bCs/>
              </w:rPr>
              <w:t>1，因此可判定本项目环境风险潜势为Ⅰ。</w:t>
            </w:r>
          </w:p>
          <w:p w14:paraId="1226BB21">
            <w:pPr>
              <w:pStyle w:val="29"/>
              <w:spacing w:line="360" w:lineRule="auto"/>
              <w:ind w:firstLine="480" w:firstLineChars="200"/>
              <w:jc w:val="both"/>
              <w:rPr>
                <w:rFonts w:hint="default"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②</w:t>
            </w:r>
            <w:r>
              <w:rPr>
                <w:rFonts w:hint="default" w:ascii="Times New Roman" w:hAnsi="Times New Roman" w:eastAsia="宋体" w:cs="Times New Roman"/>
                <w:b w:val="0"/>
                <w:bCs w:val="0"/>
              </w:rPr>
              <w:t>评价等级</w:t>
            </w:r>
            <w:r>
              <w:rPr>
                <w:rFonts w:hint="default" w:ascii="Times New Roman" w:hAnsi="Times New Roman" w:eastAsia="宋体" w:cs="Times New Roman"/>
                <w:b w:val="0"/>
                <w:bCs w:val="0"/>
                <w:lang w:val="en-US" w:eastAsia="zh-CN"/>
              </w:rPr>
              <w:t>判定</w:t>
            </w:r>
          </w:p>
          <w:p w14:paraId="57B02555">
            <w:pPr>
              <w:pStyle w:val="54"/>
              <w:widowControl w:val="0"/>
              <w:ind w:firstLine="480"/>
              <w:rPr>
                <w:rFonts w:hint="default" w:ascii="Times New Roman" w:hAnsi="Times New Roman" w:cs="Times New Roman"/>
                <w:bCs/>
              </w:rPr>
            </w:pPr>
            <w:r>
              <w:rPr>
                <w:rFonts w:hint="default" w:ascii="Times New Roman" w:hAnsi="Times New Roman" w:cs="Times New Roman"/>
                <w:bCs/>
              </w:rPr>
              <w:t>依据《建设项目环境风险评价技术导则》（HJ/T169-2018）有关规定，</w:t>
            </w:r>
            <w:r>
              <w:rPr>
                <w:rFonts w:hint="eastAsia" w:ascii="Times New Roman" w:hAnsi="Times New Roman" w:cs="Times New Roman"/>
                <w:bCs/>
                <w:lang w:val="en-US" w:eastAsia="zh-CN"/>
              </w:rPr>
              <w:t>建设项目环境风险</w:t>
            </w:r>
            <w:r>
              <w:rPr>
                <w:rFonts w:hint="default" w:ascii="Times New Roman" w:hAnsi="Times New Roman" w:cs="Times New Roman"/>
                <w:bCs/>
              </w:rPr>
              <w:t>评价等级</w:t>
            </w:r>
            <w:r>
              <w:rPr>
                <w:rFonts w:hint="eastAsia" w:ascii="Times New Roman" w:hAnsi="Times New Roman" w:cs="Times New Roman"/>
                <w:bCs/>
                <w:lang w:val="en-US" w:eastAsia="zh-CN"/>
              </w:rPr>
              <w:t>判定</w:t>
            </w:r>
            <w:r>
              <w:rPr>
                <w:rFonts w:hint="eastAsia" w:ascii="Times New Roman" w:hAnsi="Times New Roman" w:eastAsia="宋体" w:cs="Times New Roman"/>
                <w:sz w:val="24"/>
                <w:szCs w:val="32"/>
                <w:lang w:val="en-US" w:eastAsia="zh-CN"/>
              </w:rPr>
              <w:t>见下表</w:t>
            </w:r>
            <w:r>
              <w:rPr>
                <w:rFonts w:hint="default" w:ascii="Times New Roman" w:hAnsi="Times New Roman" w:cs="Times New Roman"/>
                <w:bCs/>
              </w:rPr>
              <w:t>。</w:t>
            </w:r>
          </w:p>
          <w:p w14:paraId="27AF3F43">
            <w:pPr>
              <w:pStyle w:val="59"/>
              <w:keepNext/>
              <w:keepLines w:val="0"/>
              <w:pageBreakBefore w:val="0"/>
              <w:widowControl w:val="0"/>
              <w:kinsoku/>
              <w:wordWrap/>
              <w:overflowPunct w:val="0"/>
              <w:topLinePunct w:val="0"/>
              <w:autoSpaceDE/>
              <w:autoSpaceDN/>
              <w:bidi w:val="0"/>
              <w:adjustRightInd w:val="0"/>
              <w:snapToGrid w:val="0"/>
              <w:spacing w:before="0" w:after="0" w:line="240" w:lineRule="auto"/>
              <w:textAlignment w:val="baseline"/>
              <w:rPr>
                <w:rFonts w:hint="default" w:ascii="Times New Roman" w:hAnsi="Times New Roman" w:eastAsia="宋体" w:cs="Times New Roman"/>
                <w:b/>
                <w:bCs/>
                <w:sz w:val="21"/>
              </w:rPr>
            </w:pPr>
            <w:r>
              <w:rPr>
                <w:rFonts w:hint="default" w:ascii="Times New Roman" w:hAnsi="Times New Roman" w:eastAsia="宋体" w:cs="Times New Roman"/>
                <w:b/>
                <w:bCs/>
                <w:sz w:val="21"/>
              </w:rPr>
              <w:t>表</w:t>
            </w:r>
            <w:r>
              <w:rPr>
                <w:rFonts w:hint="default" w:ascii="Times New Roman" w:hAnsi="Times New Roman" w:eastAsia="宋体" w:cs="Times New Roman"/>
                <w:b/>
                <w:bCs/>
                <w:sz w:val="21"/>
                <w:lang w:val="en-US" w:eastAsia="zh-CN"/>
              </w:rPr>
              <w:t>4-</w:t>
            </w:r>
            <w:r>
              <w:rPr>
                <w:rFonts w:hint="eastAsia" w:ascii="Times New Roman" w:hAnsi="Times New Roman" w:eastAsia="宋体" w:cs="Times New Roman"/>
                <w:b/>
                <w:bCs/>
                <w:sz w:val="21"/>
                <w:lang w:val="en-US" w:eastAsia="zh-CN"/>
              </w:rPr>
              <w:t>2</w:t>
            </w:r>
            <w:r>
              <w:rPr>
                <w:rFonts w:hint="eastAsia" w:cs="Times New Roman"/>
                <w:b/>
                <w:bCs/>
                <w:sz w:val="21"/>
                <w:lang w:val="en-US" w:eastAsia="zh-CN"/>
              </w:rPr>
              <w:t>4</w:t>
            </w:r>
            <w:r>
              <w:rPr>
                <w:rFonts w:hint="default" w:ascii="Times New Roman" w:hAnsi="Times New Roman" w:eastAsia="宋体" w:cs="Times New Roman"/>
                <w:b/>
                <w:bCs/>
                <w:sz w:val="21"/>
              </w:rPr>
              <w:t xml:space="preserve">  风险评价等级划分表</w:t>
            </w:r>
          </w:p>
          <w:tbl>
            <w:tblPr>
              <w:tblStyle w:val="24"/>
              <w:tblW w:w="80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45" w:type="dxa"/>
                <w:bottom w:w="0" w:type="dxa"/>
                <w:right w:w="45" w:type="dxa"/>
              </w:tblCellMar>
            </w:tblPr>
            <w:tblGrid>
              <w:gridCol w:w="1797"/>
              <w:gridCol w:w="1389"/>
              <w:gridCol w:w="1575"/>
              <w:gridCol w:w="1909"/>
              <w:gridCol w:w="1386"/>
            </w:tblGrid>
            <w:tr w14:paraId="08FD7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45" w:type="dxa"/>
                  <w:bottom w:w="0" w:type="dxa"/>
                  <w:right w:w="45" w:type="dxa"/>
                </w:tblCellMar>
              </w:tblPrEx>
              <w:trPr>
                <w:trHeight w:val="348" w:hRule="atLeast"/>
                <w:jc w:val="center"/>
              </w:trPr>
              <w:tc>
                <w:tcPr>
                  <w:tcW w:w="1797" w:type="dxa"/>
                  <w:tcBorders>
                    <w:top w:val="single" w:color="000000" w:sz="4" w:space="0"/>
                    <w:left w:val="single" w:color="000000" w:sz="4" w:space="0"/>
                    <w:bottom w:val="single" w:color="000000" w:sz="4" w:space="0"/>
                    <w:right w:val="single" w:color="000000" w:sz="4" w:space="0"/>
                  </w:tcBorders>
                  <w:noWrap w:val="0"/>
                  <w:vAlign w:val="center"/>
                </w:tcPr>
                <w:p w14:paraId="4F9C2993">
                  <w:pPr>
                    <w:spacing w:line="240" w:lineRule="exact"/>
                    <w:jc w:val="center"/>
                    <w:rPr>
                      <w:rFonts w:hint="default" w:ascii="Times New Roman" w:hAnsi="Times New Roman" w:cs="Times New Roman"/>
                      <w:b/>
                    </w:rPr>
                  </w:pPr>
                  <w:r>
                    <w:rPr>
                      <w:rFonts w:hint="default" w:ascii="Times New Roman" w:hAnsi="Times New Roman" w:cs="Times New Roman"/>
                      <w:b/>
                    </w:rPr>
                    <w:t>环境风险潜势</w:t>
                  </w:r>
                </w:p>
              </w:tc>
              <w:tc>
                <w:tcPr>
                  <w:tcW w:w="1389" w:type="dxa"/>
                  <w:tcBorders>
                    <w:top w:val="single" w:color="000000" w:sz="4" w:space="0"/>
                    <w:left w:val="nil"/>
                    <w:bottom w:val="single" w:color="000000" w:sz="4" w:space="0"/>
                    <w:right w:val="single" w:color="000000" w:sz="4" w:space="0"/>
                  </w:tcBorders>
                  <w:noWrap w:val="0"/>
                  <w:vAlign w:val="center"/>
                </w:tcPr>
                <w:p w14:paraId="5702BF0A">
                  <w:pPr>
                    <w:spacing w:line="240" w:lineRule="exact"/>
                    <w:jc w:val="center"/>
                    <w:rPr>
                      <w:rFonts w:hint="default" w:ascii="Times New Roman" w:hAnsi="Times New Roman" w:cs="Times New Roman"/>
                      <w:b/>
                    </w:rPr>
                  </w:pPr>
                  <w:r>
                    <w:rPr>
                      <w:rFonts w:hint="default" w:ascii="Times New Roman" w:hAnsi="Times New Roman" w:cs="Times New Roman"/>
                      <w:b/>
                    </w:rPr>
                    <w:t>IV、IV</w:t>
                  </w:r>
                  <w:r>
                    <w:rPr>
                      <w:rFonts w:hint="default" w:ascii="Times New Roman" w:hAnsi="Times New Roman" w:cs="Times New Roman"/>
                      <w:b/>
                      <w:vertAlign w:val="superscript"/>
                    </w:rPr>
                    <w:t>+</w:t>
                  </w:r>
                </w:p>
              </w:tc>
              <w:tc>
                <w:tcPr>
                  <w:tcW w:w="1575" w:type="dxa"/>
                  <w:tcBorders>
                    <w:top w:val="single" w:color="000000" w:sz="4" w:space="0"/>
                    <w:left w:val="nil"/>
                    <w:bottom w:val="single" w:color="000000" w:sz="4" w:space="0"/>
                    <w:right w:val="single" w:color="000000" w:sz="4" w:space="0"/>
                  </w:tcBorders>
                  <w:noWrap w:val="0"/>
                  <w:vAlign w:val="center"/>
                </w:tcPr>
                <w:p w14:paraId="74C14B46">
                  <w:pPr>
                    <w:spacing w:line="240" w:lineRule="exact"/>
                    <w:jc w:val="center"/>
                    <w:rPr>
                      <w:rFonts w:hint="default" w:ascii="Times New Roman" w:hAnsi="Times New Roman" w:cs="Times New Roman"/>
                      <w:b/>
                    </w:rPr>
                  </w:pPr>
                  <w:r>
                    <w:rPr>
                      <w:rFonts w:hint="default" w:ascii="Times New Roman" w:hAnsi="Times New Roman" w:cs="Times New Roman"/>
                      <w:b/>
                    </w:rPr>
                    <w:t>III</w:t>
                  </w:r>
                </w:p>
              </w:tc>
              <w:tc>
                <w:tcPr>
                  <w:tcW w:w="1909" w:type="dxa"/>
                  <w:tcBorders>
                    <w:top w:val="single" w:color="000000" w:sz="4" w:space="0"/>
                    <w:left w:val="nil"/>
                    <w:bottom w:val="single" w:color="000000" w:sz="4" w:space="0"/>
                    <w:right w:val="single" w:color="000000" w:sz="4" w:space="0"/>
                  </w:tcBorders>
                  <w:noWrap w:val="0"/>
                  <w:vAlign w:val="center"/>
                </w:tcPr>
                <w:p w14:paraId="7EB66657">
                  <w:pPr>
                    <w:spacing w:line="240" w:lineRule="exact"/>
                    <w:jc w:val="center"/>
                    <w:rPr>
                      <w:rFonts w:hint="default" w:ascii="Times New Roman" w:hAnsi="Times New Roman" w:cs="Times New Roman"/>
                      <w:b/>
                    </w:rPr>
                  </w:pPr>
                  <w:r>
                    <w:rPr>
                      <w:rFonts w:hint="default" w:ascii="Times New Roman" w:hAnsi="Times New Roman" w:cs="Times New Roman"/>
                      <w:b/>
                    </w:rPr>
                    <w:t>II</w:t>
                  </w:r>
                </w:p>
              </w:tc>
              <w:tc>
                <w:tcPr>
                  <w:tcW w:w="1386" w:type="dxa"/>
                  <w:tcBorders>
                    <w:top w:val="single" w:color="000000" w:sz="4" w:space="0"/>
                    <w:left w:val="nil"/>
                    <w:bottom w:val="single" w:color="000000" w:sz="4" w:space="0"/>
                    <w:right w:val="single" w:color="000000" w:sz="4" w:space="0"/>
                  </w:tcBorders>
                  <w:noWrap w:val="0"/>
                  <w:vAlign w:val="center"/>
                </w:tcPr>
                <w:p w14:paraId="0945FD0F">
                  <w:pPr>
                    <w:spacing w:line="240" w:lineRule="exact"/>
                    <w:jc w:val="center"/>
                    <w:rPr>
                      <w:rFonts w:hint="default" w:ascii="Times New Roman" w:hAnsi="Times New Roman" w:cs="Times New Roman"/>
                      <w:b/>
                    </w:rPr>
                  </w:pPr>
                  <w:r>
                    <w:rPr>
                      <w:rFonts w:hint="default" w:ascii="Times New Roman" w:hAnsi="Times New Roman" w:cs="Times New Roman"/>
                      <w:b/>
                    </w:rPr>
                    <w:t>I</w:t>
                  </w:r>
                </w:p>
              </w:tc>
            </w:tr>
            <w:tr w14:paraId="343EB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45" w:type="dxa"/>
                  <w:bottom w:w="0" w:type="dxa"/>
                  <w:right w:w="45" w:type="dxa"/>
                </w:tblCellMar>
              </w:tblPrEx>
              <w:trPr>
                <w:trHeight w:val="320" w:hRule="atLeast"/>
                <w:jc w:val="center"/>
              </w:trPr>
              <w:tc>
                <w:tcPr>
                  <w:tcW w:w="179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13D3D">
                  <w:pPr>
                    <w:spacing w:line="240" w:lineRule="exact"/>
                    <w:jc w:val="center"/>
                    <w:rPr>
                      <w:rFonts w:hint="default" w:ascii="Times New Roman" w:hAnsi="Times New Roman" w:cs="Times New Roman"/>
                      <w:bCs/>
                    </w:rPr>
                  </w:pPr>
                  <w:r>
                    <w:rPr>
                      <w:rFonts w:hint="default" w:ascii="Times New Roman" w:hAnsi="Times New Roman" w:cs="Times New Roman"/>
                      <w:bCs/>
                    </w:rPr>
                    <w:t>评价工作等级</w:t>
                  </w:r>
                </w:p>
              </w:tc>
              <w:tc>
                <w:tcPr>
                  <w:tcW w:w="1389" w:type="dxa"/>
                  <w:tcBorders>
                    <w:top w:val="single" w:color="000000" w:sz="4" w:space="0"/>
                    <w:left w:val="nil"/>
                    <w:bottom w:val="single" w:color="000000" w:sz="4" w:space="0"/>
                    <w:right w:val="single" w:color="000000" w:sz="4" w:space="0"/>
                  </w:tcBorders>
                  <w:shd w:val="clear" w:color="auto" w:fill="auto"/>
                  <w:noWrap w:val="0"/>
                  <w:vAlign w:val="center"/>
                </w:tcPr>
                <w:p w14:paraId="6C66EBBD">
                  <w:pPr>
                    <w:spacing w:line="240" w:lineRule="exact"/>
                    <w:jc w:val="center"/>
                    <w:rPr>
                      <w:rFonts w:hint="default" w:ascii="Times New Roman" w:hAnsi="Times New Roman" w:cs="Times New Roman"/>
                    </w:rPr>
                  </w:pPr>
                  <w:r>
                    <w:rPr>
                      <w:rFonts w:hint="default" w:ascii="Times New Roman" w:hAnsi="Times New Roman" w:cs="Times New Roman"/>
                    </w:rPr>
                    <w:t>一</w:t>
                  </w:r>
                </w:p>
              </w:tc>
              <w:tc>
                <w:tcPr>
                  <w:tcW w:w="1575" w:type="dxa"/>
                  <w:tcBorders>
                    <w:top w:val="single" w:color="000000" w:sz="4" w:space="0"/>
                    <w:left w:val="nil"/>
                    <w:bottom w:val="single" w:color="000000" w:sz="4" w:space="0"/>
                    <w:right w:val="single" w:color="000000" w:sz="4" w:space="0"/>
                  </w:tcBorders>
                  <w:shd w:val="clear" w:color="auto" w:fill="auto"/>
                  <w:noWrap w:val="0"/>
                  <w:vAlign w:val="center"/>
                </w:tcPr>
                <w:p w14:paraId="016DA73E">
                  <w:pPr>
                    <w:spacing w:line="240" w:lineRule="exact"/>
                    <w:jc w:val="center"/>
                    <w:rPr>
                      <w:rFonts w:hint="default" w:ascii="Times New Roman" w:hAnsi="Times New Roman" w:cs="Times New Roman"/>
                    </w:rPr>
                  </w:pPr>
                  <w:r>
                    <w:rPr>
                      <w:rFonts w:hint="default" w:ascii="Times New Roman" w:hAnsi="Times New Roman" w:cs="Times New Roman"/>
                    </w:rPr>
                    <w:t>二</w:t>
                  </w:r>
                </w:p>
              </w:tc>
              <w:tc>
                <w:tcPr>
                  <w:tcW w:w="1909" w:type="dxa"/>
                  <w:tcBorders>
                    <w:top w:val="single" w:color="000000" w:sz="4" w:space="0"/>
                    <w:left w:val="nil"/>
                    <w:bottom w:val="single" w:color="000000" w:sz="4" w:space="0"/>
                    <w:right w:val="single" w:color="000000" w:sz="4" w:space="0"/>
                  </w:tcBorders>
                  <w:shd w:val="clear" w:color="auto" w:fill="auto"/>
                  <w:noWrap w:val="0"/>
                  <w:vAlign w:val="center"/>
                </w:tcPr>
                <w:p w14:paraId="7C9D4416">
                  <w:pPr>
                    <w:spacing w:line="240" w:lineRule="exact"/>
                    <w:jc w:val="center"/>
                    <w:rPr>
                      <w:rFonts w:hint="default" w:ascii="Times New Roman" w:hAnsi="Times New Roman" w:cs="Times New Roman"/>
                    </w:rPr>
                  </w:pPr>
                  <w:r>
                    <w:rPr>
                      <w:rFonts w:hint="default" w:ascii="Times New Roman" w:hAnsi="Times New Roman" w:cs="Times New Roman"/>
                    </w:rPr>
                    <w:t>三</w:t>
                  </w:r>
                </w:p>
              </w:tc>
              <w:tc>
                <w:tcPr>
                  <w:tcW w:w="1386" w:type="dxa"/>
                  <w:tcBorders>
                    <w:top w:val="single" w:color="000000" w:sz="4" w:space="0"/>
                    <w:left w:val="nil"/>
                    <w:bottom w:val="single" w:color="000000" w:sz="4" w:space="0"/>
                    <w:right w:val="single" w:color="000000" w:sz="4" w:space="0"/>
                  </w:tcBorders>
                  <w:shd w:val="clear" w:color="auto" w:fill="A4A4A4"/>
                  <w:noWrap w:val="0"/>
                  <w:vAlign w:val="center"/>
                </w:tcPr>
                <w:p w14:paraId="60A2D0F4">
                  <w:pPr>
                    <w:spacing w:line="240" w:lineRule="exact"/>
                    <w:jc w:val="center"/>
                    <w:rPr>
                      <w:rFonts w:hint="default" w:ascii="Times New Roman" w:hAnsi="Times New Roman" w:cs="Times New Roman"/>
                    </w:rPr>
                  </w:pPr>
                  <w:r>
                    <w:rPr>
                      <w:rFonts w:hint="default" w:ascii="Times New Roman" w:hAnsi="Times New Roman" w:cs="Times New Roman"/>
                    </w:rPr>
                    <w:t>简单分析</w:t>
                  </w:r>
                </w:p>
              </w:tc>
            </w:tr>
            <w:tr w14:paraId="799CE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45" w:type="dxa"/>
                  <w:bottom w:w="0" w:type="dxa"/>
                  <w:right w:w="45" w:type="dxa"/>
                </w:tblCellMar>
              </w:tblPrEx>
              <w:trPr>
                <w:trHeight w:val="476" w:hRule="atLeast"/>
                <w:jc w:val="center"/>
              </w:trPr>
              <w:tc>
                <w:tcPr>
                  <w:tcW w:w="8056" w:type="dxa"/>
                  <w:gridSpan w:val="5"/>
                  <w:tcBorders>
                    <w:top w:val="single" w:color="000000" w:sz="4" w:space="0"/>
                    <w:left w:val="single" w:color="000000" w:sz="4" w:space="0"/>
                    <w:bottom w:val="single" w:color="000000" w:sz="4" w:space="0"/>
                    <w:right w:val="single" w:color="000000" w:sz="4" w:space="0"/>
                  </w:tcBorders>
                  <w:noWrap w:val="0"/>
                  <w:vAlign w:val="center"/>
                </w:tcPr>
                <w:p w14:paraId="443769D3">
                  <w:pPr>
                    <w:spacing w:line="240" w:lineRule="exact"/>
                    <w:jc w:val="center"/>
                    <w:rPr>
                      <w:rFonts w:hint="default" w:ascii="Times New Roman" w:hAnsi="Times New Roman" w:cs="Times New Roman"/>
                    </w:rPr>
                  </w:pPr>
                  <w:r>
                    <w:rPr>
                      <w:rFonts w:hint="default" w:ascii="Times New Roman" w:hAnsi="Times New Roman" w:cs="Times New Roman"/>
                    </w:rPr>
                    <w:t>是相对于详细评价工作内容而言，在描述危险物质、环境影响途径、环境影响途径、环境危害后果、风险防范措施等方面给出定性的说明。</w:t>
                  </w:r>
                </w:p>
              </w:tc>
            </w:tr>
          </w:tbl>
          <w:p w14:paraId="4B944A6E">
            <w:pPr>
              <w:pStyle w:val="54"/>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default" w:ascii="Times New Roman" w:hAnsi="Times New Roman" w:cs="Times New Roman"/>
                <w:bCs/>
                <w:szCs w:val="22"/>
              </w:rPr>
            </w:pPr>
            <w:r>
              <w:rPr>
                <w:rFonts w:hint="default" w:ascii="Times New Roman" w:hAnsi="Times New Roman" w:cs="Times New Roman"/>
                <w:bCs/>
                <w:szCs w:val="22"/>
              </w:rPr>
              <w:t>根据《建设项目环境风险评价技术导则》（HJ/T169-2018）中相关规定，本项目风险潜势为I，风险评价等级为简单分析。</w:t>
            </w:r>
          </w:p>
          <w:p w14:paraId="5E7ED043">
            <w:pPr>
              <w:pStyle w:val="54"/>
              <w:ind w:firstLine="480"/>
              <w:rPr>
                <w:b/>
                <w:bCs/>
                <w:szCs w:val="24"/>
              </w:rPr>
            </w:pPr>
            <w:r>
              <w:rPr>
                <w:rFonts w:hint="eastAsia"/>
                <w:b/>
                <w:bCs/>
                <w:szCs w:val="24"/>
                <w:lang w:val="en-US" w:eastAsia="zh-CN"/>
              </w:rPr>
              <w:t>（2）</w:t>
            </w:r>
            <w:r>
              <w:rPr>
                <w:b/>
                <w:bCs/>
                <w:szCs w:val="24"/>
              </w:rPr>
              <w:t>环境敏感目标调查</w:t>
            </w:r>
          </w:p>
          <w:p w14:paraId="69969D63">
            <w:pPr>
              <w:pStyle w:val="54"/>
              <w:ind w:firstLine="480"/>
              <w:rPr>
                <w:szCs w:val="24"/>
              </w:rPr>
            </w:pPr>
            <w:r>
              <w:rPr>
                <w:szCs w:val="24"/>
              </w:rPr>
              <w:t>根据调查，本项目</w:t>
            </w:r>
            <w:r>
              <w:rPr>
                <w:rFonts w:hint="eastAsia"/>
                <w:sz w:val="24"/>
                <w:szCs w:val="32"/>
              </w:rPr>
              <w:t>厂界外5</w:t>
            </w:r>
            <w:r>
              <w:rPr>
                <w:sz w:val="24"/>
                <w:szCs w:val="32"/>
              </w:rPr>
              <w:t>00</w:t>
            </w:r>
            <w:r>
              <w:rPr>
                <w:rFonts w:hint="eastAsia"/>
                <w:sz w:val="24"/>
                <w:szCs w:val="32"/>
              </w:rPr>
              <w:t>m范围内无</w:t>
            </w:r>
            <w:r>
              <w:rPr>
                <w:sz w:val="24"/>
                <w:szCs w:val="32"/>
              </w:rPr>
              <w:t>自然保护区、风景名胜区、居住区、文化区和农村地区中人群较集中的区域等保护目标</w:t>
            </w:r>
            <w:r>
              <w:rPr>
                <w:rFonts w:hint="eastAsia"/>
                <w:sz w:val="24"/>
                <w:szCs w:val="32"/>
              </w:rPr>
              <w:t>。无</w:t>
            </w:r>
            <w:r>
              <w:rPr>
                <w:sz w:val="24"/>
                <w:szCs w:val="32"/>
              </w:rPr>
              <w:t>地下水集中式饮用水水源和热水、矿泉水、温泉等特殊地下水资源</w:t>
            </w:r>
            <w:r>
              <w:rPr>
                <w:szCs w:val="24"/>
              </w:rPr>
              <w:t>。</w:t>
            </w:r>
          </w:p>
          <w:p w14:paraId="7297B558">
            <w:pPr>
              <w:pStyle w:val="54"/>
              <w:ind w:firstLine="480"/>
              <w:rPr>
                <w:rFonts w:hint="default" w:eastAsia="宋体"/>
                <w:b/>
                <w:bCs w:val="0"/>
                <w:lang w:val="en-US" w:eastAsia="zh-CN"/>
              </w:rPr>
            </w:pPr>
            <w:r>
              <w:rPr>
                <w:b/>
              </w:rPr>
              <w:t>（2）</w:t>
            </w:r>
            <w:r>
              <w:rPr>
                <w:rFonts w:hint="eastAsia"/>
                <w:b/>
                <w:bCs w:val="0"/>
                <w:lang w:val="en-US" w:eastAsia="zh-CN"/>
              </w:rPr>
              <w:t>环境风险识别</w:t>
            </w:r>
          </w:p>
          <w:p w14:paraId="2E556799">
            <w:pPr>
              <w:pStyle w:val="54"/>
              <w:ind w:firstLine="480"/>
              <w:rPr>
                <w:rFonts w:hint="default" w:ascii="Times New Roman" w:hAnsi="Times New Roman" w:cs="Times New Roman"/>
                <w:bCs/>
              </w:rPr>
            </w:pPr>
            <w:r>
              <w:rPr>
                <w:rFonts w:hint="default" w:ascii="Times New Roman" w:hAnsi="Times New Roman" w:cs="Times New Roman"/>
                <w:bCs/>
              </w:rPr>
              <w:t>1）风险物质识别</w:t>
            </w:r>
          </w:p>
          <w:p w14:paraId="63550144">
            <w:pPr>
              <w:pStyle w:val="54"/>
              <w:ind w:firstLine="480"/>
              <w:rPr>
                <w:rFonts w:hint="default" w:ascii="Times New Roman" w:hAnsi="Times New Roman" w:cs="Times New Roman"/>
                <w:bCs/>
                <w:szCs w:val="22"/>
              </w:rPr>
            </w:pPr>
            <w:r>
              <w:rPr>
                <w:rFonts w:hint="default" w:ascii="Times New Roman" w:hAnsi="Times New Roman" w:cs="Times New Roman"/>
                <w:bCs/>
                <w:szCs w:val="22"/>
              </w:rPr>
              <w:t>本项目涉及的主要危险物质为乙炔、废油（包括汽油、柴油、机油、变速箱油、制动液、废液压油、废润滑油等），其中乙炔主要理化性质及危险特性见表</w:t>
            </w:r>
            <w:r>
              <w:rPr>
                <w:rFonts w:hint="eastAsia" w:ascii="Times New Roman" w:hAnsi="Times New Roman" w:cs="Times New Roman"/>
                <w:bCs/>
                <w:szCs w:val="22"/>
                <w:lang w:val="en-US" w:eastAsia="zh-CN"/>
              </w:rPr>
              <w:t>2-</w:t>
            </w:r>
            <w:r>
              <w:rPr>
                <w:rFonts w:hint="eastAsia" w:cs="Times New Roman"/>
                <w:bCs/>
                <w:szCs w:val="22"/>
                <w:lang w:val="en-US" w:eastAsia="zh-CN"/>
              </w:rPr>
              <w:t>4</w:t>
            </w:r>
            <w:r>
              <w:rPr>
                <w:rFonts w:hint="default" w:ascii="Times New Roman" w:hAnsi="Times New Roman" w:cs="Times New Roman"/>
                <w:bCs/>
                <w:szCs w:val="22"/>
              </w:rPr>
              <w:t>，废油</w:t>
            </w:r>
            <w:r>
              <w:rPr>
                <w:rFonts w:hint="eastAsia" w:cs="Times New Roman"/>
                <w:bCs/>
                <w:szCs w:val="22"/>
                <w:lang w:val="en-US" w:eastAsia="zh-CN"/>
              </w:rPr>
              <w:t>液</w:t>
            </w:r>
            <w:r>
              <w:rPr>
                <w:rFonts w:hint="default" w:ascii="Times New Roman" w:hAnsi="Times New Roman" w:cs="Times New Roman"/>
                <w:bCs/>
                <w:szCs w:val="22"/>
              </w:rPr>
              <w:t>的主要理化性质及危险特性见</w:t>
            </w:r>
            <w:r>
              <w:rPr>
                <w:rFonts w:hint="eastAsia" w:ascii="Times New Roman" w:hAnsi="Times New Roman" w:cs="Times New Roman"/>
                <w:bCs/>
                <w:szCs w:val="22"/>
                <w:lang w:val="en-US" w:eastAsia="zh-CN"/>
              </w:rPr>
              <w:t>下</w:t>
            </w:r>
            <w:r>
              <w:rPr>
                <w:rFonts w:hint="default" w:ascii="Times New Roman" w:hAnsi="Times New Roman" w:cs="Times New Roman"/>
                <w:bCs/>
                <w:szCs w:val="22"/>
              </w:rPr>
              <w:t>表。</w:t>
            </w:r>
          </w:p>
          <w:p w14:paraId="2B232F00">
            <w:pPr>
              <w:pStyle w:val="54"/>
              <w:spacing w:line="240" w:lineRule="atLeast"/>
              <w:ind w:firstLine="422"/>
              <w:jc w:val="center"/>
              <w:rPr>
                <w:rFonts w:hint="default" w:ascii="Times New Roman" w:hAnsi="Times New Roman" w:cs="Times New Roman"/>
                <w:b/>
                <w:sz w:val="21"/>
              </w:rPr>
            </w:pPr>
            <w:r>
              <w:rPr>
                <w:rFonts w:hint="default" w:ascii="Times New Roman" w:hAnsi="Times New Roman" w:cs="Times New Roman"/>
                <w:b/>
                <w:sz w:val="21"/>
              </w:rPr>
              <w:t>表</w:t>
            </w:r>
            <w:r>
              <w:rPr>
                <w:rFonts w:hint="eastAsia" w:ascii="Times New Roman" w:hAnsi="Times New Roman" w:cs="Times New Roman"/>
                <w:b/>
                <w:sz w:val="21"/>
                <w:lang w:val="en-US" w:eastAsia="zh-CN"/>
              </w:rPr>
              <w:t>4</w:t>
            </w:r>
            <w:r>
              <w:rPr>
                <w:rFonts w:hint="default" w:ascii="Times New Roman" w:hAnsi="Times New Roman" w:cs="Times New Roman"/>
                <w:b/>
                <w:sz w:val="21"/>
              </w:rPr>
              <w:t>-2</w:t>
            </w:r>
            <w:r>
              <w:rPr>
                <w:rFonts w:hint="eastAsia" w:cs="Times New Roman"/>
                <w:b/>
                <w:sz w:val="21"/>
                <w:lang w:val="en-US" w:eastAsia="zh-CN"/>
              </w:rPr>
              <w:t>5</w:t>
            </w:r>
            <w:r>
              <w:rPr>
                <w:rFonts w:hint="default" w:ascii="Times New Roman" w:hAnsi="Times New Roman" w:cs="Times New Roman"/>
                <w:b/>
                <w:sz w:val="21"/>
              </w:rPr>
              <w:t xml:space="preserve">   </w:t>
            </w:r>
            <w:r>
              <w:rPr>
                <w:rFonts w:hint="eastAsia" w:ascii="Times New Roman" w:hAnsi="Times New Roman" w:cs="Times New Roman"/>
                <w:b/>
                <w:sz w:val="21"/>
                <w:lang w:val="en-US" w:eastAsia="zh-CN"/>
              </w:rPr>
              <w:t>主要风险物质</w:t>
            </w:r>
            <w:r>
              <w:rPr>
                <w:rFonts w:hint="default" w:ascii="Times New Roman" w:hAnsi="Times New Roman" w:cs="Times New Roman"/>
                <w:b/>
                <w:sz w:val="21"/>
              </w:rPr>
              <w:t>理化性质和危险特性一览表</w:t>
            </w:r>
          </w:p>
          <w:tbl>
            <w:tblPr>
              <w:tblStyle w:val="25"/>
              <w:tblW w:w="7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696"/>
              <w:gridCol w:w="1800"/>
              <w:gridCol w:w="2359"/>
              <w:gridCol w:w="2428"/>
            </w:tblGrid>
            <w:tr w14:paraId="0B3E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4" w:type="dxa"/>
                  <w:vAlign w:val="center"/>
                </w:tcPr>
                <w:p w14:paraId="1884AE41">
                  <w:pPr>
                    <w:pStyle w:val="54"/>
                    <w:widowControl w:val="0"/>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序号</w:t>
                  </w:r>
                </w:p>
              </w:tc>
              <w:tc>
                <w:tcPr>
                  <w:tcW w:w="696" w:type="dxa"/>
                  <w:vAlign w:val="center"/>
                </w:tcPr>
                <w:p w14:paraId="3070B084">
                  <w:pPr>
                    <w:pStyle w:val="54"/>
                    <w:widowControl w:val="0"/>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名称</w:t>
                  </w:r>
                </w:p>
              </w:tc>
              <w:tc>
                <w:tcPr>
                  <w:tcW w:w="1800" w:type="dxa"/>
                  <w:vAlign w:val="center"/>
                </w:tcPr>
                <w:p w14:paraId="0C224C49">
                  <w:pPr>
                    <w:pStyle w:val="54"/>
                    <w:widowControl w:val="0"/>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理化性质</w:t>
                  </w:r>
                </w:p>
              </w:tc>
              <w:tc>
                <w:tcPr>
                  <w:tcW w:w="2359" w:type="dxa"/>
                  <w:vAlign w:val="center"/>
                </w:tcPr>
                <w:p w14:paraId="4C40D833">
                  <w:pPr>
                    <w:pStyle w:val="54"/>
                    <w:widowControl w:val="0"/>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燃爆危险性</w:t>
                  </w:r>
                </w:p>
              </w:tc>
              <w:tc>
                <w:tcPr>
                  <w:tcW w:w="2428" w:type="dxa"/>
                  <w:vAlign w:val="center"/>
                </w:tcPr>
                <w:p w14:paraId="501E7748">
                  <w:pPr>
                    <w:pStyle w:val="54"/>
                    <w:widowControl w:val="0"/>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毒性危害</w:t>
                  </w:r>
                </w:p>
              </w:tc>
            </w:tr>
            <w:tr w14:paraId="1C1C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8" w:hRule="atLeast"/>
              </w:trPr>
              <w:tc>
                <w:tcPr>
                  <w:tcW w:w="694" w:type="dxa"/>
                  <w:vAlign w:val="center"/>
                </w:tcPr>
                <w:p w14:paraId="083AFB6B">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1</w:t>
                  </w:r>
                </w:p>
              </w:tc>
              <w:tc>
                <w:tcPr>
                  <w:tcW w:w="696" w:type="dxa"/>
                  <w:vAlign w:val="center"/>
                </w:tcPr>
                <w:p w14:paraId="49E82FD9">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汽油</w:t>
                  </w:r>
                </w:p>
              </w:tc>
              <w:tc>
                <w:tcPr>
                  <w:tcW w:w="1800" w:type="dxa"/>
                  <w:vAlign w:val="center"/>
                </w:tcPr>
                <w:p w14:paraId="07959EAA">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具有挥发性和易燃性</w:t>
                  </w:r>
                </w:p>
              </w:tc>
              <w:tc>
                <w:tcPr>
                  <w:tcW w:w="2359" w:type="dxa"/>
                  <w:vAlign w:val="center"/>
                </w:tcPr>
                <w:p w14:paraId="29251D10">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爆炸危险组别为T31/IA，闪点-50℃，爆炸下限1%，爆炸上限7.6%，其蒸汽与空气混合成为爆炸性混合物，遇明火、高热、氧化剂时极易引起燃烧爆炸</w:t>
                  </w:r>
                </w:p>
              </w:tc>
              <w:tc>
                <w:tcPr>
                  <w:tcW w:w="2428" w:type="dxa"/>
                  <w:vAlign w:val="center"/>
                </w:tcPr>
                <w:p w14:paraId="0B557978">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易于从呼吸道或溶解皮脂从皮肤侵入人体，引起急性和慢性中毒，当空气中汽油烟气浓度达到30-40mg/L时，人呼吸半小时后，即导致生命危险</w:t>
                  </w:r>
                </w:p>
              </w:tc>
            </w:tr>
            <w:tr w14:paraId="64C8D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694" w:type="dxa"/>
                  <w:vAlign w:val="center"/>
                </w:tcPr>
                <w:p w14:paraId="1F910D5D">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2</w:t>
                  </w:r>
                </w:p>
              </w:tc>
              <w:tc>
                <w:tcPr>
                  <w:tcW w:w="696" w:type="dxa"/>
                  <w:vAlign w:val="center"/>
                </w:tcPr>
                <w:p w14:paraId="0EB2CA2E">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液压油</w:t>
                  </w:r>
                </w:p>
              </w:tc>
              <w:tc>
                <w:tcPr>
                  <w:tcW w:w="1800" w:type="dxa"/>
                  <w:vAlign w:val="center"/>
                </w:tcPr>
                <w:p w14:paraId="4E203896">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淡黄色液体，相对密度为0.871，闪点为224℃，引燃温度220~500℃</w:t>
                  </w:r>
                </w:p>
              </w:tc>
              <w:tc>
                <w:tcPr>
                  <w:tcW w:w="2359" w:type="dxa"/>
                  <w:vAlign w:val="center"/>
                </w:tcPr>
                <w:p w14:paraId="50DB0933">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无爆炸危险性，可燃</w:t>
                  </w:r>
                </w:p>
              </w:tc>
              <w:tc>
                <w:tcPr>
                  <w:tcW w:w="2428" w:type="dxa"/>
                  <w:vAlign w:val="center"/>
                </w:tcPr>
                <w:p w14:paraId="278C7E08">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极低毒性</w:t>
                  </w:r>
                </w:p>
              </w:tc>
            </w:tr>
            <w:tr w14:paraId="7022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trPr>
              <w:tc>
                <w:tcPr>
                  <w:tcW w:w="694" w:type="dxa"/>
                  <w:vAlign w:val="center"/>
                </w:tcPr>
                <w:p w14:paraId="51E1F624">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3</w:t>
                  </w:r>
                </w:p>
              </w:tc>
              <w:tc>
                <w:tcPr>
                  <w:tcW w:w="696" w:type="dxa"/>
                  <w:vAlign w:val="center"/>
                </w:tcPr>
                <w:p w14:paraId="7D87D92E">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润滑油</w:t>
                  </w:r>
                </w:p>
              </w:tc>
              <w:tc>
                <w:tcPr>
                  <w:tcW w:w="1800" w:type="dxa"/>
                  <w:vAlign w:val="center"/>
                </w:tcPr>
                <w:p w14:paraId="40CB7BD7">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淡黄色粘稠液体，=1：0.85</w:t>
                  </w:r>
                </w:p>
              </w:tc>
              <w:tc>
                <w:tcPr>
                  <w:tcW w:w="2359" w:type="dxa"/>
                  <w:vAlign w:val="center"/>
                </w:tcPr>
                <w:p w14:paraId="1E8F9ABD">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可燃液体，闪点为120~340℃火灾危险为丙B类，遇明火、高热可燃</w:t>
                  </w:r>
                </w:p>
              </w:tc>
              <w:tc>
                <w:tcPr>
                  <w:tcW w:w="2428" w:type="dxa"/>
                  <w:vAlign w:val="center"/>
                </w:tcPr>
                <w:p w14:paraId="46D3A6F7">
                  <w:pPr>
                    <w:widowControl/>
                    <w:jc w:val="center"/>
                    <w:rPr>
                      <w:rFonts w:hint="default" w:ascii="Times New Roman" w:hAnsi="Times New Roman" w:cs="Times New Roman"/>
                      <w:bCs/>
                      <w:sz w:val="21"/>
                      <w:szCs w:val="21"/>
                    </w:rPr>
                  </w:pPr>
                  <w:r>
                    <w:rPr>
                      <w:rFonts w:hint="default" w:ascii="Times New Roman" w:hAnsi="Times New Roman" w:cs="Times New Roman"/>
                      <w:color w:val="000000"/>
                      <w:kern w:val="0"/>
                      <w:sz w:val="21"/>
                      <w:szCs w:val="21"/>
                      <w:lang w:bidi="ar"/>
                    </w:rPr>
                    <w:t>急性吸入，可出现乏力、头晕、头痛、恶心，严重者可引起油脂性肺炎。慢接触者，暴露部位可发生油性痤疮和接触型皮炎。可引发神经衰弱综合症，呼吸道和眼刺激症状及慢性油脂性肺炎</w:t>
                  </w:r>
                </w:p>
              </w:tc>
            </w:tr>
            <w:tr w14:paraId="085D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trPr>
              <w:tc>
                <w:tcPr>
                  <w:tcW w:w="694" w:type="dxa"/>
                  <w:vAlign w:val="center"/>
                </w:tcPr>
                <w:p w14:paraId="3FB2813D">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4</w:t>
                  </w:r>
                </w:p>
              </w:tc>
              <w:tc>
                <w:tcPr>
                  <w:tcW w:w="696" w:type="dxa"/>
                  <w:vAlign w:val="center"/>
                </w:tcPr>
                <w:p w14:paraId="1091C2EA">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机油</w:t>
                  </w:r>
                </w:p>
              </w:tc>
              <w:tc>
                <w:tcPr>
                  <w:tcW w:w="1800" w:type="dxa"/>
                  <w:vAlign w:val="center"/>
                </w:tcPr>
                <w:p w14:paraId="681BCEE5">
                  <w:pPr>
                    <w:widowControl/>
                    <w:jc w:val="center"/>
                    <w:rPr>
                      <w:rFonts w:hint="default" w:ascii="Times New Roman" w:hAnsi="Times New Roman" w:cs="Times New Roman"/>
                      <w:bCs/>
                      <w:sz w:val="21"/>
                      <w:szCs w:val="21"/>
                    </w:rPr>
                  </w:pPr>
                  <w:r>
                    <w:rPr>
                      <w:rFonts w:hint="default" w:ascii="Times New Roman" w:hAnsi="Times New Roman" w:cs="Times New Roman"/>
                      <w:color w:val="000000"/>
                      <w:kern w:val="0"/>
                      <w:sz w:val="21"/>
                      <w:szCs w:val="21"/>
                      <w:lang w:bidi="ar"/>
                    </w:rPr>
                    <w:t>油体液状，淡黄色至褐色，无气味或略带异味，不溶于水。闪点为76℃，引燃温度248℃</w:t>
                  </w:r>
                </w:p>
              </w:tc>
              <w:tc>
                <w:tcPr>
                  <w:tcW w:w="2359" w:type="dxa"/>
                  <w:vAlign w:val="center"/>
                </w:tcPr>
                <w:p w14:paraId="512D9FE5">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遇明火、高热可燃</w:t>
                  </w:r>
                </w:p>
              </w:tc>
              <w:tc>
                <w:tcPr>
                  <w:tcW w:w="2428" w:type="dxa"/>
                  <w:vAlign w:val="center"/>
                </w:tcPr>
                <w:p w14:paraId="26AA7D11">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color w:val="000000"/>
                      <w:sz w:val="21"/>
                      <w:szCs w:val="21"/>
                      <w:lang w:bidi="ar"/>
                    </w:rPr>
                    <w:t>急性吸入，可出现乏力、头晕、头痛、恶心，严重者可引起油脂性肺炎。慢接触者，暴露部位可发生油性痤疮和接触型皮炎。可引发神经衰弱综合症，呼吸道和眼刺激症状及慢性油脂性肺炎</w:t>
                  </w:r>
                </w:p>
              </w:tc>
            </w:tr>
            <w:tr w14:paraId="6058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94" w:type="dxa"/>
                  <w:vAlign w:val="center"/>
                </w:tcPr>
                <w:p w14:paraId="4033ED57">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5</w:t>
                  </w:r>
                </w:p>
              </w:tc>
              <w:tc>
                <w:tcPr>
                  <w:tcW w:w="696" w:type="dxa"/>
                  <w:vAlign w:val="center"/>
                </w:tcPr>
                <w:p w14:paraId="1EEE0153">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变速箱油</w:t>
                  </w:r>
                </w:p>
              </w:tc>
              <w:tc>
                <w:tcPr>
                  <w:tcW w:w="1800" w:type="dxa"/>
                  <w:vAlign w:val="center"/>
                </w:tcPr>
                <w:p w14:paraId="7D24F726">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淡黄色液体</w:t>
                  </w:r>
                </w:p>
              </w:tc>
              <w:tc>
                <w:tcPr>
                  <w:tcW w:w="2359" w:type="dxa"/>
                  <w:vAlign w:val="center"/>
                </w:tcPr>
                <w:p w14:paraId="2091FACA">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可燃</w:t>
                  </w:r>
                </w:p>
              </w:tc>
              <w:tc>
                <w:tcPr>
                  <w:tcW w:w="2428" w:type="dxa"/>
                  <w:vAlign w:val="center"/>
                </w:tcPr>
                <w:p w14:paraId="189993AB">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极低毒性</w:t>
                  </w:r>
                </w:p>
              </w:tc>
            </w:tr>
            <w:tr w14:paraId="6F954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694" w:type="dxa"/>
                  <w:vAlign w:val="center"/>
                </w:tcPr>
                <w:p w14:paraId="3F85B09D">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7</w:t>
                  </w:r>
                </w:p>
              </w:tc>
              <w:tc>
                <w:tcPr>
                  <w:tcW w:w="696" w:type="dxa"/>
                  <w:vAlign w:val="center"/>
                </w:tcPr>
                <w:p w14:paraId="476C04D2">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柴油</w:t>
                  </w:r>
                </w:p>
              </w:tc>
              <w:tc>
                <w:tcPr>
                  <w:tcW w:w="1800" w:type="dxa"/>
                  <w:vAlign w:val="center"/>
                </w:tcPr>
                <w:p w14:paraId="3FC582CA">
                  <w:pPr>
                    <w:widowControl/>
                    <w:jc w:val="center"/>
                    <w:rPr>
                      <w:rFonts w:hint="default" w:ascii="Times New Roman" w:hAnsi="Times New Roman" w:cs="Times New Roman"/>
                      <w:bCs/>
                      <w:sz w:val="21"/>
                      <w:szCs w:val="21"/>
                    </w:rPr>
                  </w:pPr>
                  <w:r>
                    <w:rPr>
                      <w:rFonts w:hint="default" w:ascii="Times New Roman" w:hAnsi="Times New Roman" w:cs="Times New Roman"/>
                      <w:color w:val="000000"/>
                      <w:kern w:val="0"/>
                      <w:sz w:val="21"/>
                      <w:szCs w:val="21"/>
                      <w:lang w:bidi="ar"/>
                    </w:rPr>
                    <w:t>稍有粘性的棕色液体，复杂烃类(碳原子数约10～22)混合物。熔点(℃)：-18，沸点(℃)：282～338，闪点(℃)：38，引燃温度(℃)：257</w:t>
                  </w:r>
                </w:p>
              </w:tc>
              <w:tc>
                <w:tcPr>
                  <w:tcW w:w="2359" w:type="dxa"/>
                  <w:vAlign w:val="center"/>
                </w:tcPr>
                <w:p w14:paraId="29505431">
                  <w:pPr>
                    <w:widowControl/>
                    <w:jc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本品易燃，具刺激性。遇明火、高热或与氧化剂接触，有引起燃烧爆炸的危险。</w:t>
                  </w:r>
                </w:p>
                <w:p w14:paraId="781F1E55">
                  <w:pPr>
                    <w:widowControl/>
                    <w:jc w:val="center"/>
                    <w:rPr>
                      <w:rFonts w:hint="default" w:ascii="Times New Roman" w:hAnsi="Times New Roman" w:cs="Times New Roman"/>
                      <w:bCs/>
                      <w:sz w:val="21"/>
                      <w:szCs w:val="21"/>
                    </w:rPr>
                  </w:pPr>
                  <w:r>
                    <w:rPr>
                      <w:rFonts w:hint="default" w:ascii="Times New Roman" w:hAnsi="Times New Roman" w:cs="Times New Roman"/>
                      <w:color w:val="000000"/>
                      <w:kern w:val="0"/>
                      <w:sz w:val="21"/>
                      <w:szCs w:val="21"/>
                      <w:lang w:bidi="ar"/>
                    </w:rPr>
                    <w:t>爆炸上限%(V/V)：无资料</w:t>
                  </w:r>
                  <w:r>
                    <w:rPr>
                      <w:rFonts w:hint="eastAsia" w:cs="Times New Roman"/>
                      <w:sz w:val="21"/>
                      <w:szCs w:val="21"/>
                      <w:lang w:eastAsia="zh-CN"/>
                    </w:rPr>
                    <w:t>；</w:t>
                  </w:r>
                  <w:r>
                    <w:rPr>
                      <w:rFonts w:hint="default" w:ascii="Times New Roman" w:hAnsi="Times New Roman" w:cs="Times New Roman"/>
                      <w:color w:val="000000"/>
                      <w:kern w:val="0"/>
                      <w:sz w:val="21"/>
                      <w:szCs w:val="21"/>
                      <w:lang w:bidi="ar"/>
                    </w:rPr>
                    <w:t>爆炸下限%(V/V)：无资料</w:t>
                  </w:r>
                </w:p>
              </w:tc>
              <w:tc>
                <w:tcPr>
                  <w:tcW w:w="2428" w:type="dxa"/>
                  <w:vAlign w:val="center"/>
                </w:tcPr>
                <w:p w14:paraId="2A09A1FE">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不</w:t>
                  </w:r>
                  <w:r>
                    <w:rPr>
                      <w:rFonts w:hint="eastAsia" w:cs="Times New Roman"/>
                      <w:bCs/>
                      <w:sz w:val="21"/>
                      <w:szCs w:val="21"/>
                      <w:lang w:val="en-US" w:eastAsia="zh-CN"/>
                    </w:rPr>
                    <w:t>属于</w:t>
                  </w:r>
                  <w:r>
                    <w:rPr>
                      <w:rFonts w:hint="default" w:ascii="Times New Roman" w:hAnsi="Times New Roman" w:cs="Times New Roman"/>
                      <w:bCs/>
                      <w:sz w:val="21"/>
                      <w:szCs w:val="21"/>
                    </w:rPr>
                    <w:t>有毒物质</w:t>
                  </w:r>
                </w:p>
              </w:tc>
            </w:tr>
          </w:tbl>
          <w:p w14:paraId="326BECBA">
            <w:pPr>
              <w:pStyle w:val="54"/>
              <w:ind w:firstLine="480"/>
              <w:rPr>
                <w:rFonts w:hint="default" w:ascii="Times New Roman" w:hAnsi="Times New Roman" w:cs="Times New Roman"/>
                <w:bCs/>
              </w:rPr>
            </w:pPr>
            <w:r>
              <w:rPr>
                <w:rFonts w:hint="default" w:ascii="Times New Roman" w:hAnsi="Times New Roman" w:cs="Times New Roman"/>
                <w:bCs/>
              </w:rPr>
              <w:t>根据上表可知，本项目营运期涉及的危险物质在使用和贮运过程具有较大的潜在危险性。在突发性的事故状态下，如果不采取有效措施，一旦释放出来，将会对人身安全及环境造成不利影响。</w:t>
            </w:r>
          </w:p>
          <w:p w14:paraId="64A50019">
            <w:pPr>
              <w:pStyle w:val="54"/>
              <w:ind w:firstLine="480"/>
              <w:rPr>
                <w:rFonts w:hint="default" w:ascii="Times New Roman" w:hAnsi="Times New Roman" w:cs="Times New Roman"/>
                <w:bCs/>
              </w:rPr>
            </w:pPr>
            <w:r>
              <w:rPr>
                <w:rFonts w:hint="default" w:ascii="Times New Roman" w:hAnsi="Times New Roman" w:cs="Times New Roman"/>
                <w:bCs/>
              </w:rPr>
              <w:t>2）生产设施风险识别</w:t>
            </w:r>
          </w:p>
          <w:p w14:paraId="6053727C">
            <w:pPr>
              <w:pStyle w:val="54"/>
              <w:ind w:firstLine="480"/>
              <w:rPr>
                <w:rFonts w:hint="default" w:ascii="Times New Roman" w:hAnsi="Times New Roman" w:cs="Times New Roman"/>
                <w:bCs/>
              </w:rPr>
            </w:pPr>
            <w:r>
              <w:rPr>
                <w:rFonts w:hint="default" w:ascii="Times New Roman" w:hAnsi="Times New Roman" w:cs="Times New Roman"/>
                <w:bCs/>
              </w:rPr>
              <w:t>生产设施风险识别包括生产装置、贮运系统、公用工程系统、环保工程设施及辅助生产设施等风险识别。本项目主要生产设施风险</w:t>
            </w:r>
            <w:r>
              <w:rPr>
                <w:rFonts w:hint="eastAsia" w:cs="Times New Roman"/>
                <w:bCs/>
                <w:lang w:val="en-US" w:eastAsia="zh-CN"/>
              </w:rPr>
              <w:t>识别如下</w:t>
            </w:r>
            <w:r>
              <w:rPr>
                <w:rFonts w:hint="default" w:ascii="Times New Roman" w:hAnsi="Times New Roman" w:cs="Times New Roman"/>
                <w:bCs/>
              </w:rPr>
              <w:t>。</w:t>
            </w:r>
          </w:p>
          <w:p w14:paraId="530F7B0D">
            <w:pPr>
              <w:pStyle w:val="54"/>
              <w:ind w:firstLine="480"/>
              <w:rPr>
                <w:rFonts w:hint="default" w:ascii="Times New Roman" w:hAnsi="Times New Roman" w:cs="Times New Roman"/>
                <w:bCs/>
              </w:rPr>
            </w:pPr>
            <w:r>
              <w:rPr>
                <w:rFonts w:hint="default" w:ascii="Times New Roman" w:hAnsi="Times New Roman" w:cs="Times New Roman"/>
                <w:bCs/>
              </w:rPr>
              <w:t>①机动车拆解车间地面有拆解过程滴漏的少量机油，报废的机动车传动装置、发动机等金属表面沾有少量的机油，遇火源可能发生火灾；拆解车间中塑料、橡胶的临时堆放点存在火灾风险。</w:t>
            </w:r>
          </w:p>
          <w:p w14:paraId="0AD0F757">
            <w:pPr>
              <w:pStyle w:val="54"/>
              <w:ind w:firstLine="480"/>
              <w:rPr>
                <w:rFonts w:hint="default" w:ascii="Times New Roman" w:hAnsi="Times New Roman" w:cs="Times New Roman"/>
                <w:bCs/>
              </w:rPr>
            </w:pPr>
            <w:r>
              <w:rPr>
                <w:rFonts w:hint="eastAsia" w:cs="Times New Roman"/>
                <w:bCs/>
                <w:lang w:val="en-US" w:eastAsia="zh-CN"/>
              </w:rPr>
              <w:t>②</w:t>
            </w:r>
            <w:r>
              <w:rPr>
                <w:rFonts w:hint="default" w:ascii="Times New Roman" w:hAnsi="Times New Roman" w:cs="Times New Roman"/>
                <w:bCs/>
              </w:rPr>
              <w:t>乙炔、氧气在生产过程中由于储罐、封盖老化或操作不规范，致使物料泄漏逸散，可能发生人员中毒的情况，乙炔与氧气或空气的混合可能发生燃烧甚至爆炸事故。</w:t>
            </w:r>
          </w:p>
          <w:p w14:paraId="6FF0E55D">
            <w:pPr>
              <w:pStyle w:val="54"/>
              <w:ind w:firstLine="480"/>
              <w:rPr>
                <w:rFonts w:hint="default" w:ascii="Times New Roman" w:hAnsi="Times New Roman" w:cs="Times New Roman"/>
                <w:bCs/>
              </w:rPr>
            </w:pPr>
            <w:r>
              <w:rPr>
                <w:rFonts w:hint="eastAsia" w:cs="Times New Roman"/>
                <w:bCs/>
                <w:lang w:val="en-US" w:eastAsia="zh-CN"/>
              </w:rPr>
              <w:t>③</w:t>
            </w:r>
            <w:r>
              <w:rPr>
                <w:rFonts w:hint="default" w:ascii="Times New Roman" w:hAnsi="Times New Roman" w:cs="Times New Roman"/>
                <w:bCs/>
              </w:rPr>
              <w:t>装有废油液的容器发生破裂导致废油液的泄漏，遇到火源则发生火灾、爆炸事故，或遭受雷击也可能诱发火灾、爆炸事故。</w:t>
            </w:r>
          </w:p>
          <w:p w14:paraId="48BD83AF">
            <w:pPr>
              <w:pStyle w:val="54"/>
              <w:ind w:firstLine="480"/>
              <w:rPr>
                <w:rFonts w:hint="default" w:ascii="Times New Roman" w:hAnsi="Times New Roman" w:cs="Times New Roman"/>
                <w:b/>
                <w:bCs/>
                <w:color w:val="000000"/>
                <w:kern w:val="0"/>
                <w:sz w:val="24"/>
                <w:lang w:bidi="ar"/>
              </w:rPr>
            </w:pPr>
            <w:r>
              <w:rPr>
                <w:rFonts w:hint="eastAsia" w:ascii="Times New Roman" w:hAnsi="Times New Roman" w:cs="Times New Roman"/>
                <w:b/>
                <w:bCs w:val="0"/>
                <w:lang w:eastAsia="zh-CN"/>
              </w:rPr>
              <w:t>（</w:t>
            </w:r>
            <w:r>
              <w:rPr>
                <w:rFonts w:hint="eastAsia" w:ascii="Times New Roman" w:hAnsi="Times New Roman" w:cs="Times New Roman"/>
                <w:b/>
                <w:bCs w:val="0"/>
                <w:lang w:val="en-US" w:eastAsia="zh-CN"/>
              </w:rPr>
              <w:t>3</w:t>
            </w:r>
            <w:r>
              <w:rPr>
                <w:rFonts w:hint="eastAsia" w:ascii="Times New Roman" w:hAnsi="Times New Roman" w:cs="Times New Roman"/>
                <w:b/>
                <w:bCs w:val="0"/>
                <w:lang w:eastAsia="zh-CN"/>
              </w:rPr>
              <w:t>）</w:t>
            </w:r>
            <w:r>
              <w:rPr>
                <w:rFonts w:hint="default" w:ascii="Times New Roman" w:hAnsi="Times New Roman" w:cs="Times New Roman"/>
                <w:b/>
                <w:bCs/>
                <w:color w:val="000000"/>
                <w:kern w:val="0"/>
                <w:sz w:val="24"/>
                <w:lang w:bidi="ar"/>
              </w:rPr>
              <w:t>风险防范措施</w:t>
            </w:r>
          </w:p>
          <w:p w14:paraId="74BE582F">
            <w:pPr>
              <w:widowControl/>
              <w:spacing w:line="360" w:lineRule="auto"/>
              <w:ind w:firstLine="480" w:firstLineChars="200"/>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通过风险识别可知，建设项目营运期可能发生的环境风险事故为有毒有害物质泄漏、火灾及爆炸。建设单位采取以下风险防范措施降低环境风险对周边环境的影响。</w:t>
            </w:r>
          </w:p>
          <w:p w14:paraId="3AD13F28">
            <w:pPr>
              <w:widowControl/>
              <w:spacing w:line="360" w:lineRule="auto"/>
              <w:ind w:firstLine="480" w:firstLineChars="200"/>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1）</w:t>
            </w:r>
            <w:r>
              <w:rPr>
                <w:rFonts w:hint="eastAsia" w:cs="Times New Roman"/>
                <w:color w:val="000000"/>
                <w:kern w:val="0"/>
                <w:sz w:val="24"/>
                <w:lang w:val="en-US" w:eastAsia="zh-CN" w:bidi="ar"/>
              </w:rPr>
              <w:t>火灾</w:t>
            </w:r>
            <w:r>
              <w:rPr>
                <w:rFonts w:hint="default" w:ascii="Times New Roman" w:hAnsi="Times New Roman" w:cs="Times New Roman"/>
                <w:color w:val="000000"/>
                <w:kern w:val="0"/>
                <w:sz w:val="24"/>
                <w:lang w:bidi="ar"/>
              </w:rPr>
              <w:t>事故环境风险防范措施</w:t>
            </w:r>
          </w:p>
          <w:p w14:paraId="64F229E0">
            <w:pPr>
              <w:widowControl/>
              <w:spacing w:line="360" w:lineRule="auto"/>
              <w:ind w:firstLine="480" w:firstLineChars="200"/>
              <w:rPr>
                <w:rFonts w:hint="default" w:ascii="Times New Roman" w:hAnsi="Times New Roman" w:eastAsia="宋体" w:cs="Times New Roman"/>
                <w:color w:val="000000"/>
                <w:kern w:val="0"/>
                <w:sz w:val="24"/>
                <w:lang w:bidi="ar"/>
              </w:rPr>
            </w:pPr>
            <w:r>
              <w:rPr>
                <w:rFonts w:hint="default" w:ascii="Times New Roman" w:hAnsi="Times New Roman" w:eastAsia="宋体" w:cs="Times New Roman"/>
                <w:color w:val="000000"/>
                <w:kern w:val="0"/>
                <w:sz w:val="24"/>
                <w:lang w:val="en-US" w:eastAsia="zh-CN" w:bidi="ar"/>
              </w:rPr>
              <w:t>①严格按照相关防火规范进行平面布置</w:t>
            </w:r>
            <w:r>
              <w:rPr>
                <w:rFonts w:hint="eastAsia" w:ascii="Times New Roman" w:hAnsi="Times New Roman" w:eastAsia="宋体" w:cs="Times New Roman"/>
                <w:color w:val="000000"/>
                <w:kern w:val="0"/>
                <w:sz w:val="24"/>
                <w:lang w:val="en-US" w:eastAsia="zh-CN" w:bidi="ar"/>
              </w:rPr>
              <w:t>。</w:t>
            </w:r>
            <w:r>
              <w:rPr>
                <w:rFonts w:hint="default" w:ascii="Times New Roman" w:hAnsi="Times New Roman" w:eastAsia="宋体" w:cs="Times New Roman"/>
                <w:color w:val="000000"/>
                <w:kern w:val="0"/>
                <w:sz w:val="24"/>
                <w:lang w:val="en-US" w:eastAsia="zh-CN" w:bidi="ar"/>
              </w:rPr>
              <w:t xml:space="preserve"> </w:t>
            </w:r>
          </w:p>
          <w:p w14:paraId="1AE7FF4E">
            <w:pPr>
              <w:widowControl/>
              <w:spacing w:line="360" w:lineRule="auto"/>
              <w:ind w:firstLine="480" w:firstLineChars="200"/>
              <w:rPr>
                <w:rFonts w:hint="default" w:ascii="Times New Roman" w:hAnsi="Times New Roman" w:eastAsia="宋体" w:cs="Times New Roman"/>
                <w:color w:val="000000"/>
                <w:kern w:val="0"/>
                <w:sz w:val="24"/>
                <w:lang w:bidi="ar"/>
              </w:rPr>
            </w:pPr>
            <w:r>
              <w:rPr>
                <w:rFonts w:hint="default" w:ascii="Times New Roman" w:hAnsi="Times New Roman" w:eastAsia="宋体" w:cs="Times New Roman"/>
                <w:color w:val="000000"/>
                <w:kern w:val="0"/>
                <w:sz w:val="24"/>
                <w:lang w:val="en-US" w:eastAsia="zh-CN" w:bidi="ar"/>
              </w:rPr>
              <w:t>②油类储存区应设置明显的禁火标志</w:t>
            </w:r>
            <w:r>
              <w:rPr>
                <w:rFonts w:hint="eastAsia" w:ascii="Times New Roman" w:hAnsi="Times New Roman" w:eastAsia="宋体" w:cs="Times New Roman"/>
                <w:color w:val="000000"/>
                <w:kern w:val="0"/>
                <w:sz w:val="24"/>
                <w:lang w:val="en-US" w:eastAsia="zh-CN" w:bidi="ar"/>
              </w:rPr>
              <w:t>。</w:t>
            </w:r>
          </w:p>
          <w:p w14:paraId="371CEE9E">
            <w:pPr>
              <w:widowControl/>
              <w:spacing w:line="360" w:lineRule="auto"/>
              <w:ind w:firstLine="480" w:firstLineChars="200"/>
              <w:rPr>
                <w:rFonts w:hint="default" w:ascii="Times New Roman" w:hAnsi="Times New Roman" w:eastAsia="宋体" w:cs="Times New Roman"/>
                <w:color w:val="000000"/>
                <w:kern w:val="0"/>
                <w:sz w:val="24"/>
                <w:lang w:bidi="ar"/>
              </w:rPr>
            </w:pPr>
            <w:r>
              <w:rPr>
                <w:rFonts w:hint="default" w:ascii="Times New Roman" w:hAnsi="Times New Roman" w:eastAsia="宋体" w:cs="Times New Roman"/>
                <w:color w:val="000000"/>
                <w:kern w:val="0"/>
                <w:sz w:val="24"/>
                <w:lang w:val="en-US" w:eastAsia="zh-CN" w:bidi="ar"/>
              </w:rPr>
              <w:t xml:space="preserve">③使乙炔气瓶前，一定要进行检查，查标记、颜色、安全附件、技术资料、安全状况等。同时，乙炔气瓶专瓶专用，不得擅自改装它类气体。贮存时严禁氧气瓶和乙炔瓶同室存放。乙炔气瓶使用时必须距离明火10m以外。 </w:t>
            </w:r>
          </w:p>
          <w:p w14:paraId="487D91FE">
            <w:pPr>
              <w:widowControl/>
              <w:spacing w:line="360" w:lineRule="auto"/>
              <w:ind w:firstLine="480" w:firstLineChars="200"/>
              <w:rPr>
                <w:rFonts w:hint="default" w:ascii="Times New Roman" w:hAnsi="Times New Roman" w:eastAsia="宋体" w:cs="Times New Roman"/>
                <w:color w:val="000000"/>
                <w:kern w:val="0"/>
                <w:sz w:val="24"/>
                <w:lang w:bidi="ar"/>
              </w:rPr>
            </w:pPr>
            <w:r>
              <w:rPr>
                <w:rFonts w:hint="default" w:ascii="Times New Roman" w:hAnsi="Times New Roman" w:eastAsia="宋体" w:cs="Times New Roman"/>
                <w:color w:val="000000"/>
                <w:kern w:val="0"/>
                <w:sz w:val="24"/>
                <w:lang w:val="en-US" w:eastAsia="zh-CN" w:bidi="ar"/>
              </w:rPr>
              <w:t>④乙炔、汽油必须与爆炸物品、氧化剂、易燃物品、自燃物品、腐蚀性物品隔离贮存，满瓶与空瓶应分开整齐放置，并有明显标记，应保持直立放置，且应有防止倾倒的措施，不准放在橡胶等绝缘体上，以防静电引起事故。</w:t>
            </w:r>
          </w:p>
          <w:p w14:paraId="02B8AC9D">
            <w:pPr>
              <w:widowControl/>
              <w:spacing w:line="360" w:lineRule="auto"/>
              <w:ind w:firstLine="480" w:firstLineChars="200"/>
              <w:rPr>
                <w:rFonts w:hint="default" w:ascii="Times New Roman" w:hAnsi="Times New Roman" w:eastAsia="宋体" w:cs="Times New Roman"/>
                <w:color w:val="000000"/>
                <w:kern w:val="0"/>
                <w:sz w:val="24"/>
                <w:lang w:val="en-US" w:eastAsia="zh-CN" w:bidi="ar"/>
              </w:rPr>
            </w:pPr>
            <w:r>
              <w:rPr>
                <w:rFonts w:hint="default" w:ascii="Times New Roman" w:hAnsi="Times New Roman" w:eastAsia="宋体" w:cs="Times New Roman"/>
                <w:color w:val="000000"/>
                <w:kern w:val="0"/>
                <w:sz w:val="24"/>
                <w:lang w:val="en-US" w:eastAsia="zh-CN" w:bidi="ar"/>
              </w:rPr>
              <w:t xml:space="preserve">⑤制冷剂的收集、贮存管理回收冷媒时采用高压钢瓶，当回收量达一定量时，转存至冷媒专贮存桶。贮放室环境保持在 25℃，并保持通风良好。所有容器均具有防倾装置，以避免贮存桶倾倒、摔落产生危险。 </w:t>
            </w:r>
          </w:p>
          <w:p w14:paraId="4BF78A7B">
            <w:pPr>
              <w:widowControl/>
              <w:spacing w:line="360" w:lineRule="auto"/>
              <w:ind w:firstLine="480" w:firstLineChars="200"/>
              <w:rPr>
                <w:rFonts w:hint="default" w:ascii="Times New Roman" w:hAnsi="Times New Roman" w:eastAsia="宋体" w:cs="Times New Roman"/>
                <w:color w:val="000000"/>
                <w:kern w:val="0"/>
                <w:sz w:val="24"/>
                <w:lang w:val="en-US" w:eastAsia="zh-CN" w:bidi="ar"/>
              </w:rPr>
            </w:pPr>
            <w:r>
              <w:rPr>
                <w:rFonts w:hint="default" w:ascii="Times New Roman" w:hAnsi="Times New Roman" w:eastAsia="宋体" w:cs="Times New Roman"/>
                <w:color w:val="000000"/>
                <w:kern w:val="0"/>
                <w:sz w:val="24"/>
                <w:lang w:val="en-US" w:eastAsia="zh-CN" w:bidi="ar"/>
              </w:rPr>
              <w:t xml:space="preserve">⑥定期对设备、存储仓库进行安全检测，检测内容、时间、人员应有记录保存。安全检测应根据安全性、危险性设定检测频次。 </w:t>
            </w:r>
          </w:p>
          <w:p w14:paraId="1C590803">
            <w:pPr>
              <w:widowControl/>
              <w:spacing w:line="360" w:lineRule="auto"/>
              <w:ind w:firstLine="480" w:firstLineChars="200"/>
              <w:rPr>
                <w:rFonts w:hint="default" w:ascii="Times New Roman" w:hAnsi="Times New Roman" w:eastAsia="宋体" w:cs="Times New Roman"/>
                <w:color w:val="000000"/>
                <w:kern w:val="0"/>
                <w:sz w:val="24"/>
                <w:lang w:val="en-US" w:eastAsia="zh-CN" w:bidi="ar"/>
              </w:rPr>
            </w:pPr>
            <w:r>
              <w:rPr>
                <w:rFonts w:hint="default" w:ascii="Times New Roman" w:hAnsi="Times New Roman" w:eastAsia="宋体" w:cs="Times New Roman"/>
                <w:color w:val="000000"/>
                <w:kern w:val="0"/>
                <w:sz w:val="24"/>
                <w:lang w:val="en-US" w:eastAsia="zh-CN" w:bidi="ar"/>
              </w:rPr>
              <w:t xml:space="preserve">⑦火源的管理严禁火源进入储料区，对明火严格控制，明火发生源为火柴、打火机等，维修用火控制，对设备维修检查，需进行维修焊接，应经确认、准许，并有记录在案。机动车在厂内行驶，须安装阻火器，必要设备安装防火、防爆装置。 </w:t>
            </w:r>
          </w:p>
          <w:p w14:paraId="4A6A2EB9">
            <w:pPr>
              <w:widowControl/>
              <w:spacing w:line="360" w:lineRule="auto"/>
              <w:ind w:firstLine="480" w:firstLineChars="200"/>
              <w:rPr>
                <w:rFonts w:hint="default" w:ascii="Times New Roman" w:hAnsi="Times New Roman" w:eastAsia="宋体" w:cs="Times New Roman"/>
                <w:color w:val="000000"/>
                <w:kern w:val="0"/>
                <w:sz w:val="24"/>
                <w:lang w:val="en-US" w:eastAsia="zh-CN" w:bidi="ar"/>
              </w:rPr>
            </w:pPr>
            <w:r>
              <w:rPr>
                <w:rFonts w:hint="default" w:ascii="Times New Roman" w:hAnsi="Times New Roman" w:eastAsia="宋体" w:cs="Times New Roman"/>
                <w:color w:val="000000"/>
                <w:kern w:val="0"/>
                <w:sz w:val="24"/>
                <w:lang w:val="en-US" w:eastAsia="zh-CN" w:bidi="ar"/>
              </w:rPr>
              <w:t xml:space="preserve">2）危险废物泄漏的防范措施 </w:t>
            </w:r>
          </w:p>
          <w:p w14:paraId="61429F48">
            <w:pPr>
              <w:widowControl/>
              <w:spacing w:line="360" w:lineRule="auto"/>
              <w:ind w:firstLine="480" w:firstLineChars="200"/>
              <w:rPr>
                <w:rFonts w:hint="default" w:ascii="Times New Roman" w:hAnsi="Times New Roman" w:eastAsia="宋体" w:cs="Times New Roman"/>
                <w:color w:val="000000"/>
                <w:kern w:val="0"/>
                <w:sz w:val="24"/>
                <w:lang w:val="en-US" w:eastAsia="zh-CN" w:bidi="ar"/>
              </w:rPr>
            </w:pPr>
            <w:r>
              <w:rPr>
                <w:rFonts w:hint="default" w:ascii="Times New Roman" w:hAnsi="Times New Roman" w:eastAsia="宋体" w:cs="Times New Roman"/>
                <w:color w:val="000000"/>
                <w:kern w:val="0"/>
                <w:sz w:val="24"/>
                <w:lang w:val="en-US" w:eastAsia="zh-CN" w:bidi="ar"/>
              </w:rPr>
              <w:t xml:space="preserve">①危废暂存间应按照《危险废物贮存污染控制标准》的相关规定进行设置，各类危险废物应分类分开存放，并设置围堰。 </w:t>
            </w:r>
          </w:p>
          <w:p w14:paraId="797831DA">
            <w:pPr>
              <w:widowControl/>
              <w:spacing w:line="360" w:lineRule="auto"/>
              <w:ind w:firstLine="480" w:firstLineChars="200"/>
              <w:rPr>
                <w:rFonts w:hint="default" w:ascii="Times New Roman" w:hAnsi="Times New Roman" w:eastAsia="宋体" w:cs="Times New Roman"/>
                <w:color w:val="000000"/>
                <w:kern w:val="0"/>
                <w:sz w:val="24"/>
                <w:lang w:val="en-US" w:eastAsia="zh-CN" w:bidi="ar"/>
              </w:rPr>
            </w:pPr>
            <w:r>
              <w:rPr>
                <w:rFonts w:hint="default" w:ascii="Times New Roman" w:hAnsi="Times New Roman" w:eastAsia="宋体" w:cs="Times New Roman"/>
                <w:color w:val="000000"/>
                <w:kern w:val="0"/>
                <w:sz w:val="24"/>
                <w:lang w:val="en-US" w:eastAsia="zh-CN" w:bidi="ar"/>
              </w:rPr>
              <w:t>②危废贮存场地面应做耐腐蚀、防渗漏处理，防渗层为2mm厚人工材料</w:t>
            </w:r>
            <w:r>
              <w:rPr>
                <w:rFonts w:hint="eastAsia" w:ascii="Times New Roman" w:hAnsi="Times New Roman" w:eastAsia="宋体" w:cs="Times New Roman"/>
                <w:color w:val="000000"/>
                <w:kern w:val="0"/>
                <w:sz w:val="24"/>
                <w:lang w:val="en-US" w:eastAsia="zh-CN" w:bidi="ar"/>
              </w:rPr>
              <w:t>（</w:t>
            </w:r>
            <w:r>
              <w:rPr>
                <w:rFonts w:hint="default" w:ascii="Times New Roman" w:hAnsi="Times New Roman" w:eastAsia="宋体" w:cs="Times New Roman"/>
                <w:color w:val="000000"/>
                <w:kern w:val="0"/>
                <w:sz w:val="24"/>
                <w:lang w:val="en-US" w:eastAsia="zh-CN" w:bidi="ar"/>
              </w:rPr>
              <w:t xml:space="preserve">防渗系数&lt;10-10cm/s），保证地面无裂痕。 </w:t>
            </w:r>
          </w:p>
          <w:p w14:paraId="6F192A66">
            <w:pPr>
              <w:widowControl/>
              <w:spacing w:line="360" w:lineRule="auto"/>
              <w:ind w:firstLine="480" w:firstLineChars="200"/>
              <w:rPr>
                <w:rFonts w:hint="default" w:ascii="Times New Roman" w:hAnsi="Times New Roman" w:eastAsia="宋体" w:cs="Times New Roman"/>
                <w:color w:val="000000"/>
                <w:kern w:val="0"/>
                <w:sz w:val="24"/>
                <w:lang w:val="en-US" w:eastAsia="zh-CN" w:bidi="ar"/>
              </w:rPr>
            </w:pPr>
            <w:r>
              <w:rPr>
                <w:rFonts w:hint="default" w:ascii="Times New Roman" w:hAnsi="Times New Roman" w:eastAsia="宋体" w:cs="Times New Roman"/>
                <w:color w:val="000000"/>
                <w:kern w:val="0"/>
                <w:sz w:val="24"/>
                <w:lang w:val="en-US" w:eastAsia="zh-CN" w:bidi="ar"/>
              </w:rPr>
              <w:t xml:space="preserve">③危废库废油液设隔间单独收集。危险废物的盛装容器密封，耐腐蚀，不渗漏，并进行定期检查。 </w:t>
            </w:r>
          </w:p>
          <w:p w14:paraId="61C894C3">
            <w:pPr>
              <w:widowControl/>
              <w:spacing w:line="360" w:lineRule="auto"/>
              <w:ind w:firstLine="480" w:firstLineChars="200"/>
              <w:rPr>
                <w:rFonts w:hint="default" w:ascii="Times New Roman" w:hAnsi="Times New Roman" w:eastAsia="宋体" w:cs="Times New Roman"/>
                <w:color w:val="000000"/>
                <w:kern w:val="0"/>
                <w:sz w:val="24"/>
                <w:lang w:val="en-US" w:eastAsia="zh-CN" w:bidi="ar"/>
              </w:rPr>
            </w:pPr>
            <w:r>
              <w:rPr>
                <w:rFonts w:hint="default" w:ascii="Times New Roman" w:hAnsi="Times New Roman" w:eastAsia="宋体" w:cs="Times New Roman"/>
                <w:color w:val="000000"/>
                <w:kern w:val="0"/>
                <w:sz w:val="24"/>
                <w:lang w:val="en-US" w:eastAsia="zh-CN" w:bidi="ar"/>
              </w:rPr>
              <w:t xml:space="preserve">④危废暂存间应设置导流沟、集液槽，防止废油、废液等泄漏流出厂界。 </w:t>
            </w:r>
          </w:p>
          <w:p w14:paraId="42136516">
            <w:pPr>
              <w:widowControl/>
              <w:spacing w:line="360" w:lineRule="auto"/>
              <w:ind w:firstLine="480" w:firstLineChars="200"/>
              <w:rPr>
                <w:rFonts w:hint="default" w:ascii="Times New Roman" w:hAnsi="Times New Roman" w:eastAsia="宋体" w:cs="Times New Roman"/>
                <w:color w:val="000000"/>
                <w:kern w:val="0"/>
                <w:sz w:val="24"/>
                <w:lang w:val="en-US" w:eastAsia="zh-CN" w:bidi="ar"/>
              </w:rPr>
            </w:pPr>
            <w:r>
              <w:rPr>
                <w:rFonts w:hint="default" w:ascii="Times New Roman" w:hAnsi="Times New Roman" w:eastAsia="宋体" w:cs="Times New Roman"/>
                <w:color w:val="000000"/>
                <w:kern w:val="0"/>
                <w:sz w:val="24"/>
                <w:lang w:val="en-US" w:eastAsia="zh-CN" w:bidi="ar"/>
              </w:rPr>
              <w:t>3）危险物品运输风险事故防范措施</w:t>
            </w:r>
          </w:p>
          <w:p w14:paraId="51B269DC">
            <w:pPr>
              <w:widowControl/>
              <w:spacing w:line="360" w:lineRule="auto"/>
              <w:ind w:firstLine="480" w:firstLineChars="200"/>
              <w:rPr>
                <w:rFonts w:hint="default" w:ascii="Times New Roman" w:hAnsi="Times New Roman" w:eastAsia="宋体" w:cs="Times New Roman"/>
                <w:color w:val="000000"/>
                <w:kern w:val="0"/>
                <w:sz w:val="24"/>
                <w:lang w:val="en-US" w:eastAsia="zh-CN" w:bidi="ar"/>
              </w:rPr>
            </w:pPr>
            <w:r>
              <w:rPr>
                <w:rFonts w:hint="default" w:ascii="Times New Roman" w:hAnsi="Times New Roman" w:eastAsia="宋体" w:cs="Times New Roman"/>
                <w:color w:val="000000"/>
                <w:kern w:val="0"/>
                <w:sz w:val="24"/>
                <w:lang w:val="en-US" w:eastAsia="zh-CN" w:bidi="ar"/>
              </w:rPr>
              <w:t xml:space="preserve">①对危险物品的装卸、转移应由专业人员或经过严格培训的员工来操作建立一套完整的作业操作技术规划，严格遵守操作规定。其中，应专门定制专用的运输箱，所有涉及危险物质运输的车辆必须经过专门的防渗漏、密封处理，严控设计危险物质的各个回收、贮存、运输过程的安全； </w:t>
            </w:r>
          </w:p>
          <w:p w14:paraId="0919CE9D">
            <w:pPr>
              <w:widowControl/>
              <w:spacing w:line="360" w:lineRule="auto"/>
              <w:ind w:firstLine="480" w:firstLineChars="200"/>
              <w:rPr>
                <w:rFonts w:hint="default" w:ascii="Times New Roman" w:hAnsi="Times New Roman" w:eastAsia="宋体" w:cs="Times New Roman"/>
                <w:color w:val="000000"/>
                <w:kern w:val="0"/>
                <w:sz w:val="24"/>
                <w:lang w:val="en-US" w:eastAsia="zh-CN" w:bidi="ar"/>
              </w:rPr>
            </w:pPr>
            <w:r>
              <w:rPr>
                <w:rFonts w:hint="default" w:ascii="Times New Roman" w:hAnsi="Times New Roman" w:eastAsia="宋体" w:cs="Times New Roman"/>
                <w:color w:val="000000"/>
                <w:kern w:val="0"/>
                <w:sz w:val="24"/>
                <w:lang w:val="en-US" w:eastAsia="zh-CN" w:bidi="ar"/>
              </w:rPr>
              <w:t xml:space="preserve">②厂区内危险物品运输主要采用叉车，装卸站进、出口，宜分开设置，当进、出口合用时，站内应设回车场； </w:t>
            </w:r>
          </w:p>
          <w:p w14:paraId="7E7F7DD1">
            <w:pPr>
              <w:widowControl/>
              <w:spacing w:line="360" w:lineRule="auto"/>
              <w:ind w:firstLine="480" w:firstLineChars="200"/>
              <w:rPr>
                <w:rFonts w:hint="default" w:ascii="Times New Roman" w:hAnsi="Times New Roman" w:eastAsia="宋体" w:cs="Times New Roman"/>
                <w:color w:val="000000"/>
                <w:kern w:val="0"/>
                <w:sz w:val="24"/>
                <w:lang w:val="en-US" w:eastAsia="zh-CN" w:bidi="ar"/>
              </w:rPr>
            </w:pPr>
            <w:r>
              <w:rPr>
                <w:rFonts w:hint="default" w:ascii="Times New Roman" w:hAnsi="Times New Roman" w:eastAsia="宋体" w:cs="Times New Roman"/>
                <w:color w:val="000000"/>
                <w:kern w:val="0"/>
                <w:sz w:val="24"/>
                <w:lang w:val="en-US" w:eastAsia="zh-CN" w:bidi="ar"/>
              </w:rPr>
              <w:t xml:space="preserve">③装卸站车场应采用现浇混凝土地面，装车时应小心轻放; </w:t>
            </w:r>
          </w:p>
          <w:p w14:paraId="59D2F40C">
            <w:pPr>
              <w:widowControl/>
              <w:spacing w:line="360" w:lineRule="auto"/>
              <w:ind w:firstLine="480" w:firstLineChars="200"/>
              <w:rPr>
                <w:rFonts w:hint="default" w:ascii="Times New Roman" w:hAnsi="Times New Roman" w:eastAsia="宋体" w:cs="Times New Roman"/>
                <w:color w:val="000000"/>
                <w:kern w:val="0"/>
                <w:sz w:val="24"/>
                <w:lang w:val="en-US" w:eastAsia="zh-CN" w:bidi="ar"/>
              </w:rPr>
            </w:pPr>
            <w:r>
              <w:rPr>
                <w:rFonts w:hint="default" w:ascii="Times New Roman" w:hAnsi="Times New Roman" w:eastAsia="宋体" w:cs="Times New Roman"/>
                <w:color w:val="000000"/>
                <w:kern w:val="0"/>
                <w:sz w:val="24"/>
                <w:lang w:val="en-US" w:eastAsia="zh-CN" w:bidi="ar"/>
              </w:rPr>
              <w:t>④危险废物转移处置应委托有危险废物经营许可证的专业危废处理公司，并向宿州市生态环境部门申报登记，办理危险废物的运输转移手续，对危险废物进行全过程严格管理和安全处置</w:t>
            </w:r>
            <w:r>
              <w:rPr>
                <w:rFonts w:hint="eastAsia" w:ascii="Times New Roman" w:hAnsi="Times New Roman" w:eastAsia="宋体" w:cs="Times New Roman"/>
                <w:color w:val="000000"/>
                <w:kern w:val="0"/>
                <w:sz w:val="24"/>
                <w:lang w:val="en-US" w:eastAsia="zh-CN" w:bidi="ar"/>
              </w:rPr>
              <w:t>。</w:t>
            </w:r>
          </w:p>
          <w:p w14:paraId="2DEB5D6F">
            <w:pPr>
              <w:widowControl/>
              <w:spacing w:line="360" w:lineRule="auto"/>
              <w:ind w:firstLine="480" w:firstLineChars="200"/>
              <w:rPr>
                <w:rFonts w:hint="default" w:ascii="Times New Roman" w:hAnsi="Times New Roman" w:eastAsia="宋体" w:cs="Times New Roman"/>
                <w:color w:val="000000"/>
                <w:kern w:val="0"/>
                <w:sz w:val="24"/>
                <w:lang w:val="en-US" w:eastAsia="zh-CN" w:bidi="ar"/>
              </w:rPr>
            </w:pPr>
            <w:r>
              <w:rPr>
                <w:rFonts w:hint="default" w:ascii="Times New Roman" w:hAnsi="Times New Roman" w:eastAsia="宋体" w:cs="Times New Roman"/>
                <w:color w:val="000000"/>
                <w:kern w:val="0"/>
                <w:sz w:val="24"/>
                <w:lang w:val="en-US" w:eastAsia="zh-CN" w:bidi="ar"/>
              </w:rPr>
              <w:t xml:space="preserve">4）事故废水防范措施 </w:t>
            </w:r>
          </w:p>
          <w:p w14:paraId="38015262">
            <w:pPr>
              <w:widowControl/>
              <w:spacing w:line="360" w:lineRule="auto"/>
              <w:ind w:firstLine="480" w:firstLineChars="200"/>
              <w:rPr>
                <w:rFonts w:hint="default" w:ascii="Times New Roman" w:hAnsi="Times New Roman" w:eastAsia="宋体" w:cs="Times New Roman"/>
                <w:color w:val="000000"/>
                <w:kern w:val="0"/>
                <w:sz w:val="24"/>
                <w:lang w:val="en-US" w:eastAsia="zh-CN" w:bidi="ar"/>
              </w:rPr>
            </w:pPr>
            <w:r>
              <w:rPr>
                <w:rFonts w:hint="default" w:ascii="Times New Roman" w:hAnsi="Times New Roman" w:eastAsia="宋体" w:cs="Times New Roman"/>
                <w:color w:val="000000"/>
                <w:kern w:val="0"/>
                <w:sz w:val="24"/>
                <w:lang w:val="en-US" w:eastAsia="zh-CN" w:bidi="ar"/>
              </w:rPr>
              <w:t xml:space="preserve">本项目事故废水主要为消防废水。 </w:t>
            </w:r>
          </w:p>
          <w:p w14:paraId="78C6EA76">
            <w:pPr>
              <w:widowControl/>
              <w:spacing w:line="360" w:lineRule="auto"/>
              <w:ind w:firstLine="480" w:firstLineChars="200"/>
              <w:rPr>
                <w:rFonts w:hint="default" w:ascii="Times New Roman" w:hAnsi="Times New Roman" w:eastAsia="宋体" w:cs="Times New Roman"/>
                <w:color w:val="000000"/>
                <w:kern w:val="0"/>
                <w:sz w:val="24"/>
                <w:lang w:val="en-US" w:eastAsia="zh-CN" w:bidi="ar"/>
              </w:rPr>
            </w:pPr>
            <w:r>
              <w:rPr>
                <w:rFonts w:hint="default" w:ascii="Times New Roman" w:hAnsi="Times New Roman" w:eastAsia="宋体" w:cs="Times New Roman"/>
                <w:color w:val="000000"/>
                <w:kern w:val="0"/>
                <w:sz w:val="24"/>
                <w:lang w:val="en-US" w:eastAsia="zh-CN" w:bidi="ar"/>
              </w:rPr>
              <w:t xml:space="preserve">事故池参照《事故状态下水体污染的预防与控制要求》（Q/SY1190-2013） 中相关规定设置，事故应急池的有效容积按下式进行计算： </w:t>
            </w:r>
          </w:p>
          <w:p w14:paraId="636F5947">
            <w:pPr>
              <w:widowControl/>
              <w:spacing w:line="360" w:lineRule="auto"/>
              <w:ind w:firstLine="480" w:firstLineChars="200"/>
              <w:jc w:val="center"/>
              <w:rPr>
                <w:rFonts w:hint="default" w:ascii="Times New Roman" w:hAnsi="Times New Roman" w:eastAsia="宋体" w:cs="Times New Roman"/>
                <w:color w:val="000000"/>
                <w:kern w:val="0"/>
                <w:sz w:val="24"/>
                <w:lang w:val="en-US" w:eastAsia="zh-CN" w:bidi="ar"/>
              </w:rPr>
            </w:pPr>
            <w:r>
              <w:rPr>
                <w:rFonts w:hint="eastAsia" w:ascii="Times New Roman" w:hAnsi="Times New Roman" w:eastAsia="宋体" w:cs="Times New Roman"/>
                <w:color w:val="000000"/>
                <w:kern w:val="0"/>
                <w:sz w:val="24"/>
                <w:lang w:val="en-US" w:eastAsia="zh-CN" w:bidi="ar"/>
              </w:rPr>
              <w:t>V</w:t>
            </w:r>
            <w:r>
              <w:rPr>
                <w:rFonts w:hint="eastAsia" w:ascii="Times New Roman" w:hAnsi="Times New Roman" w:eastAsia="宋体" w:cs="Times New Roman"/>
                <w:color w:val="000000"/>
                <w:kern w:val="0"/>
                <w:sz w:val="24"/>
                <w:vertAlign w:val="subscript"/>
                <w:lang w:val="en-US" w:eastAsia="zh-CN" w:bidi="ar"/>
              </w:rPr>
              <w:t>总</w:t>
            </w:r>
            <w:r>
              <w:rPr>
                <w:rFonts w:hint="eastAsia" w:ascii="Times New Roman" w:hAnsi="Times New Roman" w:eastAsia="宋体" w:cs="Times New Roman"/>
                <w:color w:val="000000"/>
                <w:kern w:val="0"/>
                <w:sz w:val="24"/>
                <w:lang w:val="en-US" w:eastAsia="zh-CN" w:bidi="ar"/>
              </w:rPr>
              <w:t>=（V</w:t>
            </w:r>
            <w:r>
              <w:rPr>
                <w:rFonts w:hint="eastAsia" w:ascii="Times New Roman" w:hAnsi="Times New Roman" w:eastAsia="宋体" w:cs="Times New Roman"/>
                <w:color w:val="000000"/>
                <w:kern w:val="0"/>
                <w:sz w:val="24"/>
                <w:vertAlign w:val="subscript"/>
                <w:lang w:val="en-US" w:eastAsia="zh-CN" w:bidi="ar"/>
              </w:rPr>
              <w:t>1</w:t>
            </w:r>
            <w:r>
              <w:rPr>
                <w:rFonts w:hint="eastAsia" w:ascii="Times New Roman" w:hAnsi="Times New Roman" w:eastAsia="宋体" w:cs="Times New Roman"/>
                <w:color w:val="000000"/>
                <w:kern w:val="0"/>
                <w:sz w:val="24"/>
                <w:lang w:val="en-US" w:eastAsia="zh-CN" w:bidi="ar"/>
              </w:rPr>
              <w:t>+V</w:t>
            </w:r>
            <w:r>
              <w:rPr>
                <w:rFonts w:hint="eastAsia" w:ascii="Times New Roman" w:hAnsi="Times New Roman" w:eastAsia="宋体" w:cs="Times New Roman"/>
                <w:color w:val="000000"/>
                <w:kern w:val="0"/>
                <w:sz w:val="24"/>
                <w:vertAlign w:val="subscript"/>
                <w:lang w:val="en-US" w:eastAsia="zh-CN" w:bidi="ar"/>
              </w:rPr>
              <w:t>2</w:t>
            </w:r>
            <w:r>
              <w:rPr>
                <w:rFonts w:hint="eastAsia" w:ascii="Times New Roman" w:hAnsi="Times New Roman" w:eastAsia="宋体" w:cs="Times New Roman"/>
                <w:color w:val="000000"/>
                <w:kern w:val="0"/>
                <w:sz w:val="24"/>
                <w:lang w:val="en-US" w:eastAsia="zh-CN" w:bidi="ar"/>
              </w:rPr>
              <w:t>-V</w:t>
            </w:r>
            <w:r>
              <w:rPr>
                <w:rFonts w:hint="eastAsia" w:ascii="Times New Roman" w:hAnsi="Times New Roman" w:eastAsia="宋体" w:cs="Times New Roman"/>
                <w:color w:val="000000"/>
                <w:kern w:val="0"/>
                <w:sz w:val="24"/>
                <w:vertAlign w:val="subscript"/>
                <w:lang w:val="en-US" w:eastAsia="zh-CN" w:bidi="ar"/>
              </w:rPr>
              <w:t>3</w:t>
            </w:r>
            <w:r>
              <w:rPr>
                <w:rFonts w:hint="eastAsia" w:ascii="Times New Roman" w:hAnsi="Times New Roman" w:eastAsia="宋体" w:cs="Times New Roman"/>
                <w:color w:val="000000"/>
                <w:kern w:val="0"/>
                <w:sz w:val="24"/>
                <w:lang w:val="en-US" w:eastAsia="zh-CN" w:bidi="ar"/>
              </w:rPr>
              <w:t>）</w:t>
            </w:r>
            <w:r>
              <w:rPr>
                <w:rFonts w:hint="eastAsia" w:ascii="Times New Roman" w:hAnsi="Times New Roman" w:eastAsia="宋体" w:cs="Times New Roman"/>
                <w:color w:val="000000"/>
                <w:kern w:val="0"/>
                <w:sz w:val="24"/>
                <w:vertAlign w:val="subscript"/>
                <w:lang w:val="en-US" w:eastAsia="zh-CN" w:bidi="ar"/>
              </w:rPr>
              <w:t>max</w:t>
            </w:r>
            <w:r>
              <w:rPr>
                <w:rFonts w:hint="eastAsia" w:ascii="Times New Roman" w:hAnsi="Times New Roman" w:eastAsia="宋体" w:cs="Times New Roman"/>
                <w:color w:val="000000"/>
                <w:kern w:val="0"/>
                <w:sz w:val="24"/>
                <w:lang w:val="en-US" w:eastAsia="zh-CN" w:bidi="ar"/>
              </w:rPr>
              <w:t>+V</w:t>
            </w:r>
            <w:r>
              <w:rPr>
                <w:rFonts w:hint="eastAsia" w:ascii="Times New Roman" w:hAnsi="Times New Roman" w:eastAsia="宋体" w:cs="Times New Roman"/>
                <w:color w:val="000000"/>
                <w:kern w:val="0"/>
                <w:sz w:val="24"/>
                <w:vertAlign w:val="subscript"/>
                <w:lang w:val="en-US" w:eastAsia="zh-CN" w:bidi="ar"/>
              </w:rPr>
              <w:t>4</w:t>
            </w:r>
            <w:r>
              <w:rPr>
                <w:rFonts w:hint="eastAsia" w:ascii="Times New Roman" w:hAnsi="Times New Roman" w:eastAsia="宋体" w:cs="Times New Roman"/>
                <w:color w:val="000000"/>
                <w:kern w:val="0"/>
                <w:sz w:val="24"/>
                <w:lang w:val="en-US" w:eastAsia="zh-CN" w:bidi="ar"/>
              </w:rPr>
              <w:t>+V</w:t>
            </w:r>
            <w:r>
              <w:rPr>
                <w:rFonts w:hint="eastAsia" w:ascii="Times New Roman" w:hAnsi="Times New Roman" w:eastAsia="宋体" w:cs="Times New Roman"/>
                <w:color w:val="000000"/>
                <w:kern w:val="0"/>
                <w:sz w:val="24"/>
                <w:vertAlign w:val="subscript"/>
                <w:lang w:val="en-US" w:eastAsia="zh-CN" w:bidi="ar"/>
              </w:rPr>
              <w:t>5</w:t>
            </w:r>
          </w:p>
          <w:p w14:paraId="4F53A1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color w:val="auto"/>
                <w:sz w:val="24"/>
                <w:szCs w:val="24"/>
              </w:rPr>
              <w:t>—收集系统范围内发生事故的一个罐组或一个装置的物料量，m³；</w:t>
            </w:r>
          </w:p>
          <w:p w14:paraId="7FA2DC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—在装置区或储罐区发生火灾爆炸及泄漏时的最大消防用水量，m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14:paraId="4739BB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—发生事故时可以转输到其他储存或处理设施的物料量，m³；</w:t>
            </w:r>
          </w:p>
          <w:p w14:paraId="1EBECC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—发生事故时仍必须进入该收集系统的生产废水量，m³；</w:t>
            </w:r>
          </w:p>
          <w:p w14:paraId="0FAF4D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rPr>
              <w:t>—发生事故时可能进入该收集系统的降雨量，m³；</w:t>
            </w:r>
          </w:p>
          <w:p w14:paraId="19663E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rPr>
              <w:t>泄漏物料V</w:t>
            </w:r>
            <w:r>
              <w:rPr>
                <w:rFonts w:hint="default" w:ascii="Times New Roman" w:hAnsi="Times New Roman" w:eastAsia="宋体" w:cs="Times New Roman"/>
                <w:color w:val="auto"/>
                <w:sz w:val="24"/>
                <w:szCs w:val="24"/>
                <w:vertAlign w:val="subscript"/>
              </w:rPr>
              <w:t>1</w:t>
            </w:r>
          </w:p>
          <w:p w14:paraId="2F9D51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kern w:val="0"/>
                <w:sz w:val="24"/>
                <w:lang w:val="en-US" w:eastAsia="zh-CN" w:bidi="ar"/>
              </w:rPr>
              <w:t>收集系统范围内发生事故的一个罐组或一套装置的物料量最大储罐物料量，m</w:t>
            </w:r>
            <w:r>
              <w:rPr>
                <w:rFonts w:hint="default" w:ascii="Times New Roman" w:hAnsi="Times New Roman" w:eastAsia="宋体" w:cs="Times New Roman"/>
                <w:color w:val="000000"/>
                <w:kern w:val="0"/>
                <w:sz w:val="24"/>
                <w:vertAlign w:val="superscript"/>
                <w:lang w:val="en-US" w:eastAsia="zh-CN" w:bidi="ar"/>
              </w:rPr>
              <w:t>3</w:t>
            </w:r>
            <w:r>
              <w:rPr>
                <w:rFonts w:hint="default" w:ascii="Times New Roman" w:hAnsi="Times New Roman" w:eastAsia="宋体" w:cs="Times New Roman"/>
                <w:color w:val="000000"/>
                <w:kern w:val="0"/>
                <w:sz w:val="24"/>
                <w:lang w:val="en-US" w:eastAsia="zh-CN" w:bidi="ar"/>
              </w:rPr>
              <w:t>，故V</w:t>
            </w:r>
            <w:r>
              <w:rPr>
                <w:rFonts w:hint="default" w:ascii="Times New Roman" w:hAnsi="Times New Roman" w:eastAsia="宋体" w:cs="Times New Roman"/>
                <w:color w:val="000000"/>
                <w:kern w:val="0"/>
                <w:sz w:val="24"/>
                <w:vertAlign w:val="subscript"/>
                <w:lang w:val="en-US" w:eastAsia="zh-CN" w:bidi="ar"/>
              </w:rPr>
              <w:t>1</w:t>
            </w:r>
            <w:r>
              <w:rPr>
                <w:rFonts w:hint="default" w:ascii="Times New Roman" w:hAnsi="Times New Roman" w:eastAsia="宋体" w:cs="Times New Roman"/>
                <w:color w:val="000000"/>
                <w:kern w:val="0"/>
                <w:sz w:val="24"/>
                <w:lang w:val="en-US" w:eastAsia="zh-CN" w:bidi="ar"/>
              </w:rPr>
              <w:t>=0m</w:t>
            </w:r>
            <w:r>
              <w:rPr>
                <w:rFonts w:hint="default" w:ascii="Times New Roman" w:hAnsi="Times New Roman" w:eastAsia="宋体" w:cs="Times New Roman"/>
                <w:color w:val="000000"/>
                <w:kern w:val="0"/>
                <w:sz w:val="24"/>
                <w:vertAlign w:val="superscript"/>
                <w:lang w:val="en-US" w:eastAsia="zh-CN" w:bidi="ar"/>
              </w:rPr>
              <w:t>3</w:t>
            </w:r>
            <w:r>
              <w:rPr>
                <w:rFonts w:hint="eastAsia" w:ascii="Times New Roman" w:hAnsi="Times New Roman" w:eastAsia="宋体" w:cs="Times New Roman"/>
                <w:color w:val="auto"/>
                <w:sz w:val="24"/>
                <w:szCs w:val="24"/>
                <w:lang w:val="en-US" w:eastAsia="zh-CN"/>
              </w:rPr>
              <w:t>。</w:t>
            </w:r>
          </w:p>
          <w:p w14:paraId="554739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消防污水V</w:t>
            </w:r>
            <w:r>
              <w:rPr>
                <w:rFonts w:hint="default" w:ascii="Times New Roman" w:hAnsi="Times New Roman" w:eastAsia="宋体" w:cs="Times New Roman"/>
                <w:color w:val="auto"/>
                <w:sz w:val="24"/>
                <w:szCs w:val="24"/>
                <w:vertAlign w:val="subscript"/>
              </w:rPr>
              <w:t>2</w:t>
            </w:r>
          </w:p>
          <w:p w14:paraId="2E5C50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"http://gf.1190119.com/list-98.htm"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消防给水及消火栓系统技术规范》</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GB50974-2014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室外消火栓用水量1</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L/s，火灾延续时间1h，则最大一次性消防用水量为</w:t>
            </w:r>
            <w:r>
              <w:rPr>
                <w:rFonts w:hint="eastAsia" w:ascii="Times New Roman" w:hAnsi="Times New Roman" w:eastAsia="宋体" w:cs="Times New Roman"/>
                <w:color w:val="auto"/>
                <w:sz w:val="24"/>
                <w:szCs w:val="24"/>
                <w:lang w:val="en-US" w:eastAsia="zh-CN"/>
              </w:rPr>
              <w:t>54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，故V</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为</w:t>
            </w:r>
            <w:r>
              <w:rPr>
                <w:rFonts w:hint="eastAsia" w:ascii="Times New Roman" w:hAnsi="Times New Roman" w:eastAsia="宋体" w:cs="Times New Roman"/>
                <w:color w:val="auto"/>
                <w:sz w:val="24"/>
                <w:szCs w:val="24"/>
                <w:lang w:val="en-US" w:eastAsia="zh-CN"/>
              </w:rPr>
              <w:t>54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w:t>
            </w:r>
          </w:p>
          <w:p w14:paraId="1C6949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rPr>
              <w:t>可传输至其他储存设施的物料量V</w:t>
            </w:r>
            <w:r>
              <w:rPr>
                <w:rFonts w:hint="default" w:ascii="Times New Roman" w:hAnsi="Times New Roman" w:eastAsia="宋体" w:cs="Times New Roman"/>
                <w:color w:val="auto"/>
                <w:sz w:val="24"/>
                <w:szCs w:val="24"/>
                <w:vertAlign w:val="subscript"/>
              </w:rPr>
              <w:t>3</w:t>
            </w:r>
          </w:p>
          <w:p w14:paraId="7FC9C974">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kern w:val="0"/>
                <w:sz w:val="24"/>
                <w:lang w:val="en-US" w:eastAsia="zh-CN" w:bidi="ar"/>
              </w:rPr>
              <w:t>发生事故时可以转输到其他储存或处理设施的物料量，m</w:t>
            </w:r>
            <w:r>
              <w:rPr>
                <w:rFonts w:hint="default" w:ascii="Times New Roman" w:hAnsi="Times New Roman" w:eastAsia="宋体" w:cs="Times New Roman"/>
                <w:color w:val="000000"/>
                <w:kern w:val="0"/>
                <w:sz w:val="24"/>
                <w:vertAlign w:val="superscript"/>
                <w:lang w:val="en-US" w:eastAsia="zh-CN" w:bidi="ar"/>
              </w:rPr>
              <w:t>3</w:t>
            </w:r>
            <w:r>
              <w:rPr>
                <w:rFonts w:hint="default" w:ascii="Times New Roman" w:hAnsi="Times New Roman" w:eastAsia="宋体" w:cs="Times New Roman"/>
                <w:color w:val="000000"/>
                <w:kern w:val="0"/>
                <w:sz w:val="24"/>
                <w:lang w:val="en-US" w:eastAsia="zh-CN" w:bidi="ar"/>
              </w:rPr>
              <w:t>；</w:t>
            </w:r>
            <w:r>
              <w:rPr>
                <w:rFonts w:hint="default" w:ascii="Times New Roman" w:hAnsi="Times New Roman" w:eastAsia="宋体" w:cs="Times New Roman"/>
                <w:color w:val="auto"/>
                <w:sz w:val="24"/>
                <w:szCs w:val="24"/>
                <w:lang w:val="en-US" w:eastAsia="zh-CN"/>
              </w:rPr>
              <w:t>V</w:t>
            </w:r>
            <w:r>
              <w:rPr>
                <w:rFonts w:hint="default" w:ascii="Times New Roman" w:hAnsi="Times New Roman" w:eastAsia="宋体" w:cs="Times New Roman"/>
                <w:color w:val="auto"/>
                <w:sz w:val="24"/>
                <w:szCs w:val="24"/>
                <w:vertAlign w:val="subscript"/>
                <w:lang w:val="en-US" w:eastAsia="zh-CN"/>
              </w:rPr>
              <w:t>3</w:t>
            </w:r>
            <w:r>
              <w:rPr>
                <w:rFonts w:hint="eastAsia" w:ascii="Times New Roman" w:hAnsi="Times New Roman" w:eastAsia="宋体" w:cs="Times New Roman"/>
                <w:color w:val="auto"/>
                <w:sz w:val="24"/>
                <w:szCs w:val="24"/>
                <w:lang w:val="en-US" w:eastAsia="zh-CN"/>
              </w:rPr>
              <w:t>取0m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p>
          <w:p w14:paraId="041877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rPr>
              <w:t>事故性生产废水V</w:t>
            </w:r>
            <w:r>
              <w:rPr>
                <w:rFonts w:hint="default" w:ascii="Times New Roman" w:hAnsi="Times New Roman" w:eastAsia="宋体" w:cs="Times New Roman"/>
                <w:color w:val="auto"/>
                <w:sz w:val="24"/>
                <w:szCs w:val="24"/>
                <w:vertAlign w:val="subscript"/>
              </w:rPr>
              <w:t>4</w:t>
            </w:r>
          </w:p>
          <w:p w14:paraId="1115F48B">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kern w:val="0"/>
                <w:sz w:val="24"/>
                <w:lang w:val="en-US" w:eastAsia="zh-CN" w:bidi="ar"/>
              </w:rPr>
              <w:t>发生事故时仍须进入该收集系统的生产废水量，m</w:t>
            </w:r>
            <w:r>
              <w:rPr>
                <w:rFonts w:hint="default" w:ascii="Times New Roman" w:hAnsi="Times New Roman" w:eastAsia="宋体" w:cs="Times New Roman"/>
                <w:color w:val="000000"/>
                <w:kern w:val="0"/>
                <w:sz w:val="24"/>
                <w:vertAlign w:val="superscript"/>
                <w:lang w:val="en-US" w:eastAsia="zh-CN" w:bidi="ar"/>
              </w:rPr>
              <w:t>3</w:t>
            </w:r>
            <w:r>
              <w:rPr>
                <w:rFonts w:hint="default" w:ascii="Times New Roman" w:hAnsi="Times New Roman" w:eastAsia="宋体" w:cs="Times New Roman"/>
                <w:color w:val="000000"/>
                <w:kern w:val="0"/>
                <w:sz w:val="24"/>
                <w:lang w:val="en-US" w:eastAsia="zh-CN" w:bidi="ar"/>
              </w:rPr>
              <w:t>；一旦发生事故，企业将停产，事故发生时，进入该收集系统的生产废水量以0m</w:t>
            </w:r>
            <w:r>
              <w:rPr>
                <w:rFonts w:hint="default" w:ascii="Times New Roman" w:hAnsi="Times New Roman" w:eastAsia="宋体" w:cs="Times New Roman"/>
                <w:color w:val="000000"/>
                <w:kern w:val="0"/>
                <w:sz w:val="24"/>
                <w:vertAlign w:val="superscript"/>
                <w:lang w:val="en-US" w:eastAsia="zh-CN" w:bidi="ar"/>
              </w:rPr>
              <w:t>3</w:t>
            </w:r>
            <w:r>
              <w:rPr>
                <w:rFonts w:hint="default" w:ascii="Times New Roman" w:hAnsi="Times New Roman" w:eastAsia="宋体" w:cs="Times New Roman"/>
                <w:color w:val="000000"/>
                <w:kern w:val="0"/>
                <w:sz w:val="24"/>
                <w:lang w:val="en-US" w:eastAsia="zh-CN" w:bidi="ar"/>
              </w:rPr>
              <w:t>计</w:t>
            </w:r>
            <w:r>
              <w:rPr>
                <w:rFonts w:hint="default" w:ascii="Times New Roman" w:hAnsi="Times New Roman" w:eastAsia="宋体" w:cs="Times New Roman"/>
                <w:color w:val="auto"/>
                <w:sz w:val="24"/>
                <w:szCs w:val="24"/>
              </w:rPr>
              <w:t>，故V</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为0。</w:t>
            </w:r>
          </w:p>
          <w:p w14:paraId="369A42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⑤</w:t>
            </w:r>
            <w:r>
              <w:rPr>
                <w:rFonts w:hint="default" w:ascii="Times New Roman" w:hAnsi="Times New Roman" w:eastAsia="宋体" w:cs="Times New Roman"/>
                <w:color w:val="auto"/>
                <w:sz w:val="24"/>
                <w:szCs w:val="24"/>
              </w:rPr>
              <w:t>降雨量V</w:t>
            </w:r>
            <w:r>
              <w:rPr>
                <w:rFonts w:hint="default" w:ascii="Times New Roman" w:hAnsi="Times New Roman" w:eastAsia="宋体" w:cs="Times New Roman"/>
                <w:color w:val="auto"/>
                <w:sz w:val="24"/>
                <w:szCs w:val="24"/>
                <w:vertAlign w:val="subscript"/>
              </w:rPr>
              <w:t>5</w:t>
            </w:r>
          </w:p>
          <w:p w14:paraId="61E2E9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发生事故时可能进入该收集系统的降雨量，m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 xml:space="preserve">。 </w:t>
            </w:r>
          </w:p>
          <w:p w14:paraId="4C8E55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V</w:t>
            </w:r>
            <w:r>
              <w:rPr>
                <w:rFonts w:hint="default" w:ascii="Times New Roman" w:hAnsi="Times New Roman" w:eastAsia="宋体" w:cs="Times New Roman"/>
                <w:color w:val="auto"/>
                <w:sz w:val="24"/>
                <w:szCs w:val="24"/>
                <w:vertAlign w:val="subscript"/>
                <w:lang w:val="en-US" w:eastAsia="zh-CN"/>
              </w:rPr>
              <w:t>5</w:t>
            </w:r>
            <w:r>
              <w:rPr>
                <w:rFonts w:hint="default" w:ascii="Times New Roman" w:hAnsi="Times New Roman" w:eastAsia="宋体" w:cs="Times New Roman"/>
                <w:color w:val="auto"/>
                <w:sz w:val="24"/>
                <w:szCs w:val="24"/>
                <w:lang w:val="en-US" w:eastAsia="zh-CN"/>
              </w:rPr>
              <w:t>=10qF</w:t>
            </w:r>
          </w:p>
          <w:p w14:paraId="19D638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式中：q——降雨强度，mm，按平均日降雨量计算；q=q</w:t>
            </w:r>
            <w:r>
              <w:rPr>
                <w:rFonts w:hint="default" w:ascii="Times New Roman" w:hAnsi="Times New Roman" w:eastAsia="宋体" w:cs="Times New Roman"/>
                <w:color w:val="auto"/>
                <w:sz w:val="24"/>
                <w:szCs w:val="24"/>
                <w:vertAlign w:val="subscript"/>
                <w:lang w:val="en-US" w:eastAsia="zh-CN"/>
              </w:rPr>
              <w:t>a</w:t>
            </w:r>
            <w:r>
              <w:rPr>
                <w:rFonts w:hint="default" w:ascii="Times New Roman" w:hAnsi="Times New Roman" w:eastAsia="宋体" w:cs="Times New Roman"/>
                <w:color w:val="auto"/>
                <w:sz w:val="24"/>
                <w:szCs w:val="24"/>
                <w:lang w:val="en-US" w:eastAsia="zh-CN"/>
              </w:rPr>
              <w:t xml:space="preserve">/n </w:t>
            </w:r>
          </w:p>
          <w:p w14:paraId="39CF6B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q=年平均降雨量/年平均降雨天数=7.35mm（根据宿州市常规气象数据，</w:t>
            </w:r>
            <w:r>
              <w:rPr>
                <w:rFonts w:hint="eastAsia" w:ascii="Times New Roman" w:hAnsi="Times New Roman" w:eastAsia="宋体" w:cs="Times New Roman"/>
                <w:color w:val="auto"/>
                <w:sz w:val="24"/>
                <w:szCs w:val="24"/>
                <w:lang w:val="en-US" w:eastAsia="zh-CN"/>
              </w:rPr>
              <w:t>宿州</w:t>
            </w:r>
            <w:r>
              <w:rPr>
                <w:rFonts w:hint="default" w:ascii="Times New Roman" w:hAnsi="Times New Roman" w:eastAsia="宋体" w:cs="Times New Roman"/>
                <w:color w:val="auto"/>
                <w:sz w:val="24"/>
                <w:szCs w:val="24"/>
                <w:lang w:val="en-US" w:eastAsia="zh-CN"/>
              </w:rPr>
              <w:t xml:space="preserve">市年平均降雨量以838.4mm 计算；降雨天数取114天）； </w:t>
            </w:r>
          </w:p>
          <w:p w14:paraId="4EFECA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F——必须进入事故废水收集系统的雨水汇水面积，本项目取</w:t>
            </w:r>
            <w:r>
              <w:rPr>
                <w:rFonts w:hint="eastAsia" w:ascii="Times New Roman" w:hAnsi="Times New Roman" w:eastAsia="宋体" w:cs="Times New Roman"/>
                <w:color w:val="auto"/>
                <w:sz w:val="24"/>
                <w:szCs w:val="24"/>
                <w:lang w:val="en-US" w:eastAsia="zh-CN"/>
              </w:rPr>
              <w:t>0.76</w:t>
            </w:r>
            <w:r>
              <w:rPr>
                <w:rFonts w:hint="default" w:ascii="Times New Roman" w:hAnsi="Times New Roman" w:eastAsia="宋体" w:cs="Times New Roman"/>
                <w:color w:val="auto"/>
                <w:sz w:val="24"/>
                <w:szCs w:val="24"/>
                <w:lang w:val="en-US" w:eastAsia="zh-CN"/>
              </w:rPr>
              <w:t xml:space="preserve">。 </w:t>
            </w:r>
          </w:p>
          <w:p w14:paraId="6A35D6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经计算V5=</w:t>
            </w:r>
            <w:r>
              <w:rPr>
                <w:rFonts w:hint="eastAsia" w:ascii="Times New Roman" w:hAnsi="Times New Roman" w:eastAsia="宋体" w:cs="Times New Roman"/>
                <w:color w:val="auto"/>
                <w:sz w:val="24"/>
                <w:szCs w:val="24"/>
                <w:lang w:val="en-US" w:eastAsia="zh-CN"/>
              </w:rPr>
              <w:t>55.86</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 xml:space="preserve"> </w:t>
            </w:r>
          </w:p>
          <w:p w14:paraId="3E37879F">
            <w:pPr>
              <w:widowControl/>
              <w:spacing w:line="360" w:lineRule="auto"/>
              <w:ind w:firstLine="480" w:firstLineChars="200"/>
              <w:rPr>
                <w:rFonts w:hint="default" w:ascii="Times New Roman" w:hAnsi="Times New Roman" w:cs="Times New Roman"/>
                <w:sz w:val="24"/>
              </w:rPr>
            </w:pPr>
            <w:r>
              <w:rPr>
                <w:rFonts w:hint="default" w:ascii="Times New Roman" w:hAnsi="Times New Roman" w:eastAsia="宋体" w:cs="Times New Roman"/>
                <w:color w:val="000000"/>
                <w:kern w:val="0"/>
                <w:sz w:val="24"/>
                <w:lang w:val="en-US" w:eastAsia="zh-CN" w:bidi="ar"/>
              </w:rPr>
              <w:t>经计算项目事故池容积V总=</w:t>
            </w:r>
            <w:r>
              <w:rPr>
                <w:rFonts w:hint="eastAsia" w:ascii="Times New Roman" w:hAnsi="Times New Roman" w:eastAsia="宋体" w:cs="Times New Roman"/>
                <w:color w:val="000000"/>
                <w:kern w:val="0"/>
                <w:sz w:val="24"/>
                <w:lang w:val="en-US" w:eastAsia="zh-CN" w:bidi="ar"/>
              </w:rPr>
              <w:t>109.86</w:t>
            </w:r>
            <w:r>
              <w:rPr>
                <w:rFonts w:hint="default" w:ascii="Times New Roman" w:hAnsi="Times New Roman" w:eastAsia="宋体" w:cs="Times New Roman"/>
                <w:color w:val="000000"/>
                <w:kern w:val="0"/>
                <w:sz w:val="24"/>
                <w:lang w:val="en-US" w:eastAsia="zh-CN" w:bidi="ar"/>
              </w:rPr>
              <w:t>m</w:t>
            </w:r>
            <w:r>
              <w:rPr>
                <w:rFonts w:hint="default" w:ascii="Times New Roman" w:hAnsi="Times New Roman" w:eastAsia="宋体" w:cs="Times New Roman"/>
                <w:color w:val="000000"/>
                <w:kern w:val="0"/>
                <w:sz w:val="24"/>
                <w:vertAlign w:val="superscript"/>
                <w:lang w:val="en-US" w:eastAsia="zh-CN" w:bidi="ar"/>
              </w:rPr>
              <w:t>3</w:t>
            </w:r>
            <w:r>
              <w:rPr>
                <w:rFonts w:hint="default" w:ascii="Times New Roman" w:hAnsi="Times New Roman" w:eastAsia="宋体" w:cs="Times New Roman"/>
                <w:color w:val="000000"/>
                <w:kern w:val="0"/>
                <w:sz w:val="24"/>
                <w:lang w:val="en-US" w:eastAsia="zh-CN" w:bidi="ar"/>
              </w:rPr>
              <w:t>。评价建议建设单位建设一座</w:t>
            </w:r>
            <w:r>
              <w:rPr>
                <w:rFonts w:hint="eastAsia" w:ascii="Times New Roman" w:hAnsi="Times New Roman" w:eastAsia="宋体" w:cs="Times New Roman"/>
                <w:color w:val="000000"/>
                <w:kern w:val="0"/>
                <w:sz w:val="24"/>
                <w:lang w:val="en-US" w:eastAsia="zh-CN" w:bidi="ar"/>
              </w:rPr>
              <w:t>容积12</w:t>
            </w:r>
            <w:r>
              <w:rPr>
                <w:rFonts w:hint="default" w:ascii="Times New Roman" w:hAnsi="Times New Roman" w:eastAsia="宋体" w:cs="Times New Roman"/>
                <w:color w:val="000000"/>
                <w:kern w:val="0"/>
                <w:sz w:val="24"/>
                <w:lang w:val="en-US" w:eastAsia="zh-CN" w:bidi="ar"/>
              </w:rPr>
              <w:t>0m</w:t>
            </w:r>
            <w:r>
              <w:rPr>
                <w:rFonts w:hint="default" w:ascii="Times New Roman" w:hAnsi="Times New Roman" w:eastAsia="宋体" w:cs="Times New Roman"/>
                <w:color w:val="000000"/>
                <w:kern w:val="0"/>
                <w:sz w:val="24"/>
                <w:vertAlign w:val="superscript"/>
                <w:lang w:val="en-US" w:eastAsia="zh-CN" w:bidi="ar"/>
              </w:rPr>
              <w:t>3</w:t>
            </w:r>
            <w:r>
              <w:rPr>
                <w:rFonts w:hint="default" w:ascii="Times New Roman" w:hAnsi="Times New Roman" w:eastAsia="宋体" w:cs="Times New Roman"/>
                <w:color w:val="000000"/>
                <w:kern w:val="0"/>
                <w:sz w:val="24"/>
                <w:lang w:val="en-US" w:eastAsia="zh-CN" w:bidi="ar"/>
              </w:rPr>
              <w:t>的</w:t>
            </w:r>
            <w:r>
              <w:rPr>
                <w:rFonts w:hint="eastAsia" w:ascii="Times New Roman" w:hAnsi="Times New Roman" w:eastAsia="宋体" w:cs="Times New Roman"/>
                <w:color w:val="000000"/>
                <w:kern w:val="0"/>
                <w:sz w:val="24"/>
                <w:lang w:val="en-US" w:eastAsia="zh-CN" w:bidi="ar"/>
              </w:rPr>
              <w:t>应急事故池，</w:t>
            </w:r>
            <w:r>
              <w:rPr>
                <w:rFonts w:hint="default" w:ascii="Times New Roman" w:hAnsi="Times New Roman" w:cs="Times New Roman"/>
                <w:sz w:val="24"/>
              </w:rPr>
              <w:t>当发生</w:t>
            </w:r>
            <w:r>
              <w:rPr>
                <w:rFonts w:hint="eastAsia" w:ascii="Times New Roman" w:hAnsi="Times New Roman" w:eastAsia="宋体" w:cs="Times New Roman"/>
                <w:color w:val="000000"/>
                <w:kern w:val="0"/>
                <w:sz w:val="24"/>
                <w:lang w:val="en-US" w:eastAsia="zh-CN" w:bidi="ar"/>
              </w:rPr>
              <w:t>事故</w:t>
            </w:r>
            <w:r>
              <w:rPr>
                <w:rFonts w:hint="default" w:ascii="Times New Roman" w:hAnsi="Times New Roman" w:cs="Times New Roman"/>
                <w:sz w:val="24"/>
              </w:rPr>
              <w:t>时，</w:t>
            </w:r>
            <w:r>
              <w:rPr>
                <w:rFonts w:hint="eastAsia" w:ascii="Times New Roman" w:hAnsi="Times New Roman" w:cs="Times New Roman"/>
                <w:sz w:val="24"/>
                <w:lang w:val="en-US" w:eastAsia="zh-CN"/>
              </w:rPr>
              <w:t>事故</w:t>
            </w:r>
            <w:r>
              <w:rPr>
                <w:rFonts w:hint="default" w:ascii="Times New Roman" w:hAnsi="Times New Roman" w:cs="Times New Roman"/>
                <w:sz w:val="24"/>
              </w:rPr>
              <w:t>废水经导流沟进入应急事故池暂存，禁止排入雨水管网。待事故结束后，再经</w:t>
            </w:r>
            <w:r>
              <w:rPr>
                <w:rFonts w:hint="default" w:ascii="Times New Roman" w:hAnsi="Times New Roman" w:cs="Times New Roman"/>
                <w:sz w:val="24"/>
                <w:lang w:val="en-US" w:eastAsia="zh-CN"/>
              </w:rPr>
              <w:t>污水处理站</w:t>
            </w:r>
            <w:r>
              <w:rPr>
                <w:rFonts w:hint="default" w:ascii="Times New Roman" w:hAnsi="Times New Roman" w:cs="Times New Roman"/>
                <w:sz w:val="24"/>
              </w:rPr>
              <w:t>预处理后</w:t>
            </w:r>
            <w:r>
              <w:rPr>
                <w:rFonts w:hint="eastAsia" w:ascii="Times New Roman" w:hAnsi="Times New Roman" w:cs="Times New Roman"/>
                <w:sz w:val="24"/>
                <w:lang w:val="en-US" w:eastAsia="zh-CN"/>
              </w:rPr>
              <w:t>分批回用于车间保洁及厂区绿化。</w:t>
            </w:r>
          </w:p>
          <w:p w14:paraId="133EA415">
            <w:pPr>
              <w:widowControl/>
              <w:numPr>
                <w:ilvl w:val="0"/>
                <w:numId w:val="0"/>
              </w:numPr>
              <w:spacing w:line="360" w:lineRule="auto"/>
              <w:ind w:firstLine="482" w:firstLineChars="200"/>
              <w:rPr>
                <w:rFonts w:hint="default" w:ascii="Times New Roman" w:hAnsi="Times New Roman" w:cs="Times New Roman"/>
                <w:b/>
                <w:bCs/>
                <w:sz w:val="24"/>
              </w:rPr>
            </w:pPr>
            <w:r>
              <w:rPr>
                <w:rFonts w:hint="eastAsia" w:cs="Times New Roman"/>
                <w:b/>
                <w:bCs/>
                <w:sz w:val="24"/>
                <w:lang w:eastAsia="zh-CN"/>
              </w:rPr>
              <w:t>（</w:t>
            </w:r>
            <w:r>
              <w:rPr>
                <w:rFonts w:hint="eastAsia" w:cs="Times New Roman"/>
                <w:b/>
                <w:bCs/>
                <w:sz w:val="24"/>
                <w:lang w:val="en-US" w:eastAsia="zh-CN"/>
              </w:rPr>
              <w:t>4</w:t>
            </w:r>
            <w:r>
              <w:rPr>
                <w:rFonts w:hint="eastAsia" w:cs="Times New Roman"/>
                <w:b/>
                <w:bCs/>
                <w:sz w:val="24"/>
                <w:lang w:eastAsia="zh-CN"/>
              </w:rPr>
              <w:t>）</w:t>
            </w:r>
            <w:r>
              <w:rPr>
                <w:rFonts w:hint="default" w:ascii="Times New Roman" w:hAnsi="Times New Roman" w:cs="Times New Roman"/>
                <w:b/>
                <w:bCs/>
                <w:sz w:val="24"/>
              </w:rPr>
              <w:t xml:space="preserve">环境风险应急处置措施 </w:t>
            </w:r>
          </w:p>
          <w:p w14:paraId="3BD717B3">
            <w:pPr>
              <w:widowControl/>
              <w:spacing w:line="360" w:lineRule="auto"/>
              <w:ind w:firstLine="480" w:firstLineChars="200"/>
              <w:rPr>
                <w:rFonts w:hint="default" w:ascii="Times New Roman" w:hAnsi="Times New Roman" w:cs="Times New Roman"/>
                <w:color w:val="000000"/>
                <w:kern w:val="0"/>
                <w:sz w:val="24"/>
                <w:lang w:bidi="ar"/>
              </w:rPr>
            </w:pPr>
            <w:r>
              <w:rPr>
                <w:rFonts w:hint="default" w:ascii="Times New Roman" w:hAnsi="Times New Roman" w:cs="Times New Roman"/>
                <w:sz w:val="24"/>
              </w:rPr>
              <w:t>①事故发生后，首先应自救并撤离到安全地带，同时报告车间负责人，及时通知工作人员进行撤离。事故严重时可直接向应急办公室报告、向外部消防等部门报警。同时开展自救，互救时应首先确保自身的安全。</w:t>
            </w:r>
          </w:p>
          <w:p w14:paraId="3D451085">
            <w:pPr>
              <w:widowControl/>
              <w:spacing w:line="360" w:lineRule="auto"/>
              <w:ind w:firstLine="480" w:firstLineChars="200"/>
              <w:rPr>
                <w:rFonts w:hint="default" w:ascii="Times New Roman" w:hAnsi="Times New Roman" w:cs="Times New Roman"/>
                <w:color w:val="000000"/>
                <w:kern w:val="0"/>
                <w:sz w:val="24"/>
                <w:lang w:bidi="ar"/>
              </w:rPr>
            </w:pPr>
            <w:r>
              <w:rPr>
                <w:rFonts w:hint="default" w:ascii="Times New Roman" w:hAnsi="Times New Roman" w:cs="Times New Roman"/>
                <w:sz w:val="24"/>
              </w:rPr>
              <w:t xml:space="preserve">②现场灭火时应根据不同类型的火灾，采取不同的灭火方法，撤离周围易燃可燃物品等办法控制火势。 </w:t>
            </w:r>
          </w:p>
          <w:p w14:paraId="70E016A1">
            <w:pPr>
              <w:widowControl/>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 xml:space="preserve">③专员引导事故区域附近人员、车辆疏散和撤离，尽量通知到应撤离火灾现场的所有人员。在烟雾弥漫中，要用湿毛巾掩鼻，低头弯腰逃离火场。 </w:t>
            </w:r>
          </w:p>
          <w:p w14:paraId="57E330C8">
            <w:pPr>
              <w:widowControl/>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④厂区设置应急事故池（</w:t>
            </w:r>
            <w:r>
              <w:rPr>
                <w:rFonts w:hint="eastAsia" w:cs="Times New Roman"/>
                <w:sz w:val="24"/>
                <w:lang w:val="en-US" w:eastAsia="zh-CN"/>
              </w:rPr>
              <w:t>12</w:t>
            </w:r>
            <w:r>
              <w:rPr>
                <w:rFonts w:hint="default" w:ascii="Times New Roman" w:hAnsi="Times New Roman" w:cs="Times New Roman"/>
                <w:sz w:val="24"/>
              </w:rPr>
              <w:t>0m</w:t>
            </w:r>
            <w:r>
              <w:rPr>
                <w:rFonts w:hint="default" w:ascii="Times New Roman" w:hAnsi="Times New Roman" w:cs="Times New Roman"/>
                <w:sz w:val="24"/>
                <w:vertAlign w:val="superscript"/>
              </w:rPr>
              <w:t>3</w:t>
            </w:r>
            <w:r>
              <w:rPr>
                <w:rFonts w:hint="default" w:ascii="Times New Roman" w:hAnsi="Times New Roman" w:cs="Times New Roman"/>
                <w:sz w:val="24"/>
              </w:rPr>
              <w:t>）。当发生小规模火灾时，利用现场灭火器材如消防沙土可以扑灭，其产生的污染较小，对外环境的影响不需考虑。当发生</w:t>
            </w:r>
            <w:r>
              <w:rPr>
                <w:rFonts w:hint="eastAsia" w:cs="Times New Roman"/>
                <w:sz w:val="24"/>
                <w:lang w:val="en-US" w:eastAsia="zh-CN"/>
              </w:rPr>
              <w:t>事故</w:t>
            </w:r>
            <w:r>
              <w:rPr>
                <w:rFonts w:hint="default" w:ascii="Times New Roman" w:hAnsi="Times New Roman" w:cs="Times New Roman"/>
                <w:sz w:val="24"/>
              </w:rPr>
              <w:t>时，</w:t>
            </w:r>
            <w:r>
              <w:rPr>
                <w:rFonts w:hint="eastAsia" w:ascii="Times New Roman" w:hAnsi="Times New Roman" w:cs="Times New Roman"/>
                <w:sz w:val="24"/>
                <w:lang w:val="en-US" w:eastAsia="zh-CN"/>
              </w:rPr>
              <w:t>事故</w:t>
            </w:r>
            <w:r>
              <w:rPr>
                <w:rFonts w:hint="default" w:ascii="Times New Roman" w:hAnsi="Times New Roman" w:cs="Times New Roman"/>
                <w:sz w:val="24"/>
              </w:rPr>
              <w:t>废水经导流沟进入应急事故池暂存，禁止排入雨水管网。待事故结束后，再经</w:t>
            </w:r>
            <w:r>
              <w:rPr>
                <w:rFonts w:hint="default" w:ascii="Times New Roman" w:hAnsi="Times New Roman" w:cs="Times New Roman"/>
                <w:sz w:val="24"/>
                <w:lang w:val="en-US" w:eastAsia="zh-CN"/>
              </w:rPr>
              <w:t>污水处理站</w:t>
            </w:r>
            <w:r>
              <w:rPr>
                <w:rFonts w:hint="default" w:ascii="Times New Roman" w:hAnsi="Times New Roman" w:cs="Times New Roman"/>
                <w:sz w:val="24"/>
              </w:rPr>
              <w:t>预处理后</w:t>
            </w:r>
            <w:r>
              <w:rPr>
                <w:rFonts w:hint="eastAsia" w:ascii="Times New Roman" w:hAnsi="Times New Roman" w:cs="Times New Roman"/>
                <w:sz w:val="24"/>
                <w:lang w:val="en-US" w:eastAsia="zh-CN"/>
              </w:rPr>
              <w:t>分批回用于车间保洁及厂区绿化。</w:t>
            </w:r>
          </w:p>
          <w:p w14:paraId="3F8EAF6B">
            <w:pPr>
              <w:widowControl/>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⑤事故结束后，注意保护好现场，积极配合有关部门的调查处理工作，并做好伤亡人员的善后处理。调查处理完毕后，经有关部门同意，立即组织人员进行现场清理，尽快恢复生产经营活动。</w:t>
            </w:r>
          </w:p>
          <w:p w14:paraId="693786FB">
            <w:pPr>
              <w:pStyle w:val="29"/>
              <w:spacing w:line="360" w:lineRule="auto"/>
              <w:ind w:firstLine="482" w:firstLineChars="200"/>
              <w:rPr>
                <w:rFonts w:hint="default" w:ascii="Times New Roman" w:hAnsi="Times New Roman" w:eastAsia="宋体" w:cs="Times New Roman"/>
                <w:b/>
                <w:bCs/>
                <w:lang w:bidi="ar"/>
              </w:rPr>
            </w:pPr>
            <w:r>
              <w:rPr>
                <w:rFonts w:hint="default" w:ascii="Times New Roman" w:hAnsi="Times New Roman" w:eastAsia="宋体" w:cs="Times New Roman"/>
                <w:b/>
                <w:bCs/>
                <w:lang w:bidi="ar"/>
              </w:rPr>
              <w:t>（</w:t>
            </w:r>
            <w:r>
              <w:rPr>
                <w:rFonts w:hint="eastAsia" w:ascii="Times New Roman" w:hAnsi="Times New Roman" w:eastAsia="宋体" w:cs="Times New Roman"/>
                <w:b/>
                <w:bCs/>
                <w:lang w:val="en-US" w:eastAsia="zh-CN" w:bidi="ar"/>
              </w:rPr>
              <w:t>5</w:t>
            </w:r>
            <w:r>
              <w:rPr>
                <w:rFonts w:hint="default" w:ascii="Times New Roman" w:hAnsi="Times New Roman" w:eastAsia="宋体" w:cs="Times New Roman"/>
                <w:b/>
                <w:bCs/>
                <w:lang w:bidi="ar"/>
              </w:rPr>
              <w:t>）应急预案</w:t>
            </w:r>
          </w:p>
          <w:p w14:paraId="5B8FAA90">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b/>
                <w:bCs w:val="0"/>
                <w:color w:val="000000"/>
                <w:lang w:val="en-US" w:eastAsia="zh-CN"/>
              </w:rPr>
            </w:pPr>
            <w:r>
              <w:rPr>
                <w:rFonts w:hint="default" w:ascii="Times New Roman" w:hAnsi="Times New Roman" w:cs="Times New Roman"/>
                <w:sz w:val="24"/>
              </w:rPr>
              <w:t>本项目建成后企业应根据</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国家突发环境事件应急预案</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环办函[2014]119号</w:t>
            </w:r>
            <w:r>
              <w:rPr>
                <w:rFonts w:hint="default" w:ascii="Times New Roman" w:hAnsi="Times New Roman" w:cs="Times New Roman"/>
                <w:sz w:val="24"/>
                <w:lang w:eastAsia="zh-CN"/>
              </w:rPr>
              <w:t>）、《</w:t>
            </w:r>
            <w:r>
              <w:rPr>
                <w:rFonts w:hint="default" w:ascii="Times New Roman" w:hAnsi="Times New Roman" w:cs="Times New Roman"/>
                <w:sz w:val="24"/>
              </w:rPr>
              <w:t>突发环境事件应急预案管理暂行办法》（环发[2010]113号）、《企业事业单位突发环境事件应急预案备案管理办法（试行）》（环发[2015]4号）和《关于进一步加强环境影响评价管理防范环境风险的通知》（环发[2012]77号）中相关规定编制</w:t>
            </w:r>
            <w:r>
              <w:rPr>
                <w:rFonts w:hint="default" w:ascii="Times New Roman" w:hAnsi="Times New Roman" w:cs="Times New Roman"/>
                <w:sz w:val="24"/>
                <w:lang w:val="en-US" w:eastAsia="zh-CN"/>
              </w:rPr>
              <w:t>突发环境事件</w:t>
            </w:r>
            <w:r>
              <w:rPr>
                <w:rFonts w:hint="default" w:ascii="Times New Roman" w:hAnsi="Times New Roman" w:cs="Times New Roman"/>
                <w:sz w:val="24"/>
              </w:rPr>
              <w:t>应急预案进行并备案。</w:t>
            </w:r>
          </w:p>
          <w:p w14:paraId="1D3F043B">
            <w:pPr>
              <w:widowControl/>
              <w:spacing w:line="360" w:lineRule="auto"/>
              <w:ind w:firstLine="480" w:firstLineChars="200"/>
              <w:rPr>
                <w:rFonts w:hint="default" w:ascii="Times New Roman" w:hAnsi="Times New Roman" w:cs="Times New Roman"/>
              </w:rPr>
            </w:pPr>
            <w:r>
              <w:rPr>
                <w:rFonts w:hint="default" w:ascii="Times New Roman" w:hAnsi="Times New Roman" w:cs="Times New Roman"/>
                <w:color w:val="auto"/>
                <w:sz w:val="24"/>
                <w:lang w:val="en-US" w:eastAsia="zh-CN"/>
              </w:rPr>
              <w:t>突发环境事件</w:t>
            </w:r>
            <w:r>
              <w:rPr>
                <w:rFonts w:hint="default" w:ascii="Times New Roman" w:hAnsi="Times New Roman" w:cs="Times New Roman"/>
                <w:sz w:val="24"/>
              </w:rPr>
              <w:t>应急预案主要内容及要求见下表。</w:t>
            </w:r>
          </w:p>
          <w:p w14:paraId="5AC5FCCD">
            <w:pPr>
              <w:pStyle w:val="54"/>
              <w:widowControl w:val="0"/>
              <w:spacing w:line="240" w:lineRule="atLeast"/>
              <w:ind w:firstLine="0" w:firstLineChars="0"/>
              <w:jc w:val="center"/>
              <w:rPr>
                <w:rFonts w:hint="default" w:ascii="Times New Roman" w:hAnsi="Times New Roman" w:cs="Times New Roman"/>
                <w:b/>
                <w:sz w:val="21"/>
              </w:rPr>
            </w:pPr>
          </w:p>
          <w:p w14:paraId="6E4F7D83">
            <w:pPr>
              <w:pStyle w:val="54"/>
              <w:widowControl w:val="0"/>
              <w:spacing w:line="240" w:lineRule="atLeast"/>
              <w:ind w:firstLine="0" w:firstLineChars="0"/>
              <w:jc w:val="center"/>
              <w:rPr>
                <w:rFonts w:hint="default" w:ascii="Times New Roman" w:hAnsi="Times New Roman" w:cs="Times New Roman"/>
                <w:b/>
                <w:sz w:val="21"/>
              </w:rPr>
            </w:pPr>
          </w:p>
          <w:p w14:paraId="513A6404">
            <w:pPr>
              <w:pStyle w:val="54"/>
              <w:widowControl w:val="0"/>
              <w:spacing w:line="240" w:lineRule="atLeast"/>
              <w:ind w:firstLine="0" w:firstLineChars="0"/>
              <w:jc w:val="center"/>
              <w:rPr>
                <w:rFonts w:hint="default" w:ascii="Times New Roman" w:hAnsi="Times New Roman" w:cs="Times New Roman"/>
                <w:b/>
                <w:sz w:val="21"/>
              </w:rPr>
            </w:pPr>
          </w:p>
          <w:p w14:paraId="1732F4A3">
            <w:pPr>
              <w:pStyle w:val="54"/>
              <w:widowControl w:val="0"/>
              <w:spacing w:line="240" w:lineRule="atLeast"/>
              <w:ind w:firstLine="0" w:firstLineChars="0"/>
              <w:jc w:val="center"/>
              <w:rPr>
                <w:rFonts w:hint="default" w:ascii="Times New Roman" w:hAnsi="Times New Roman" w:cs="Times New Roman"/>
                <w:b/>
                <w:sz w:val="21"/>
              </w:rPr>
            </w:pPr>
            <w:r>
              <w:rPr>
                <w:rFonts w:hint="default" w:ascii="Times New Roman" w:hAnsi="Times New Roman" w:cs="Times New Roman"/>
                <w:b/>
                <w:sz w:val="21"/>
              </w:rPr>
              <w:t>表</w:t>
            </w:r>
            <w:r>
              <w:rPr>
                <w:rFonts w:hint="eastAsia" w:ascii="Times New Roman" w:hAnsi="Times New Roman" w:cs="Times New Roman"/>
                <w:b/>
                <w:sz w:val="21"/>
                <w:lang w:val="en-US" w:eastAsia="zh-CN"/>
              </w:rPr>
              <w:t>4-</w:t>
            </w:r>
            <w:r>
              <w:rPr>
                <w:rFonts w:hint="eastAsia" w:cs="Times New Roman"/>
                <w:b/>
                <w:sz w:val="21"/>
                <w:lang w:val="en-US" w:eastAsia="zh-CN"/>
              </w:rPr>
              <w:t>26</w:t>
            </w:r>
            <w:r>
              <w:rPr>
                <w:rFonts w:hint="default" w:ascii="Times New Roman" w:hAnsi="Times New Roman" w:cs="Times New Roman"/>
                <w:b/>
                <w:sz w:val="21"/>
              </w:rPr>
              <w:t xml:space="preserve">  </w:t>
            </w:r>
            <w:r>
              <w:rPr>
                <w:rFonts w:hint="eastAsia" w:ascii="Times New Roman" w:hAnsi="Times New Roman" w:cs="Times New Roman"/>
                <w:b/>
                <w:sz w:val="21"/>
                <w:lang w:val="en-US" w:eastAsia="zh-CN"/>
              </w:rPr>
              <w:t>突发环境事件</w:t>
            </w:r>
            <w:r>
              <w:rPr>
                <w:rFonts w:hint="default" w:ascii="Times New Roman" w:hAnsi="Times New Roman" w:cs="Times New Roman"/>
                <w:b/>
                <w:sz w:val="21"/>
              </w:rPr>
              <w:t>应急预案一览表</w:t>
            </w:r>
          </w:p>
          <w:tbl>
            <w:tblPr>
              <w:tblStyle w:val="25"/>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144"/>
              <w:gridCol w:w="5097"/>
            </w:tblGrid>
            <w:tr w14:paraId="622F9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697" w:type="dxa"/>
                  <w:noWrap w:val="0"/>
                  <w:vAlign w:val="center"/>
                </w:tcPr>
                <w:p w14:paraId="42BE9DBC">
                  <w:pPr>
                    <w:pStyle w:val="54"/>
                    <w:widowControl w:val="0"/>
                    <w:spacing w:line="240" w:lineRule="auto"/>
                    <w:ind w:firstLine="0" w:firstLineChars="0"/>
                    <w:jc w:val="center"/>
                    <w:rPr>
                      <w:rFonts w:hint="default" w:ascii="Times New Roman" w:hAnsi="Times New Roman" w:cs="Times New Roman"/>
                      <w:b/>
                      <w:sz w:val="21"/>
                    </w:rPr>
                  </w:pPr>
                  <w:r>
                    <w:rPr>
                      <w:rFonts w:hint="default" w:ascii="Times New Roman" w:hAnsi="Times New Roman" w:cs="Times New Roman"/>
                      <w:b/>
                      <w:sz w:val="21"/>
                    </w:rPr>
                    <w:t>序号</w:t>
                  </w:r>
                </w:p>
              </w:tc>
              <w:tc>
                <w:tcPr>
                  <w:tcW w:w="2144" w:type="dxa"/>
                  <w:noWrap w:val="0"/>
                  <w:vAlign w:val="center"/>
                </w:tcPr>
                <w:p w14:paraId="06419ABB">
                  <w:pPr>
                    <w:pStyle w:val="54"/>
                    <w:widowControl w:val="0"/>
                    <w:spacing w:line="240" w:lineRule="auto"/>
                    <w:ind w:firstLine="0" w:firstLineChars="0"/>
                    <w:jc w:val="center"/>
                    <w:rPr>
                      <w:rFonts w:hint="default" w:ascii="Times New Roman" w:hAnsi="Times New Roman" w:cs="Times New Roman"/>
                      <w:b/>
                      <w:sz w:val="21"/>
                    </w:rPr>
                  </w:pPr>
                  <w:r>
                    <w:rPr>
                      <w:rFonts w:hint="default" w:ascii="Times New Roman" w:hAnsi="Times New Roman" w:cs="Times New Roman"/>
                      <w:b/>
                      <w:sz w:val="21"/>
                    </w:rPr>
                    <w:t>项目</w:t>
                  </w:r>
                </w:p>
              </w:tc>
              <w:tc>
                <w:tcPr>
                  <w:tcW w:w="5097" w:type="dxa"/>
                  <w:noWrap w:val="0"/>
                  <w:vAlign w:val="center"/>
                </w:tcPr>
                <w:p w14:paraId="39FD1A45">
                  <w:pPr>
                    <w:pStyle w:val="54"/>
                    <w:widowControl w:val="0"/>
                    <w:spacing w:line="240" w:lineRule="auto"/>
                    <w:ind w:firstLine="0" w:firstLineChars="0"/>
                    <w:jc w:val="center"/>
                    <w:rPr>
                      <w:rFonts w:hint="default" w:ascii="Times New Roman" w:hAnsi="Times New Roman" w:cs="Times New Roman"/>
                      <w:b/>
                      <w:sz w:val="21"/>
                    </w:rPr>
                  </w:pPr>
                  <w:r>
                    <w:rPr>
                      <w:rFonts w:hint="default" w:ascii="Times New Roman" w:hAnsi="Times New Roman" w:cs="Times New Roman"/>
                      <w:b/>
                      <w:sz w:val="21"/>
                    </w:rPr>
                    <w:t>内容及要求</w:t>
                  </w:r>
                </w:p>
              </w:tc>
            </w:tr>
            <w:tr w14:paraId="599E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697" w:type="dxa"/>
                  <w:noWrap w:val="0"/>
                  <w:vAlign w:val="center"/>
                </w:tcPr>
                <w:p w14:paraId="1C9B9544">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rPr>
                    <w:t>1</w:t>
                  </w:r>
                </w:p>
              </w:tc>
              <w:tc>
                <w:tcPr>
                  <w:tcW w:w="2144" w:type="dxa"/>
                  <w:noWrap w:val="0"/>
                  <w:vAlign w:val="center"/>
                </w:tcPr>
                <w:p w14:paraId="7C343040">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rPr>
                    <w:t>应急计划区</w:t>
                  </w:r>
                </w:p>
              </w:tc>
              <w:tc>
                <w:tcPr>
                  <w:tcW w:w="5097" w:type="dxa"/>
                  <w:noWrap w:val="0"/>
                  <w:vAlign w:val="center"/>
                </w:tcPr>
                <w:p w14:paraId="4161972F">
                  <w:pPr>
                    <w:widowControl/>
                    <w:jc w:val="center"/>
                    <w:rPr>
                      <w:rFonts w:hint="default" w:ascii="Times New Roman" w:hAnsi="Times New Roman" w:cs="Times New Roman"/>
                      <w:bCs/>
                    </w:rPr>
                  </w:pPr>
                  <w:r>
                    <w:rPr>
                      <w:rFonts w:hint="default" w:ascii="Times New Roman" w:hAnsi="Times New Roman" w:cs="Times New Roman"/>
                      <w:bCs/>
                      <w:kern w:val="0"/>
                      <w:szCs w:val="22"/>
                    </w:rPr>
                    <w:t>危险目标；危险物质储存仓库、环境保护目标</w:t>
                  </w:r>
                </w:p>
              </w:tc>
            </w:tr>
            <w:tr w14:paraId="588D5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697" w:type="dxa"/>
                  <w:noWrap w:val="0"/>
                  <w:vAlign w:val="center"/>
                </w:tcPr>
                <w:p w14:paraId="2C0BBC09">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rPr>
                    <w:t>2</w:t>
                  </w:r>
                </w:p>
              </w:tc>
              <w:tc>
                <w:tcPr>
                  <w:tcW w:w="2144" w:type="dxa"/>
                  <w:noWrap w:val="0"/>
                  <w:vAlign w:val="center"/>
                </w:tcPr>
                <w:p w14:paraId="701BEFE3">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rPr>
                    <w:t>应急组织机构、人员</w:t>
                  </w:r>
                </w:p>
              </w:tc>
              <w:tc>
                <w:tcPr>
                  <w:tcW w:w="5097" w:type="dxa"/>
                  <w:noWrap w:val="0"/>
                  <w:vAlign w:val="center"/>
                </w:tcPr>
                <w:p w14:paraId="746B0BD2">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rPr>
                    <w:t>地区应急组织机构与人员</w:t>
                  </w:r>
                </w:p>
              </w:tc>
            </w:tr>
            <w:tr w14:paraId="20117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697" w:type="dxa"/>
                  <w:noWrap w:val="0"/>
                  <w:vAlign w:val="center"/>
                </w:tcPr>
                <w:p w14:paraId="3E04FC5B">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rPr>
                    <w:t>3</w:t>
                  </w:r>
                </w:p>
              </w:tc>
              <w:tc>
                <w:tcPr>
                  <w:tcW w:w="2144" w:type="dxa"/>
                  <w:noWrap w:val="0"/>
                  <w:vAlign w:val="center"/>
                </w:tcPr>
                <w:p w14:paraId="6F9F51F7">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szCs w:val="22"/>
                    </w:rPr>
                    <w:t>预案分级响应条件</w:t>
                  </w:r>
                </w:p>
              </w:tc>
              <w:tc>
                <w:tcPr>
                  <w:tcW w:w="5097" w:type="dxa"/>
                  <w:noWrap w:val="0"/>
                  <w:vAlign w:val="center"/>
                </w:tcPr>
                <w:p w14:paraId="5EEFC643">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szCs w:val="22"/>
                    </w:rPr>
                    <w:t>规定预案的级别及分级响应程序</w:t>
                  </w:r>
                </w:p>
              </w:tc>
            </w:tr>
            <w:tr w14:paraId="20BA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noWrap w:val="0"/>
                  <w:vAlign w:val="center"/>
                </w:tcPr>
                <w:p w14:paraId="2C449CE3">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rPr>
                    <w:t>4</w:t>
                  </w:r>
                </w:p>
              </w:tc>
              <w:tc>
                <w:tcPr>
                  <w:tcW w:w="2144" w:type="dxa"/>
                  <w:noWrap w:val="0"/>
                  <w:vAlign w:val="center"/>
                </w:tcPr>
                <w:p w14:paraId="7ADC656A">
                  <w:pPr>
                    <w:widowControl/>
                    <w:jc w:val="center"/>
                    <w:rPr>
                      <w:rFonts w:hint="default" w:ascii="Times New Roman" w:hAnsi="Times New Roman" w:cs="Times New Roman"/>
                      <w:bCs/>
                    </w:rPr>
                  </w:pPr>
                  <w:r>
                    <w:rPr>
                      <w:rFonts w:hint="default" w:ascii="Times New Roman" w:hAnsi="Times New Roman" w:cs="Times New Roman"/>
                      <w:bCs/>
                      <w:kern w:val="0"/>
                      <w:szCs w:val="22"/>
                    </w:rPr>
                    <w:t>应急救援保障</w:t>
                  </w:r>
                </w:p>
              </w:tc>
              <w:tc>
                <w:tcPr>
                  <w:tcW w:w="5097" w:type="dxa"/>
                  <w:noWrap w:val="0"/>
                  <w:vAlign w:val="center"/>
                </w:tcPr>
                <w:p w14:paraId="1D4EE42A">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rPr>
                    <w:t>应急设施、设备与器材等</w:t>
                  </w:r>
                </w:p>
              </w:tc>
            </w:tr>
            <w:tr w14:paraId="5FE2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noWrap w:val="0"/>
                  <w:vAlign w:val="center"/>
                </w:tcPr>
                <w:p w14:paraId="57B196DF">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rPr>
                    <w:t>5</w:t>
                  </w:r>
                </w:p>
              </w:tc>
              <w:tc>
                <w:tcPr>
                  <w:tcW w:w="2144" w:type="dxa"/>
                  <w:noWrap w:val="0"/>
                  <w:vAlign w:val="center"/>
                </w:tcPr>
                <w:p w14:paraId="09C148B6">
                  <w:pPr>
                    <w:widowControl/>
                    <w:jc w:val="center"/>
                    <w:rPr>
                      <w:rFonts w:hint="default" w:ascii="Times New Roman" w:hAnsi="Times New Roman" w:cs="Times New Roman"/>
                      <w:bCs/>
                    </w:rPr>
                  </w:pPr>
                  <w:r>
                    <w:rPr>
                      <w:rFonts w:hint="default" w:ascii="Times New Roman" w:hAnsi="Times New Roman" w:cs="Times New Roman"/>
                      <w:bCs/>
                      <w:kern w:val="0"/>
                      <w:szCs w:val="22"/>
                    </w:rPr>
                    <w:t>报警、通讯联络方式</w:t>
                  </w:r>
                </w:p>
              </w:tc>
              <w:tc>
                <w:tcPr>
                  <w:tcW w:w="5097" w:type="dxa"/>
                  <w:noWrap w:val="0"/>
                  <w:vAlign w:val="center"/>
                </w:tcPr>
                <w:p w14:paraId="5B94D7E9">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rPr>
                    <w:t>规定应急状态下的报警通讯方式、通知方式和交通保障、管制</w:t>
                  </w:r>
                </w:p>
              </w:tc>
            </w:tr>
            <w:tr w14:paraId="2A18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697" w:type="dxa"/>
                  <w:noWrap w:val="0"/>
                  <w:vAlign w:val="center"/>
                </w:tcPr>
                <w:p w14:paraId="7DCCEC5E">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rPr>
                    <w:t>6</w:t>
                  </w:r>
                </w:p>
              </w:tc>
              <w:tc>
                <w:tcPr>
                  <w:tcW w:w="2144" w:type="dxa"/>
                  <w:noWrap w:val="0"/>
                  <w:vAlign w:val="center"/>
                </w:tcPr>
                <w:p w14:paraId="0CE78F80">
                  <w:pPr>
                    <w:widowControl/>
                    <w:jc w:val="center"/>
                    <w:rPr>
                      <w:rFonts w:hint="default" w:ascii="Times New Roman" w:hAnsi="Times New Roman" w:cs="Times New Roman"/>
                      <w:bCs/>
                    </w:rPr>
                  </w:pPr>
                  <w:r>
                    <w:rPr>
                      <w:rFonts w:hint="default" w:ascii="Times New Roman" w:hAnsi="Times New Roman" w:cs="Times New Roman"/>
                      <w:bCs/>
                      <w:kern w:val="0"/>
                      <w:szCs w:val="22"/>
                    </w:rPr>
                    <w:t>应急环境监测、抢险、救援及控制措施</w:t>
                  </w:r>
                </w:p>
              </w:tc>
              <w:tc>
                <w:tcPr>
                  <w:tcW w:w="5097" w:type="dxa"/>
                  <w:noWrap w:val="0"/>
                  <w:vAlign w:val="center"/>
                </w:tcPr>
                <w:p w14:paraId="1D2BEC82">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szCs w:val="22"/>
                    </w:rPr>
                    <w:t>由专业队伍负责对事故现场进行侦查监测，对事故性质、参数与后果进行评估，为指挥部门提供决策依据</w:t>
                  </w:r>
                </w:p>
              </w:tc>
            </w:tr>
            <w:tr w14:paraId="205D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97" w:type="dxa"/>
                  <w:noWrap w:val="0"/>
                  <w:vAlign w:val="center"/>
                </w:tcPr>
                <w:p w14:paraId="19198635">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rPr>
                    <w:t>7</w:t>
                  </w:r>
                </w:p>
              </w:tc>
              <w:tc>
                <w:tcPr>
                  <w:tcW w:w="2144" w:type="dxa"/>
                  <w:noWrap w:val="0"/>
                  <w:vAlign w:val="center"/>
                </w:tcPr>
                <w:p w14:paraId="73B8791C">
                  <w:pPr>
                    <w:widowControl/>
                    <w:jc w:val="center"/>
                    <w:rPr>
                      <w:rFonts w:hint="default" w:ascii="Times New Roman" w:hAnsi="Times New Roman" w:cs="Times New Roman"/>
                      <w:bCs/>
                    </w:rPr>
                  </w:pPr>
                  <w:r>
                    <w:rPr>
                      <w:rFonts w:hint="default" w:ascii="Times New Roman" w:hAnsi="Times New Roman" w:cs="Times New Roman"/>
                      <w:bCs/>
                      <w:kern w:val="0"/>
                      <w:szCs w:val="22"/>
                    </w:rPr>
                    <w:t>应急检测、防护措施、清除泄漏措施和器材</w:t>
                  </w:r>
                </w:p>
              </w:tc>
              <w:tc>
                <w:tcPr>
                  <w:tcW w:w="5097" w:type="dxa"/>
                  <w:noWrap w:val="0"/>
                  <w:vAlign w:val="center"/>
                </w:tcPr>
                <w:p w14:paraId="4EB95555">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szCs w:val="22"/>
                    </w:rPr>
                    <w:t>事故现场、邻近区域、控制防火区域，控制和清除污染措施及相应设备</w:t>
                  </w:r>
                </w:p>
              </w:tc>
            </w:tr>
            <w:tr w14:paraId="0FECC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97" w:type="dxa"/>
                  <w:noWrap w:val="0"/>
                  <w:vAlign w:val="center"/>
                </w:tcPr>
                <w:p w14:paraId="7EB5D017">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rPr>
                    <w:t>8</w:t>
                  </w:r>
                </w:p>
              </w:tc>
              <w:tc>
                <w:tcPr>
                  <w:tcW w:w="2144" w:type="dxa"/>
                  <w:noWrap w:val="0"/>
                  <w:vAlign w:val="center"/>
                </w:tcPr>
                <w:p w14:paraId="6C475372">
                  <w:pPr>
                    <w:widowControl/>
                    <w:jc w:val="center"/>
                    <w:rPr>
                      <w:rFonts w:hint="default" w:ascii="Times New Roman" w:hAnsi="Times New Roman" w:cs="Times New Roman"/>
                      <w:bCs/>
                    </w:rPr>
                  </w:pPr>
                  <w:r>
                    <w:rPr>
                      <w:rFonts w:hint="default" w:ascii="Times New Roman" w:hAnsi="Times New Roman" w:cs="Times New Roman"/>
                      <w:bCs/>
                      <w:kern w:val="0"/>
                      <w:szCs w:val="22"/>
                    </w:rPr>
                    <w:t>人员紧急撤离、疏散，应急剂量控制、撤离组织计划</w:t>
                  </w:r>
                </w:p>
              </w:tc>
              <w:tc>
                <w:tcPr>
                  <w:tcW w:w="5097" w:type="dxa"/>
                  <w:noWrap w:val="0"/>
                  <w:vAlign w:val="center"/>
                </w:tcPr>
                <w:p w14:paraId="2433A64B">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szCs w:val="22"/>
                    </w:rPr>
                    <w:t>事故现场、厂区邻近区域、受事故影响的区域人员与公众对毒物应急剂量控制规定，撤离组织计划及救援，医疗救护与公众健康。</w:t>
                  </w:r>
                </w:p>
              </w:tc>
            </w:tr>
            <w:tr w14:paraId="0C11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97" w:type="dxa"/>
                  <w:noWrap w:val="0"/>
                  <w:vAlign w:val="center"/>
                </w:tcPr>
                <w:p w14:paraId="0BE19AF9">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rPr>
                    <w:t>9</w:t>
                  </w:r>
                </w:p>
              </w:tc>
              <w:tc>
                <w:tcPr>
                  <w:tcW w:w="2144" w:type="dxa"/>
                  <w:noWrap w:val="0"/>
                  <w:vAlign w:val="center"/>
                </w:tcPr>
                <w:p w14:paraId="13B34D37">
                  <w:pPr>
                    <w:widowControl/>
                    <w:jc w:val="center"/>
                    <w:rPr>
                      <w:rFonts w:hint="default" w:ascii="Times New Roman" w:hAnsi="Times New Roman" w:cs="Times New Roman"/>
                      <w:bCs/>
                    </w:rPr>
                  </w:pPr>
                  <w:r>
                    <w:rPr>
                      <w:rFonts w:hint="default" w:ascii="Times New Roman" w:hAnsi="Times New Roman" w:cs="Times New Roman"/>
                      <w:bCs/>
                      <w:kern w:val="0"/>
                      <w:szCs w:val="22"/>
                    </w:rPr>
                    <w:t>事故应急救援关闭程序与恢复措施</w:t>
                  </w:r>
                </w:p>
              </w:tc>
              <w:tc>
                <w:tcPr>
                  <w:tcW w:w="5097" w:type="dxa"/>
                  <w:noWrap w:val="0"/>
                  <w:vAlign w:val="center"/>
                </w:tcPr>
                <w:p w14:paraId="7565BE85">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rPr>
                    <w:t>规定应急状态终止程序事故现场善后处理，恢复措施邻近区域接触事故警戒及善后恢复措施</w:t>
                  </w:r>
                </w:p>
              </w:tc>
            </w:tr>
            <w:tr w14:paraId="6BD4F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noWrap w:val="0"/>
                  <w:vAlign w:val="center"/>
                </w:tcPr>
                <w:p w14:paraId="1742E362">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rPr>
                    <w:t>10</w:t>
                  </w:r>
                </w:p>
              </w:tc>
              <w:tc>
                <w:tcPr>
                  <w:tcW w:w="2144" w:type="dxa"/>
                  <w:noWrap w:val="0"/>
                  <w:vAlign w:val="center"/>
                </w:tcPr>
                <w:p w14:paraId="07F10582">
                  <w:pPr>
                    <w:widowControl/>
                    <w:jc w:val="center"/>
                    <w:rPr>
                      <w:rFonts w:hint="default" w:ascii="Times New Roman" w:hAnsi="Times New Roman" w:cs="Times New Roman"/>
                      <w:bCs/>
                    </w:rPr>
                  </w:pPr>
                  <w:r>
                    <w:rPr>
                      <w:rFonts w:hint="default" w:ascii="Times New Roman" w:hAnsi="Times New Roman" w:cs="Times New Roman"/>
                      <w:bCs/>
                      <w:kern w:val="0"/>
                      <w:szCs w:val="22"/>
                    </w:rPr>
                    <w:t>应急培训计划</w:t>
                  </w:r>
                </w:p>
              </w:tc>
              <w:tc>
                <w:tcPr>
                  <w:tcW w:w="5097" w:type="dxa"/>
                  <w:noWrap w:val="0"/>
                  <w:vAlign w:val="center"/>
                </w:tcPr>
                <w:p w14:paraId="353DE83A">
                  <w:pPr>
                    <w:widowControl/>
                    <w:jc w:val="center"/>
                    <w:rPr>
                      <w:rFonts w:hint="default" w:ascii="Times New Roman" w:hAnsi="Times New Roman" w:cs="Times New Roman"/>
                      <w:bCs/>
                    </w:rPr>
                  </w:pPr>
                  <w:r>
                    <w:rPr>
                      <w:rFonts w:hint="default" w:ascii="Times New Roman" w:hAnsi="Times New Roman" w:cs="Times New Roman"/>
                      <w:bCs/>
                      <w:kern w:val="0"/>
                      <w:szCs w:val="22"/>
                    </w:rPr>
                    <w:t>应急计划制定后，平时安排人员培训与演练</w:t>
                  </w:r>
                </w:p>
              </w:tc>
            </w:tr>
            <w:tr w14:paraId="07D4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697" w:type="dxa"/>
                  <w:noWrap w:val="0"/>
                  <w:vAlign w:val="center"/>
                </w:tcPr>
                <w:p w14:paraId="7D4CBCE1">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rPr>
                    <w:t>11</w:t>
                  </w:r>
                </w:p>
              </w:tc>
              <w:tc>
                <w:tcPr>
                  <w:tcW w:w="2144" w:type="dxa"/>
                  <w:noWrap w:val="0"/>
                  <w:vAlign w:val="center"/>
                </w:tcPr>
                <w:p w14:paraId="25FC964F">
                  <w:pPr>
                    <w:widowControl/>
                    <w:jc w:val="center"/>
                    <w:rPr>
                      <w:rFonts w:hint="default" w:ascii="Times New Roman" w:hAnsi="Times New Roman" w:cs="Times New Roman"/>
                      <w:bCs/>
                    </w:rPr>
                  </w:pPr>
                  <w:r>
                    <w:rPr>
                      <w:rFonts w:hint="default" w:ascii="Times New Roman" w:hAnsi="Times New Roman" w:cs="Times New Roman"/>
                      <w:bCs/>
                      <w:kern w:val="0"/>
                      <w:szCs w:val="22"/>
                    </w:rPr>
                    <w:t>公众教育和信息</w:t>
                  </w:r>
                </w:p>
              </w:tc>
              <w:tc>
                <w:tcPr>
                  <w:tcW w:w="5097" w:type="dxa"/>
                  <w:noWrap w:val="0"/>
                  <w:vAlign w:val="center"/>
                </w:tcPr>
                <w:p w14:paraId="11A2F0C6">
                  <w:pPr>
                    <w:widowControl/>
                    <w:jc w:val="center"/>
                    <w:rPr>
                      <w:rFonts w:hint="default" w:ascii="Times New Roman" w:hAnsi="Times New Roman" w:cs="Times New Roman"/>
                      <w:bCs/>
                    </w:rPr>
                  </w:pPr>
                  <w:r>
                    <w:rPr>
                      <w:rFonts w:hint="default" w:ascii="Times New Roman" w:hAnsi="Times New Roman" w:cs="Times New Roman"/>
                      <w:bCs/>
                      <w:kern w:val="0"/>
                      <w:szCs w:val="22"/>
                    </w:rPr>
                    <w:t>对邻近地区开展公众教育、培训和发布有关信息</w:t>
                  </w:r>
                </w:p>
              </w:tc>
            </w:tr>
            <w:tr w14:paraId="55C5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97" w:type="dxa"/>
                  <w:noWrap w:val="0"/>
                  <w:vAlign w:val="center"/>
                </w:tcPr>
                <w:p w14:paraId="31573EE5">
                  <w:pPr>
                    <w:pStyle w:val="54"/>
                    <w:widowControl w:val="0"/>
                    <w:spacing w:line="240" w:lineRule="auto"/>
                    <w:ind w:firstLine="0" w:firstLineChars="0"/>
                    <w:jc w:val="center"/>
                    <w:rPr>
                      <w:rFonts w:hint="default" w:ascii="Times New Roman" w:hAnsi="Times New Roman" w:cs="Times New Roman"/>
                      <w:bCs/>
                      <w:sz w:val="21"/>
                    </w:rPr>
                  </w:pPr>
                  <w:r>
                    <w:rPr>
                      <w:rFonts w:hint="default" w:ascii="Times New Roman" w:hAnsi="Times New Roman" w:cs="Times New Roman"/>
                      <w:bCs/>
                      <w:sz w:val="21"/>
                    </w:rPr>
                    <w:t>12</w:t>
                  </w:r>
                </w:p>
              </w:tc>
              <w:tc>
                <w:tcPr>
                  <w:tcW w:w="2144" w:type="dxa"/>
                  <w:noWrap w:val="0"/>
                  <w:vAlign w:val="center"/>
                </w:tcPr>
                <w:p w14:paraId="50EFBD1C">
                  <w:pPr>
                    <w:widowControl/>
                    <w:jc w:val="center"/>
                    <w:rPr>
                      <w:rFonts w:hint="default" w:ascii="Times New Roman" w:hAnsi="Times New Roman" w:cs="Times New Roman"/>
                      <w:bCs/>
                      <w:kern w:val="0"/>
                      <w:szCs w:val="22"/>
                    </w:rPr>
                  </w:pPr>
                  <w:r>
                    <w:rPr>
                      <w:rFonts w:hint="default" w:ascii="Times New Roman" w:hAnsi="Times New Roman" w:cs="Times New Roman"/>
                      <w:bCs/>
                      <w:kern w:val="0"/>
                      <w:szCs w:val="22"/>
                    </w:rPr>
                    <w:t>记录和报告</w:t>
                  </w:r>
                </w:p>
              </w:tc>
              <w:tc>
                <w:tcPr>
                  <w:tcW w:w="5097" w:type="dxa"/>
                  <w:noWrap w:val="0"/>
                  <w:vAlign w:val="center"/>
                </w:tcPr>
                <w:p w14:paraId="2ABCA7CA">
                  <w:pPr>
                    <w:widowControl/>
                    <w:jc w:val="center"/>
                    <w:rPr>
                      <w:rFonts w:hint="default" w:ascii="Times New Roman" w:hAnsi="Times New Roman" w:cs="Times New Roman"/>
                      <w:bCs/>
                      <w:kern w:val="0"/>
                      <w:szCs w:val="22"/>
                    </w:rPr>
                  </w:pPr>
                  <w:r>
                    <w:rPr>
                      <w:rFonts w:hint="default" w:ascii="Times New Roman" w:hAnsi="Times New Roman" w:cs="Times New Roman"/>
                      <w:bCs/>
                      <w:kern w:val="0"/>
                      <w:szCs w:val="22"/>
                    </w:rPr>
                    <w:t>建立档案和报告制度，设专门部门负责管理。</w:t>
                  </w:r>
                </w:p>
              </w:tc>
            </w:tr>
          </w:tbl>
          <w:p w14:paraId="137FBF51">
            <w:pPr>
              <w:spacing w:before="95" w:beforeLines="30" w:line="360" w:lineRule="auto"/>
              <w:ind w:firstLine="482" w:firstLineChars="200"/>
              <w:rPr>
                <w:rFonts w:hint="default" w:ascii="Times New Roman" w:hAnsi="Times New Roman" w:cs="Times New Roman"/>
                <w:b/>
                <w:bCs/>
                <w:sz w:val="28"/>
                <w:szCs w:val="36"/>
              </w:rPr>
            </w:pPr>
            <w:r>
              <w:rPr>
                <w:rFonts w:hint="default" w:ascii="Times New Roman" w:hAnsi="Times New Roman" w:cs="Times New Roman"/>
                <w:b/>
                <w:bCs/>
                <w:sz w:val="24"/>
                <w:szCs w:val="32"/>
              </w:rPr>
              <w:t>（</w:t>
            </w:r>
            <w:r>
              <w:rPr>
                <w:rFonts w:hint="eastAsia" w:cs="Times New Roman"/>
                <w:b/>
                <w:bCs/>
                <w:sz w:val="24"/>
                <w:szCs w:val="32"/>
                <w:lang w:val="en-US" w:eastAsia="zh-CN"/>
              </w:rPr>
              <w:t>6</w:t>
            </w:r>
            <w:r>
              <w:rPr>
                <w:rFonts w:hint="default" w:ascii="Times New Roman" w:hAnsi="Times New Roman" w:cs="Times New Roman"/>
                <w:b/>
                <w:bCs/>
                <w:sz w:val="24"/>
                <w:szCs w:val="32"/>
              </w:rPr>
              <w:t>）风险评价结论</w:t>
            </w:r>
            <w:r>
              <w:rPr>
                <w:rFonts w:hint="default" w:ascii="Times New Roman" w:hAnsi="Times New Roman" w:cs="Times New Roman"/>
                <w:b/>
                <w:bCs/>
                <w:sz w:val="28"/>
                <w:szCs w:val="36"/>
              </w:rPr>
              <w:t xml:space="preserve"> </w:t>
            </w:r>
          </w:p>
          <w:p w14:paraId="24DD1B3A">
            <w:pPr>
              <w:spacing w:line="360" w:lineRule="auto"/>
              <w:ind w:firstLine="480" w:firstLineChars="200"/>
              <w:rPr>
                <w:rFonts w:hint="default" w:ascii="Times New Roman" w:hAnsi="Times New Roman" w:cs="Times New Roman"/>
                <w:sz w:val="24"/>
                <w:szCs w:val="32"/>
              </w:rPr>
            </w:pPr>
            <w:r>
              <w:rPr>
                <w:rFonts w:hint="default" w:ascii="Times New Roman" w:hAnsi="Times New Roman" w:cs="Times New Roman"/>
                <w:sz w:val="24"/>
                <w:szCs w:val="32"/>
              </w:rPr>
              <w:t>本项目存在的环境风险</w:t>
            </w:r>
            <w:r>
              <w:rPr>
                <w:rFonts w:hint="eastAsia" w:ascii="Times New Roman" w:hAnsi="Times New Roman" w:cs="Times New Roman"/>
                <w:sz w:val="24"/>
                <w:szCs w:val="32"/>
                <w:lang w:val="en-US" w:eastAsia="zh-CN"/>
              </w:rPr>
              <w:t>主要</w:t>
            </w:r>
            <w:r>
              <w:rPr>
                <w:rFonts w:hint="default" w:ascii="Times New Roman" w:hAnsi="Times New Roman" w:cs="Times New Roman"/>
                <w:sz w:val="24"/>
                <w:szCs w:val="32"/>
              </w:rPr>
              <w:t>为废油等有毒有害物质的泄漏及火灾、爆炸等引发的次生污染物排放。项目在认真落实环评中提出的各项风险防范措施后，项目风险水平可接受。建设项目环境风险评价自查表见</w:t>
            </w:r>
            <w:r>
              <w:rPr>
                <w:rFonts w:hint="eastAsia" w:ascii="Times New Roman" w:hAnsi="Times New Roman" w:cs="Times New Roman"/>
                <w:sz w:val="24"/>
                <w:szCs w:val="32"/>
                <w:lang w:val="en-US" w:eastAsia="zh-CN"/>
              </w:rPr>
              <w:t>下表</w:t>
            </w:r>
            <w:r>
              <w:rPr>
                <w:rFonts w:hint="default" w:ascii="Times New Roman" w:hAnsi="Times New Roman" w:cs="Times New Roman"/>
                <w:sz w:val="24"/>
                <w:szCs w:val="32"/>
              </w:rPr>
              <w:t>。</w:t>
            </w:r>
          </w:p>
          <w:p w14:paraId="60655FFB">
            <w:pPr>
              <w:spacing w:line="240" w:lineRule="atLeast"/>
              <w:ind w:firstLine="422" w:firstLineChars="200"/>
              <w:jc w:val="center"/>
              <w:rPr>
                <w:rFonts w:hint="default" w:ascii="Times New Roman" w:hAnsi="Times New Roman" w:cs="Times New Roman"/>
                <w:b/>
                <w:bCs/>
              </w:rPr>
            </w:pPr>
            <w:r>
              <w:rPr>
                <w:rFonts w:hint="default" w:ascii="Times New Roman" w:hAnsi="Times New Roman" w:cs="Times New Roman"/>
                <w:b/>
                <w:bCs/>
              </w:rPr>
              <w:t>表</w:t>
            </w:r>
            <w:r>
              <w:rPr>
                <w:rFonts w:hint="eastAsia" w:ascii="Times New Roman" w:hAnsi="Times New Roman" w:cs="Times New Roman"/>
                <w:b/>
                <w:bCs/>
                <w:lang w:val="en-US" w:eastAsia="zh-CN"/>
              </w:rPr>
              <w:t>4</w:t>
            </w:r>
            <w:r>
              <w:rPr>
                <w:rFonts w:hint="default" w:ascii="Times New Roman" w:hAnsi="Times New Roman" w:cs="Times New Roman"/>
                <w:b/>
                <w:bCs/>
              </w:rPr>
              <w:t>-2</w:t>
            </w:r>
            <w:r>
              <w:rPr>
                <w:rFonts w:hint="eastAsia" w:cs="Times New Roman"/>
                <w:b/>
                <w:bCs/>
                <w:lang w:val="en-US" w:eastAsia="zh-CN"/>
              </w:rPr>
              <w:t>7</w:t>
            </w:r>
            <w:r>
              <w:rPr>
                <w:rFonts w:hint="default" w:ascii="Times New Roman" w:hAnsi="Times New Roman" w:cs="Times New Roman"/>
                <w:b/>
                <w:bCs/>
              </w:rPr>
              <w:t xml:space="preserve">  环境风险评价自查表</w:t>
            </w:r>
          </w:p>
          <w:tbl>
            <w:tblPr>
              <w:tblStyle w:val="25"/>
              <w:tblW w:w="7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326"/>
              <w:gridCol w:w="529"/>
              <w:gridCol w:w="666"/>
              <w:gridCol w:w="864"/>
              <w:gridCol w:w="487"/>
              <w:gridCol w:w="993"/>
              <w:gridCol w:w="86"/>
              <w:gridCol w:w="1413"/>
            </w:tblGrid>
            <w:tr w14:paraId="6156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95" w:type="dxa"/>
                  <w:vAlign w:val="center"/>
                </w:tcPr>
                <w:p w14:paraId="47FA856D">
                  <w:pPr>
                    <w:pStyle w:val="54"/>
                    <w:widowControl w:val="0"/>
                    <w:spacing w:line="240" w:lineRule="auto"/>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建设项目名称</w:t>
                  </w:r>
                </w:p>
              </w:tc>
              <w:tc>
                <w:tcPr>
                  <w:tcW w:w="6364" w:type="dxa"/>
                  <w:gridSpan w:val="8"/>
                  <w:vAlign w:val="center"/>
                </w:tcPr>
                <w:p w14:paraId="31F342D8">
                  <w:pPr>
                    <w:pStyle w:val="54"/>
                    <w:widowControl w:val="0"/>
                    <w:spacing w:line="240" w:lineRule="auto"/>
                    <w:ind w:firstLine="0" w:firstLineChars="0"/>
                    <w:jc w:val="center"/>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val="en-US" w:eastAsia="zh-CN"/>
                    </w:rPr>
                    <w:t>宿州邦裕环保检测有限公司年12000辆报废机动车回收拆解项目</w:t>
                  </w:r>
                </w:p>
              </w:tc>
            </w:tr>
            <w:tr w14:paraId="05D1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95" w:type="dxa"/>
                  <w:vAlign w:val="center"/>
                </w:tcPr>
                <w:p w14:paraId="0FDBC26C">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建设地点</w:t>
                  </w:r>
                </w:p>
              </w:tc>
              <w:tc>
                <w:tcPr>
                  <w:tcW w:w="6364" w:type="dxa"/>
                  <w:gridSpan w:val="8"/>
                  <w:vAlign w:val="center"/>
                </w:tcPr>
                <w:p w14:paraId="18C2EF6B">
                  <w:pPr>
                    <w:pStyle w:val="54"/>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sz w:val="21"/>
                      <w:szCs w:val="16"/>
                    </w:rPr>
                    <w:t>宿州市埇桥区朱仙庄镇工业园区内</w:t>
                  </w:r>
                  <w:r>
                    <w:rPr>
                      <w:rFonts w:hint="eastAsia" w:ascii="Times New Roman" w:hAnsi="Times New Roman" w:eastAsia="宋体" w:cs="Times New Roman"/>
                      <w:sz w:val="21"/>
                      <w:szCs w:val="16"/>
                      <w:lang w:eastAsia="zh-CN"/>
                    </w:rPr>
                    <w:t>（</w:t>
                  </w:r>
                  <w:r>
                    <w:rPr>
                      <w:rFonts w:hint="eastAsia" w:ascii="Times New Roman" w:hAnsi="Times New Roman" w:eastAsia="宋体" w:cs="Times New Roman"/>
                      <w:sz w:val="21"/>
                      <w:szCs w:val="16"/>
                    </w:rPr>
                    <w:t>303省道与东三环路交叉口西50米路北</w:t>
                  </w:r>
                  <w:r>
                    <w:rPr>
                      <w:rFonts w:hint="eastAsia" w:ascii="Times New Roman" w:hAnsi="Times New Roman" w:eastAsia="宋体" w:cs="Times New Roman"/>
                      <w:sz w:val="21"/>
                      <w:szCs w:val="16"/>
                      <w:lang w:eastAsia="zh-CN"/>
                    </w:rPr>
                    <w:t>）</w:t>
                  </w:r>
                </w:p>
              </w:tc>
            </w:tr>
            <w:tr w14:paraId="0CA4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95" w:type="dxa"/>
                  <w:vAlign w:val="center"/>
                </w:tcPr>
                <w:p w14:paraId="6837157C">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地理坐标</w:t>
                  </w:r>
                </w:p>
              </w:tc>
              <w:tc>
                <w:tcPr>
                  <w:tcW w:w="1855" w:type="dxa"/>
                  <w:gridSpan w:val="2"/>
                  <w:vAlign w:val="center"/>
                </w:tcPr>
                <w:p w14:paraId="6F9E9033">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经度</w:t>
                  </w:r>
                </w:p>
              </w:tc>
              <w:tc>
                <w:tcPr>
                  <w:tcW w:w="1530" w:type="dxa"/>
                  <w:gridSpan w:val="2"/>
                  <w:vAlign w:val="center"/>
                </w:tcPr>
                <w:p w14:paraId="312C12B6">
                  <w:pPr>
                    <w:pStyle w:val="54"/>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117.085698</w:t>
                  </w:r>
                </w:p>
              </w:tc>
              <w:tc>
                <w:tcPr>
                  <w:tcW w:w="1480" w:type="dxa"/>
                  <w:gridSpan w:val="2"/>
                  <w:vAlign w:val="center"/>
                </w:tcPr>
                <w:p w14:paraId="3CEF9909">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纬度</w:t>
                  </w:r>
                </w:p>
              </w:tc>
              <w:tc>
                <w:tcPr>
                  <w:tcW w:w="1499" w:type="dxa"/>
                  <w:gridSpan w:val="2"/>
                  <w:vAlign w:val="center"/>
                </w:tcPr>
                <w:p w14:paraId="478C7919">
                  <w:pPr>
                    <w:pStyle w:val="54"/>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33.615173</w:t>
                  </w:r>
                </w:p>
              </w:tc>
            </w:tr>
            <w:tr w14:paraId="7D03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595" w:type="dxa"/>
                  <w:vAlign w:val="center"/>
                </w:tcPr>
                <w:p w14:paraId="58F68D50">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主要危险物质</w:t>
                  </w:r>
                </w:p>
                <w:p w14:paraId="213AE1F5">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及分布</w:t>
                  </w:r>
                </w:p>
              </w:tc>
              <w:tc>
                <w:tcPr>
                  <w:tcW w:w="6364" w:type="dxa"/>
                  <w:gridSpan w:val="8"/>
                  <w:vAlign w:val="center"/>
                </w:tcPr>
                <w:p w14:paraId="6516AE34">
                  <w:pPr>
                    <w:pStyle w:val="54"/>
                    <w:widowControl w:val="0"/>
                    <w:spacing w:line="240" w:lineRule="auto"/>
                    <w:ind w:firstLine="0" w:firstLineChars="0"/>
                    <w:jc w:val="center"/>
                    <w:rPr>
                      <w:rFonts w:hint="default" w:ascii="Times New Roman" w:hAnsi="Times New Roman" w:eastAsia="宋体" w:cs="Times New Roman"/>
                      <w:sz w:val="21"/>
                      <w:szCs w:val="16"/>
                      <w:lang w:val="en-US" w:eastAsia="zh-CN"/>
                    </w:rPr>
                  </w:pPr>
                  <w:r>
                    <w:rPr>
                      <w:rFonts w:hint="default" w:ascii="Times New Roman" w:hAnsi="Times New Roman" w:cs="Times New Roman"/>
                      <w:sz w:val="21"/>
                      <w:szCs w:val="16"/>
                    </w:rPr>
                    <w:t>主要危险物质：乙炔、废油</w:t>
                  </w:r>
                  <w:r>
                    <w:rPr>
                      <w:rFonts w:hint="eastAsia" w:cs="Times New Roman"/>
                      <w:sz w:val="21"/>
                      <w:szCs w:val="16"/>
                      <w:lang w:eastAsia="zh-CN"/>
                    </w:rPr>
                    <w:t>、</w:t>
                  </w:r>
                  <w:r>
                    <w:rPr>
                      <w:rFonts w:hint="eastAsia" w:cs="Times New Roman"/>
                      <w:sz w:val="21"/>
                      <w:szCs w:val="16"/>
                      <w:lang w:val="en-US" w:eastAsia="zh-CN"/>
                    </w:rPr>
                    <w:t>其他危险废物</w:t>
                  </w:r>
                </w:p>
                <w:p w14:paraId="1585F312">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sz w:val="21"/>
                      <w:szCs w:val="16"/>
                    </w:rPr>
                    <w:t>分布：拆解车间、危废暂存库</w:t>
                  </w:r>
                </w:p>
              </w:tc>
            </w:tr>
            <w:tr w14:paraId="64F3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595" w:type="dxa"/>
                  <w:vMerge w:val="restart"/>
                  <w:vAlign w:val="center"/>
                </w:tcPr>
                <w:p w14:paraId="53E7B8FB">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环境影响途径及危害后果（大气、地表水、地下水等）</w:t>
                  </w:r>
                </w:p>
              </w:tc>
              <w:tc>
                <w:tcPr>
                  <w:tcW w:w="1326" w:type="dxa"/>
                  <w:vAlign w:val="center"/>
                </w:tcPr>
                <w:p w14:paraId="153EF133">
                  <w:pPr>
                    <w:pStyle w:val="54"/>
                    <w:widowControl w:val="0"/>
                    <w:spacing w:line="240" w:lineRule="auto"/>
                    <w:ind w:firstLine="0" w:firstLineChars="0"/>
                    <w:jc w:val="center"/>
                    <w:rPr>
                      <w:rFonts w:hint="default" w:ascii="Times New Roman" w:hAnsi="Times New Roman" w:cs="Times New Roman"/>
                      <w:sz w:val="21"/>
                      <w:szCs w:val="16"/>
                    </w:rPr>
                  </w:pPr>
                  <w:r>
                    <w:rPr>
                      <w:rFonts w:hint="default" w:ascii="Times New Roman" w:hAnsi="Times New Roman" w:cs="Times New Roman"/>
                      <w:sz w:val="21"/>
                      <w:szCs w:val="16"/>
                    </w:rPr>
                    <w:t>风险源</w:t>
                  </w:r>
                </w:p>
              </w:tc>
              <w:tc>
                <w:tcPr>
                  <w:tcW w:w="1195" w:type="dxa"/>
                  <w:gridSpan w:val="2"/>
                  <w:vAlign w:val="center"/>
                </w:tcPr>
                <w:p w14:paraId="1788F789">
                  <w:pPr>
                    <w:pStyle w:val="54"/>
                    <w:widowControl w:val="0"/>
                    <w:spacing w:line="240" w:lineRule="auto"/>
                    <w:ind w:firstLine="0" w:firstLineChars="0"/>
                    <w:jc w:val="center"/>
                    <w:rPr>
                      <w:rFonts w:hint="default" w:ascii="Times New Roman" w:hAnsi="Times New Roman" w:cs="Times New Roman"/>
                      <w:sz w:val="21"/>
                      <w:szCs w:val="16"/>
                    </w:rPr>
                  </w:pPr>
                  <w:r>
                    <w:rPr>
                      <w:rFonts w:hint="default" w:ascii="Times New Roman" w:hAnsi="Times New Roman" w:cs="Times New Roman"/>
                      <w:sz w:val="21"/>
                      <w:szCs w:val="16"/>
                    </w:rPr>
                    <w:t>主要危险物质</w:t>
                  </w:r>
                </w:p>
              </w:tc>
              <w:tc>
                <w:tcPr>
                  <w:tcW w:w="1351" w:type="dxa"/>
                  <w:gridSpan w:val="2"/>
                  <w:vAlign w:val="center"/>
                </w:tcPr>
                <w:p w14:paraId="732CADB5">
                  <w:pPr>
                    <w:pStyle w:val="54"/>
                    <w:widowControl w:val="0"/>
                    <w:spacing w:line="240" w:lineRule="auto"/>
                    <w:ind w:firstLine="0" w:firstLineChars="0"/>
                    <w:jc w:val="center"/>
                    <w:rPr>
                      <w:rFonts w:hint="default" w:ascii="Times New Roman" w:hAnsi="Times New Roman" w:cs="Times New Roman"/>
                      <w:sz w:val="21"/>
                      <w:szCs w:val="16"/>
                    </w:rPr>
                  </w:pPr>
                  <w:r>
                    <w:rPr>
                      <w:rFonts w:hint="default" w:ascii="Times New Roman" w:hAnsi="Times New Roman" w:cs="Times New Roman"/>
                      <w:sz w:val="21"/>
                      <w:szCs w:val="16"/>
                    </w:rPr>
                    <w:t>环境风险</w:t>
                  </w:r>
                </w:p>
                <w:p w14:paraId="232541FF">
                  <w:pPr>
                    <w:pStyle w:val="54"/>
                    <w:widowControl w:val="0"/>
                    <w:spacing w:line="240" w:lineRule="auto"/>
                    <w:ind w:firstLine="0" w:firstLineChars="0"/>
                    <w:jc w:val="center"/>
                    <w:rPr>
                      <w:rFonts w:hint="default" w:ascii="Times New Roman" w:hAnsi="Times New Roman" w:cs="Times New Roman"/>
                      <w:sz w:val="21"/>
                      <w:szCs w:val="16"/>
                    </w:rPr>
                  </w:pPr>
                  <w:r>
                    <w:rPr>
                      <w:rFonts w:hint="default" w:ascii="Times New Roman" w:hAnsi="Times New Roman" w:cs="Times New Roman"/>
                      <w:sz w:val="21"/>
                      <w:szCs w:val="16"/>
                    </w:rPr>
                    <w:t>类型</w:t>
                  </w:r>
                </w:p>
              </w:tc>
              <w:tc>
                <w:tcPr>
                  <w:tcW w:w="1079" w:type="dxa"/>
                  <w:gridSpan w:val="2"/>
                  <w:vAlign w:val="center"/>
                </w:tcPr>
                <w:p w14:paraId="54D9E022">
                  <w:pPr>
                    <w:pStyle w:val="54"/>
                    <w:widowControl w:val="0"/>
                    <w:spacing w:line="240" w:lineRule="auto"/>
                    <w:ind w:firstLine="0" w:firstLineChars="0"/>
                    <w:jc w:val="center"/>
                    <w:rPr>
                      <w:rFonts w:hint="default" w:ascii="Times New Roman" w:hAnsi="Times New Roman" w:cs="Times New Roman"/>
                      <w:sz w:val="21"/>
                      <w:szCs w:val="16"/>
                    </w:rPr>
                  </w:pPr>
                  <w:r>
                    <w:rPr>
                      <w:rFonts w:hint="default" w:ascii="Times New Roman" w:hAnsi="Times New Roman" w:cs="Times New Roman"/>
                      <w:sz w:val="21"/>
                      <w:szCs w:val="16"/>
                    </w:rPr>
                    <w:t>影响途径</w:t>
                  </w:r>
                </w:p>
              </w:tc>
              <w:tc>
                <w:tcPr>
                  <w:tcW w:w="1413" w:type="dxa"/>
                  <w:vAlign w:val="center"/>
                </w:tcPr>
                <w:p w14:paraId="2FAEC4E9">
                  <w:pPr>
                    <w:pStyle w:val="54"/>
                    <w:widowControl w:val="0"/>
                    <w:spacing w:line="240" w:lineRule="auto"/>
                    <w:ind w:firstLine="0" w:firstLineChars="0"/>
                    <w:jc w:val="center"/>
                    <w:rPr>
                      <w:rFonts w:hint="default" w:ascii="Times New Roman" w:hAnsi="Times New Roman" w:cs="Times New Roman"/>
                      <w:sz w:val="21"/>
                      <w:szCs w:val="16"/>
                    </w:rPr>
                  </w:pPr>
                  <w:r>
                    <w:rPr>
                      <w:rFonts w:hint="default" w:ascii="Times New Roman" w:hAnsi="Times New Roman" w:cs="Times New Roman"/>
                      <w:sz w:val="21"/>
                      <w:szCs w:val="16"/>
                    </w:rPr>
                    <w:t>危害后果</w:t>
                  </w:r>
                </w:p>
              </w:tc>
            </w:tr>
            <w:tr w14:paraId="2DE6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595" w:type="dxa"/>
                  <w:vMerge w:val="continue"/>
                  <w:vAlign w:val="center"/>
                </w:tcPr>
                <w:p w14:paraId="08E85266">
                  <w:pPr>
                    <w:pStyle w:val="54"/>
                    <w:widowControl w:val="0"/>
                    <w:spacing w:line="240" w:lineRule="auto"/>
                    <w:ind w:firstLine="480"/>
                    <w:rPr>
                      <w:rFonts w:hint="default" w:ascii="Times New Roman" w:hAnsi="Times New Roman" w:cs="Times New Roman"/>
                    </w:rPr>
                  </w:pPr>
                </w:p>
              </w:tc>
              <w:tc>
                <w:tcPr>
                  <w:tcW w:w="1326" w:type="dxa"/>
                  <w:vAlign w:val="center"/>
                </w:tcPr>
                <w:p w14:paraId="2A135974">
                  <w:pPr>
                    <w:pStyle w:val="54"/>
                    <w:widowControl w:val="0"/>
                    <w:spacing w:line="240" w:lineRule="auto"/>
                    <w:ind w:firstLine="0" w:firstLineChars="0"/>
                    <w:jc w:val="center"/>
                    <w:rPr>
                      <w:rFonts w:hint="default" w:ascii="Times New Roman" w:hAnsi="Times New Roman" w:cs="Times New Roman"/>
                      <w:sz w:val="21"/>
                      <w:szCs w:val="16"/>
                    </w:rPr>
                  </w:pPr>
                  <w:r>
                    <w:rPr>
                      <w:rFonts w:hint="default" w:ascii="Times New Roman" w:hAnsi="Times New Roman" w:cs="Times New Roman"/>
                      <w:sz w:val="21"/>
                      <w:szCs w:val="16"/>
                    </w:rPr>
                    <w:t>拆解车间</w:t>
                  </w:r>
                </w:p>
              </w:tc>
              <w:tc>
                <w:tcPr>
                  <w:tcW w:w="1195" w:type="dxa"/>
                  <w:gridSpan w:val="2"/>
                  <w:vAlign w:val="center"/>
                </w:tcPr>
                <w:p w14:paraId="74A3EB71">
                  <w:pPr>
                    <w:pStyle w:val="54"/>
                    <w:widowControl w:val="0"/>
                    <w:spacing w:line="240" w:lineRule="auto"/>
                    <w:ind w:firstLine="0" w:firstLineChars="0"/>
                    <w:jc w:val="center"/>
                    <w:rPr>
                      <w:rFonts w:hint="default" w:ascii="Times New Roman" w:hAnsi="Times New Roman" w:cs="Times New Roman"/>
                      <w:sz w:val="21"/>
                      <w:szCs w:val="16"/>
                    </w:rPr>
                  </w:pPr>
                  <w:r>
                    <w:rPr>
                      <w:rFonts w:hint="default" w:ascii="Times New Roman" w:hAnsi="Times New Roman" w:cs="Times New Roman"/>
                      <w:sz w:val="21"/>
                      <w:szCs w:val="16"/>
                    </w:rPr>
                    <w:t>乙炔、废油</w:t>
                  </w:r>
                </w:p>
              </w:tc>
              <w:tc>
                <w:tcPr>
                  <w:tcW w:w="1351" w:type="dxa"/>
                  <w:gridSpan w:val="2"/>
                  <w:vAlign w:val="center"/>
                </w:tcPr>
                <w:p w14:paraId="52168608">
                  <w:pPr>
                    <w:pStyle w:val="54"/>
                    <w:widowControl w:val="0"/>
                    <w:spacing w:line="240" w:lineRule="auto"/>
                    <w:ind w:firstLine="0" w:firstLineChars="0"/>
                    <w:jc w:val="center"/>
                    <w:rPr>
                      <w:rFonts w:hint="default" w:ascii="Times New Roman" w:hAnsi="Times New Roman" w:cs="Times New Roman"/>
                      <w:sz w:val="21"/>
                      <w:szCs w:val="16"/>
                    </w:rPr>
                  </w:pPr>
                  <w:r>
                    <w:rPr>
                      <w:rFonts w:hint="default" w:ascii="Times New Roman" w:hAnsi="Times New Roman" w:cs="Times New Roman"/>
                      <w:sz w:val="21"/>
                      <w:szCs w:val="16"/>
                    </w:rPr>
                    <w:t>泄漏、火灾、爆炸</w:t>
                  </w:r>
                </w:p>
              </w:tc>
              <w:tc>
                <w:tcPr>
                  <w:tcW w:w="1079" w:type="dxa"/>
                  <w:gridSpan w:val="2"/>
                  <w:vAlign w:val="center"/>
                </w:tcPr>
                <w:p w14:paraId="2C371582">
                  <w:pPr>
                    <w:pStyle w:val="54"/>
                    <w:widowControl w:val="0"/>
                    <w:spacing w:line="240" w:lineRule="auto"/>
                    <w:ind w:firstLine="0" w:firstLineChars="0"/>
                    <w:jc w:val="center"/>
                    <w:rPr>
                      <w:rFonts w:hint="default" w:ascii="Times New Roman" w:hAnsi="Times New Roman" w:eastAsia="宋体" w:cs="Times New Roman"/>
                      <w:sz w:val="21"/>
                      <w:szCs w:val="16"/>
                      <w:lang w:val="en-US" w:eastAsia="zh-CN"/>
                    </w:rPr>
                  </w:pPr>
                  <w:r>
                    <w:rPr>
                      <w:rFonts w:hint="eastAsia" w:ascii="Times New Roman" w:hAnsi="Times New Roman" w:cs="Times New Roman"/>
                      <w:sz w:val="21"/>
                      <w:szCs w:val="16"/>
                      <w:lang w:val="en-US" w:eastAsia="zh-CN"/>
                    </w:rPr>
                    <w:t>土壤下渗</w:t>
                  </w:r>
                </w:p>
              </w:tc>
              <w:tc>
                <w:tcPr>
                  <w:tcW w:w="1413" w:type="dxa"/>
                  <w:vMerge w:val="restart"/>
                  <w:vAlign w:val="center"/>
                </w:tcPr>
                <w:p w14:paraId="20E1A40D">
                  <w:pPr>
                    <w:pStyle w:val="54"/>
                    <w:widowControl w:val="0"/>
                    <w:spacing w:line="240" w:lineRule="auto"/>
                    <w:ind w:firstLine="0" w:firstLineChars="0"/>
                    <w:jc w:val="center"/>
                    <w:rPr>
                      <w:rFonts w:hint="default" w:ascii="Times New Roman" w:hAnsi="Times New Roman" w:cs="Times New Roman"/>
                      <w:sz w:val="21"/>
                      <w:szCs w:val="16"/>
                    </w:rPr>
                  </w:pPr>
                  <w:r>
                    <w:rPr>
                      <w:rFonts w:hint="eastAsia" w:ascii="Times New Roman" w:hAnsi="Times New Roman" w:cs="Times New Roman"/>
                      <w:sz w:val="21"/>
                      <w:szCs w:val="16"/>
                      <w:lang w:val="en-US" w:eastAsia="zh-CN"/>
                    </w:rPr>
                    <w:t>土壤、地下水、大气环境</w:t>
                  </w:r>
                  <w:r>
                    <w:rPr>
                      <w:rFonts w:hint="default" w:ascii="Times New Roman" w:hAnsi="Times New Roman" w:cs="Times New Roman"/>
                      <w:sz w:val="21"/>
                      <w:szCs w:val="16"/>
                    </w:rPr>
                    <w:t>污染</w:t>
                  </w:r>
                </w:p>
              </w:tc>
            </w:tr>
            <w:tr w14:paraId="4953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595" w:type="dxa"/>
                  <w:vMerge w:val="continue"/>
                  <w:vAlign w:val="center"/>
                </w:tcPr>
                <w:p w14:paraId="6253C337">
                  <w:pPr>
                    <w:pStyle w:val="54"/>
                    <w:widowControl w:val="0"/>
                    <w:spacing w:line="240" w:lineRule="auto"/>
                    <w:ind w:firstLine="480"/>
                    <w:rPr>
                      <w:rFonts w:hint="default" w:ascii="Times New Roman" w:hAnsi="Times New Roman" w:cs="Times New Roman"/>
                    </w:rPr>
                  </w:pPr>
                </w:p>
              </w:tc>
              <w:tc>
                <w:tcPr>
                  <w:tcW w:w="1326" w:type="dxa"/>
                  <w:vAlign w:val="center"/>
                </w:tcPr>
                <w:p w14:paraId="287F400A">
                  <w:pPr>
                    <w:pStyle w:val="54"/>
                    <w:widowControl w:val="0"/>
                    <w:spacing w:line="240" w:lineRule="auto"/>
                    <w:ind w:firstLine="0" w:firstLineChars="0"/>
                    <w:jc w:val="center"/>
                    <w:rPr>
                      <w:rFonts w:hint="default" w:ascii="Times New Roman" w:hAnsi="Times New Roman" w:cs="Times New Roman"/>
                      <w:sz w:val="21"/>
                      <w:szCs w:val="16"/>
                    </w:rPr>
                  </w:pPr>
                  <w:r>
                    <w:rPr>
                      <w:rFonts w:hint="default" w:ascii="Times New Roman" w:hAnsi="Times New Roman" w:cs="Times New Roman"/>
                      <w:sz w:val="21"/>
                      <w:szCs w:val="16"/>
                    </w:rPr>
                    <w:t>危废暂存库</w:t>
                  </w:r>
                </w:p>
              </w:tc>
              <w:tc>
                <w:tcPr>
                  <w:tcW w:w="1195" w:type="dxa"/>
                  <w:gridSpan w:val="2"/>
                  <w:vAlign w:val="center"/>
                </w:tcPr>
                <w:p w14:paraId="3321DB11">
                  <w:pPr>
                    <w:pStyle w:val="54"/>
                    <w:widowControl w:val="0"/>
                    <w:spacing w:line="240" w:lineRule="auto"/>
                    <w:ind w:firstLine="0" w:firstLineChars="0"/>
                    <w:jc w:val="center"/>
                    <w:rPr>
                      <w:rFonts w:hint="default" w:ascii="Times New Roman" w:hAnsi="Times New Roman" w:eastAsia="宋体" w:cs="Times New Roman"/>
                      <w:sz w:val="21"/>
                      <w:szCs w:val="16"/>
                      <w:lang w:val="en-US" w:eastAsia="zh-CN"/>
                    </w:rPr>
                  </w:pPr>
                  <w:r>
                    <w:rPr>
                      <w:rFonts w:hint="eastAsia" w:cs="Times New Roman"/>
                      <w:sz w:val="21"/>
                      <w:szCs w:val="16"/>
                      <w:lang w:val="en-US" w:eastAsia="zh-CN"/>
                    </w:rPr>
                    <w:t>废油、危险废物</w:t>
                  </w:r>
                </w:p>
              </w:tc>
              <w:tc>
                <w:tcPr>
                  <w:tcW w:w="1351" w:type="dxa"/>
                  <w:gridSpan w:val="2"/>
                  <w:vAlign w:val="center"/>
                </w:tcPr>
                <w:p w14:paraId="44279F3B">
                  <w:pPr>
                    <w:pStyle w:val="54"/>
                    <w:widowControl w:val="0"/>
                    <w:spacing w:line="240" w:lineRule="auto"/>
                    <w:ind w:firstLine="0" w:firstLineChars="0"/>
                    <w:jc w:val="center"/>
                    <w:rPr>
                      <w:rFonts w:hint="default" w:ascii="Times New Roman" w:hAnsi="Times New Roman" w:cs="Times New Roman"/>
                      <w:sz w:val="21"/>
                      <w:szCs w:val="16"/>
                    </w:rPr>
                  </w:pPr>
                  <w:r>
                    <w:rPr>
                      <w:rFonts w:hint="default" w:ascii="Times New Roman" w:hAnsi="Times New Roman" w:cs="Times New Roman"/>
                      <w:sz w:val="21"/>
                      <w:szCs w:val="16"/>
                    </w:rPr>
                    <w:t>泄漏、火灾、爆炸</w:t>
                  </w:r>
                </w:p>
              </w:tc>
              <w:tc>
                <w:tcPr>
                  <w:tcW w:w="1079" w:type="dxa"/>
                  <w:gridSpan w:val="2"/>
                  <w:vAlign w:val="center"/>
                </w:tcPr>
                <w:p w14:paraId="7F6AD2B8">
                  <w:pPr>
                    <w:pStyle w:val="54"/>
                    <w:widowControl w:val="0"/>
                    <w:spacing w:line="240" w:lineRule="auto"/>
                    <w:ind w:firstLine="0" w:firstLineChars="0"/>
                    <w:jc w:val="center"/>
                    <w:rPr>
                      <w:rFonts w:hint="eastAsia" w:ascii="Times New Roman" w:hAnsi="Times New Roman" w:eastAsia="宋体" w:cs="Times New Roman"/>
                      <w:sz w:val="21"/>
                      <w:szCs w:val="16"/>
                      <w:lang w:val="en-US" w:eastAsia="zh-CN"/>
                    </w:rPr>
                  </w:pPr>
                  <w:r>
                    <w:rPr>
                      <w:rFonts w:hint="eastAsia" w:ascii="Times New Roman" w:hAnsi="Times New Roman" w:cs="Times New Roman"/>
                      <w:sz w:val="21"/>
                      <w:szCs w:val="16"/>
                      <w:lang w:val="en-US" w:eastAsia="zh-CN"/>
                    </w:rPr>
                    <w:t>土壤下渗</w:t>
                  </w:r>
                </w:p>
              </w:tc>
              <w:tc>
                <w:tcPr>
                  <w:tcW w:w="1413" w:type="dxa"/>
                  <w:vMerge w:val="continue"/>
                  <w:vAlign w:val="center"/>
                </w:tcPr>
                <w:p w14:paraId="2A5463ED">
                  <w:pPr>
                    <w:pStyle w:val="54"/>
                    <w:widowControl w:val="0"/>
                    <w:spacing w:line="240" w:lineRule="auto"/>
                    <w:ind w:firstLine="0" w:firstLineChars="0"/>
                    <w:rPr>
                      <w:rFonts w:hint="default" w:ascii="Times New Roman" w:hAnsi="Times New Roman" w:cs="Times New Roman"/>
                      <w:sz w:val="21"/>
                      <w:szCs w:val="16"/>
                    </w:rPr>
                  </w:pPr>
                </w:p>
              </w:tc>
            </w:tr>
            <w:tr w14:paraId="60A3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trPr>
              <w:tc>
                <w:tcPr>
                  <w:tcW w:w="1595" w:type="dxa"/>
                  <w:vAlign w:val="center"/>
                </w:tcPr>
                <w:p w14:paraId="1682034F">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风险防范措施要求</w:t>
                  </w:r>
                </w:p>
              </w:tc>
              <w:tc>
                <w:tcPr>
                  <w:tcW w:w="6364" w:type="dxa"/>
                  <w:gridSpan w:val="8"/>
                  <w:vAlign w:val="center"/>
                </w:tcPr>
                <w:p w14:paraId="17AF9A77">
                  <w:pPr>
                    <w:widowControl/>
                    <w:spacing w:line="240" w:lineRule="auto"/>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val="en-US" w:eastAsia="zh-CN" w:bidi="ar"/>
                    </w:rPr>
                    <w:t>①乙炔、汽油必须与爆炸物品、氧化剂、易燃物品、自燃物品、腐蚀性物品隔离贮存，满瓶与空瓶应分开整齐放置，并有明显标记，应保持直立放置，且应有防止倾倒的措施，不准放在橡胶等绝缘体上，以防静电引起事故。</w:t>
                  </w:r>
                </w:p>
                <w:p w14:paraId="507C222A">
                  <w:pPr>
                    <w:widowControl/>
                    <w:spacing w:line="240" w:lineRule="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②</w:t>
                  </w:r>
                  <w:r>
                    <w:rPr>
                      <w:rFonts w:hint="default" w:ascii="Times New Roman" w:hAnsi="Times New Roman" w:eastAsia="宋体" w:cs="Times New Roman"/>
                      <w:color w:val="000000"/>
                      <w:kern w:val="0"/>
                      <w:sz w:val="21"/>
                      <w:szCs w:val="21"/>
                      <w:lang w:val="en-US" w:eastAsia="zh-CN" w:bidi="ar"/>
                    </w:rPr>
                    <w:t xml:space="preserve">定期对设备、存储仓库进行安全检测，检测内容、时间、人员应有记录保存。安全检测应根据安全性、危险性设定检测频次。 </w:t>
                  </w:r>
                </w:p>
                <w:p w14:paraId="2615350D">
                  <w:pPr>
                    <w:widowControl/>
                    <w:spacing w:line="240" w:lineRule="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③</w:t>
                  </w:r>
                  <w:r>
                    <w:rPr>
                      <w:rFonts w:hint="default" w:ascii="Times New Roman" w:hAnsi="Times New Roman" w:eastAsia="宋体" w:cs="Times New Roman"/>
                      <w:color w:val="000000"/>
                      <w:kern w:val="0"/>
                      <w:sz w:val="21"/>
                      <w:szCs w:val="21"/>
                      <w:lang w:val="en-US" w:eastAsia="zh-CN" w:bidi="ar"/>
                    </w:rPr>
                    <w:t>火源的管理严禁火源进入储料区，对明火严格控制，明火发生源为火柴、打火机等，维修用火控制，对设备维修检查，需进行维修焊接，应经确认、准许，并有记录在案。机动车在厂内行驶，须安装阻火器，必要设备安装防火、防爆装置。</w:t>
                  </w:r>
                </w:p>
                <w:p w14:paraId="51D51BF1">
                  <w:pPr>
                    <w:widowControl/>
                    <w:spacing w:line="240" w:lineRule="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④</w:t>
                  </w:r>
                  <w:r>
                    <w:rPr>
                      <w:rFonts w:hint="default" w:ascii="Times New Roman" w:hAnsi="Times New Roman" w:eastAsia="宋体" w:cs="Times New Roman"/>
                      <w:color w:val="000000"/>
                      <w:kern w:val="0"/>
                      <w:sz w:val="21"/>
                      <w:szCs w:val="21"/>
                      <w:lang w:val="en-US" w:eastAsia="zh-CN" w:bidi="ar"/>
                    </w:rPr>
                    <w:t xml:space="preserve">危废暂存间应按照《危险废物贮存污染控制标准》的相关规定进行设置，各类危险废物应分类分开存放，并设置围堰。 </w:t>
                  </w:r>
                </w:p>
                <w:p w14:paraId="1BA29FBC">
                  <w:pPr>
                    <w:widowControl/>
                    <w:spacing w:line="240" w:lineRule="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⑤</w:t>
                  </w:r>
                  <w:r>
                    <w:rPr>
                      <w:rFonts w:hint="default" w:ascii="Times New Roman" w:hAnsi="Times New Roman" w:eastAsia="宋体" w:cs="Times New Roman"/>
                      <w:color w:val="000000"/>
                      <w:kern w:val="0"/>
                      <w:sz w:val="21"/>
                      <w:szCs w:val="21"/>
                      <w:lang w:val="en-US" w:eastAsia="zh-CN" w:bidi="ar"/>
                    </w:rPr>
                    <w:t>危废贮存场地面应做耐腐蚀、防渗漏处理，防渗层为2mm厚人工材料</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防渗系数&lt;10</w:t>
                  </w:r>
                  <w:r>
                    <w:rPr>
                      <w:rFonts w:hint="default" w:ascii="Times New Roman" w:hAnsi="Times New Roman" w:eastAsia="宋体" w:cs="Times New Roman"/>
                      <w:color w:val="000000"/>
                      <w:kern w:val="0"/>
                      <w:sz w:val="21"/>
                      <w:szCs w:val="21"/>
                      <w:vertAlign w:val="superscript"/>
                      <w:lang w:val="en-US" w:eastAsia="zh-CN" w:bidi="ar"/>
                    </w:rPr>
                    <w:t>-10</w:t>
                  </w:r>
                  <w:r>
                    <w:rPr>
                      <w:rFonts w:hint="default" w:ascii="Times New Roman" w:hAnsi="Times New Roman" w:eastAsia="宋体" w:cs="Times New Roman"/>
                      <w:color w:val="000000"/>
                      <w:kern w:val="0"/>
                      <w:sz w:val="21"/>
                      <w:szCs w:val="21"/>
                      <w:lang w:val="en-US" w:eastAsia="zh-CN" w:bidi="ar"/>
                    </w:rPr>
                    <w:t xml:space="preserve">cm/s），保证地面无裂痕。 </w:t>
                  </w:r>
                </w:p>
                <w:p w14:paraId="232719C7">
                  <w:pPr>
                    <w:widowControl/>
                    <w:spacing w:line="240" w:lineRule="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⑥</w:t>
                  </w:r>
                  <w:r>
                    <w:rPr>
                      <w:rFonts w:hint="default" w:ascii="Times New Roman" w:hAnsi="Times New Roman" w:eastAsia="宋体" w:cs="Times New Roman"/>
                      <w:color w:val="000000"/>
                      <w:kern w:val="0"/>
                      <w:sz w:val="21"/>
                      <w:szCs w:val="21"/>
                      <w:lang w:val="en-US" w:eastAsia="zh-CN" w:bidi="ar"/>
                    </w:rPr>
                    <w:t>危废库废油液设隔间单独收集。危险废物的盛装容器密封，耐腐蚀，不渗漏，并进行定期检查。</w:t>
                  </w:r>
                </w:p>
                <w:p w14:paraId="51173DE2">
                  <w:pPr>
                    <w:widowControl/>
                    <w:spacing w:line="240" w:lineRule="auto"/>
                    <w:rPr>
                      <w:rFonts w:hint="default" w:ascii="Times New Roman" w:hAnsi="Times New Roman" w:cs="Times New Roman"/>
                      <w:bCs/>
                      <w:szCs w:val="21"/>
                    </w:rPr>
                  </w:pPr>
                  <w:r>
                    <w:rPr>
                      <w:rFonts w:hint="eastAsia" w:ascii="Times New Roman" w:hAnsi="Times New Roman" w:eastAsia="宋体" w:cs="Times New Roman"/>
                      <w:color w:val="000000"/>
                      <w:kern w:val="0"/>
                      <w:sz w:val="21"/>
                      <w:szCs w:val="21"/>
                      <w:lang w:val="en-US" w:eastAsia="zh-CN" w:bidi="ar"/>
                    </w:rPr>
                    <w:t>⑦</w:t>
                  </w:r>
                  <w:r>
                    <w:rPr>
                      <w:rFonts w:hint="default" w:ascii="Times New Roman" w:hAnsi="Times New Roman" w:eastAsia="宋体" w:cs="Times New Roman"/>
                      <w:color w:val="000000"/>
                      <w:kern w:val="0"/>
                      <w:sz w:val="21"/>
                      <w:szCs w:val="21"/>
                      <w:lang w:val="en-US" w:eastAsia="zh-CN" w:bidi="ar"/>
                    </w:rPr>
                    <w:t xml:space="preserve">危废暂存间应设置导流沟、集液槽，防止废油、废液等泄漏流出厂界。  </w:t>
                  </w:r>
                </w:p>
              </w:tc>
            </w:tr>
            <w:tr w14:paraId="0AB6B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595" w:type="dxa"/>
                  <w:vAlign w:val="center"/>
                </w:tcPr>
                <w:p w14:paraId="0AA6E894">
                  <w:pPr>
                    <w:pStyle w:val="54"/>
                    <w:widowControl w:val="0"/>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填表说明（列出项目有关信息及评价说明）</w:t>
                  </w:r>
                </w:p>
              </w:tc>
              <w:tc>
                <w:tcPr>
                  <w:tcW w:w="6364" w:type="dxa"/>
                  <w:gridSpan w:val="8"/>
                  <w:vAlign w:val="center"/>
                </w:tcPr>
                <w:p w14:paraId="54F56A6D">
                  <w:pPr>
                    <w:widowControl/>
                    <w:jc w:val="center"/>
                    <w:rPr>
                      <w:rFonts w:hint="default" w:ascii="Times New Roman" w:hAnsi="Times New Roman" w:cs="Times New Roman"/>
                      <w:kern w:val="0"/>
                      <w:sz w:val="20"/>
                      <w:szCs w:val="20"/>
                      <w:lang w:bidi="ar"/>
                    </w:rPr>
                  </w:pPr>
                  <w:r>
                    <w:rPr>
                      <w:rFonts w:hint="default" w:ascii="Times New Roman" w:hAnsi="Times New Roman" w:cs="Times New Roman"/>
                      <w:bCs/>
                      <w:kern w:val="0"/>
                      <w:szCs w:val="21"/>
                    </w:rPr>
                    <w:t>通过上述分析，企业在确保环境风险防范措施和应急预案落实的条件下，项目选址和建设从环境风险的角度是可以接受的，本项目的环境风险可防控。</w:t>
                  </w:r>
                </w:p>
              </w:tc>
            </w:tr>
          </w:tbl>
          <w:p w14:paraId="0288AE45">
            <w:pPr>
              <w:pStyle w:val="20"/>
              <w:spacing w:before="120" w:beforeLines="50" w:beforeAutospacing="0" w:after="0" w:afterAutospacing="0" w:line="360" w:lineRule="auto"/>
              <w:jc w:val="both"/>
              <w:outlineLvl w:val="0"/>
              <w:rPr>
                <w:rFonts w:hint="eastAsia" w:ascii="Times New Roman" w:hAnsi="Times New Roman"/>
                <w:b/>
                <w:color w:val="000000"/>
                <w:lang w:val="en-US" w:eastAsia="zh-CN"/>
              </w:rPr>
            </w:pPr>
          </w:p>
          <w:p w14:paraId="7D1D17D9">
            <w:pPr>
              <w:pStyle w:val="20"/>
              <w:spacing w:before="120" w:beforeLines="50" w:beforeAutospacing="0" w:after="0" w:afterAutospacing="0" w:line="360" w:lineRule="auto"/>
              <w:jc w:val="both"/>
              <w:outlineLvl w:val="0"/>
              <w:rPr>
                <w:rFonts w:hint="eastAsia" w:ascii="Times New Roman" w:hAnsi="Times New Roman"/>
                <w:b/>
                <w:color w:val="000000"/>
                <w:lang w:val="en-US" w:eastAsia="zh-CN"/>
              </w:rPr>
            </w:pPr>
          </w:p>
          <w:p w14:paraId="31AFE4C0">
            <w:pPr>
              <w:pStyle w:val="20"/>
              <w:spacing w:before="120" w:beforeLines="50" w:beforeAutospacing="0" w:after="0" w:afterAutospacing="0" w:line="360" w:lineRule="auto"/>
              <w:jc w:val="both"/>
              <w:outlineLvl w:val="0"/>
              <w:rPr>
                <w:rFonts w:hint="eastAsia" w:ascii="Times New Roman" w:hAnsi="Times New Roman"/>
                <w:b/>
                <w:color w:val="000000"/>
                <w:lang w:val="en-US" w:eastAsia="zh-CN"/>
              </w:rPr>
            </w:pPr>
          </w:p>
          <w:p w14:paraId="7273D15A">
            <w:pPr>
              <w:pStyle w:val="20"/>
              <w:spacing w:before="120" w:beforeLines="50" w:beforeAutospacing="0" w:after="0" w:afterAutospacing="0" w:line="360" w:lineRule="auto"/>
              <w:jc w:val="both"/>
              <w:outlineLvl w:val="0"/>
              <w:rPr>
                <w:rFonts w:hint="eastAsia" w:ascii="Times New Roman" w:hAnsi="Times New Roman"/>
                <w:b/>
                <w:color w:val="000000"/>
                <w:lang w:val="en-US" w:eastAsia="zh-CN"/>
              </w:rPr>
            </w:pPr>
          </w:p>
          <w:p w14:paraId="7406967A">
            <w:pPr>
              <w:pStyle w:val="20"/>
              <w:spacing w:before="120" w:beforeLines="50" w:beforeAutospacing="0" w:after="0" w:afterAutospacing="0" w:line="360" w:lineRule="auto"/>
              <w:jc w:val="both"/>
              <w:outlineLvl w:val="0"/>
              <w:rPr>
                <w:rFonts w:hint="eastAsia" w:ascii="Times New Roman" w:hAnsi="Times New Roman"/>
                <w:b/>
                <w:color w:val="000000"/>
                <w:lang w:val="en-US" w:eastAsia="zh-CN"/>
              </w:rPr>
            </w:pPr>
          </w:p>
          <w:p w14:paraId="1DCE4678">
            <w:pPr>
              <w:pStyle w:val="20"/>
              <w:spacing w:before="120" w:beforeLines="50" w:beforeAutospacing="0" w:after="0" w:afterAutospacing="0" w:line="360" w:lineRule="auto"/>
              <w:jc w:val="both"/>
              <w:outlineLvl w:val="0"/>
              <w:rPr>
                <w:rFonts w:hint="eastAsia" w:ascii="Times New Roman" w:hAnsi="Times New Roman"/>
                <w:b/>
                <w:color w:val="000000"/>
                <w:lang w:val="en-US" w:eastAsia="zh-CN"/>
              </w:rPr>
            </w:pPr>
          </w:p>
          <w:p w14:paraId="6B979DE7">
            <w:pPr>
              <w:pStyle w:val="20"/>
              <w:spacing w:before="120" w:beforeLines="50" w:beforeAutospacing="0" w:after="0" w:afterAutospacing="0" w:line="360" w:lineRule="auto"/>
              <w:jc w:val="both"/>
              <w:outlineLvl w:val="0"/>
              <w:rPr>
                <w:rFonts w:hint="eastAsia" w:ascii="Times New Roman" w:hAnsi="Times New Roman"/>
                <w:b/>
                <w:color w:val="000000"/>
                <w:lang w:val="en-US" w:eastAsia="zh-CN"/>
              </w:rPr>
            </w:pPr>
          </w:p>
          <w:p w14:paraId="3E80E43C">
            <w:pPr>
              <w:pStyle w:val="20"/>
              <w:spacing w:before="120" w:beforeLines="50" w:beforeAutospacing="0" w:after="0" w:afterAutospacing="0" w:line="360" w:lineRule="auto"/>
              <w:jc w:val="both"/>
              <w:outlineLvl w:val="0"/>
              <w:rPr>
                <w:rFonts w:hint="eastAsia" w:ascii="Times New Roman" w:hAnsi="Times New Roman"/>
                <w:b/>
                <w:color w:val="000000"/>
                <w:lang w:val="en-US" w:eastAsia="zh-CN"/>
              </w:rPr>
            </w:pPr>
          </w:p>
          <w:p w14:paraId="26D3D9EE">
            <w:pPr>
              <w:pStyle w:val="20"/>
              <w:spacing w:before="120" w:beforeLines="50" w:beforeAutospacing="0" w:after="0" w:afterAutospacing="0" w:line="360" w:lineRule="auto"/>
              <w:jc w:val="both"/>
              <w:outlineLvl w:val="0"/>
              <w:rPr>
                <w:rFonts w:hint="eastAsia" w:ascii="Times New Roman" w:hAnsi="Times New Roman"/>
                <w:b/>
                <w:color w:val="000000"/>
                <w:lang w:val="en-US" w:eastAsia="zh-CN"/>
              </w:rPr>
            </w:pPr>
          </w:p>
          <w:p w14:paraId="3E24160E">
            <w:pPr>
              <w:pStyle w:val="20"/>
              <w:spacing w:before="120" w:beforeLines="50" w:beforeAutospacing="0" w:after="0" w:afterAutospacing="0" w:line="360" w:lineRule="auto"/>
              <w:jc w:val="both"/>
              <w:outlineLvl w:val="0"/>
              <w:rPr>
                <w:rFonts w:hint="eastAsia" w:ascii="Times New Roman" w:hAnsi="Times New Roman"/>
                <w:b/>
                <w:color w:val="000000"/>
                <w:lang w:val="en-US" w:eastAsia="zh-CN"/>
              </w:rPr>
            </w:pPr>
          </w:p>
          <w:p w14:paraId="68FEEE77">
            <w:pPr>
              <w:pStyle w:val="20"/>
              <w:spacing w:before="120" w:beforeLines="50" w:beforeAutospacing="0" w:after="0" w:afterAutospacing="0" w:line="360" w:lineRule="auto"/>
              <w:jc w:val="both"/>
              <w:outlineLvl w:val="0"/>
              <w:rPr>
                <w:rFonts w:hint="eastAsia" w:ascii="Times New Roman" w:hAnsi="Times New Roman"/>
                <w:b/>
                <w:color w:val="000000"/>
                <w:lang w:val="en-US" w:eastAsia="zh-CN"/>
              </w:rPr>
            </w:pPr>
          </w:p>
          <w:p w14:paraId="6602A5CA">
            <w:pPr>
              <w:pStyle w:val="20"/>
              <w:spacing w:before="120" w:beforeLines="50" w:beforeAutospacing="0" w:after="0" w:afterAutospacing="0" w:line="360" w:lineRule="auto"/>
              <w:jc w:val="both"/>
              <w:outlineLvl w:val="0"/>
              <w:rPr>
                <w:rFonts w:hint="eastAsia" w:ascii="Times New Roman" w:hAnsi="Times New Roman"/>
                <w:b/>
                <w:color w:val="000000"/>
                <w:lang w:val="en-US" w:eastAsia="zh-CN"/>
              </w:rPr>
            </w:pPr>
          </w:p>
          <w:p w14:paraId="783D6E0E">
            <w:pPr>
              <w:pStyle w:val="20"/>
              <w:spacing w:before="120" w:beforeLines="50" w:beforeAutospacing="0" w:after="0" w:afterAutospacing="0" w:line="360" w:lineRule="auto"/>
              <w:jc w:val="both"/>
              <w:outlineLvl w:val="0"/>
              <w:rPr>
                <w:rFonts w:hint="eastAsia" w:ascii="Times New Roman" w:hAnsi="Times New Roman"/>
                <w:b/>
                <w:color w:val="000000"/>
                <w:lang w:val="en-US" w:eastAsia="zh-CN"/>
              </w:rPr>
            </w:pPr>
          </w:p>
          <w:p w14:paraId="74E3D227">
            <w:pPr>
              <w:pStyle w:val="20"/>
              <w:spacing w:before="120" w:beforeLines="50" w:beforeAutospacing="0" w:after="0" w:afterAutospacing="0" w:line="360" w:lineRule="auto"/>
              <w:jc w:val="both"/>
              <w:outlineLvl w:val="0"/>
              <w:rPr>
                <w:rFonts w:hint="eastAsia" w:ascii="Times New Roman" w:hAnsi="Times New Roman"/>
                <w:b/>
                <w:color w:val="000000"/>
                <w:lang w:val="en-US" w:eastAsia="zh-CN"/>
              </w:rPr>
            </w:pPr>
          </w:p>
          <w:p w14:paraId="5ABDC836">
            <w:pPr>
              <w:pStyle w:val="20"/>
              <w:spacing w:before="120" w:beforeLines="50" w:beforeAutospacing="0" w:after="0" w:afterAutospacing="0" w:line="360" w:lineRule="auto"/>
              <w:jc w:val="both"/>
              <w:outlineLvl w:val="0"/>
              <w:rPr>
                <w:rFonts w:hint="eastAsia" w:ascii="Times New Roman" w:hAnsi="Times New Roman"/>
                <w:b/>
                <w:color w:val="000000"/>
                <w:lang w:val="en-US" w:eastAsia="zh-CN"/>
              </w:rPr>
            </w:pPr>
          </w:p>
          <w:p w14:paraId="6ACE34C5">
            <w:pPr>
              <w:pStyle w:val="20"/>
              <w:spacing w:before="120" w:beforeLines="50" w:beforeAutospacing="0" w:after="0" w:afterAutospacing="0" w:line="360" w:lineRule="auto"/>
              <w:jc w:val="both"/>
              <w:outlineLvl w:val="0"/>
              <w:rPr>
                <w:rFonts w:hint="eastAsia" w:ascii="Times New Roman" w:hAnsi="Times New Roman"/>
                <w:b/>
                <w:color w:val="000000"/>
                <w:lang w:val="en-US" w:eastAsia="zh-CN"/>
              </w:rPr>
            </w:pPr>
          </w:p>
          <w:p w14:paraId="6C0C3D81">
            <w:pPr>
              <w:pStyle w:val="20"/>
              <w:spacing w:before="120" w:beforeLines="50" w:beforeAutospacing="0" w:after="0" w:afterAutospacing="0" w:line="360" w:lineRule="auto"/>
              <w:jc w:val="both"/>
              <w:outlineLvl w:val="0"/>
              <w:rPr>
                <w:rFonts w:hint="eastAsia" w:ascii="Times New Roman" w:hAnsi="Times New Roman"/>
                <w:b/>
                <w:color w:val="000000"/>
                <w:lang w:val="en-US" w:eastAsia="zh-CN"/>
              </w:rPr>
            </w:pPr>
          </w:p>
          <w:p w14:paraId="6DDFFDA7">
            <w:pPr>
              <w:pStyle w:val="20"/>
              <w:spacing w:before="120" w:beforeLines="50" w:beforeAutospacing="0" w:after="0" w:afterAutospacing="0" w:line="360" w:lineRule="auto"/>
              <w:jc w:val="both"/>
              <w:outlineLvl w:val="0"/>
              <w:rPr>
                <w:rFonts w:hint="eastAsia" w:ascii="Times New Roman" w:hAnsi="Times New Roman"/>
                <w:b/>
                <w:color w:val="000000"/>
                <w:lang w:val="en-US" w:eastAsia="zh-CN"/>
              </w:rPr>
            </w:pPr>
            <w:r>
              <w:rPr>
                <w:rFonts w:hint="eastAsia" w:ascii="Times New Roman" w:hAnsi="Times New Roman"/>
                <w:b/>
                <w:color w:val="000000"/>
                <w:lang w:val="en-US" w:eastAsia="zh-CN"/>
              </w:rPr>
              <w:t>4.8环保投资</w:t>
            </w:r>
          </w:p>
          <w:p w14:paraId="4167C4A8">
            <w:pPr>
              <w:pStyle w:val="20"/>
              <w:spacing w:before="0" w:beforeAutospacing="0" w:after="0" w:afterAutospacing="0" w:line="360" w:lineRule="auto"/>
              <w:ind w:firstLine="480" w:firstLineChars="200"/>
              <w:jc w:val="both"/>
              <w:outlineLvl w:val="0"/>
              <w:rPr>
                <w:b/>
                <w:szCs w:val="21"/>
                <w:lang w:val="en-US" w:eastAsia="zh-CN"/>
              </w:rPr>
            </w:pPr>
            <w:r>
              <w:rPr>
                <w:rFonts w:hint="eastAsia" w:ascii="Times New Roman" w:hAnsi="Times New Roman"/>
                <w:bCs/>
                <w:color w:val="000000"/>
                <w:lang w:val="en-US" w:eastAsia="zh-CN"/>
              </w:rPr>
              <w:t>项目总投资5800万元，其中环保投资151万元，占总投资的2.6%。建设项目环保投资估算见下表。</w:t>
            </w:r>
          </w:p>
          <w:p w14:paraId="38280F3D">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jc w:val="center"/>
              <w:textAlignment w:val="auto"/>
              <w:outlineLvl w:val="0"/>
              <w:rPr>
                <w:rFonts w:hint="eastAsia" w:ascii="Times New Roman" w:hAnsi="Times New Roman"/>
                <w:b/>
                <w:bCs w:val="0"/>
                <w:color w:val="000000"/>
                <w:sz w:val="21"/>
                <w:szCs w:val="16"/>
                <w:lang w:val="en-US" w:eastAsia="zh-CN"/>
              </w:rPr>
            </w:pPr>
            <w:r>
              <w:rPr>
                <w:rFonts w:hint="eastAsia" w:ascii="Times New Roman" w:hAnsi="Times New Roman"/>
                <w:b/>
                <w:bCs w:val="0"/>
                <w:color w:val="000000"/>
                <w:sz w:val="21"/>
                <w:szCs w:val="16"/>
                <w:lang w:val="en-US" w:eastAsia="zh-CN"/>
              </w:rPr>
              <w:t>表4-28  环保设施投资一览表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688"/>
              <w:gridCol w:w="1300"/>
              <w:gridCol w:w="4271"/>
              <w:gridCol w:w="1191"/>
            </w:tblGrid>
            <w:tr w14:paraId="31ACE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7" w:type="dxa"/>
                  <w:vAlign w:val="center"/>
                </w:tcPr>
                <w:p w14:paraId="5F7CDD4F">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
                      <w:bCs w:val="0"/>
                      <w:color w:val="000000"/>
                      <w:sz w:val="21"/>
                      <w:szCs w:val="21"/>
                      <w:vertAlign w:val="baseline"/>
                      <w:lang w:val="en-US" w:eastAsia="zh-CN"/>
                    </w:rPr>
                  </w:pPr>
                  <w:r>
                    <w:rPr>
                      <w:rFonts w:hint="eastAsia" w:ascii="Times New Roman" w:hAnsi="Times New Roman"/>
                      <w:b/>
                      <w:bCs w:val="0"/>
                      <w:color w:val="000000"/>
                      <w:sz w:val="21"/>
                      <w:szCs w:val="21"/>
                      <w:vertAlign w:val="baseline"/>
                      <w:lang w:val="en-US" w:eastAsia="zh-CN"/>
                    </w:rPr>
                    <w:t>序号</w:t>
                  </w:r>
                </w:p>
              </w:tc>
              <w:tc>
                <w:tcPr>
                  <w:tcW w:w="688" w:type="dxa"/>
                  <w:vAlign w:val="center"/>
                </w:tcPr>
                <w:p w14:paraId="67851FEF">
                  <w:pPr>
                    <w:spacing w:line="240" w:lineRule="exact"/>
                    <w:jc w:val="center"/>
                    <w:rPr>
                      <w:rFonts w:hint="default" w:ascii="Times New Roman" w:hAnsi="Times New Roman"/>
                      <w:bCs/>
                      <w:color w:val="000000"/>
                      <w:sz w:val="21"/>
                      <w:szCs w:val="21"/>
                      <w:vertAlign w:val="baseline"/>
                      <w:lang w:val="en-US" w:eastAsia="zh-CN"/>
                    </w:rPr>
                  </w:pPr>
                  <w:r>
                    <w:rPr>
                      <w:b/>
                      <w:szCs w:val="21"/>
                    </w:rPr>
                    <w:t>项目</w:t>
                  </w:r>
                </w:p>
              </w:tc>
              <w:tc>
                <w:tcPr>
                  <w:tcW w:w="1300" w:type="dxa"/>
                  <w:vAlign w:val="center"/>
                </w:tcPr>
                <w:p w14:paraId="3B688CC5">
                  <w:pPr>
                    <w:spacing w:line="240" w:lineRule="exact"/>
                    <w:jc w:val="center"/>
                    <w:rPr>
                      <w:b/>
                      <w:szCs w:val="21"/>
                    </w:rPr>
                  </w:pPr>
                  <w:r>
                    <w:rPr>
                      <w:b/>
                      <w:szCs w:val="21"/>
                    </w:rPr>
                    <w:t>污染治理</w:t>
                  </w:r>
                </w:p>
                <w:p w14:paraId="0F79D188">
                  <w:pPr>
                    <w:spacing w:line="240" w:lineRule="exact"/>
                    <w:jc w:val="center"/>
                    <w:rPr>
                      <w:rFonts w:hint="default" w:ascii="Times New Roman" w:hAnsi="Times New Roman"/>
                      <w:bCs/>
                      <w:color w:val="000000"/>
                      <w:sz w:val="21"/>
                      <w:szCs w:val="21"/>
                      <w:vertAlign w:val="baseline"/>
                      <w:lang w:val="en-US" w:eastAsia="zh-CN"/>
                    </w:rPr>
                  </w:pPr>
                  <w:r>
                    <w:rPr>
                      <w:b/>
                      <w:szCs w:val="21"/>
                    </w:rPr>
                    <w:t>对象</w:t>
                  </w:r>
                </w:p>
              </w:tc>
              <w:tc>
                <w:tcPr>
                  <w:tcW w:w="4271" w:type="dxa"/>
                  <w:vAlign w:val="center"/>
                </w:tcPr>
                <w:p w14:paraId="3A083E34">
                  <w:pPr>
                    <w:spacing w:line="240" w:lineRule="exact"/>
                    <w:jc w:val="center"/>
                    <w:rPr>
                      <w:rFonts w:hint="default" w:ascii="Times New Roman" w:hAnsi="Times New Roman"/>
                      <w:bCs/>
                      <w:color w:val="000000"/>
                      <w:sz w:val="21"/>
                      <w:szCs w:val="21"/>
                      <w:vertAlign w:val="baseline"/>
                      <w:lang w:val="en-US" w:eastAsia="zh-CN"/>
                    </w:rPr>
                  </w:pPr>
                  <w:r>
                    <w:rPr>
                      <w:b/>
                      <w:szCs w:val="21"/>
                    </w:rPr>
                    <w:t>治理措施</w:t>
                  </w:r>
                </w:p>
              </w:tc>
              <w:tc>
                <w:tcPr>
                  <w:tcW w:w="1191" w:type="dxa"/>
                  <w:vAlign w:val="center"/>
                </w:tcPr>
                <w:p w14:paraId="02495884">
                  <w:pPr>
                    <w:spacing w:line="240" w:lineRule="exact"/>
                    <w:jc w:val="center"/>
                    <w:rPr>
                      <w:b/>
                      <w:szCs w:val="21"/>
                    </w:rPr>
                  </w:pPr>
                  <w:r>
                    <w:rPr>
                      <w:b/>
                      <w:szCs w:val="21"/>
                    </w:rPr>
                    <w:t>投资估算</w:t>
                  </w:r>
                </w:p>
                <w:p w14:paraId="48CDA6C8">
                  <w:pPr>
                    <w:spacing w:line="240" w:lineRule="exact"/>
                    <w:jc w:val="center"/>
                    <w:rPr>
                      <w:rFonts w:hint="default" w:ascii="Times New Roman" w:hAnsi="Times New Roman"/>
                      <w:bCs/>
                      <w:color w:val="000000"/>
                      <w:sz w:val="21"/>
                      <w:szCs w:val="21"/>
                      <w:vertAlign w:val="baseline"/>
                      <w:lang w:val="en-US" w:eastAsia="zh-CN"/>
                    </w:rPr>
                  </w:pPr>
                  <w:r>
                    <w:rPr>
                      <w:b/>
                      <w:szCs w:val="21"/>
                    </w:rPr>
                    <w:t>（万元）</w:t>
                  </w:r>
                </w:p>
              </w:tc>
            </w:tr>
            <w:tr w14:paraId="50E2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507" w:type="dxa"/>
                  <w:vMerge w:val="restart"/>
                  <w:vAlign w:val="center"/>
                </w:tcPr>
                <w:p w14:paraId="53298C04">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1</w:t>
                  </w:r>
                </w:p>
              </w:tc>
              <w:tc>
                <w:tcPr>
                  <w:tcW w:w="688" w:type="dxa"/>
                  <w:vMerge w:val="restart"/>
                  <w:vAlign w:val="center"/>
                </w:tcPr>
                <w:p w14:paraId="077BB7E6">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废气</w:t>
                  </w:r>
                </w:p>
              </w:tc>
              <w:tc>
                <w:tcPr>
                  <w:tcW w:w="1300" w:type="dxa"/>
                  <w:vAlign w:val="center"/>
                </w:tcPr>
                <w:p w14:paraId="78892FE7">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废油液抽取工段</w:t>
                  </w:r>
                </w:p>
              </w:tc>
              <w:tc>
                <w:tcPr>
                  <w:tcW w:w="4271" w:type="dxa"/>
                  <w:vAlign w:val="center"/>
                </w:tcPr>
                <w:p w14:paraId="1D795582">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废油抽取工段产生的有机废气经集气罩收集后，引至二级活性炭吸附装置净化处理后，通过15m高排气筒（DA001）高空排放</w:t>
                  </w:r>
                </w:p>
              </w:tc>
              <w:tc>
                <w:tcPr>
                  <w:tcW w:w="1191" w:type="dxa"/>
                  <w:vAlign w:val="center"/>
                </w:tcPr>
                <w:p w14:paraId="434EC042">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10</w:t>
                  </w:r>
                </w:p>
              </w:tc>
            </w:tr>
            <w:tr w14:paraId="694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7" w:type="dxa"/>
                  <w:vMerge w:val="continue"/>
                  <w:vAlign w:val="center"/>
                </w:tcPr>
                <w:p w14:paraId="5BF99CC7">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p>
              </w:tc>
              <w:tc>
                <w:tcPr>
                  <w:tcW w:w="688" w:type="dxa"/>
                  <w:vMerge w:val="continue"/>
                  <w:vAlign w:val="center"/>
                </w:tcPr>
                <w:p w14:paraId="200E8607">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Cs/>
                      <w:color w:val="000000"/>
                      <w:sz w:val="21"/>
                      <w:szCs w:val="21"/>
                      <w:vertAlign w:val="baseline"/>
                      <w:lang w:val="en-US" w:eastAsia="zh-CN"/>
                    </w:rPr>
                  </w:pPr>
                </w:p>
              </w:tc>
              <w:tc>
                <w:tcPr>
                  <w:tcW w:w="1300" w:type="dxa"/>
                  <w:vAlign w:val="center"/>
                </w:tcPr>
                <w:p w14:paraId="1FCD81B7">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废油液贮存工段</w:t>
                  </w:r>
                </w:p>
              </w:tc>
              <w:tc>
                <w:tcPr>
                  <w:tcW w:w="4271" w:type="dxa"/>
                  <w:vAlign w:val="center"/>
                </w:tcPr>
                <w:p w14:paraId="3700F47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废油贮存工段产生的有机废气经负压收集后，引至二级活性炭吸附装置净化处理后，通过15m高排气筒（DA002）高空排放</w:t>
                  </w:r>
                </w:p>
              </w:tc>
              <w:tc>
                <w:tcPr>
                  <w:tcW w:w="1191" w:type="dxa"/>
                  <w:vAlign w:val="center"/>
                </w:tcPr>
                <w:p w14:paraId="57D2518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10</w:t>
                  </w:r>
                </w:p>
              </w:tc>
            </w:tr>
            <w:tr w14:paraId="3B55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507" w:type="dxa"/>
                  <w:vMerge w:val="continue"/>
                  <w:vAlign w:val="center"/>
                </w:tcPr>
                <w:p w14:paraId="494E830F">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p>
              </w:tc>
              <w:tc>
                <w:tcPr>
                  <w:tcW w:w="688" w:type="dxa"/>
                  <w:vMerge w:val="continue"/>
                  <w:vAlign w:val="center"/>
                </w:tcPr>
                <w:p w14:paraId="612F6915">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Cs/>
                      <w:color w:val="000000"/>
                      <w:sz w:val="21"/>
                      <w:szCs w:val="21"/>
                      <w:vertAlign w:val="baseline"/>
                      <w:lang w:val="en-US" w:eastAsia="zh-CN"/>
                    </w:rPr>
                  </w:pPr>
                </w:p>
              </w:tc>
              <w:tc>
                <w:tcPr>
                  <w:tcW w:w="1300" w:type="dxa"/>
                  <w:vAlign w:val="center"/>
                </w:tcPr>
                <w:p w14:paraId="7AFF781A">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切割工段</w:t>
                  </w:r>
                </w:p>
              </w:tc>
              <w:tc>
                <w:tcPr>
                  <w:tcW w:w="4271" w:type="dxa"/>
                  <w:vAlign w:val="center"/>
                </w:tcPr>
                <w:p w14:paraId="4C6C7F63">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切割工段产生的烟尘经集气罩收集后，引至布袋除尘器净化处理后，通过15m高排气筒（DA003）高空排放</w:t>
                  </w:r>
                </w:p>
              </w:tc>
              <w:tc>
                <w:tcPr>
                  <w:tcW w:w="1191" w:type="dxa"/>
                  <w:vAlign w:val="center"/>
                </w:tcPr>
                <w:p w14:paraId="2A8CEC8D">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8</w:t>
                  </w:r>
                </w:p>
              </w:tc>
            </w:tr>
            <w:tr w14:paraId="66764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07" w:type="dxa"/>
                  <w:vMerge w:val="restart"/>
                  <w:vAlign w:val="center"/>
                </w:tcPr>
                <w:p w14:paraId="4152C908">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2</w:t>
                  </w:r>
                </w:p>
              </w:tc>
              <w:tc>
                <w:tcPr>
                  <w:tcW w:w="688" w:type="dxa"/>
                  <w:vMerge w:val="restart"/>
                  <w:vAlign w:val="center"/>
                </w:tcPr>
                <w:p w14:paraId="1F1EEE64">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废水</w:t>
                  </w:r>
                </w:p>
              </w:tc>
              <w:tc>
                <w:tcPr>
                  <w:tcW w:w="1300" w:type="dxa"/>
                  <w:vAlign w:val="center"/>
                </w:tcPr>
                <w:p w14:paraId="6D6CDC8C">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地坪保洁废水</w:t>
                  </w:r>
                </w:p>
              </w:tc>
              <w:tc>
                <w:tcPr>
                  <w:tcW w:w="4271" w:type="dxa"/>
                  <w:vMerge w:val="restart"/>
                  <w:vAlign w:val="center"/>
                </w:tcPr>
                <w:p w14:paraId="708A5EBD">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新建雨污分流管网，初期雨水经初期雨水收集池（150m</w:t>
                  </w:r>
                  <w:r>
                    <w:rPr>
                      <w:rFonts w:hint="eastAsia" w:ascii="Times New Roman" w:hAnsi="Times New Roman"/>
                      <w:bCs/>
                      <w:color w:val="000000"/>
                      <w:sz w:val="21"/>
                      <w:szCs w:val="21"/>
                      <w:vertAlign w:val="superscript"/>
                      <w:lang w:val="en-US" w:eastAsia="zh-CN"/>
                    </w:rPr>
                    <w:t>3</w:t>
                  </w:r>
                  <w:r>
                    <w:rPr>
                      <w:rFonts w:hint="eastAsia" w:ascii="Times New Roman" w:hAnsi="Times New Roman"/>
                      <w:bCs/>
                      <w:color w:val="000000"/>
                      <w:sz w:val="21"/>
                      <w:szCs w:val="21"/>
                      <w:vertAlign w:val="baseline"/>
                      <w:lang w:val="en-US" w:eastAsia="zh-CN"/>
                    </w:rPr>
                    <w:t>）收集后，同地坪保洁废水一并经自建污水处理站（20m</w:t>
                  </w:r>
                  <w:r>
                    <w:rPr>
                      <w:rFonts w:hint="eastAsia" w:ascii="Times New Roman" w:hAnsi="Times New Roman"/>
                      <w:bCs/>
                      <w:color w:val="000000"/>
                      <w:sz w:val="21"/>
                      <w:szCs w:val="21"/>
                      <w:vertAlign w:val="superscript"/>
                      <w:lang w:val="en-US" w:eastAsia="zh-CN"/>
                    </w:rPr>
                    <w:t>3</w:t>
                  </w:r>
                  <w:r>
                    <w:rPr>
                      <w:rFonts w:hint="eastAsia" w:ascii="Times New Roman" w:hAnsi="Times New Roman"/>
                      <w:bCs/>
                      <w:color w:val="000000"/>
                      <w:sz w:val="21"/>
                      <w:szCs w:val="21"/>
                      <w:vertAlign w:val="baseline"/>
                      <w:lang w:val="en-US" w:eastAsia="zh-CN"/>
                    </w:rPr>
                    <w:t>/d）预处理后，分批次回用于车间保洁及厂区绿化</w:t>
                  </w:r>
                </w:p>
              </w:tc>
              <w:tc>
                <w:tcPr>
                  <w:tcW w:w="1191" w:type="dxa"/>
                  <w:vMerge w:val="restart"/>
                  <w:vAlign w:val="center"/>
                </w:tcPr>
                <w:p w14:paraId="5338FC09">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45</w:t>
                  </w:r>
                </w:p>
              </w:tc>
            </w:tr>
            <w:tr w14:paraId="47BF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7" w:type="dxa"/>
                  <w:vMerge w:val="continue"/>
                  <w:vAlign w:val="center"/>
                </w:tcPr>
                <w:p w14:paraId="55CE9523">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pPr>
                </w:p>
              </w:tc>
              <w:tc>
                <w:tcPr>
                  <w:tcW w:w="688" w:type="dxa"/>
                  <w:vMerge w:val="continue"/>
                  <w:vAlign w:val="center"/>
                </w:tcPr>
                <w:p w14:paraId="169376C9">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pPr>
                </w:p>
              </w:tc>
              <w:tc>
                <w:tcPr>
                  <w:tcW w:w="1300" w:type="dxa"/>
                  <w:vAlign w:val="center"/>
                </w:tcPr>
                <w:p w14:paraId="36D6025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初期雨水</w:t>
                  </w:r>
                </w:p>
              </w:tc>
              <w:tc>
                <w:tcPr>
                  <w:tcW w:w="4271" w:type="dxa"/>
                  <w:vMerge w:val="continue"/>
                  <w:vAlign w:val="center"/>
                </w:tcPr>
                <w:p w14:paraId="22ACD1DC">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Cs/>
                      <w:color w:val="000000"/>
                      <w:sz w:val="21"/>
                      <w:szCs w:val="21"/>
                      <w:vertAlign w:val="baseline"/>
                      <w:lang w:val="en-US" w:eastAsia="zh-CN"/>
                    </w:rPr>
                  </w:pPr>
                </w:p>
              </w:tc>
              <w:tc>
                <w:tcPr>
                  <w:tcW w:w="1191" w:type="dxa"/>
                  <w:vMerge w:val="continue"/>
                  <w:vAlign w:val="center"/>
                </w:tcPr>
                <w:p w14:paraId="0198FFDD">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Cs/>
                      <w:color w:val="000000"/>
                      <w:sz w:val="21"/>
                      <w:szCs w:val="21"/>
                      <w:vertAlign w:val="baseline"/>
                      <w:lang w:val="en-US" w:eastAsia="zh-CN"/>
                    </w:rPr>
                  </w:pPr>
                </w:p>
              </w:tc>
            </w:tr>
            <w:tr w14:paraId="5A53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7" w:type="dxa"/>
                  <w:vMerge w:val="continue"/>
                  <w:vAlign w:val="center"/>
                </w:tcPr>
                <w:p w14:paraId="657E6C5D">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Cs/>
                      <w:color w:val="000000"/>
                      <w:sz w:val="21"/>
                      <w:szCs w:val="21"/>
                      <w:vertAlign w:val="baseline"/>
                      <w:lang w:val="en-US" w:eastAsia="zh-CN"/>
                    </w:rPr>
                  </w:pPr>
                </w:p>
              </w:tc>
              <w:tc>
                <w:tcPr>
                  <w:tcW w:w="688" w:type="dxa"/>
                  <w:vMerge w:val="continue"/>
                  <w:vAlign w:val="center"/>
                </w:tcPr>
                <w:p w14:paraId="58122CC0">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Cs/>
                      <w:color w:val="000000"/>
                      <w:sz w:val="21"/>
                      <w:szCs w:val="21"/>
                      <w:vertAlign w:val="baseline"/>
                      <w:lang w:val="en-US" w:eastAsia="zh-CN"/>
                    </w:rPr>
                  </w:pPr>
                </w:p>
              </w:tc>
              <w:tc>
                <w:tcPr>
                  <w:tcW w:w="1300" w:type="dxa"/>
                  <w:vAlign w:val="center"/>
                </w:tcPr>
                <w:p w14:paraId="19236039">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生活污水</w:t>
                  </w:r>
                </w:p>
              </w:tc>
              <w:tc>
                <w:tcPr>
                  <w:tcW w:w="4271" w:type="dxa"/>
                  <w:vAlign w:val="center"/>
                </w:tcPr>
                <w:p w14:paraId="4FAD194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生活污水经化粪池（10m</w:t>
                  </w:r>
                  <w:r>
                    <w:rPr>
                      <w:rFonts w:hint="eastAsia" w:ascii="Times New Roman" w:hAnsi="Times New Roman"/>
                      <w:bCs/>
                      <w:color w:val="000000"/>
                      <w:sz w:val="21"/>
                      <w:szCs w:val="21"/>
                      <w:vertAlign w:val="superscript"/>
                      <w:lang w:val="en-US" w:eastAsia="zh-CN"/>
                    </w:rPr>
                    <w:t>3</w:t>
                  </w:r>
                  <w:r>
                    <w:rPr>
                      <w:rFonts w:hint="eastAsia" w:ascii="Times New Roman" w:hAnsi="Times New Roman"/>
                      <w:bCs/>
                      <w:color w:val="000000"/>
                      <w:sz w:val="21"/>
                      <w:szCs w:val="21"/>
                      <w:vertAlign w:val="baseline"/>
                      <w:lang w:val="en-US" w:eastAsia="zh-CN"/>
                    </w:rPr>
                    <w:t>）预处理后，定期清掏用于周边农田施肥，不外排</w:t>
                  </w:r>
                </w:p>
              </w:tc>
              <w:tc>
                <w:tcPr>
                  <w:tcW w:w="1191" w:type="dxa"/>
                  <w:vAlign w:val="center"/>
                </w:tcPr>
                <w:p w14:paraId="46570676">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0.5</w:t>
                  </w:r>
                </w:p>
              </w:tc>
            </w:tr>
            <w:tr w14:paraId="7EF7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07" w:type="dxa"/>
                  <w:vAlign w:val="center"/>
                </w:tcPr>
                <w:p w14:paraId="097F0AE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3</w:t>
                  </w:r>
                </w:p>
              </w:tc>
              <w:tc>
                <w:tcPr>
                  <w:tcW w:w="688" w:type="dxa"/>
                  <w:vAlign w:val="center"/>
                </w:tcPr>
                <w:p w14:paraId="64BD1E78">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噪声</w:t>
                  </w:r>
                </w:p>
              </w:tc>
              <w:tc>
                <w:tcPr>
                  <w:tcW w:w="1300" w:type="dxa"/>
                  <w:vAlign w:val="center"/>
                </w:tcPr>
                <w:p w14:paraId="1E9F7782">
                  <w:pPr>
                    <w:spacing w:line="240" w:lineRule="exact"/>
                    <w:jc w:val="center"/>
                    <w:rPr>
                      <w:rFonts w:hint="eastAsia" w:ascii="Times New Roman" w:hAnsi="Times New Roman"/>
                      <w:bCs/>
                      <w:color w:val="000000"/>
                      <w:sz w:val="21"/>
                      <w:szCs w:val="21"/>
                      <w:vertAlign w:val="baseline"/>
                      <w:lang w:val="en-US" w:eastAsia="zh-CN"/>
                    </w:rPr>
                  </w:pPr>
                  <w:r>
                    <w:rPr>
                      <w:bCs/>
                      <w:szCs w:val="21"/>
                    </w:rPr>
                    <w:t>设备噪声</w:t>
                  </w:r>
                </w:p>
              </w:tc>
              <w:tc>
                <w:tcPr>
                  <w:tcW w:w="4271" w:type="dxa"/>
                  <w:vAlign w:val="center"/>
                </w:tcPr>
                <w:p w14:paraId="601EE355">
                  <w:pPr>
                    <w:spacing w:line="240" w:lineRule="exact"/>
                    <w:jc w:val="center"/>
                    <w:rPr>
                      <w:rFonts w:hint="eastAsia" w:ascii="Times New Roman" w:hAnsi="Times New Roman"/>
                      <w:bCs/>
                      <w:color w:val="000000"/>
                      <w:sz w:val="21"/>
                      <w:szCs w:val="21"/>
                      <w:vertAlign w:val="baseline"/>
                      <w:lang w:val="en-US" w:eastAsia="zh-CN"/>
                    </w:rPr>
                  </w:pPr>
                  <w:r>
                    <w:rPr>
                      <w:rFonts w:hint="eastAsia"/>
                      <w:bCs/>
                      <w:szCs w:val="21"/>
                    </w:rPr>
                    <w:t>合理布局，选用低噪声设备，对高噪声设备安装隔声罩，加强设备维护</w:t>
                  </w:r>
                </w:p>
              </w:tc>
              <w:tc>
                <w:tcPr>
                  <w:tcW w:w="1191" w:type="dxa"/>
                  <w:vAlign w:val="center"/>
                </w:tcPr>
                <w:p w14:paraId="16B88F79">
                  <w:pPr>
                    <w:spacing w:line="240" w:lineRule="exact"/>
                    <w:jc w:val="center"/>
                    <w:rPr>
                      <w:rFonts w:hint="eastAsia" w:ascii="Times New Roman" w:hAnsi="Times New Roman"/>
                      <w:bCs/>
                      <w:color w:val="000000"/>
                      <w:sz w:val="21"/>
                      <w:szCs w:val="21"/>
                      <w:vertAlign w:val="baseline"/>
                      <w:lang w:val="en-US" w:eastAsia="zh-CN"/>
                    </w:rPr>
                  </w:pPr>
                  <w:r>
                    <w:rPr>
                      <w:rFonts w:hint="eastAsia"/>
                      <w:bCs/>
                      <w:szCs w:val="21"/>
                      <w:lang w:val="en-US" w:eastAsia="zh-CN"/>
                    </w:rPr>
                    <w:t>2</w:t>
                  </w:r>
                </w:p>
              </w:tc>
            </w:tr>
            <w:tr w14:paraId="70AB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7" w:type="dxa"/>
                  <w:vMerge w:val="restart"/>
                  <w:vAlign w:val="center"/>
                </w:tcPr>
                <w:p w14:paraId="1668433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4</w:t>
                  </w:r>
                </w:p>
              </w:tc>
              <w:tc>
                <w:tcPr>
                  <w:tcW w:w="688" w:type="dxa"/>
                  <w:vMerge w:val="restart"/>
                  <w:vAlign w:val="center"/>
                </w:tcPr>
                <w:p w14:paraId="7168B395">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固废</w:t>
                  </w:r>
                </w:p>
              </w:tc>
              <w:tc>
                <w:tcPr>
                  <w:tcW w:w="1300" w:type="dxa"/>
                  <w:vAlign w:val="center"/>
                </w:tcPr>
                <w:p w14:paraId="57E4D5FC">
                  <w:pPr>
                    <w:spacing w:line="240" w:lineRule="exact"/>
                    <w:jc w:val="center"/>
                    <w:rPr>
                      <w:rFonts w:hint="default" w:eastAsia="宋体"/>
                      <w:bCs/>
                      <w:szCs w:val="21"/>
                      <w:lang w:val="en-US" w:eastAsia="zh-CN"/>
                    </w:rPr>
                  </w:pPr>
                  <w:r>
                    <w:rPr>
                      <w:rFonts w:hint="eastAsia"/>
                      <w:bCs/>
                      <w:szCs w:val="21"/>
                      <w:lang w:val="en-US" w:eastAsia="zh-CN"/>
                    </w:rPr>
                    <w:t>一般固废</w:t>
                  </w:r>
                </w:p>
              </w:tc>
              <w:tc>
                <w:tcPr>
                  <w:tcW w:w="4271" w:type="dxa"/>
                  <w:vAlign w:val="center"/>
                </w:tcPr>
                <w:p w14:paraId="4AE931EC">
                  <w:pPr>
                    <w:spacing w:line="240" w:lineRule="exact"/>
                    <w:jc w:val="center"/>
                    <w:rPr>
                      <w:rFonts w:hint="eastAsia"/>
                      <w:bCs/>
                      <w:szCs w:val="21"/>
                    </w:rPr>
                  </w:pPr>
                  <w:r>
                    <w:rPr>
                      <w:rFonts w:hint="eastAsia"/>
                      <w:color w:val="000000"/>
                    </w:rPr>
                    <w:t>集中收集后暂存一般固废库（</w:t>
                  </w:r>
                  <w:r>
                    <w:rPr>
                      <w:rFonts w:hint="eastAsia"/>
                      <w:color w:val="000000"/>
                      <w:lang w:val="en-US" w:eastAsia="zh-CN"/>
                    </w:rPr>
                    <w:t>20</w:t>
                  </w:r>
                  <w:r>
                    <w:rPr>
                      <w:rFonts w:hint="eastAsia"/>
                      <w:color w:val="000000"/>
                    </w:rPr>
                    <w:t>0m</w:t>
                  </w:r>
                  <w:r>
                    <w:rPr>
                      <w:rFonts w:hint="eastAsia"/>
                      <w:color w:val="000000"/>
                      <w:vertAlign w:val="superscript"/>
                    </w:rPr>
                    <w:t>2</w:t>
                  </w:r>
                  <w:r>
                    <w:rPr>
                      <w:rFonts w:hint="eastAsia"/>
                      <w:color w:val="000000"/>
                    </w:rPr>
                    <w:t>），定期外售综合利用</w:t>
                  </w:r>
                </w:p>
              </w:tc>
              <w:tc>
                <w:tcPr>
                  <w:tcW w:w="1191" w:type="dxa"/>
                  <w:vAlign w:val="center"/>
                </w:tcPr>
                <w:p w14:paraId="2EC2D54E">
                  <w:pPr>
                    <w:spacing w:line="240" w:lineRule="exact"/>
                    <w:jc w:val="center"/>
                    <w:rPr>
                      <w:rFonts w:hint="default"/>
                      <w:bCs/>
                      <w:szCs w:val="21"/>
                      <w:lang w:val="en-US" w:eastAsia="zh-CN"/>
                    </w:rPr>
                  </w:pPr>
                  <w:r>
                    <w:rPr>
                      <w:rFonts w:hint="eastAsia"/>
                      <w:bCs/>
                      <w:szCs w:val="21"/>
                      <w:lang w:val="en-US" w:eastAsia="zh-CN"/>
                    </w:rPr>
                    <w:t>5</w:t>
                  </w:r>
                </w:p>
              </w:tc>
            </w:tr>
            <w:tr w14:paraId="30B81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07" w:type="dxa"/>
                  <w:vMerge w:val="continue"/>
                  <w:vAlign w:val="center"/>
                </w:tcPr>
                <w:p w14:paraId="7981D287">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Cs/>
                      <w:color w:val="000000"/>
                      <w:sz w:val="21"/>
                      <w:szCs w:val="21"/>
                      <w:vertAlign w:val="baseline"/>
                      <w:lang w:val="en-US" w:eastAsia="zh-CN"/>
                    </w:rPr>
                  </w:pPr>
                </w:p>
              </w:tc>
              <w:tc>
                <w:tcPr>
                  <w:tcW w:w="688" w:type="dxa"/>
                  <w:vMerge w:val="continue"/>
                  <w:vAlign w:val="center"/>
                </w:tcPr>
                <w:p w14:paraId="677C4580">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Cs/>
                      <w:color w:val="000000"/>
                      <w:sz w:val="21"/>
                      <w:szCs w:val="21"/>
                      <w:vertAlign w:val="baseline"/>
                      <w:lang w:val="en-US" w:eastAsia="zh-CN"/>
                    </w:rPr>
                  </w:pPr>
                </w:p>
              </w:tc>
              <w:tc>
                <w:tcPr>
                  <w:tcW w:w="1300" w:type="dxa"/>
                  <w:vAlign w:val="center"/>
                </w:tcPr>
                <w:p w14:paraId="0C8B5808">
                  <w:pPr>
                    <w:spacing w:line="240" w:lineRule="exact"/>
                    <w:jc w:val="center"/>
                    <w:rPr>
                      <w:rFonts w:hint="default"/>
                      <w:bCs/>
                      <w:szCs w:val="21"/>
                      <w:lang w:val="en-US" w:eastAsia="zh-CN"/>
                    </w:rPr>
                  </w:pPr>
                  <w:r>
                    <w:rPr>
                      <w:rFonts w:hint="eastAsia"/>
                      <w:bCs/>
                      <w:szCs w:val="21"/>
                      <w:lang w:val="en-US" w:eastAsia="zh-CN"/>
                    </w:rPr>
                    <w:t>危险废物</w:t>
                  </w:r>
                </w:p>
              </w:tc>
              <w:tc>
                <w:tcPr>
                  <w:tcW w:w="4271" w:type="dxa"/>
                  <w:vAlign w:val="center"/>
                </w:tcPr>
                <w:p w14:paraId="6E0F0A0D">
                  <w:pPr>
                    <w:spacing w:line="240" w:lineRule="exact"/>
                    <w:jc w:val="center"/>
                    <w:rPr>
                      <w:rFonts w:hint="default" w:eastAsia="宋体"/>
                      <w:color w:val="000000"/>
                      <w:lang w:val="en-US" w:eastAsia="zh-CN"/>
                    </w:rPr>
                  </w:pPr>
                  <w:r>
                    <w:rPr>
                      <w:rFonts w:hint="eastAsia"/>
                      <w:color w:val="000000"/>
                      <w:lang w:val="en-US" w:eastAsia="zh-CN"/>
                    </w:rPr>
                    <w:t>分类暂存危废暂存库（300m</w:t>
                  </w:r>
                  <w:r>
                    <w:rPr>
                      <w:rFonts w:hint="eastAsia"/>
                      <w:color w:val="000000"/>
                      <w:vertAlign w:val="superscript"/>
                      <w:lang w:val="en-US" w:eastAsia="zh-CN"/>
                    </w:rPr>
                    <w:t>2</w:t>
                  </w:r>
                  <w:r>
                    <w:rPr>
                      <w:rFonts w:hint="eastAsia"/>
                      <w:color w:val="000000"/>
                      <w:lang w:val="en-US" w:eastAsia="zh-CN"/>
                    </w:rPr>
                    <w:t>），定期委托有资质单位处置</w:t>
                  </w:r>
                </w:p>
              </w:tc>
              <w:tc>
                <w:tcPr>
                  <w:tcW w:w="1191" w:type="dxa"/>
                  <w:vAlign w:val="center"/>
                </w:tcPr>
                <w:p w14:paraId="54A9B9C2">
                  <w:pPr>
                    <w:spacing w:line="240" w:lineRule="exact"/>
                    <w:jc w:val="center"/>
                    <w:rPr>
                      <w:rFonts w:hint="default"/>
                      <w:bCs/>
                      <w:szCs w:val="21"/>
                      <w:lang w:val="en-US" w:eastAsia="zh-CN"/>
                    </w:rPr>
                  </w:pPr>
                  <w:r>
                    <w:rPr>
                      <w:rFonts w:hint="eastAsia"/>
                      <w:bCs/>
                      <w:szCs w:val="21"/>
                      <w:lang w:val="en-US" w:eastAsia="zh-CN"/>
                    </w:rPr>
                    <w:t>20</w:t>
                  </w:r>
                </w:p>
              </w:tc>
            </w:tr>
            <w:tr w14:paraId="1CA8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7" w:type="dxa"/>
                  <w:vMerge w:val="continue"/>
                  <w:vAlign w:val="center"/>
                </w:tcPr>
                <w:p w14:paraId="3054CAEC">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Cs/>
                      <w:color w:val="000000"/>
                      <w:sz w:val="21"/>
                      <w:szCs w:val="21"/>
                      <w:vertAlign w:val="baseline"/>
                      <w:lang w:val="en-US" w:eastAsia="zh-CN"/>
                    </w:rPr>
                  </w:pPr>
                </w:p>
              </w:tc>
              <w:tc>
                <w:tcPr>
                  <w:tcW w:w="688" w:type="dxa"/>
                  <w:vMerge w:val="continue"/>
                  <w:vAlign w:val="center"/>
                </w:tcPr>
                <w:p w14:paraId="363953EF">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Cs/>
                      <w:color w:val="000000"/>
                      <w:sz w:val="21"/>
                      <w:szCs w:val="21"/>
                      <w:vertAlign w:val="baseline"/>
                      <w:lang w:val="en-US" w:eastAsia="zh-CN"/>
                    </w:rPr>
                  </w:pPr>
                </w:p>
              </w:tc>
              <w:tc>
                <w:tcPr>
                  <w:tcW w:w="1300" w:type="dxa"/>
                  <w:vAlign w:val="center"/>
                </w:tcPr>
                <w:p w14:paraId="55A78A3D">
                  <w:pPr>
                    <w:spacing w:line="240" w:lineRule="exact"/>
                    <w:jc w:val="center"/>
                    <w:rPr>
                      <w:rFonts w:hint="default"/>
                      <w:bCs/>
                      <w:szCs w:val="21"/>
                      <w:lang w:val="en-US" w:eastAsia="zh-CN"/>
                    </w:rPr>
                  </w:pPr>
                  <w:r>
                    <w:rPr>
                      <w:rFonts w:hint="eastAsia"/>
                      <w:bCs/>
                      <w:szCs w:val="21"/>
                      <w:lang w:val="en-US" w:eastAsia="zh-CN"/>
                    </w:rPr>
                    <w:t>生活垃圾</w:t>
                  </w:r>
                </w:p>
              </w:tc>
              <w:tc>
                <w:tcPr>
                  <w:tcW w:w="4271" w:type="dxa"/>
                  <w:vAlign w:val="center"/>
                </w:tcPr>
                <w:p w14:paraId="3FDEAFBA">
                  <w:pPr>
                    <w:spacing w:line="240" w:lineRule="exact"/>
                    <w:jc w:val="center"/>
                    <w:rPr>
                      <w:rFonts w:hint="eastAsia"/>
                      <w:color w:val="000000"/>
                      <w:lang w:val="en-US" w:eastAsia="zh-CN"/>
                    </w:rPr>
                  </w:pPr>
                  <w:r>
                    <w:rPr>
                      <w:rFonts w:hint="eastAsia"/>
                      <w:bCs/>
                      <w:szCs w:val="21"/>
                    </w:rPr>
                    <w:t>垃圾桶收集后，委托环卫部门定期清运处理</w:t>
                  </w:r>
                </w:p>
              </w:tc>
              <w:tc>
                <w:tcPr>
                  <w:tcW w:w="1191" w:type="dxa"/>
                  <w:vAlign w:val="center"/>
                </w:tcPr>
                <w:p w14:paraId="28145B95">
                  <w:pPr>
                    <w:spacing w:line="240" w:lineRule="exact"/>
                    <w:jc w:val="center"/>
                    <w:rPr>
                      <w:rFonts w:hint="default"/>
                      <w:bCs/>
                      <w:szCs w:val="21"/>
                      <w:lang w:val="en-US" w:eastAsia="zh-CN"/>
                    </w:rPr>
                  </w:pPr>
                  <w:r>
                    <w:rPr>
                      <w:rFonts w:hint="eastAsia"/>
                      <w:bCs/>
                      <w:szCs w:val="21"/>
                      <w:lang w:val="en-US" w:eastAsia="zh-CN"/>
                    </w:rPr>
                    <w:t>0.5</w:t>
                  </w:r>
                </w:p>
              </w:tc>
            </w:tr>
            <w:tr w14:paraId="47CDD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07" w:type="dxa"/>
                  <w:vAlign w:val="center"/>
                </w:tcPr>
                <w:p w14:paraId="4CB78F13">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5</w:t>
                  </w:r>
                </w:p>
              </w:tc>
              <w:tc>
                <w:tcPr>
                  <w:tcW w:w="688" w:type="dxa"/>
                  <w:vAlign w:val="center"/>
                </w:tcPr>
                <w:p w14:paraId="58A46E6F">
                  <w:pPr>
                    <w:spacing w:line="240" w:lineRule="exact"/>
                    <w:jc w:val="center"/>
                    <w:rPr>
                      <w:rFonts w:hint="eastAsia" w:ascii="Times New Roman" w:hAnsi="Times New Roman"/>
                      <w:bCs/>
                      <w:color w:val="000000"/>
                      <w:sz w:val="21"/>
                      <w:szCs w:val="21"/>
                      <w:vertAlign w:val="baseline"/>
                      <w:lang w:val="en-US" w:eastAsia="zh-CN"/>
                    </w:rPr>
                  </w:pPr>
                  <w:r>
                    <w:rPr>
                      <w:rFonts w:hint="eastAsia"/>
                      <w:bCs/>
                      <w:szCs w:val="21"/>
                    </w:rPr>
                    <w:t>环境风险</w:t>
                  </w:r>
                </w:p>
              </w:tc>
              <w:tc>
                <w:tcPr>
                  <w:tcW w:w="1300" w:type="dxa"/>
                  <w:vAlign w:val="center"/>
                </w:tcPr>
                <w:p w14:paraId="740E533E">
                  <w:pPr>
                    <w:spacing w:line="240" w:lineRule="exact"/>
                    <w:jc w:val="center"/>
                    <w:rPr>
                      <w:rFonts w:hint="eastAsia"/>
                      <w:bCs/>
                      <w:szCs w:val="21"/>
                      <w:lang w:val="en-US" w:eastAsia="zh-CN"/>
                    </w:rPr>
                  </w:pPr>
                  <w:r>
                    <w:rPr>
                      <w:rFonts w:hint="eastAsia"/>
                      <w:bCs/>
                      <w:szCs w:val="21"/>
                    </w:rPr>
                    <w:t>/</w:t>
                  </w:r>
                </w:p>
              </w:tc>
              <w:tc>
                <w:tcPr>
                  <w:tcW w:w="4271" w:type="dxa"/>
                  <w:vAlign w:val="center"/>
                </w:tcPr>
                <w:p w14:paraId="683D2AED">
                  <w:pPr>
                    <w:spacing w:line="240" w:lineRule="exact"/>
                    <w:jc w:val="center"/>
                    <w:rPr>
                      <w:rFonts w:hint="eastAsia"/>
                      <w:bCs/>
                      <w:szCs w:val="21"/>
                    </w:rPr>
                  </w:pPr>
                  <w:r>
                    <w:rPr>
                      <w:rFonts w:hint="eastAsia"/>
                      <w:szCs w:val="21"/>
                    </w:rPr>
                    <w:t>厂区配备消防器材，</w:t>
                  </w:r>
                  <w:r>
                    <w:rPr>
                      <w:rFonts w:hint="eastAsia"/>
                      <w:szCs w:val="21"/>
                      <w:lang w:val="en-US" w:eastAsia="zh-CN"/>
                    </w:rPr>
                    <w:t>制定突发环境应急预案，</w:t>
                  </w:r>
                  <w:r>
                    <w:rPr>
                      <w:rFonts w:hint="eastAsia"/>
                    </w:rPr>
                    <w:t>定期开展事故演练。</w:t>
                  </w:r>
                </w:p>
              </w:tc>
              <w:tc>
                <w:tcPr>
                  <w:tcW w:w="1191" w:type="dxa"/>
                  <w:vAlign w:val="center"/>
                </w:tcPr>
                <w:p w14:paraId="6AE5A12E">
                  <w:pPr>
                    <w:tabs>
                      <w:tab w:val="left" w:pos="249"/>
                      <w:tab w:val="center" w:pos="535"/>
                    </w:tabs>
                    <w:spacing w:line="240" w:lineRule="exact"/>
                    <w:jc w:val="center"/>
                    <w:rPr>
                      <w:rFonts w:hint="eastAsia"/>
                      <w:bCs/>
                      <w:szCs w:val="21"/>
                      <w:lang w:val="en-US" w:eastAsia="zh-CN"/>
                    </w:rPr>
                  </w:pPr>
                  <w:r>
                    <w:rPr>
                      <w:rFonts w:hint="eastAsia"/>
                      <w:bCs/>
                      <w:szCs w:val="21"/>
                    </w:rPr>
                    <w:t>10</w:t>
                  </w:r>
                </w:p>
              </w:tc>
            </w:tr>
            <w:tr w14:paraId="3BA2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07" w:type="dxa"/>
                  <w:vAlign w:val="center"/>
                </w:tcPr>
                <w:p w14:paraId="7B077E6C">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bCs/>
                      <w:color w:val="000000"/>
                      <w:sz w:val="21"/>
                      <w:szCs w:val="21"/>
                      <w:vertAlign w:val="baseline"/>
                      <w:lang w:val="en-US" w:eastAsia="zh-CN"/>
                    </w:rPr>
                  </w:pPr>
                  <w:r>
                    <w:rPr>
                      <w:rFonts w:hint="eastAsia" w:ascii="Times New Roman" w:hAnsi="Times New Roman"/>
                      <w:bCs/>
                      <w:color w:val="000000"/>
                      <w:sz w:val="21"/>
                      <w:szCs w:val="21"/>
                      <w:vertAlign w:val="baseline"/>
                      <w:lang w:val="en-US" w:eastAsia="zh-CN"/>
                    </w:rPr>
                    <w:t>6</w:t>
                  </w:r>
                </w:p>
              </w:tc>
              <w:tc>
                <w:tcPr>
                  <w:tcW w:w="688" w:type="dxa"/>
                  <w:vAlign w:val="center"/>
                </w:tcPr>
                <w:p w14:paraId="785785FE">
                  <w:pPr>
                    <w:spacing w:line="240" w:lineRule="exact"/>
                    <w:jc w:val="center"/>
                    <w:rPr>
                      <w:rFonts w:hint="eastAsia"/>
                      <w:bCs/>
                      <w:szCs w:val="21"/>
                    </w:rPr>
                  </w:pPr>
                  <w:r>
                    <w:rPr>
                      <w:rFonts w:hint="eastAsia"/>
                      <w:bCs/>
                      <w:szCs w:val="21"/>
                    </w:rPr>
                    <w:t>地下水、</w:t>
                  </w:r>
                </w:p>
                <w:p w14:paraId="003BB56D">
                  <w:pPr>
                    <w:spacing w:line="240" w:lineRule="exact"/>
                    <w:jc w:val="center"/>
                    <w:rPr>
                      <w:rFonts w:hint="eastAsia"/>
                      <w:bCs/>
                      <w:szCs w:val="21"/>
                    </w:rPr>
                  </w:pPr>
                  <w:r>
                    <w:rPr>
                      <w:rFonts w:hint="eastAsia"/>
                      <w:bCs/>
                      <w:szCs w:val="21"/>
                    </w:rPr>
                    <w:t>土壤</w:t>
                  </w:r>
                </w:p>
              </w:tc>
              <w:tc>
                <w:tcPr>
                  <w:tcW w:w="1300" w:type="dxa"/>
                  <w:vAlign w:val="center"/>
                </w:tcPr>
                <w:p w14:paraId="55374E64">
                  <w:pPr>
                    <w:spacing w:line="240" w:lineRule="exact"/>
                    <w:jc w:val="center"/>
                    <w:rPr>
                      <w:rFonts w:hint="eastAsia"/>
                      <w:bCs/>
                      <w:szCs w:val="21"/>
                    </w:rPr>
                  </w:pPr>
                  <w:r>
                    <w:rPr>
                      <w:rFonts w:hint="eastAsia"/>
                      <w:bCs/>
                      <w:szCs w:val="21"/>
                    </w:rPr>
                    <w:t>/</w:t>
                  </w:r>
                </w:p>
              </w:tc>
              <w:tc>
                <w:tcPr>
                  <w:tcW w:w="4271" w:type="dxa"/>
                  <w:vAlign w:val="center"/>
                </w:tcPr>
                <w:p w14:paraId="069742B1">
                  <w:pPr>
                    <w:spacing w:line="240" w:lineRule="exact"/>
                    <w:jc w:val="center"/>
                    <w:rPr>
                      <w:rFonts w:hint="eastAsia"/>
                      <w:szCs w:val="21"/>
                    </w:rPr>
                  </w:pPr>
                  <w:r>
                    <w:rPr>
                      <w:kern w:val="0"/>
                      <w:szCs w:val="21"/>
                      <w:lang w:bidi="ar"/>
                    </w:rPr>
                    <w:t>危废暂存库、污水处理站、</w:t>
                  </w:r>
                  <w:r>
                    <w:rPr>
                      <w:rFonts w:hint="eastAsia"/>
                      <w:kern w:val="0"/>
                      <w:szCs w:val="21"/>
                      <w:lang w:val="en-US" w:eastAsia="zh-CN" w:bidi="ar"/>
                    </w:rPr>
                    <w:t>初期雨水收集池、应急事故</w:t>
                  </w:r>
                  <w:r>
                    <w:rPr>
                      <w:rFonts w:hint="eastAsia"/>
                      <w:kern w:val="0"/>
                      <w:szCs w:val="21"/>
                      <w:lang w:bidi="ar"/>
                    </w:rPr>
                    <w:t>池</w:t>
                  </w:r>
                  <w:r>
                    <w:rPr>
                      <w:rFonts w:hint="eastAsia"/>
                      <w:bCs/>
                      <w:szCs w:val="21"/>
                    </w:rPr>
                    <w:t>实行重点防渗；</w:t>
                  </w:r>
                  <w:r>
                    <w:rPr>
                      <w:rFonts w:hint="eastAsia"/>
                      <w:bCs/>
                      <w:szCs w:val="21"/>
                      <w:lang w:val="en-US" w:eastAsia="zh-CN"/>
                    </w:rPr>
                    <w:t>生产车间、废机动车暂存区</w:t>
                  </w:r>
                  <w:r>
                    <w:rPr>
                      <w:rFonts w:hint="eastAsia"/>
                      <w:bCs/>
                      <w:szCs w:val="21"/>
                    </w:rPr>
                    <w:t>、一般固废暂存库实行一般防渗</w:t>
                  </w:r>
                  <w:r>
                    <w:rPr>
                      <w:rFonts w:hint="eastAsia"/>
                      <w:bCs/>
                      <w:szCs w:val="21"/>
                      <w:lang w:eastAsia="zh-CN"/>
                    </w:rPr>
                    <w:t>；</w:t>
                  </w:r>
                  <w:r>
                    <w:rPr>
                      <w:rFonts w:hint="eastAsia"/>
                      <w:bCs/>
                      <w:szCs w:val="21"/>
                      <w:lang w:val="en-US" w:eastAsia="zh-CN"/>
                    </w:rPr>
                    <w:t>办公用房实行简单防渗</w:t>
                  </w:r>
                  <w:r>
                    <w:rPr>
                      <w:rFonts w:hint="eastAsia"/>
                      <w:bCs/>
                      <w:szCs w:val="21"/>
                    </w:rPr>
                    <w:t>。</w:t>
                  </w:r>
                </w:p>
              </w:tc>
              <w:tc>
                <w:tcPr>
                  <w:tcW w:w="1191" w:type="dxa"/>
                  <w:vAlign w:val="center"/>
                </w:tcPr>
                <w:p w14:paraId="73742536">
                  <w:pPr>
                    <w:tabs>
                      <w:tab w:val="left" w:pos="249"/>
                      <w:tab w:val="center" w:pos="535"/>
                    </w:tabs>
                    <w:spacing w:line="240" w:lineRule="exact"/>
                    <w:jc w:val="center"/>
                    <w:rPr>
                      <w:rFonts w:hint="eastAsia"/>
                      <w:bCs/>
                      <w:szCs w:val="21"/>
                    </w:rPr>
                  </w:pPr>
                  <w:r>
                    <w:rPr>
                      <w:rFonts w:hint="eastAsia"/>
                      <w:bCs/>
                      <w:szCs w:val="21"/>
                    </w:rPr>
                    <w:t>40</w:t>
                  </w:r>
                </w:p>
              </w:tc>
            </w:tr>
            <w:tr w14:paraId="1811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766" w:type="dxa"/>
                  <w:gridSpan w:val="4"/>
                  <w:vAlign w:val="center"/>
                </w:tcPr>
                <w:p w14:paraId="316AFD19">
                  <w:pPr>
                    <w:spacing w:line="240" w:lineRule="exact"/>
                    <w:jc w:val="center"/>
                    <w:rPr>
                      <w:rFonts w:hint="eastAsia" w:eastAsia="宋体"/>
                      <w:kern w:val="0"/>
                      <w:szCs w:val="21"/>
                      <w:lang w:val="en-US" w:eastAsia="zh-CN" w:bidi="ar"/>
                    </w:rPr>
                  </w:pPr>
                  <w:r>
                    <w:rPr>
                      <w:rFonts w:hint="eastAsia"/>
                      <w:kern w:val="0"/>
                      <w:szCs w:val="21"/>
                      <w:lang w:val="en-US" w:eastAsia="zh-CN" w:bidi="ar"/>
                    </w:rPr>
                    <w:t>合计</w:t>
                  </w:r>
                </w:p>
              </w:tc>
              <w:tc>
                <w:tcPr>
                  <w:tcW w:w="1191" w:type="dxa"/>
                  <w:vAlign w:val="center"/>
                </w:tcPr>
                <w:p w14:paraId="35ADA0CA">
                  <w:pPr>
                    <w:tabs>
                      <w:tab w:val="left" w:pos="249"/>
                      <w:tab w:val="center" w:pos="535"/>
                    </w:tabs>
                    <w:spacing w:line="240" w:lineRule="exact"/>
                    <w:jc w:val="center"/>
                    <w:rPr>
                      <w:rFonts w:hint="default" w:eastAsia="宋体"/>
                      <w:bCs/>
                      <w:szCs w:val="21"/>
                      <w:lang w:val="en-US" w:eastAsia="zh-CN"/>
                    </w:rPr>
                  </w:pPr>
                  <w:r>
                    <w:rPr>
                      <w:rFonts w:hint="eastAsia"/>
                      <w:bCs/>
                      <w:szCs w:val="21"/>
                      <w:lang w:val="en-US" w:eastAsia="zh-CN"/>
                    </w:rPr>
                    <w:t>151</w:t>
                  </w:r>
                </w:p>
              </w:tc>
            </w:tr>
          </w:tbl>
          <w:p w14:paraId="4A5C04E1">
            <w:pPr>
              <w:pStyle w:val="20"/>
              <w:spacing w:before="0" w:beforeAutospacing="0" w:after="0" w:afterAutospacing="0" w:line="360" w:lineRule="auto"/>
              <w:jc w:val="both"/>
              <w:outlineLvl w:val="0"/>
              <w:rPr>
                <w:rFonts w:hint="default" w:ascii="Times New Roman" w:hAnsi="Times New Roman"/>
                <w:bCs/>
                <w:color w:val="000000"/>
                <w:lang w:val="en-US" w:eastAsia="zh-CN"/>
              </w:rPr>
            </w:pPr>
          </w:p>
          <w:p w14:paraId="38B58D61">
            <w:pPr>
              <w:pStyle w:val="20"/>
              <w:spacing w:before="0" w:beforeAutospacing="0" w:after="0" w:afterAutospacing="0" w:line="360" w:lineRule="auto"/>
              <w:jc w:val="both"/>
              <w:outlineLvl w:val="0"/>
              <w:rPr>
                <w:rFonts w:hint="eastAsia" w:ascii="Times New Roman" w:hAnsi="Times New Roman"/>
                <w:bCs/>
                <w:color w:val="000000"/>
                <w:lang w:val="en-US" w:eastAsia="zh-CN"/>
              </w:rPr>
            </w:pPr>
          </w:p>
          <w:p w14:paraId="623D7339">
            <w:pPr>
              <w:pStyle w:val="20"/>
              <w:spacing w:before="0" w:beforeAutospacing="0" w:after="0" w:afterAutospacing="0" w:line="360" w:lineRule="auto"/>
              <w:jc w:val="both"/>
              <w:outlineLvl w:val="0"/>
              <w:rPr>
                <w:rFonts w:hint="eastAsia" w:ascii="Times New Roman" w:hAnsi="Times New Roman"/>
                <w:bCs/>
                <w:color w:val="000000"/>
                <w:lang w:val="en-US" w:eastAsia="zh-CN"/>
              </w:rPr>
            </w:pPr>
          </w:p>
          <w:p w14:paraId="511DAB9E">
            <w:pPr>
              <w:pStyle w:val="20"/>
              <w:spacing w:before="0" w:beforeAutospacing="0" w:after="0" w:afterAutospacing="0" w:line="360" w:lineRule="auto"/>
              <w:jc w:val="both"/>
              <w:outlineLvl w:val="0"/>
              <w:rPr>
                <w:rFonts w:hint="eastAsia" w:ascii="Times New Roman" w:hAnsi="Times New Roman"/>
                <w:bCs/>
                <w:color w:val="000000"/>
                <w:lang w:val="en-US" w:eastAsia="zh-CN"/>
              </w:rPr>
            </w:pPr>
          </w:p>
          <w:p w14:paraId="0939FBED">
            <w:pPr>
              <w:pStyle w:val="20"/>
              <w:spacing w:before="0" w:beforeAutospacing="0" w:after="0" w:afterAutospacing="0" w:line="360" w:lineRule="auto"/>
              <w:jc w:val="both"/>
              <w:outlineLvl w:val="0"/>
              <w:rPr>
                <w:rFonts w:hint="eastAsia" w:ascii="Times New Roman" w:hAnsi="Times New Roman"/>
                <w:bCs/>
                <w:color w:val="000000"/>
                <w:lang w:val="en-US" w:eastAsia="zh-CN"/>
              </w:rPr>
            </w:pPr>
          </w:p>
          <w:p w14:paraId="43D0CA9F">
            <w:pPr>
              <w:pStyle w:val="20"/>
              <w:spacing w:before="0" w:beforeAutospacing="0" w:after="0" w:afterAutospacing="0" w:line="360" w:lineRule="auto"/>
              <w:jc w:val="both"/>
              <w:outlineLvl w:val="0"/>
              <w:rPr>
                <w:rFonts w:hint="eastAsia" w:ascii="Times New Roman" w:hAnsi="Times New Roman"/>
                <w:bCs/>
                <w:color w:val="000000"/>
                <w:lang w:val="en-US" w:eastAsia="zh-CN"/>
              </w:rPr>
            </w:pPr>
          </w:p>
          <w:p w14:paraId="125629B9">
            <w:pPr>
              <w:pStyle w:val="20"/>
              <w:spacing w:before="0" w:beforeAutospacing="0" w:after="0" w:afterAutospacing="0" w:line="360" w:lineRule="auto"/>
              <w:jc w:val="both"/>
              <w:outlineLvl w:val="0"/>
              <w:rPr>
                <w:rFonts w:hint="eastAsia" w:ascii="Times New Roman" w:hAnsi="Times New Roman"/>
                <w:bCs/>
                <w:color w:val="000000"/>
                <w:lang w:val="en-US" w:eastAsia="zh-CN"/>
              </w:rPr>
            </w:pPr>
          </w:p>
          <w:p w14:paraId="798F387C">
            <w:pPr>
              <w:pStyle w:val="20"/>
              <w:spacing w:before="0" w:beforeAutospacing="0" w:after="0" w:afterAutospacing="0" w:line="360" w:lineRule="auto"/>
              <w:jc w:val="both"/>
              <w:outlineLvl w:val="0"/>
              <w:rPr>
                <w:rFonts w:hint="default" w:ascii="Times New Roman" w:hAnsi="Times New Roman" w:eastAsia="宋体"/>
                <w:bCs/>
                <w:color w:val="000000"/>
                <w:lang w:val="en-US" w:eastAsia="zh-CN"/>
              </w:rPr>
            </w:pPr>
          </w:p>
        </w:tc>
      </w:tr>
    </w:tbl>
    <w:p w14:paraId="108448B7">
      <w:pPr>
        <w:pStyle w:val="20"/>
        <w:spacing w:before="0" w:beforeAutospacing="0" w:after="0" w:afterAutospacing="0" w:line="360" w:lineRule="auto"/>
        <w:jc w:val="center"/>
        <w:outlineLvl w:val="0"/>
        <w:rPr>
          <w:rFonts w:hint="eastAsia" w:ascii="Times New Roman" w:hAnsi="Times New Roman"/>
          <w:snapToGrid w:val="0"/>
          <w:sz w:val="30"/>
          <w:szCs w:val="30"/>
        </w:rPr>
        <w:sectPr>
          <w:pgSz w:w="11906" w:h="16838"/>
          <w:pgMar w:top="1701" w:right="1531" w:bottom="1701" w:left="1531" w:header="851" w:footer="851" w:gutter="0"/>
          <w:pgNumType w:fmt="decimal"/>
          <w:cols w:space="720" w:num="1"/>
          <w:docGrid w:linePitch="312" w:charSpace="0"/>
        </w:sectPr>
      </w:pPr>
    </w:p>
    <w:p w14:paraId="78AADFBC">
      <w:pPr>
        <w:pStyle w:val="20"/>
        <w:numPr>
          <w:ilvl w:val="0"/>
          <w:numId w:val="10"/>
        </w:numPr>
        <w:spacing w:before="0" w:beforeAutospacing="0" w:after="0" w:afterAutospacing="0" w:line="360" w:lineRule="auto"/>
        <w:jc w:val="center"/>
        <w:outlineLvl w:val="0"/>
        <w:rPr>
          <w:rFonts w:hint="eastAsia" w:ascii="Times New Roman" w:hAnsi="Times New Roman"/>
          <w:snapToGrid w:val="0"/>
          <w:sz w:val="30"/>
          <w:szCs w:val="30"/>
        </w:rPr>
      </w:pPr>
      <w:bookmarkStart w:id="2" w:name="_Hlk54167917"/>
      <w:r>
        <w:rPr>
          <w:rFonts w:hint="eastAsia" w:ascii="Times New Roman" w:hAnsi="Times New Roman"/>
          <w:snapToGrid w:val="0"/>
          <w:sz w:val="30"/>
          <w:szCs w:val="30"/>
        </w:rPr>
        <w:t>环境保护措施监督检查清单</w:t>
      </w:r>
      <w:bookmarkEnd w:id="2"/>
    </w:p>
    <w:tbl>
      <w:tblPr>
        <w:tblStyle w:val="24"/>
        <w:tblW w:w="510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1793"/>
        <w:gridCol w:w="1295"/>
        <w:gridCol w:w="2006"/>
        <w:gridCol w:w="2993"/>
      </w:tblGrid>
      <w:tr w14:paraId="15AF64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33" w:type="pct"/>
            <w:tcBorders>
              <w:tl2br w:val="single" w:color="auto" w:sz="4" w:space="0"/>
            </w:tcBorders>
            <w:noWrap w:val="0"/>
            <w:vAlign w:val="top"/>
          </w:tcPr>
          <w:p w14:paraId="31A55FCE">
            <w:pPr>
              <w:adjustRightInd w:val="0"/>
              <w:snapToGrid w:val="0"/>
              <w:spacing w:line="240" w:lineRule="auto"/>
              <w:jc w:val="right"/>
              <w:rPr>
                <w:b/>
                <w:bCs/>
                <w:szCs w:val="21"/>
              </w:rPr>
            </w:pPr>
            <w:r>
              <w:rPr>
                <w:b/>
                <w:bCs/>
                <w:szCs w:val="21"/>
              </w:rPr>
              <w:t>内容</w:t>
            </w:r>
          </w:p>
          <w:p w14:paraId="14E1471B">
            <w:pPr>
              <w:adjustRightInd w:val="0"/>
              <w:snapToGrid w:val="0"/>
              <w:spacing w:line="240" w:lineRule="auto"/>
              <w:rPr>
                <w:b/>
                <w:bCs/>
                <w:szCs w:val="21"/>
              </w:rPr>
            </w:pPr>
            <w:r>
              <w:rPr>
                <w:b/>
                <w:bCs/>
                <w:szCs w:val="21"/>
              </w:rPr>
              <w:t>要素</w:t>
            </w:r>
          </w:p>
        </w:tc>
        <w:tc>
          <w:tcPr>
            <w:tcW w:w="968" w:type="pct"/>
            <w:noWrap w:val="0"/>
            <w:vAlign w:val="center"/>
          </w:tcPr>
          <w:p w14:paraId="40C38F2D">
            <w:pPr>
              <w:adjustRightInd w:val="0"/>
              <w:snapToGrid w:val="0"/>
              <w:spacing w:line="240" w:lineRule="auto"/>
              <w:jc w:val="center"/>
              <w:rPr>
                <w:b/>
                <w:bCs/>
                <w:szCs w:val="21"/>
              </w:rPr>
            </w:pPr>
            <w:r>
              <w:rPr>
                <w:b/>
                <w:bCs/>
                <w:szCs w:val="21"/>
              </w:rPr>
              <w:t>排放口(编号、名称)/污染源</w:t>
            </w:r>
          </w:p>
        </w:tc>
        <w:tc>
          <w:tcPr>
            <w:tcW w:w="699" w:type="pct"/>
            <w:noWrap w:val="0"/>
            <w:vAlign w:val="center"/>
          </w:tcPr>
          <w:p w14:paraId="206DB490">
            <w:pPr>
              <w:adjustRightInd w:val="0"/>
              <w:snapToGrid w:val="0"/>
              <w:spacing w:line="240" w:lineRule="auto"/>
              <w:jc w:val="center"/>
              <w:rPr>
                <w:b/>
                <w:bCs/>
                <w:szCs w:val="21"/>
              </w:rPr>
            </w:pPr>
            <w:r>
              <w:rPr>
                <w:b/>
                <w:bCs/>
                <w:szCs w:val="21"/>
              </w:rPr>
              <w:t>污染物项目</w:t>
            </w:r>
          </w:p>
        </w:tc>
        <w:tc>
          <w:tcPr>
            <w:tcW w:w="1083" w:type="pct"/>
            <w:noWrap w:val="0"/>
            <w:vAlign w:val="center"/>
          </w:tcPr>
          <w:p w14:paraId="3E36FF53">
            <w:pPr>
              <w:adjustRightInd w:val="0"/>
              <w:snapToGrid w:val="0"/>
              <w:spacing w:line="240" w:lineRule="auto"/>
              <w:jc w:val="center"/>
              <w:rPr>
                <w:b/>
                <w:bCs/>
                <w:szCs w:val="21"/>
              </w:rPr>
            </w:pPr>
            <w:r>
              <w:rPr>
                <w:b/>
                <w:bCs/>
                <w:szCs w:val="21"/>
              </w:rPr>
              <w:t>环境保护措施</w:t>
            </w:r>
          </w:p>
        </w:tc>
        <w:tc>
          <w:tcPr>
            <w:tcW w:w="1615" w:type="pct"/>
            <w:noWrap w:val="0"/>
            <w:vAlign w:val="center"/>
          </w:tcPr>
          <w:p w14:paraId="0E750282">
            <w:pPr>
              <w:adjustRightInd w:val="0"/>
              <w:snapToGrid w:val="0"/>
              <w:spacing w:line="240" w:lineRule="auto"/>
              <w:jc w:val="center"/>
              <w:rPr>
                <w:b/>
                <w:bCs/>
                <w:szCs w:val="21"/>
              </w:rPr>
            </w:pPr>
            <w:r>
              <w:rPr>
                <w:b/>
                <w:bCs/>
                <w:szCs w:val="21"/>
              </w:rPr>
              <w:t>执行标准</w:t>
            </w:r>
          </w:p>
        </w:tc>
      </w:tr>
      <w:tr w14:paraId="36468E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33" w:type="pct"/>
            <w:vMerge w:val="restart"/>
            <w:noWrap w:val="0"/>
            <w:vAlign w:val="center"/>
          </w:tcPr>
          <w:p w14:paraId="314279F0">
            <w:pPr>
              <w:adjustRightInd w:val="0"/>
              <w:snapToGrid w:val="0"/>
              <w:spacing w:line="240" w:lineRule="auto"/>
              <w:jc w:val="center"/>
              <w:rPr>
                <w:szCs w:val="21"/>
              </w:rPr>
            </w:pPr>
            <w:r>
              <w:rPr>
                <w:szCs w:val="21"/>
              </w:rPr>
              <w:t>大气环境</w:t>
            </w:r>
          </w:p>
        </w:tc>
        <w:tc>
          <w:tcPr>
            <w:tcW w:w="968" w:type="pct"/>
            <w:noWrap w:val="0"/>
            <w:vAlign w:val="center"/>
          </w:tcPr>
          <w:p w14:paraId="1F7451C5">
            <w:pPr>
              <w:adjustRightInd w:val="0"/>
              <w:snapToGrid w:val="0"/>
              <w:spacing w:line="240" w:lineRule="auto"/>
              <w:jc w:val="center"/>
              <w:rPr>
                <w:szCs w:val="21"/>
              </w:rPr>
            </w:pPr>
            <w:r>
              <w:rPr>
                <w:rFonts w:hint="eastAsia"/>
                <w:szCs w:val="21"/>
                <w:lang w:val="en-US" w:eastAsia="zh-CN"/>
              </w:rPr>
              <w:t>废油液抽取</w:t>
            </w:r>
            <w:r>
              <w:rPr>
                <w:rFonts w:hint="eastAsia"/>
                <w:szCs w:val="21"/>
              </w:rPr>
              <w:t>工段</w:t>
            </w:r>
            <w:r>
              <w:rPr>
                <w:szCs w:val="21"/>
              </w:rPr>
              <w:t>排放口DA001</w:t>
            </w:r>
          </w:p>
        </w:tc>
        <w:tc>
          <w:tcPr>
            <w:tcW w:w="699" w:type="pct"/>
            <w:noWrap w:val="0"/>
            <w:vAlign w:val="center"/>
          </w:tcPr>
          <w:p w14:paraId="2A272440">
            <w:pPr>
              <w:adjustRightInd w:val="0"/>
              <w:snapToGrid w:val="0"/>
              <w:spacing w:line="240" w:lineRule="auto"/>
              <w:jc w:val="center"/>
              <w:rPr>
                <w:rFonts w:hint="eastAsia" w:eastAsia="宋体"/>
                <w:szCs w:val="21"/>
                <w:lang w:val="en-US" w:eastAsia="zh-CN"/>
              </w:rPr>
            </w:pPr>
            <w:r>
              <w:rPr>
                <w:rFonts w:hint="eastAsia"/>
                <w:szCs w:val="21"/>
                <w:lang w:val="en-US" w:eastAsia="zh-CN"/>
              </w:rPr>
              <w:t>非甲烷总烃</w:t>
            </w:r>
          </w:p>
        </w:tc>
        <w:tc>
          <w:tcPr>
            <w:tcW w:w="1083" w:type="pct"/>
            <w:noWrap w:val="0"/>
            <w:vAlign w:val="center"/>
          </w:tcPr>
          <w:p w14:paraId="695FDB91">
            <w:pPr>
              <w:adjustRightInd w:val="0"/>
              <w:snapToGrid w:val="0"/>
              <w:spacing w:line="240" w:lineRule="auto"/>
              <w:jc w:val="center"/>
              <w:rPr>
                <w:szCs w:val="21"/>
              </w:rPr>
            </w:pPr>
            <w:r>
              <w:rPr>
                <w:rFonts w:hint="eastAsia"/>
                <w:szCs w:val="21"/>
                <w:lang w:val="en-US" w:eastAsia="zh-CN"/>
              </w:rPr>
              <w:t>二级活性炭吸附装置</w:t>
            </w:r>
            <w:r>
              <w:rPr>
                <w:rFonts w:hint="eastAsia"/>
                <w:szCs w:val="21"/>
              </w:rPr>
              <w:t>+15m高排气筒</w:t>
            </w:r>
          </w:p>
        </w:tc>
        <w:tc>
          <w:tcPr>
            <w:tcW w:w="1615" w:type="pct"/>
            <w:vMerge w:val="restart"/>
            <w:noWrap w:val="0"/>
            <w:vAlign w:val="center"/>
          </w:tcPr>
          <w:p w14:paraId="4FCDA583">
            <w:pPr>
              <w:adjustRightInd w:val="0"/>
              <w:snapToGrid w:val="0"/>
              <w:spacing w:line="240" w:lineRule="auto"/>
              <w:jc w:val="center"/>
              <w:rPr>
                <w:rFonts w:hint="default" w:eastAsia="宋体"/>
                <w:szCs w:val="21"/>
                <w:lang w:val="en-US" w:eastAsia="zh-CN"/>
              </w:rPr>
            </w:pPr>
            <w:r>
              <w:rPr>
                <w:szCs w:val="21"/>
              </w:rPr>
              <w:t>《大气污染物综合排放标准》（</w:t>
            </w:r>
            <w:r>
              <w:rPr>
                <w:rFonts w:hint="eastAsia"/>
                <w:szCs w:val="21"/>
              </w:rPr>
              <w:t>GB16297-1996</w:t>
            </w:r>
            <w:r>
              <w:rPr>
                <w:szCs w:val="21"/>
              </w:rPr>
              <w:t>）</w:t>
            </w:r>
            <w:r>
              <w:rPr>
                <w:rFonts w:hint="eastAsia"/>
                <w:szCs w:val="21"/>
                <w:lang w:val="en-US" w:eastAsia="zh-CN"/>
              </w:rPr>
              <w:t>表2中的二级标准</w:t>
            </w:r>
          </w:p>
        </w:tc>
      </w:tr>
      <w:tr w14:paraId="2724CA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33" w:type="pct"/>
            <w:vMerge w:val="continue"/>
            <w:noWrap w:val="0"/>
            <w:vAlign w:val="center"/>
          </w:tcPr>
          <w:p w14:paraId="18DDE03D">
            <w:pPr>
              <w:adjustRightInd w:val="0"/>
              <w:snapToGrid w:val="0"/>
              <w:spacing w:line="240" w:lineRule="auto"/>
              <w:jc w:val="center"/>
              <w:rPr>
                <w:szCs w:val="21"/>
              </w:rPr>
            </w:pPr>
          </w:p>
        </w:tc>
        <w:tc>
          <w:tcPr>
            <w:tcW w:w="968" w:type="pct"/>
            <w:noWrap w:val="0"/>
            <w:vAlign w:val="center"/>
          </w:tcPr>
          <w:p w14:paraId="41BE6ED7">
            <w:pPr>
              <w:adjustRightInd w:val="0"/>
              <w:snapToGrid w:val="0"/>
              <w:spacing w:line="240" w:lineRule="auto"/>
              <w:jc w:val="center"/>
              <w:rPr>
                <w:rFonts w:hint="default"/>
                <w:szCs w:val="21"/>
                <w:lang w:val="en-US" w:eastAsia="zh-CN"/>
              </w:rPr>
            </w:pPr>
            <w:r>
              <w:rPr>
                <w:rFonts w:hint="eastAsia"/>
                <w:szCs w:val="21"/>
                <w:lang w:val="en-US" w:eastAsia="zh-CN"/>
              </w:rPr>
              <w:t>废油液贮存工段排放口DA002</w:t>
            </w:r>
          </w:p>
        </w:tc>
        <w:tc>
          <w:tcPr>
            <w:tcW w:w="699" w:type="pct"/>
            <w:noWrap w:val="0"/>
            <w:vAlign w:val="center"/>
          </w:tcPr>
          <w:p w14:paraId="54A9C100">
            <w:pPr>
              <w:adjustRightInd w:val="0"/>
              <w:snapToGrid w:val="0"/>
              <w:spacing w:line="240" w:lineRule="auto"/>
              <w:jc w:val="center"/>
              <w:rPr>
                <w:rFonts w:hint="default"/>
                <w:szCs w:val="21"/>
                <w:lang w:val="en-US" w:eastAsia="zh-CN"/>
              </w:rPr>
            </w:pPr>
            <w:r>
              <w:rPr>
                <w:rFonts w:hint="eastAsia"/>
                <w:szCs w:val="21"/>
                <w:lang w:val="en-US" w:eastAsia="zh-CN"/>
              </w:rPr>
              <w:t>非甲烷总烃</w:t>
            </w:r>
          </w:p>
        </w:tc>
        <w:tc>
          <w:tcPr>
            <w:tcW w:w="1083" w:type="pct"/>
            <w:noWrap w:val="0"/>
            <w:vAlign w:val="center"/>
          </w:tcPr>
          <w:p w14:paraId="7FA4B87B">
            <w:pPr>
              <w:adjustRightInd w:val="0"/>
              <w:snapToGrid w:val="0"/>
              <w:spacing w:line="240" w:lineRule="auto"/>
              <w:jc w:val="center"/>
              <w:rPr>
                <w:rFonts w:hint="eastAsia"/>
                <w:szCs w:val="21"/>
                <w:lang w:val="en-US" w:eastAsia="zh-CN"/>
              </w:rPr>
            </w:pPr>
            <w:r>
              <w:rPr>
                <w:rFonts w:hint="eastAsia"/>
                <w:szCs w:val="21"/>
                <w:lang w:val="en-US" w:eastAsia="zh-CN"/>
              </w:rPr>
              <w:t>二级活性炭吸附装置</w:t>
            </w:r>
            <w:r>
              <w:rPr>
                <w:rFonts w:hint="eastAsia"/>
                <w:szCs w:val="21"/>
              </w:rPr>
              <w:t>+15m高排气筒</w:t>
            </w:r>
          </w:p>
        </w:tc>
        <w:tc>
          <w:tcPr>
            <w:tcW w:w="1615" w:type="pct"/>
            <w:vMerge w:val="continue"/>
            <w:noWrap w:val="0"/>
            <w:vAlign w:val="center"/>
          </w:tcPr>
          <w:p w14:paraId="58154A3A">
            <w:pPr>
              <w:adjustRightInd w:val="0"/>
              <w:snapToGrid w:val="0"/>
              <w:spacing w:line="240" w:lineRule="auto"/>
              <w:jc w:val="center"/>
              <w:rPr>
                <w:szCs w:val="21"/>
              </w:rPr>
            </w:pPr>
          </w:p>
        </w:tc>
      </w:tr>
      <w:tr w14:paraId="3D9457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33" w:type="pct"/>
            <w:vMerge w:val="continue"/>
            <w:noWrap w:val="0"/>
            <w:vAlign w:val="center"/>
          </w:tcPr>
          <w:p w14:paraId="1C22E622">
            <w:pPr>
              <w:adjustRightInd w:val="0"/>
              <w:snapToGrid w:val="0"/>
              <w:spacing w:line="240" w:lineRule="auto"/>
              <w:jc w:val="center"/>
              <w:rPr>
                <w:szCs w:val="21"/>
              </w:rPr>
            </w:pPr>
          </w:p>
        </w:tc>
        <w:tc>
          <w:tcPr>
            <w:tcW w:w="968" w:type="pct"/>
            <w:noWrap w:val="0"/>
            <w:vAlign w:val="center"/>
          </w:tcPr>
          <w:p w14:paraId="18C1A879">
            <w:pPr>
              <w:adjustRightInd w:val="0"/>
              <w:snapToGrid w:val="0"/>
              <w:spacing w:line="240" w:lineRule="auto"/>
              <w:jc w:val="center"/>
              <w:rPr>
                <w:rFonts w:hint="default"/>
                <w:szCs w:val="21"/>
                <w:lang w:val="en-US" w:eastAsia="zh-CN"/>
              </w:rPr>
            </w:pPr>
            <w:r>
              <w:rPr>
                <w:rFonts w:hint="eastAsia"/>
                <w:szCs w:val="21"/>
                <w:lang w:val="en-US" w:eastAsia="zh-CN"/>
              </w:rPr>
              <w:t>切割工段废气排放口DA003</w:t>
            </w:r>
          </w:p>
        </w:tc>
        <w:tc>
          <w:tcPr>
            <w:tcW w:w="699" w:type="pct"/>
            <w:noWrap w:val="0"/>
            <w:vAlign w:val="center"/>
          </w:tcPr>
          <w:p w14:paraId="7A2931C6">
            <w:pPr>
              <w:adjustRightInd w:val="0"/>
              <w:snapToGrid w:val="0"/>
              <w:spacing w:line="240" w:lineRule="auto"/>
              <w:jc w:val="center"/>
              <w:rPr>
                <w:rFonts w:hint="default"/>
                <w:szCs w:val="21"/>
                <w:lang w:val="en-US" w:eastAsia="zh-CN"/>
              </w:rPr>
            </w:pPr>
            <w:r>
              <w:rPr>
                <w:rFonts w:hint="eastAsia"/>
                <w:szCs w:val="21"/>
                <w:lang w:val="en-US" w:eastAsia="zh-CN"/>
              </w:rPr>
              <w:t>颗粒物</w:t>
            </w:r>
          </w:p>
        </w:tc>
        <w:tc>
          <w:tcPr>
            <w:tcW w:w="1083" w:type="pct"/>
            <w:noWrap w:val="0"/>
            <w:vAlign w:val="center"/>
          </w:tcPr>
          <w:p w14:paraId="0B608FE6">
            <w:pPr>
              <w:adjustRightInd w:val="0"/>
              <w:snapToGrid w:val="0"/>
              <w:spacing w:line="240" w:lineRule="auto"/>
              <w:jc w:val="center"/>
              <w:rPr>
                <w:rFonts w:hint="default"/>
                <w:szCs w:val="21"/>
                <w:lang w:val="en-US" w:eastAsia="zh-CN"/>
              </w:rPr>
            </w:pPr>
            <w:r>
              <w:rPr>
                <w:rFonts w:hint="eastAsia"/>
                <w:szCs w:val="21"/>
                <w:lang w:val="en-US" w:eastAsia="zh-CN"/>
              </w:rPr>
              <w:t>布袋除尘器+15m高排气筒</w:t>
            </w:r>
          </w:p>
        </w:tc>
        <w:tc>
          <w:tcPr>
            <w:tcW w:w="1615" w:type="pct"/>
            <w:vMerge w:val="continue"/>
            <w:noWrap w:val="0"/>
            <w:vAlign w:val="center"/>
          </w:tcPr>
          <w:p w14:paraId="363289F0">
            <w:pPr>
              <w:adjustRightInd w:val="0"/>
              <w:snapToGrid w:val="0"/>
              <w:spacing w:line="240" w:lineRule="auto"/>
              <w:jc w:val="center"/>
              <w:rPr>
                <w:rFonts w:hint="default"/>
                <w:szCs w:val="21"/>
                <w:lang w:val="en-US"/>
              </w:rPr>
            </w:pPr>
          </w:p>
        </w:tc>
      </w:tr>
      <w:tr w14:paraId="14AA59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33" w:type="pct"/>
            <w:vMerge w:val="continue"/>
            <w:noWrap w:val="0"/>
            <w:vAlign w:val="center"/>
          </w:tcPr>
          <w:p w14:paraId="3A70D166">
            <w:pPr>
              <w:adjustRightInd w:val="0"/>
              <w:snapToGrid w:val="0"/>
              <w:spacing w:line="240" w:lineRule="auto"/>
              <w:jc w:val="center"/>
              <w:rPr>
                <w:szCs w:val="21"/>
              </w:rPr>
            </w:pPr>
          </w:p>
        </w:tc>
        <w:tc>
          <w:tcPr>
            <w:tcW w:w="968" w:type="pct"/>
            <w:vMerge w:val="restart"/>
            <w:noWrap w:val="0"/>
            <w:vAlign w:val="center"/>
          </w:tcPr>
          <w:p w14:paraId="46DF040F">
            <w:pPr>
              <w:adjustRightInd w:val="0"/>
              <w:snapToGrid w:val="0"/>
              <w:spacing w:line="240" w:lineRule="auto"/>
              <w:jc w:val="center"/>
              <w:rPr>
                <w:rFonts w:hint="eastAsia"/>
                <w:szCs w:val="21"/>
              </w:rPr>
            </w:pPr>
            <w:r>
              <w:rPr>
                <w:rFonts w:hint="eastAsia"/>
                <w:szCs w:val="21"/>
              </w:rPr>
              <w:t>厂界</w:t>
            </w:r>
          </w:p>
        </w:tc>
        <w:tc>
          <w:tcPr>
            <w:tcW w:w="699" w:type="pct"/>
            <w:noWrap w:val="0"/>
            <w:vAlign w:val="center"/>
          </w:tcPr>
          <w:p w14:paraId="1C0387E2">
            <w:pPr>
              <w:adjustRightInd w:val="0"/>
              <w:snapToGrid w:val="0"/>
              <w:spacing w:line="240" w:lineRule="auto"/>
              <w:jc w:val="center"/>
              <w:rPr>
                <w:rFonts w:hint="eastAsia" w:eastAsia="宋体"/>
                <w:szCs w:val="21"/>
                <w:lang w:eastAsia="zh-CN"/>
              </w:rPr>
            </w:pPr>
            <w:r>
              <w:rPr>
                <w:rFonts w:hint="eastAsia"/>
                <w:szCs w:val="21"/>
                <w:lang w:val="en-US" w:eastAsia="zh-CN"/>
              </w:rPr>
              <w:t>颗粒物</w:t>
            </w:r>
          </w:p>
        </w:tc>
        <w:tc>
          <w:tcPr>
            <w:tcW w:w="1083" w:type="pct"/>
            <w:vMerge w:val="restart"/>
            <w:noWrap w:val="0"/>
            <w:vAlign w:val="center"/>
          </w:tcPr>
          <w:p w14:paraId="093D9523">
            <w:pPr>
              <w:adjustRightInd w:val="0"/>
              <w:snapToGrid w:val="0"/>
              <w:spacing w:line="240" w:lineRule="auto"/>
              <w:jc w:val="center"/>
              <w:rPr>
                <w:rFonts w:hint="eastAsia"/>
                <w:color w:val="FF0000"/>
                <w:szCs w:val="21"/>
              </w:rPr>
            </w:pPr>
            <w:r>
              <w:rPr>
                <w:rFonts w:hint="eastAsia"/>
                <w:szCs w:val="21"/>
              </w:rPr>
              <w:t>/</w:t>
            </w:r>
          </w:p>
        </w:tc>
        <w:tc>
          <w:tcPr>
            <w:tcW w:w="1615" w:type="pct"/>
            <w:vMerge w:val="restart"/>
            <w:noWrap w:val="0"/>
            <w:vAlign w:val="center"/>
          </w:tcPr>
          <w:p w14:paraId="7F08BFB6">
            <w:pPr>
              <w:adjustRightInd w:val="0"/>
              <w:snapToGrid w:val="0"/>
              <w:spacing w:line="240" w:lineRule="auto"/>
              <w:jc w:val="center"/>
              <w:rPr>
                <w:szCs w:val="21"/>
              </w:rPr>
            </w:pPr>
            <w:r>
              <w:rPr>
                <w:szCs w:val="21"/>
              </w:rPr>
              <w:t>《大气污染物综合排放标准》（</w:t>
            </w:r>
            <w:r>
              <w:rPr>
                <w:rFonts w:hint="eastAsia"/>
                <w:szCs w:val="21"/>
              </w:rPr>
              <w:t>GB16297-1996</w:t>
            </w:r>
            <w:r>
              <w:rPr>
                <w:szCs w:val="21"/>
              </w:rPr>
              <w:t>）</w:t>
            </w:r>
            <w:r>
              <w:rPr>
                <w:rFonts w:hint="eastAsia"/>
                <w:szCs w:val="21"/>
              </w:rPr>
              <w:t>表2中无组织监控浓度限值要求</w:t>
            </w:r>
          </w:p>
        </w:tc>
      </w:tr>
      <w:tr w14:paraId="5F9DE6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33" w:type="pct"/>
            <w:vMerge w:val="continue"/>
            <w:noWrap w:val="0"/>
            <w:vAlign w:val="center"/>
          </w:tcPr>
          <w:p w14:paraId="415E2538">
            <w:pPr>
              <w:adjustRightInd w:val="0"/>
              <w:snapToGrid w:val="0"/>
              <w:spacing w:line="240" w:lineRule="auto"/>
              <w:jc w:val="center"/>
              <w:rPr>
                <w:szCs w:val="21"/>
              </w:rPr>
            </w:pPr>
          </w:p>
        </w:tc>
        <w:tc>
          <w:tcPr>
            <w:tcW w:w="968" w:type="pct"/>
            <w:vMerge w:val="continue"/>
            <w:noWrap w:val="0"/>
            <w:vAlign w:val="center"/>
          </w:tcPr>
          <w:p w14:paraId="2470F8C8">
            <w:pPr>
              <w:adjustRightInd w:val="0"/>
              <w:snapToGrid w:val="0"/>
              <w:spacing w:line="240" w:lineRule="auto"/>
              <w:jc w:val="center"/>
              <w:rPr>
                <w:rFonts w:hint="eastAsia"/>
                <w:szCs w:val="21"/>
              </w:rPr>
            </w:pPr>
          </w:p>
        </w:tc>
        <w:tc>
          <w:tcPr>
            <w:tcW w:w="699" w:type="pct"/>
            <w:noWrap w:val="0"/>
            <w:vAlign w:val="center"/>
          </w:tcPr>
          <w:p w14:paraId="3DB98ED4">
            <w:pPr>
              <w:adjustRightInd w:val="0"/>
              <w:snapToGrid w:val="0"/>
              <w:spacing w:line="240" w:lineRule="auto"/>
              <w:jc w:val="center"/>
              <w:rPr>
                <w:rFonts w:hint="eastAsia"/>
                <w:szCs w:val="21"/>
                <w:lang w:val="en-US" w:eastAsia="zh-CN"/>
              </w:rPr>
            </w:pPr>
            <w:r>
              <w:rPr>
                <w:rFonts w:hint="eastAsia"/>
                <w:szCs w:val="21"/>
                <w:lang w:val="en-US" w:eastAsia="zh-CN"/>
              </w:rPr>
              <w:t>非甲烷总烃</w:t>
            </w:r>
          </w:p>
        </w:tc>
        <w:tc>
          <w:tcPr>
            <w:tcW w:w="1083" w:type="pct"/>
            <w:vMerge w:val="continue"/>
            <w:noWrap w:val="0"/>
            <w:vAlign w:val="center"/>
          </w:tcPr>
          <w:p w14:paraId="77934984">
            <w:pPr>
              <w:adjustRightInd w:val="0"/>
              <w:snapToGrid w:val="0"/>
              <w:spacing w:line="240" w:lineRule="auto"/>
              <w:jc w:val="center"/>
              <w:rPr>
                <w:rFonts w:hint="eastAsia"/>
                <w:szCs w:val="21"/>
              </w:rPr>
            </w:pPr>
          </w:p>
        </w:tc>
        <w:tc>
          <w:tcPr>
            <w:tcW w:w="1615" w:type="pct"/>
            <w:vMerge w:val="continue"/>
            <w:noWrap w:val="0"/>
            <w:vAlign w:val="center"/>
          </w:tcPr>
          <w:p w14:paraId="0D004AC5">
            <w:pPr>
              <w:adjustRightInd w:val="0"/>
              <w:snapToGrid w:val="0"/>
              <w:spacing w:line="240" w:lineRule="auto"/>
              <w:jc w:val="center"/>
              <w:rPr>
                <w:szCs w:val="21"/>
              </w:rPr>
            </w:pPr>
          </w:p>
        </w:tc>
      </w:tr>
      <w:tr w14:paraId="62A4D0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633" w:type="pct"/>
            <w:vMerge w:val="continue"/>
            <w:noWrap w:val="0"/>
            <w:vAlign w:val="center"/>
          </w:tcPr>
          <w:p w14:paraId="010F3A5D">
            <w:pPr>
              <w:adjustRightInd w:val="0"/>
              <w:snapToGrid w:val="0"/>
              <w:spacing w:line="240" w:lineRule="auto"/>
              <w:jc w:val="center"/>
              <w:rPr>
                <w:szCs w:val="21"/>
              </w:rPr>
            </w:pPr>
          </w:p>
        </w:tc>
        <w:tc>
          <w:tcPr>
            <w:tcW w:w="968" w:type="pct"/>
            <w:noWrap w:val="0"/>
            <w:vAlign w:val="center"/>
          </w:tcPr>
          <w:p w14:paraId="48138AB5">
            <w:pPr>
              <w:adjustRightInd w:val="0"/>
              <w:snapToGrid w:val="0"/>
              <w:spacing w:line="240" w:lineRule="auto"/>
              <w:jc w:val="center"/>
              <w:rPr>
                <w:rFonts w:hint="eastAsia" w:eastAsia="宋体"/>
                <w:szCs w:val="21"/>
                <w:lang w:val="en-US" w:eastAsia="zh-CN"/>
              </w:rPr>
            </w:pPr>
            <w:r>
              <w:rPr>
                <w:rFonts w:hint="eastAsia"/>
                <w:szCs w:val="21"/>
                <w:lang w:val="en-US" w:eastAsia="zh-CN"/>
              </w:rPr>
              <w:t>厂区内</w:t>
            </w:r>
          </w:p>
        </w:tc>
        <w:tc>
          <w:tcPr>
            <w:tcW w:w="699" w:type="pct"/>
            <w:noWrap w:val="0"/>
            <w:vAlign w:val="center"/>
          </w:tcPr>
          <w:p w14:paraId="436D58E7">
            <w:pPr>
              <w:adjustRightInd w:val="0"/>
              <w:snapToGrid w:val="0"/>
              <w:spacing w:line="240" w:lineRule="auto"/>
              <w:jc w:val="center"/>
              <w:rPr>
                <w:rFonts w:hint="eastAsia"/>
                <w:szCs w:val="21"/>
                <w:lang w:val="en-US" w:eastAsia="zh-CN"/>
              </w:rPr>
            </w:pPr>
            <w:r>
              <w:rPr>
                <w:rFonts w:hint="eastAsia"/>
                <w:szCs w:val="21"/>
                <w:lang w:val="en-US" w:eastAsia="zh-CN"/>
              </w:rPr>
              <w:t>非甲烷总烃</w:t>
            </w:r>
          </w:p>
        </w:tc>
        <w:tc>
          <w:tcPr>
            <w:tcW w:w="1083" w:type="pct"/>
            <w:noWrap w:val="0"/>
            <w:vAlign w:val="center"/>
          </w:tcPr>
          <w:p w14:paraId="6068F9F0">
            <w:pPr>
              <w:adjustRightInd w:val="0"/>
              <w:snapToGrid w:val="0"/>
              <w:spacing w:line="240" w:lineRule="auto"/>
              <w:jc w:val="center"/>
              <w:rPr>
                <w:rFonts w:hint="eastAsia" w:eastAsia="宋体"/>
                <w:szCs w:val="21"/>
                <w:lang w:val="en-US" w:eastAsia="zh-CN"/>
              </w:rPr>
            </w:pPr>
            <w:r>
              <w:rPr>
                <w:rFonts w:hint="eastAsia"/>
                <w:szCs w:val="21"/>
                <w:lang w:val="en-US" w:eastAsia="zh-CN"/>
              </w:rPr>
              <w:t>/</w:t>
            </w:r>
          </w:p>
        </w:tc>
        <w:tc>
          <w:tcPr>
            <w:tcW w:w="1615" w:type="pct"/>
            <w:noWrap w:val="0"/>
            <w:vAlign w:val="center"/>
          </w:tcPr>
          <w:p w14:paraId="6EFA45CC">
            <w:pPr>
              <w:adjustRightInd w:val="0"/>
              <w:snapToGrid w:val="0"/>
              <w:spacing w:line="240" w:lineRule="auto"/>
              <w:jc w:val="center"/>
              <w:rPr>
                <w:rFonts w:hint="default" w:eastAsia="宋体"/>
                <w:szCs w:val="21"/>
                <w:lang w:val="en-US" w:eastAsia="zh-CN"/>
              </w:rPr>
            </w:pPr>
            <w:r>
              <w:rPr>
                <w:rFonts w:hint="eastAsia"/>
              </w:rPr>
              <w:t>《固定源挥发性有机物综合排放标准第6部分：其他行业》（D</w:t>
            </w:r>
            <w:r>
              <w:t>B34/4812.6-2024</w:t>
            </w:r>
            <w:r>
              <w:rPr>
                <w:rFonts w:hint="eastAsia"/>
              </w:rPr>
              <w:t>）</w:t>
            </w:r>
            <w:r>
              <w:rPr>
                <w:rFonts w:hint="eastAsia"/>
                <w:lang w:val="en-US" w:eastAsia="zh-CN"/>
              </w:rPr>
              <w:t>表4中限值要求</w:t>
            </w:r>
          </w:p>
        </w:tc>
      </w:tr>
      <w:tr w14:paraId="201918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633" w:type="pct"/>
            <w:vMerge w:val="restart"/>
            <w:noWrap w:val="0"/>
            <w:vAlign w:val="center"/>
          </w:tcPr>
          <w:p w14:paraId="550A52F3">
            <w:pPr>
              <w:adjustRightInd w:val="0"/>
              <w:snapToGrid w:val="0"/>
              <w:spacing w:line="240" w:lineRule="auto"/>
              <w:jc w:val="center"/>
              <w:rPr>
                <w:szCs w:val="21"/>
              </w:rPr>
            </w:pPr>
            <w:r>
              <w:rPr>
                <w:szCs w:val="21"/>
              </w:rPr>
              <w:t>地表水环境</w:t>
            </w:r>
          </w:p>
        </w:tc>
        <w:tc>
          <w:tcPr>
            <w:tcW w:w="968" w:type="pct"/>
            <w:vMerge w:val="restart"/>
            <w:noWrap w:val="0"/>
            <w:vAlign w:val="center"/>
          </w:tcPr>
          <w:p w14:paraId="1ECA766A">
            <w:pPr>
              <w:adjustRightInd w:val="0"/>
              <w:snapToGrid w:val="0"/>
              <w:spacing w:line="240" w:lineRule="auto"/>
              <w:jc w:val="center"/>
              <w:rPr>
                <w:rFonts w:hint="eastAsia"/>
                <w:szCs w:val="21"/>
                <w:lang w:val="en-US" w:eastAsia="zh-CN"/>
              </w:rPr>
            </w:pPr>
            <w:r>
              <w:rPr>
                <w:rFonts w:hint="eastAsia"/>
                <w:szCs w:val="21"/>
                <w:lang w:val="en-US" w:eastAsia="zh-CN"/>
              </w:rPr>
              <w:t>地坪保洁废水、</w:t>
            </w:r>
          </w:p>
          <w:p w14:paraId="4A7FE3C6">
            <w:pPr>
              <w:adjustRightInd w:val="0"/>
              <w:snapToGrid w:val="0"/>
              <w:spacing w:line="240" w:lineRule="auto"/>
              <w:jc w:val="center"/>
              <w:rPr>
                <w:rFonts w:hint="default" w:eastAsia="宋体"/>
                <w:szCs w:val="21"/>
                <w:lang w:val="en-US" w:eastAsia="zh-CN"/>
              </w:rPr>
            </w:pPr>
            <w:r>
              <w:rPr>
                <w:rFonts w:hint="eastAsia"/>
                <w:szCs w:val="21"/>
                <w:lang w:val="en-US" w:eastAsia="zh-CN"/>
              </w:rPr>
              <w:t>初期雨水</w:t>
            </w:r>
          </w:p>
        </w:tc>
        <w:tc>
          <w:tcPr>
            <w:tcW w:w="699" w:type="pct"/>
            <w:noWrap w:val="0"/>
            <w:vAlign w:val="center"/>
          </w:tcPr>
          <w:p w14:paraId="181C4790">
            <w:pPr>
              <w:adjustRightInd w:val="0"/>
              <w:snapToGrid w:val="0"/>
              <w:spacing w:line="240" w:lineRule="auto"/>
              <w:jc w:val="center"/>
              <w:rPr>
                <w:rFonts w:hint="eastAsia"/>
                <w:szCs w:val="21"/>
              </w:rPr>
            </w:pPr>
            <w:r>
              <w:rPr>
                <w:szCs w:val="21"/>
              </w:rPr>
              <w:t>COD</w:t>
            </w:r>
          </w:p>
        </w:tc>
        <w:tc>
          <w:tcPr>
            <w:tcW w:w="1083" w:type="pct"/>
            <w:vMerge w:val="restart"/>
            <w:noWrap w:val="0"/>
            <w:vAlign w:val="center"/>
          </w:tcPr>
          <w:p w14:paraId="7A228F2F">
            <w:pPr>
              <w:adjustRightInd w:val="0"/>
              <w:snapToGrid w:val="0"/>
              <w:spacing w:line="240" w:lineRule="auto"/>
              <w:jc w:val="center"/>
              <w:rPr>
                <w:rFonts w:hint="default" w:eastAsia="宋体"/>
                <w:szCs w:val="21"/>
                <w:lang w:val="en-US" w:eastAsia="zh-CN"/>
              </w:rPr>
            </w:pPr>
            <w:r>
              <w:rPr>
                <w:rFonts w:hint="eastAsia"/>
                <w:szCs w:val="21"/>
                <w:lang w:val="en-US" w:eastAsia="zh-CN"/>
              </w:rPr>
              <w:t>经自建污水处理站（20m</w:t>
            </w:r>
            <w:r>
              <w:rPr>
                <w:rFonts w:hint="eastAsia"/>
                <w:szCs w:val="21"/>
                <w:vertAlign w:val="superscript"/>
                <w:lang w:val="en-US" w:eastAsia="zh-CN"/>
              </w:rPr>
              <w:t>3</w:t>
            </w:r>
            <w:r>
              <w:rPr>
                <w:rFonts w:hint="eastAsia"/>
                <w:szCs w:val="21"/>
                <w:lang w:val="en-US" w:eastAsia="zh-CN"/>
              </w:rPr>
              <w:t>/d）预处理后，回用于地坪保洁及厂区绿化</w:t>
            </w:r>
          </w:p>
        </w:tc>
        <w:tc>
          <w:tcPr>
            <w:tcW w:w="1615" w:type="pct"/>
            <w:vMerge w:val="restart"/>
            <w:noWrap w:val="0"/>
            <w:vAlign w:val="center"/>
          </w:tcPr>
          <w:p w14:paraId="50D86041">
            <w:pPr>
              <w:adjustRightInd w:val="0"/>
              <w:snapToGrid w:val="0"/>
              <w:spacing w:line="240" w:lineRule="auto"/>
              <w:jc w:val="center"/>
              <w:rPr>
                <w:rFonts w:hint="default" w:eastAsia="宋体"/>
                <w:szCs w:val="21"/>
                <w:lang w:val="en-US" w:eastAsia="zh-CN"/>
              </w:rPr>
            </w:pPr>
            <w:r>
              <w:rPr>
                <w:rFonts w:hint="eastAsia"/>
                <w:szCs w:val="21"/>
                <w:lang w:val="en-US" w:eastAsia="zh-CN"/>
              </w:rPr>
              <w:t>不外排</w:t>
            </w:r>
          </w:p>
        </w:tc>
      </w:tr>
      <w:tr w14:paraId="02A811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633" w:type="pct"/>
            <w:vMerge w:val="continue"/>
            <w:noWrap w:val="0"/>
            <w:vAlign w:val="center"/>
          </w:tcPr>
          <w:p w14:paraId="5DD8F801">
            <w:pPr>
              <w:adjustRightInd w:val="0"/>
              <w:snapToGrid w:val="0"/>
              <w:spacing w:line="240" w:lineRule="auto"/>
              <w:jc w:val="center"/>
              <w:rPr>
                <w:szCs w:val="21"/>
              </w:rPr>
            </w:pPr>
          </w:p>
        </w:tc>
        <w:tc>
          <w:tcPr>
            <w:tcW w:w="968" w:type="pct"/>
            <w:vMerge w:val="continue"/>
            <w:noWrap w:val="0"/>
            <w:vAlign w:val="center"/>
          </w:tcPr>
          <w:p w14:paraId="7A4B8F7B">
            <w:pPr>
              <w:adjustRightInd w:val="0"/>
              <w:snapToGrid w:val="0"/>
              <w:spacing w:line="240" w:lineRule="auto"/>
              <w:jc w:val="center"/>
              <w:rPr>
                <w:rFonts w:hint="default" w:eastAsia="宋体"/>
                <w:szCs w:val="21"/>
                <w:lang w:val="en-US" w:eastAsia="zh-CN"/>
              </w:rPr>
            </w:pPr>
          </w:p>
        </w:tc>
        <w:tc>
          <w:tcPr>
            <w:tcW w:w="699" w:type="pct"/>
            <w:noWrap w:val="0"/>
            <w:vAlign w:val="center"/>
          </w:tcPr>
          <w:p w14:paraId="55B04F74">
            <w:pPr>
              <w:adjustRightInd w:val="0"/>
              <w:snapToGrid w:val="0"/>
              <w:spacing w:line="240" w:lineRule="auto"/>
              <w:jc w:val="center"/>
              <w:rPr>
                <w:rFonts w:hint="default" w:eastAsia="宋体"/>
                <w:szCs w:val="21"/>
                <w:lang w:val="en-US" w:eastAsia="zh-CN"/>
              </w:rPr>
            </w:pPr>
            <w:r>
              <w:rPr>
                <w:rFonts w:hint="eastAsia"/>
                <w:szCs w:val="21"/>
                <w:lang w:val="en-US" w:eastAsia="zh-CN"/>
              </w:rPr>
              <w:t>SS</w:t>
            </w:r>
          </w:p>
        </w:tc>
        <w:tc>
          <w:tcPr>
            <w:tcW w:w="1083" w:type="pct"/>
            <w:vMerge w:val="continue"/>
            <w:noWrap w:val="0"/>
            <w:vAlign w:val="center"/>
          </w:tcPr>
          <w:p w14:paraId="17F0AECC">
            <w:pPr>
              <w:adjustRightInd w:val="0"/>
              <w:snapToGrid w:val="0"/>
              <w:spacing w:line="240" w:lineRule="auto"/>
              <w:jc w:val="center"/>
              <w:rPr>
                <w:szCs w:val="21"/>
              </w:rPr>
            </w:pPr>
          </w:p>
        </w:tc>
        <w:tc>
          <w:tcPr>
            <w:tcW w:w="1615" w:type="pct"/>
            <w:vMerge w:val="continue"/>
            <w:noWrap w:val="0"/>
            <w:vAlign w:val="center"/>
          </w:tcPr>
          <w:p w14:paraId="2A92792D">
            <w:pPr>
              <w:adjustRightInd w:val="0"/>
              <w:snapToGrid w:val="0"/>
              <w:spacing w:line="240" w:lineRule="auto"/>
              <w:jc w:val="center"/>
              <w:rPr>
                <w:szCs w:val="21"/>
              </w:rPr>
            </w:pPr>
          </w:p>
        </w:tc>
      </w:tr>
      <w:tr w14:paraId="3F2B7E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633" w:type="pct"/>
            <w:vMerge w:val="continue"/>
            <w:noWrap w:val="0"/>
            <w:vAlign w:val="center"/>
          </w:tcPr>
          <w:p w14:paraId="6359289F">
            <w:pPr>
              <w:adjustRightInd w:val="0"/>
              <w:snapToGrid w:val="0"/>
              <w:spacing w:line="240" w:lineRule="auto"/>
              <w:jc w:val="center"/>
              <w:rPr>
                <w:szCs w:val="21"/>
              </w:rPr>
            </w:pPr>
          </w:p>
        </w:tc>
        <w:tc>
          <w:tcPr>
            <w:tcW w:w="968" w:type="pct"/>
            <w:vMerge w:val="continue"/>
            <w:noWrap w:val="0"/>
            <w:vAlign w:val="center"/>
          </w:tcPr>
          <w:p w14:paraId="7F9DF525">
            <w:pPr>
              <w:adjustRightInd w:val="0"/>
              <w:snapToGrid w:val="0"/>
              <w:spacing w:line="240" w:lineRule="auto"/>
              <w:jc w:val="center"/>
              <w:rPr>
                <w:rFonts w:hint="eastAsia"/>
                <w:szCs w:val="21"/>
                <w:lang w:val="en-US" w:eastAsia="zh-CN"/>
              </w:rPr>
            </w:pPr>
          </w:p>
        </w:tc>
        <w:tc>
          <w:tcPr>
            <w:tcW w:w="699" w:type="pct"/>
            <w:noWrap w:val="0"/>
            <w:vAlign w:val="center"/>
          </w:tcPr>
          <w:p w14:paraId="77DCB5B9">
            <w:pPr>
              <w:adjustRightInd w:val="0"/>
              <w:snapToGrid w:val="0"/>
              <w:spacing w:line="240" w:lineRule="auto"/>
              <w:jc w:val="center"/>
              <w:rPr>
                <w:rFonts w:hint="eastAsia" w:eastAsia="宋体"/>
                <w:szCs w:val="21"/>
                <w:lang w:val="en-US" w:eastAsia="zh-CN"/>
              </w:rPr>
            </w:pPr>
            <w:r>
              <w:rPr>
                <w:rFonts w:hint="eastAsia"/>
                <w:szCs w:val="21"/>
                <w:lang w:val="en-US" w:eastAsia="zh-CN"/>
              </w:rPr>
              <w:t>石油类</w:t>
            </w:r>
          </w:p>
        </w:tc>
        <w:tc>
          <w:tcPr>
            <w:tcW w:w="1083" w:type="pct"/>
            <w:vMerge w:val="continue"/>
            <w:noWrap w:val="0"/>
            <w:vAlign w:val="center"/>
          </w:tcPr>
          <w:p w14:paraId="5CFD60FD">
            <w:pPr>
              <w:adjustRightInd w:val="0"/>
              <w:snapToGrid w:val="0"/>
              <w:spacing w:line="240" w:lineRule="auto"/>
              <w:jc w:val="center"/>
              <w:rPr>
                <w:szCs w:val="21"/>
              </w:rPr>
            </w:pPr>
          </w:p>
        </w:tc>
        <w:tc>
          <w:tcPr>
            <w:tcW w:w="1615" w:type="pct"/>
            <w:vMerge w:val="continue"/>
            <w:noWrap w:val="0"/>
            <w:vAlign w:val="center"/>
          </w:tcPr>
          <w:p w14:paraId="2FC8BCFE">
            <w:pPr>
              <w:adjustRightInd w:val="0"/>
              <w:snapToGrid w:val="0"/>
              <w:spacing w:line="240" w:lineRule="auto"/>
              <w:jc w:val="center"/>
              <w:rPr>
                <w:szCs w:val="21"/>
              </w:rPr>
            </w:pPr>
          </w:p>
        </w:tc>
      </w:tr>
      <w:tr w14:paraId="2748F4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633" w:type="pct"/>
            <w:vMerge w:val="continue"/>
            <w:noWrap w:val="0"/>
            <w:vAlign w:val="center"/>
          </w:tcPr>
          <w:p w14:paraId="3E5B811B">
            <w:pPr>
              <w:adjustRightInd w:val="0"/>
              <w:snapToGrid w:val="0"/>
              <w:spacing w:line="240" w:lineRule="auto"/>
              <w:jc w:val="center"/>
              <w:rPr>
                <w:szCs w:val="21"/>
              </w:rPr>
            </w:pPr>
          </w:p>
        </w:tc>
        <w:tc>
          <w:tcPr>
            <w:tcW w:w="968" w:type="pct"/>
            <w:vMerge w:val="restart"/>
            <w:noWrap w:val="0"/>
            <w:vAlign w:val="center"/>
          </w:tcPr>
          <w:p w14:paraId="348C4928">
            <w:pPr>
              <w:adjustRightInd w:val="0"/>
              <w:snapToGrid w:val="0"/>
              <w:spacing w:line="240" w:lineRule="auto"/>
              <w:jc w:val="center"/>
              <w:rPr>
                <w:rFonts w:hint="default" w:eastAsia="宋体"/>
                <w:szCs w:val="21"/>
                <w:lang w:val="en-US" w:eastAsia="zh-CN"/>
              </w:rPr>
            </w:pPr>
            <w:r>
              <w:rPr>
                <w:rFonts w:hint="eastAsia"/>
                <w:szCs w:val="21"/>
                <w:lang w:val="en-US" w:eastAsia="zh-CN"/>
              </w:rPr>
              <w:t>生活污水</w:t>
            </w:r>
          </w:p>
        </w:tc>
        <w:tc>
          <w:tcPr>
            <w:tcW w:w="699" w:type="pct"/>
            <w:noWrap w:val="0"/>
            <w:vAlign w:val="center"/>
          </w:tcPr>
          <w:p w14:paraId="7EAEDD31">
            <w:pPr>
              <w:adjustRightInd w:val="0"/>
              <w:snapToGrid w:val="0"/>
              <w:spacing w:line="240" w:lineRule="auto"/>
              <w:jc w:val="center"/>
              <w:rPr>
                <w:rFonts w:hint="default"/>
                <w:szCs w:val="21"/>
                <w:lang w:val="en-US" w:eastAsia="zh-CN"/>
              </w:rPr>
            </w:pPr>
            <w:r>
              <w:rPr>
                <w:rFonts w:hint="eastAsia"/>
                <w:szCs w:val="21"/>
                <w:lang w:val="en-US" w:eastAsia="zh-CN"/>
              </w:rPr>
              <w:t>PH</w:t>
            </w:r>
          </w:p>
        </w:tc>
        <w:tc>
          <w:tcPr>
            <w:tcW w:w="1083" w:type="pct"/>
            <w:vMerge w:val="restart"/>
            <w:noWrap w:val="0"/>
            <w:vAlign w:val="center"/>
          </w:tcPr>
          <w:p w14:paraId="342CA38D">
            <w:pPr>
              <w:adjustRightInd w:val="0"/>
              <w:snapToGrid w:val="0"/>
              <w:spacing w:line="240" w:lineRule="auto"/>
              <w:jc w:val="center"/>
              <w:rPr>
                <w:rFonts w:hint="default" w:eastAsia="宋体"/>
                <w:szCs w:val="21"/>
                <w:lang w:val="en-US" w:eastAsia="zh-CN"/>
              </w:rPr>
            </w:pPr>
            <w:r>
              <w:rPr>
                <w:rFonts w:hint="eastAsia"/>
                <w:szCs w:val="21"/>
                <w:lang w:val="en-US" w:eastAsia="zh-CN"/>
              </w:rPr>
              <w:t>化粪池（10m</w:t>
            </w:r>
            <w:r>
              <w:rPr>
                <w:rFonts w:hint="eastAsia"/>
                <w:szCs w:val="21"/>
                <w:vertAlign w:val="superscript"/>
                <w:lang w:val="en-US" w:eastAsia="zh-CN"/>
              </w:rPr>
              <w:t>3</w:t>
            </w:r>
            <w:r>
              <w:rPr>
                <w:rFonts w:hint="eastAsia"/>
                <w:szCs w:val="21"/>
                <w:lang w:val="en-US" w:eastAsia="zh-CN"/>
              </w:rPr>
              <w:t>）预处理后，定期清掏用于周边农田施肥，不外排</w:t>
            </w:r>
          </w:p>
        </w:tc>
        <w:tc>
          <w:tcPr>
            <w:tcW w:w="1615" w:type="pct"/>
            <w:vMerge w:val="continue"/>
            <w:noWrap w:val="0"/>
            <w:vAlign w:val="center"/>
          </w:tcPr>
          <w:p w14:paraId="55C9CFE6">
            <w:pPr>
              <w:adjustRightInd w:val="0"/>
              <w:snapToGrid w:val="0"/>
              <w:spacing w:line="240" w:lineRule="auto"/>
              <w:jc w:val="center"/>
              <w:rPr>
                <w:szCs w:val="21"/>
              </w:rPr>
            </w:pPr>
          </w:p>
        </w:tc>
      </w:tr>
      <w:tr w14:paraId="697B49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633" w:type="pct"/>
            <w:vMerge w:val="continue"/>
            <w:noWrap w:val="0"/>
            <w:vAlign w:val="center"/>
          </w:tcPr>
          <w:p w14:paraId="2014C329">
            <w:pPr>
              <w:adjustRightInd w:val="0"/>
              <w:snapToGrid w:val="0"/>
              <w:spacing w:line="240" w:lineRule="auto"/>
              <w:jc w:val="center"/>
              <w:rPr>
                <w:szCs w:val="21"/>
              </w:rPr>
            </w:pPr>
          </w:p>
        </w:tc>
        <w:tc>
          <w:tcPr>
            <w:tcW w:w="968" w:type="pct"/>
            <w:vMerge w:val="continue"/>
            <w:noWrap w:val="0"/>
            <w:vAlign w:val="center"/>
          </w:tcPr>
          <w:p w14:paraId="4D7D89F5">
            <w:pPr>
              <w:adjustRightInd w:val="0"/>
              <w:snapToGrid w:val="0"/>
              <w:spacing w:line="240" w:lineRule="auto"/>
              <w:jc w:val="center"/>
              <w:rPr>
                <w:rFonts w:hint="eastAsia"/>
                <w:szCs w:val="21"/>
                <w:lang w:val="en-US" w:eastAsia="zh-CN"/>
              </w:rPr>
            </w:pPr>
          </w:p>
        </w:tc>
        <w:tc>
          <w:tcPr>
            <w:tcW w:w="699" w:type="pct"/>
            <w:noWrap w:val="0"/>
            <w:vAlign w:val="center"/>
          </w:tcPr>
          <w:p w14:paraId="60FE2FC3">
            <w:pPr>
              <w:adjustRightInd w:val="0"/>
              <w:snapToGrid w:val="0"/>
              <w:spacing w:line="240" w:lineRule="auto"/>
              <w:jc w:val="center"/>
              <w:rPr>
                <w:rFonts w:hint="default"/>
                <w:szCs w:val="21"/>
                <w:lang w:val="en-US" w:eastAsia="zh-CN"/>
              </w:rPr>
            </w:pPr>
            <w:r>
              <w:rPr>
                <w:rFonts w:hint="eastAsia"/>
                <w:szCs w:val="21"/>
                <w:lang w:val="en-US" w:eastAsia="zh-CN"/>
              </w:rPr>
              <w:t>COD</w:t>
            </w:r>
          </w:p>
        </w:tc>
        <w:tc>
          <w:tcPr>
            <w:tcW w:w="1083" w:type="pct"/>
            <w:vMerge w:val="continue"/>
            <w:noWrap w:val="0"/>
            <w:vAlign w:val="center"/>
          </w:tcPr>
          <w:p w14:paraId="6105A77F">
            <w:pPr>
              <w:adjustRightInd w:val="0"/>
              <w:snapToGrid w:val="0"/>
              <w:spacing w:line="240" w:lineRule="auto"/>
              <w:jc w:val="center"/>
              <w:rPr>
                <w:szCs w:val="21"/>
              </w:rPr>
            </w:pPr>
          </w:p>
        </w:tc>
        <w:tc>
          <w:tcPr>
            <w:tcW w:w="1615" w:type="pct"/>
            <w:vMerge w:val="continue"/>
            <w:noWrap w:val="0"/>
            <w:vAlign w:val="center"/>
          </w:tcPr>
          <w:p w14:paraId="4E4180E8">
            <w:pPr>
              <w:adjustRightInd w:val="0"/>
              <w:snapToGrid w:val="0"/>
              <w:spacing w:line="240" w:lineRule="auto"/>
              <w:jc w:val="center"/>
              <w:rPr>
                <w:szCs w:val="21"/>
              </w:rPr>
            </w:pPr>
          </w:p>
        </w:tc>
      </w:tr>
      <w:tr w14:paraId="6C0A97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633" w:type="pct"/>
            <w:vMerge w:val="continue"/>
            <w:noWrap w:val="0"/>
            <w:vAlign w:val="center"/>
          </w:tcPr>
          <w:p w14:paraId="0AF135C7">
            <w:pPr>
              <w:adjustRightInd w:val="0"/>
              <w:snapToGrid w:val="0"/>
              <w:spacing w:line="240" w:lineRule="auto"/>
              <w:jc w:val="center"/>
              <w:rPr>
                <w:szCs w:val="21"/>
              </w:rPr>
            </w:pPr>
          </w:p>
        </w:tc>
        <w:tc>
          <w:tcPr>
            <w:tcW w:w="968" w:type="pct"/>
            <w:vMerge w:val="continue"/>
            <w:noWrap w:val="0"/>
            <w:vAlign w:val="center"/>
          </w:tcPr>
          <w:p w14:paraId="599477F3">
            <w:pPr>
              <w:adjustRightInd w:val="0"/>
              <w:snapToGrid w:val="0"/>
              <w:spacing w:line="240" w:lineRule="auto"/>
              <w:jc w:val="center"/>
              <w:rPr>
                <w:rFonts w:hint="default" w:eastAsia="宋体"/>
                <w:szCs w:val="21"/>
                <w:lang w:val="en-US" w:eastAsia="zh-CN"/>
              </w:rPr>
            </w:pPr>
          </w:p>
        </w:tc>
        <w:tc>
          <w:tcPr>
            <w:tcW w:w="699" w:type="pct"/>
            <w:noWrap w:val="0"/>
            <w:vAlign w:val="center"/>
          </w:tcPr>
          <w:p w14:paraId="48704F52">
            <w:pPr>
              <w:adjustRightInd w:val="0"/>
              <w:snapToGrid w:val="0"/>
              <w:spacing w:line="240" w:lineRule="auto"/>
              <w:jc w:val="center"/>
              <w:rPr>
                <w:szCs w:val="21"/>
              </w:rPr>
            </w:pPr>
            <w:r>
              <w:rPr>
                <w:szCs w:val="21"/>
              </w:rPr>
              <w:t>BOD</w:t>
            </w:r>
            <w:r>
              <w:rPr>
                <w:szCs w:val="21"/>
                <w:vertAlign w:val="subscript"/>
              </w:rPr>
              <w:t>5</w:t>
            </w:r>
          </w:p>
        </w:tc>
        <w:tc>
          <w:tcPr>
            <w:tcW w:w="1083" w:type="pct"/>
            <w:vMerge w:val="continue"/>
            <w:noWrap w:val="0"/>
            <w:vAlign w:val="center"/>
          </w:tcPr>
          <w:p w14:paraId="447F741D">
            <w:pPr>
              <w:adjustRightInd w:val="0"/>
              <w:snapToGrid w:val="0"/>
              <w:spacing w:line="240" w:lineRule="auto"/>
              <w:jc w:val="center"/>
              <w:rPr>
                <w:szCs w:val="21"/>
              </w:rPr>
            </w:pPr>
          </w:p>
        </w:tc>
        <w:tc>
          <w:tcPr>
            <w:tcW w:w="1615" w:type="pct"/>
            <w:vMerge w:val="continue"/>
            <w:noWrap w:val="0"/>
            <w:vAlign w:val="center"/>
          </w:tcPr>
          <w:p w14:paraId="60DC2838">
            <w:pPr>
              <w:adjustRightInd w:val="0"/>
              <w:snapToGrid w:val="0"/>
              <w:spacing w:line="240" w:lineRule="auto"/>
              <w:jc w:val="center"/>
              <w:rPr>
                <w:szCs w:val="21"/>
              </w:rPr>
            </w:pPr>
          </w:p>
        </w:tc>
      </w:tr>
      <w:tr w14:paraId="18A934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633" w:type="pct"/>
            <w:vMerge w:val="continue"/>
            <w:noWrap w:val="0"/>
            <w:vAlign w:val="center"/>
          </w:tcPr>
          <w:p w14:paraId="4F39B3E4">
            <w:pPr>
              <w:adjustRightInd w:val="0"/>
              <w:snapToGrid w:val="0"/>
              <w:spacing w:line="240" w:lineRule="auto"/>
              <w:jc w:val="center"/>
              <w:rPr>
                <w:szCs w:val="21"/>
              </w:rPr>
            </w:pPr>
          </w:p>
        </w:tc>
        <w:tc>
          <w:tcPr>
            <w:tcW w:w="968" w:type="pct"/>
            <w:vMerge w:val="continue"/>
            <w:noWrap w:val="0"/>
            <w:vAlign w:val="center"/>
          </w:tcPr>
          <w:p w14:paraId="6943191E">
            <w:pPr>
              <w:adjustRightInd w:val="0"/>
              <w:snapToGrid w:val="0"/>
              <w:spacing w:line="240" w:lineRule="auto"/>
              <w:jc w:val="center"/>
              <w:rPr>
                <w:szCs w:val="21"/>
              </w:rPr>
            </w:pPr>
          </w:p>
        </w:tc>
        <w:tc>
          <w:tcPr>
            <w:tcW w:w="699" w:type="pct"/>
            <w:noWrap w:val="0"/>
            <w:vAlign w:val="center"/>
          </w:tcPr>
          <w:p w14:paraId="7967AD65">
            <w:pPr>
              <w:adjustRightInd w:val="0"/>
              <w:snapToGrid w:val="0"/>
              <w:spacing w:line="240" w:lineRule="auto"/>
              <w:jc w:val="center"/>
              <w:rPr>
                <w:szCs w:val="21"/>
              </w:rPr>
            </w:pPr>
            <w:r>
              <w:rPr>
                <w:szCs w:val="21"/>
              </w:rPr>
              <w:t>NH</w:t>
            </w:r>
            <w:r>
              <w:rPr>
                <w:szCs w:val="21"/>
                <w:vertAlign w:val="subscript"/>
              </w:rPr>
              <w:t>3</w:t>
            </w:r>
            <w:r>
              <w:rPr>
                <w:szCs w:val="21"/>
              </w:rPr>
              <w:t>-N</w:t>
            </w:r>
          </w:p>
        </w:tc>
        <w:tc>
          <w:tcPr>
            <w:tcW w:w="1083" w:type="pct"/>
            <w:vMerge w:val="continue"/>
            <w:noWrap w:val="0"/>
            <w:vAlign w:val="center"/>
          </w:tcPr>
          <w:p w14:paraId="5CCC7872">
            <w:pPr>
              <w:adjustRightInd w:val="0"/>
              <w:snapToGrid w:val="0"/>
              <w:spacing w:line="240" w:lineRule="auto"/>
              <w:jc w:val="center"/>
              <w:rPr>
                <w:szCs w:val="21"/>
              </w:rPr>
            </w:pPr>
          </w:p>
        </w:tc>
        <w:tc>
          <w:tcPr>
            <w:tcW w:w="1615" w:type="pct"/>
            <w:vMerge w:val="continue"/>
            <w:noWrap w:val="0"/>
            <w:vAlign w:val="center"/>
          </w:tcPr>
          <w:p w14:paraId="2DE04264">
            <w:pPr>
              <w:adjustRightInd w:val="0"/>
              <w:snapToGrid w:val="0"/>
              <w:spacing w:line="240" w:lineRule="auto"/>
              <w:jc w:val="center"/>
              <w:rPr>
                <w:szCs w:val="21"/>
              </w:rPr>
            </w:pPr>
          </w:p>
        </w:tc>
      </w:tr>
      <w:tr w14:paraId="0918F4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633" w:type="pct"/>
            <w:vMerge w:val="continue"/>
            <w:noWrap w:val="0"/>
            <w:vAlign w:val="center"/>
          </w:tcPr>
          <w:p w14:paraId="47AAD747">
            <w:pPr>
              <w:adjustRightInd w:val="0"/>
              <w:snapToGrid w:val="0"/>
              <w:spacing w:line="240" w:lineRule="auto"/>
              <w:jc w:val="center"/>
              <w:rPr>
                <w:szCs w:val="21"/>
              </w:rPr>
            </w:pPr>
          </w:p>
        </w:tc>
        <w:tc>
          <w:tcPr>
            <w:tcW w:w="968" w:type="pct"/>
            <w:vMerge w:val="continue"/>
            <w:noWrap w:val="0"/>
            <w:vAlign w:val="center"/>
          </w:tcPr>
          <w:p w14:paraId="5D65C9F3">
            <w:pPr>
              <w:adjustRightInd w:val="0"/>
              <w:snapToGrid w:val="0"/>
              <w:spacing w:line="240" w:lineRule="auto"/>
              <w:jc w:val="center"/>
              <w:rPr>
                <w:szCs w:val="21"/>
              </w:rPr>
            </w:pPr>
          </w:p>
        </w:tc>
        <w:tc>
          <w:tcPr>
            <w:tcW w:w="699" w:type="pct"/>
            <w:noWrap w:val="0"/>
            <w:vAlign w:val="center"/>
          </w:tcPr>
          <w:p w14:paraId="123B68DF">
            <w:pPr>
              <w:adjustRightInd w:val="0"/>
              <w:snapToGrid w:val="0"/>
              <w:spacing w:line="240" w:lineRule="auto"/>
              <w:jc w:val="center"/>
              <w:rPr>
                <w:szCs w:val="21"/>
              </w:rPr>
            </w:pPr>
            <w:r>
              <w:rPr>
                <w:szCs w:val="21"/>
              </w:rPr>
              <w:t>SS</w:t>
            </w:r>
          </w:p>
        </w:tc>
        <w:tc>
          <w:tcPr>
            <w:tcW w:w="1083" w:type="pct"/>
            <w:vMerge w:val="continue"/>
            <w:noWrap w:val="0"/>
            <w:vAlign w:val="center"/>
          </w:tcPr>
          <w:p w14:paraId="3136107A">
            <w:pPr>
              <w:adjustRightInd w:val="0"/>
              <w:snapToGrid w:val="0"/>
              <w:spacing w:line="240" w:lineRule="auto"/>
              <w:jc w:val="center"/>
              <w:rPr>
                <w:szCs w:val="21"/>
              </w:rPr>
            </w:pPr>
          </w:p>
        </w:tc>
        <w:tc>
          <w:tcPr>
            <w:tcW w:w="1615" w:type="pct"/>
            <w:vMerge w:val="continue"/>
            <w:noWrap w:val="0"/>
            <w:vAlign w:val="center"/>
          </w:tcPr>
          <w:p w14:paraId="3EA0111F">
            <w:pPr>
              <w:adjustRightInd w:val="0"/>
              <w:snapToGrid w:val="0"/>
              <w:spacing w:line="240" w:lineRule="auto"/>
              <w:jc w:val="center"/>
              <w:rPr>
                <w:szCs w:val="21"/>
              </w:rPr>
            </w:pPr>
          </w:p>
        </w:tc>
      </w:tr>
      <w:tr w14:paraId="589B1A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33" w:type="pct"/>
            <w:vMerge w:val="continue"/>
            <w:noWrap w:val="0"/>
            <w:vAlign w:val="center"/>
          </w:tcPr>
          <w:p w14:paraId="32F92AA8">
            <w:pPr>
              <w:adjustRightInd w:val="0"/>
              <w:snapToGrid w:val="0"/>
              <w:spacing w:line="240" w:lineRule="auto"/>
              <w:jc w:val="center"/>
              <w:rPr>
                <w:szCs w:val="21"/>
              </w:rPr>
            </w:pPr>
          </w:p>
        </w:tc>
        <w:tc>
          <w:tcPr>
            <w:tcW w:w="968" w:type="pct"/>
            <w:vMerge w:val="continue"/>
            <w:noWrap w:val="0"/>
            <w:vAlign w:val="center"/>
          </w:tcPr>
          <w:p w14:paraId="5D63F11F">
            <w:pPr>
              <w:adjustRightInd w:val="0"/>
              <w:snapToGrid w:val="0"/>
              <w:spacing w:line="240" w:lineRule="auto"/>
              <w:jc w:val="center"/>
              <w:rPr>
                <w:szCs w:val="21"/>
              </w:rPr>
            </w:pPr>
          </w:p>
        </w:tc>
        <w:tc>
          <w:tcPr>
            <w:tcW w:w="699" w:type="pct"/>
            <w:noWrap w:val="0"/>
            <w:vAlign w:val="center"/>
          </w:tcPr>
          <w:p w14:paraId="1256CC19">
            <w:pPr>
              <w:adjustRightInd w:val="0"/>
              <w:snapToGrid w:val="0"/>
              <w:spacing w:line="240" w:lineRule="auto"/>
              <w:jc w:val="center"/>
              <w:rPr>
                <w:rFonts w:hint="eastAsia" w:eastAsia="宋体"/>
                <w:szCs w:val="21"/>
                <w:lang w:val="en-US" w:eastAsia="zh-CN"/>
              </w:rPr>
            </w:pPr>
            <w:r>
              <w:rPr>
                <w:rFonts w:hint="eastAsia"/>
                <w:szCs w:val="21"/>
                <w:lang w:val="en-US" w:eastAsia="zh-CN"/>
              </w:rPr>
              <w:t>动植物油</w:t>
            </w:r>
          </w:p>
        </w:tc>
        <w:tc>
          <w:tcPr>
            <w:tcW w:w="1083" w:type="pct"/>
            <w:vMerge w:val="continue"/>
            <w:noWrap w:val="0"/>
            <w:vAlign w:val="center"/>
          </w:tcPr>
          <w:p w14:paraId="0D21B89C">
            <w:pPr>
              <w:adjustRightInd w:val="0"/>
              <w:snapToGrid w:val="0"/>
              <w:spacing w:line="240" w:lineRule="auto"/>
              <w:jc w:val="center"/>
              <w:rPr>
                <w:szCs w:val="21"/>
              </w:rPr>
            </w:pPr>
          </w:p>
        </w:tc>
        <w:tc>
          <w:tcPr>
            <w:tcW w:w="1615" w:type="pct"/>
            <w:vMerge w:val="continue"/>
            <w:noWrap w:val="0"/>
            <w:vAlign w:val="center"/>
          </w:tcPr>
          <w:p w14:paraId="2FF1F12F">
            <w:pPr>
              <w:adjustRightInd w:val="0"/>
              <w:snapToGrid w:val="0"/>
              <w:spacing w:line="240" w:lineRule="auto"/>
              <w:jc w:val="center"/>
              <w:rPr>
                <w:szCs w:val="21"/>
              </w:rPr>
            </w:pPr>
          </w:p>
        </w:tc>
      </w:tr>
      <w:tr w14:paraId="49A6BE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33" w:type="pct"/>
            <w:vMerge w:val="continue"/>
            <w:noWrap w:val="0"/>
            <w:vAlign w:val="center"/>
          </w:tcPr>
          <w:p w14:paraId="05218BD8">
            <w:pPr>
              <w:adjustRightInd w:val="0"/>
              <w:snapToGrid w:val="0"/>
              <w:spacing w:line="240" w:lineRule="auto"/>
              <w:jc w:val="center"/>
              <w:rPr>
                <w:szCs w:val="21"/>
              </w:rPr>
            </w:pPr>
          </w:p>
        </w:tc>
        <w:tc>
          <w:tcPr>
            <w:tcW w:w="968" w:type="pct"/>
            <w:vMerge w:val="continue"/>
            <w:noWrap w:val="0"/>
            <w:vAlign w:val="center"/>
          </w:tcPr>
          <w:p w14:paraId="797908FD">
            <w:pPr>
              <w:adjustRightInd w:val="0"/>
              <w:snapToGrid w:val="0"/>
              <w:spacing w:line="240" w:lineRule="auto"/>
              <w:jc w:val="center"/>
              <w:rPr>
                <w:szCs w:val="21"/>
              </w:rPr>
            </w:pPr>
          </w:p>
        </w:tc>
        <w:tc>
          <w:tcPr>
            <w:tcW w:w="699" w:type="pct"/>
            <w:noWrap w:val="0"/>
            <w:vAlign w:val="center"/>
          </w:tcPr>
          <w:p w14:paraId="379C48ED">
            <w:pPr>
              <w:adjustRightInd w:val="0"/>
              <w:snapToGrid w:val="0"/>
              <w:spacing w:line="240" w:lineRule="auto"/>
              <w:jc w:val="center"/>
              <w:rPr>
                <w:rFonts w:hint="default" w:eastAsia="宋体"/>
                <w:szCs w:val="21"/>
                <w:lang w:val="en-US" w:eastAsia="zh-CN"/>
              </w:rPr>
            </w:pPr>
            <w:r>
              <w:rPr>
                <w:rFonts w:hint="eastAsia"/>
                <w:szCs w:val="21"/>
                <w:lang w:val="en-US" w:eastAsia="zh-CN"/>
              </w:rPr>
              <w:t>石油类</w:t>
            </w:r>
          </w:p>
        </w:tc>
        <w:tc>
          <w:tcPr>
            <w:tcW w:w="1083" w:type="pct"/>
            <w:vMerge w:val="continue"/>
            <w:noWrap w:val="0"/>
            <w:vAlign w:val="center"/>
          </w:tcPr>
          <w:p w14:paraId="01B293AF">
            <w:pPr>
              <w:adjustRightInd w:val="0"/>
              <w:snapToGrid w:val="0"/>
              <w:spacing w:line="240" w:lineRule="auto"/>
              <w:jc w:val="center"/>
              <w:rPr>
                <w:szCs w:val="21"/>
              </w:rPr>
            </w:pPr>
          </w:p>
        </w:tc>
        <w:tc>
          <w:tcPr>
            <w:tcW w:w="1615" w:type="pct"/>
            <w:vMerge w:val="continue"/>
            <w:noWrap w:val="0"/>
            <w:vAlign w:val="center"/>
          </w:tcPr>
          <w:p w14:paraId="7A9C8F3C">
            <w:pPr>
              <w:adjustRightInd w:val="0"/>
              <w:snapToGrid w:val="0"/>
              <w:spacing w:line="240" w:lineRule="auto"/>
              <w:jc w:val="center"/>
              <w:rPr>
                <w:szCs w:val="21"/>
              </w:rPr>
            </w:pPr>
          </w:p>
        </w:tc>
      </w:tr>
      <w:tr w14:paraId="6695A6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60" w:hRule="atLeast"/>
          <w:jc w:val="center"/>
        </w:trPr>
        <w:tc>
          <w:tcPr>
            <w:tcW w:w="633" w:type="pct"/>
            <w:noWrap w:val="0"/>
            <w:vAlign w:val="center"/>
          </w:tcPr>
          <w:p w14:paraId="2DEDF407">
            <w:pPr>
              <w:adjustRightInd w:val="0"/>
              <w:snapToGrid w:val="0"/>
              <w:spacing w:line="240" w:lineRule="auto"/>
              <w:jc w:val="center"/>
              <w:rPr>
                <w:szCs w:val="21"/>
              </w:rPr>
            </w:pPr>
            <w:r>
              <w:rPr>
                <w:szCs w:val="21"/>
              </w:rPr>
              <w:t>声环境</w:t>
            </w:r>
          </w:p>
        </w:tc>
        <w:tc>
          <w:tcPr>
            <w:tcW w:w="968" w:type="pct"/>
            <w:noWrap w:val="0"/>
            <w:vAlign w:val="center"/>
          </w:tcPr>
          <w:p w14:paraId="593BB72E">
            <w:pPr>
              <w:adjustRightInd w:val="0"/>
              <w:snapToGrid w:val="0"/>
              <w:spacing w:line="240" w:lineRule="auto"/>
              <w:jc w:val="center"/>
              <w:rPr>
                <w:szCs w:val="21"/>
              </w:rPr>
            </w:pPr>
            <w:r>
              <w:rPr>
                <w:szCs w:val="21"/>
              </w:rPr>
              <w:t>生产设备</w:t>
            </w:r>
          </w:p>
        </w:tc>
        <w:tc>
          <w:tcPr>
            <w:tcW w:w="699" w:type="pct"/>
            <w:noWrap w:val="0"/>
            <w:vAlign w:val="center"/>
          </w:tcPr>
          <w:p w14:paraId="293EBA3D">
            <w:pPr>
              <w:adjustRightInd w:val="0"/>
              <w:snapToGrid w:val="0"/>
              <w:spacing w:line="240" w:lineRule="auto"/>
              <w:jc w:val="center"/>
              <w:rPr>
                <w:szCs w:val="21"/>
              </w:rPr>
            </w:pPr>
            <w:r>
              <w:rPr>
                <w:szCs w:val="21"/>
              </w:rPr>
              <w:t>噪声</w:t>
            </w:r>
          </w:p>
        </w:tc>
        <w:tc>
          <w:tcPr>
            <w:tcW w:w="1083" w:type="pct"/>
            <w:noWrap w:val="0"/>
            <w:vAlign w:val="center"/>
          </w:tcPr>
          <w:p w14:paraId="52F48499">
            <w:pPr>
              <w:adjustRightInd w:val="0"/>
              <w:snapToGrid w:val="0"/>
              <w:spacing w:line="240" w:lineRule="auto"/>
              <w:jc w:val="center"/>
              <w:rPr>
                <w:szCs w:val="21"/>
              </w:rPr>
            </w:pPr>
            <w:r>
              <w:rPr>
                <w:szCs w:val="21"/>
              </w:rPr>
              <w:t>减震、隔声、距离衰减</w:t>
            </w:r>
          </w:p>
        </w:tc>
        <w:tc>
          <w:tcPr>
            <w:tcW w:w="1615" w:type="pct"/>
            <w:noWrap w:val="0"/>
            <w:vAlign w:val="center"/>
          </w:tcPr>
          <w:p w14:paraId="71FAA442">
            <w:pPr>
              <w:adjustRightInd w:val="0"/>
              <w:snapToGrid w:val="0"/>
              <w:spacing w:line="240" w:lineRule="auto"/>
              <w:jc w:val="center"/>
              <w:rPr>
                <w:szCs w:val="21"/>
              </w:rPr>
            </w:pPr>
            <w:r>
              <w:rPr>
                <w:szCs w:val="21"/>
              </w:rPr>
              <w:t>《工业企业厂界环境噪声排放标准》（GB12348-2008）</w:t>
            </w:r>
          </w:p>
          <w:p w14:paraId="670FCFCB">
            <w:pPr>
              <w:adjustRightInd w:val="0"/>
              <w:snapToGrid w:val="0"/>
              <w:spacing w:line="240" w:lineRule="auto"/>
              <w:jc w:val="center"/>
              <w:rPr>
                <w:szCs w:val="21"/>
              </w:rPr>
            </w:pPr>
            <w:r>
              <w:rPr>
                <w:rFonts w:hint="eastAsia"/>
                <w:szCs w:val="21"/>
                <w:lang w:val="en-US" w:eastAsia="zh-CN"/>
              </w:rPr>
              <w:t>2</w:t>
            </w:r>
            <w:r>
              <w:rPr>
                <w:rFonts w:hint="eastAsia"/>
                <w:szCs w:val="21"/>
              </w:rPr>
              <w:t>类标准</w:t>
            </w:r>
          </w:p>
        </w:tc>
      </w:tr>
      <w:tr w14:paraId="216686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3" w:type="pct"/>
            <w:noWrap w:val="0"/>
            <w:vAlign w:val="center"/>
          </w:tcPr>
          <w:p w14:paraId="48757C8C">
            <w:pPr>
              <w:adjustRightInd w:val="0"/>
              <w:snapToGrid w:val="0"/>
              <w:spacing w:line="240" w:lineRule="auto"/>
              <w:jc w:val="center"/>
              <w:rPr>
                <w:szCs w:val="21"/>
              </w:rPr>
            </w:pPr>
            <w:r>
              <w:rPr>
                <w:szCs w:val="21"/>
              </w:rPr>
              <w:t>电磁辐射</w:t>
            </w:r>
          </w:p>
        </w:tc>
        <w:tc>
          <w:tcPr>
            <w:tcW w:w="968" w:type="pct"/>
            <w:noWrap w:val="0"/>
            <w:vAlign w:val="center"/>
          </w:tcPr>
          <w:p w14:paraId="3B5E107F">
            <w:pPr>
              <w:adjustRightInd w:val="0"/>
              <w:snapToGrid w:val="0"/>
              <w:spacing w:line="240" w:lineRule="auto"/>
              <w:jc w:val="center"/>
              <w:rPr>
                <w:szCs w:val="21"/>
              </w:rPr>
            </w:pPr>
            <w:r>
              <w:rPr>
                <w:szCs w:val="21"/>
              </w:rPr>
              <w:t>/</w:t>
            </w:r>
          </w:p>
        </w:tc>
        <w:tc>
          <w:tcPr>
            <w:tcW w:w="699" w:type="pct"/>
            <w:noWrap w:val="0"/>
            <w:vAlign w:val="center"/>
          </w:tcPr>
          <w:p w14:paraId="439A9D2A">
            <w:pPr>
              <w:adjustRightInd w:val="0"/>
              <w:snapToGrid w:val="0"/>
              <w:spacing w:line="240" w:lineRule="auto"/>
              <w:jc w:val="center"/>
              <w:rPr>
                <w:szCs w:val="21"/>
              </w:rPr>
            </w:pPr>
            <w:r>
              <w:rPr>
                <w:szCs w:val="21"/>
              </w:rPr>
              <w:t>/</w:t>
            </w:r>
          </w:p>
        </w:tc>
        <w:tc>
          <w:tcPr>
            <w:tcW w:w="1083" w:type="pct"/>
            <w:noWrap w:val="0"/>
            <w:vAlign w:val="center"/>
          </w:tcPr>
          <w:p w14:paraId="4C70A3AF">
            <w:pPr>
              <w:adjustRightInd w:val="0"/>
              <w:snapToGrid w:val="0"/>
              <w:spacing w:line="240" w:lineRule="auto"/>
              <w:jc w:val="center"/>
              <w:rPr>
                <w:szCs w:val="21"/>
              </w:rPr>
            </w:pPr>
            <w:r>
              <w:rPr>
                <w:szCs w:val="21"/>
              </w:rPr>
              <w:t>/</w:t>
            </w:r>
          </w:p>
        </w:tc>
        <w:tc>
          <w:tcPr>
            <w:tcW w:w="1615" w:type="pct"/>
            <w:noWrap w:val="0"/>
            <w:vAlign w:val="center"/>
          </w:tcPr>
          <w:p w14:paraId="18043933">
            <w:pPr>
              <w:adjustRightInd w:val="0"/>
              <w:snapToGrid w:val="0"/>
              <w:spacing w:line="240" w:lineRule="auto"/>
              <w:jc w:val="center"/>
              <w:rPr>
                <w:szCs w:val="21"/>
              </w:rPr>
            </w:pPr>
            <w:r>
              <w:rPr>
                <w:szCs w:val="21"/>
              </w:rPr>
              <w:t>/</w:t>
            </w:r>
          </w:p>
        </w:tc>
      </w:tr>
      <w:tr w14:paraId="712A87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3" w:type="pct"/>
            <w:vMerge w:val="restart"/>
            <w:noWrap w:val="0"/>
            <w:vAlign w:val="center"/>
          </w:tcPr>
          <w:p w14:paraId="1C9A9C67">
            <w:pPr>
              <w:adjustRightInd w:val="0"/>
              <w:snapToGrid w:val="0"/>
              <w:spacing w:line="240" w:lineRule="auto"/>
              <w:jc w:val="center"/>
              <w:rPr>
                <w:szCs w:val="21"/>
              </w:rPr>
            </w:pPr>
            <w:r>
              <w:rPr>
                <w:szCs w:val="21"/>
              </w:rPr>
              <w:t>固体废物</w:t>
            </w:r>
          </w:p>
        </w:tc>
        <w:tc>
          <w:tcPr>
            <w:tcW w:w="4366" w:type="pct"/>
            <w:gridSpan w:val="4"/>
            <w:noWrap w:val="0"/>
            <w:vAlign w:val="center"/>
          </w:tcPr>
          <w:p w14:paraId="17C8755E">
            <w:pPr>
              <w:spacing w:line="240" w:lineRule="auto"/>
              <w:jc w:val="center"/>
              <w:rPr>
                <w:rFonts w:hint="eastAsia" w:eastAsia="宋体"/>
                <w:szCs w:val="21"/>
                <w:lang w:eastAsia="zh-CN"/>
              </w:rPr>
            </w:pPr>
            <w:r>
              <w:rPr>
                <w:rFonts w:hint="eastAsia" w:ascii="Times New Roman" w:hAnsi="Times New Roman" w:cs="Times New Roman"/>
                <w:sz w:val="21"/>
                <w:szCs w:val="24"/>
                <w:lang w:val="en-US" w:eastAsia="zh-CN"/>
              </w:rPr>
              <w:t>一般固废</w:t>
            </w:r>
            <w:r>
              <w:rPr>
                <w:rFonts w:hint="default" w:ascii="Times New Roman" w:hAnsi="Times New Roman" w:cs="Times New Roman"/>
                <w:sz w:val="21"/>
                <w:szCs w:val="24"/>
              </w:rPr>
              <w:t>暂存一般固废暂存库</w:t>
            </w:r>
            <w:r>
              <w:rPr>
                <w:rFonts w:hint="eastAsia" w:cs="Times New Roman"/>
                <w:sz w:val="21"/>
                <w:szCs w:val="24"/>
                <w:lang w:eastAsia="zh-CN"/>
              </w:rPr>
              <w:t>（</w:t>
            </w:r>
            <w:r>
              <w:rPr>
                <w:rFonts w:hint="eastAsia" w:cs="Times New Roman"/>
                <w:sz w:val="21"/>
                <w:szCs w:val="24"/>
                <w:lang w:val="en-US" w:eastAsia="zh-CN"/>
              </w:rPr>
              <w:t>200m</w:t>
            </w:r>
            <w:r>
              <w:rPr>
                <w:rFonts w:hint="eastAsia" w:cs="Times New Roman"/>
                <w:sz w:val="21"/>
                <w:szCs w:val="24"/>
                <w:vertAlign w:val="superscript"/>
                <w:lang w:val="en-US" w:eastAsia="zh-CN"/>
              </w:rPr>
              <w:t>2</w:t>
            </w:r>
            <w:r>
              <w:rPr>
                <w:rFonts w:hint="eastAsia" w:cs="Times New Roman"/>
                <w:sz w:val="21"/>
                <w:szCs w:val="24"/>
                <w:lang w:eastAsia="zh-CN"/>
              </w:rPr>
              <w:t>）</w:t>
            </w:r>
            <w:r>
              <w:rPr>
                <w:rFonts w:hint="default" w:ascii="Times New Roman" w:hAnsi="Times New Roman" w:cs="Times New Roman"/>
                <w:sz w:val="21"/>
                <w:szCs w:val="24"/>
              </w:rPr>
              <w:t>，定期外售物资回收公司回收利用</w:t>
            </w:r>
            <w:r>
              <w:rPr>
                <w:rFonts w:hint="eastAsia" w:ascii="Times New Roman" w:hAnsi="Times New Roman" w:cs="Times New Roman"/>
                <w:sz w:val="21"/>
                <w:szCs w:val="24"/>
                <w:lang w:eastAsia="zh-CN"/>
              </w:rPr>
              <w:t>。</w:t>
            </w:r>
          </w:p>
        </w:tc>
      </w:tr>
      <w:tr w14:paraId="4FB5B9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33" w:type="pct"/>
            <w:vMerge w:val="continue"/>
            <w:noWrap w:val="0"/>
            <w:vAlign w:val="center"/>
          </w:tcPr>
          <w:p w14:paraId="28ADD281">
            <w:pPr>
              <w:adjustRightInd w:val="0"/>
              <w:snapToGrid w:val="0"/>
              <w:spacing w:line="240" w:lineRule="auto"/>
              <w:jc w:val="center"/>
            </w:pPr>
          </w:p>
        </w:tc>
        <w:tc>
          <w:tcPr>
            <w:tcW w:w="4366" w:type="pct"/>
            <w:gridSpan w:val="4"/>
            <w:noWrap w:val="0"/>
            <w:vAlign w:val="center"/>
          </w:tcPr>
          <w:p w14:paraId="67E37861">
            <w:pPr>
              <w:spacing w:line="240" w:lineRule="auto"/>
              <w:jc w:val="center"/>
              <w:rPr>
                <w:rFonts w:hint="default" w:eastAsia="宋体"/>
                <w:szCs w:val="21"/>
                <w:lang w:val="en-US" w:eastAsia="zh-CN"/>
              </w:rPr>
            </w:pPr>
            <w:r>
              <w:rPr>
                <w:rFonts w:hint="eastAsia"/>
                <w:szCs w:val="21"/>
                <w:lang w:val="en-US" w:eastAsia="zh-CN"/>
              </w:rPr>
              <w:t>危险废物分类暂存危废暂存库（300m</w:t>
            </w:r>
            <w:r>
              <w:rPr>
                <w:rFonts w:hint="eastAsia"/>
                <w:szCs w:val="21"/>
                <w:vertAlign w:val="superscript"/>
                <w:lang w:val="en-US" w:eastAsia="zh-CN"/>
              </w:rPr>
              <w:t>2</w:t>
            </w:r>
            <w:r>
              <w:rPr>
                <w:rFonts w:hint="eastAsia"/>
                <w:szCs w:val="21"/>
                <w:lang w:val="en-US" w:eastAsia="zh-CN"/>
              </w:rPr>
              <w:t>），定期委托有资质单位处置；含油手套及抹布集中收集后，委托环卫部门清运处理。</w:t>
            </w:r>
          </w:p>
        </w:tc>
      </w:tr>
      <w:tr w14:paraId="3E227F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33" w:type="pct"/>
            <w:vMerge w:val="continue"/>
            <w:noWrap w:val="0"/>
            <w:vAlign w:val="center"/>
          </w:tcPr>
          <w:p w14:paraId="64571757">
            <w:pPr>
              <w:adjustRightInd w:val="0"/>
              <w:snapToGrid w:val="0"/>
              <w:spacing w:line="240" w:lineRule="auto"/>
              <w:jc w:val="center"/>
              <w:rPr>
                <w:szCs w:val="21"/>
              </w:rPr>
            </w:pPr>
          </w:p>
        </w:tc>
        <w:tc>
          <w:tcPr>
            <w:tcW w:w="4366" w:type="pct"/>
            <w:gridSpan w:val="4"/>
            <w:noWrap w:val="0"/>
            <w:vAlign w:val="center"/>
          </w:tcPr>
          <w:p w14:paraId="2C486E16">
            <w:pPr>
              <w:spacing w:line="240" w:lineRule="auto"/>
              <w:jc w:val="center"/>
              <w:rPr>
                <w:szCs w:val="21"/>
              </w:rPr>
            </w:pPr>
            <w:r>
              <w:t>生活垃圾经垃圾桶收集后，委托环卫部门清运处理</w:t>
            </w:r>
            <w:r>
              <w:rPr>
                <w:rFonts w:hint="eastAsia"/>
              </w:rPr>
              <w:t>。</w:t>
            </w:r>
          </w:p>
        </w:tc>
      </w:tr>
      <w:tr w14:paraId="464629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633" w:type="pct"/>
            <w:noWrap w:val="0"/>
            <w:vAlign w:val="center"/>
          </w:tcPr>
          <w:p w14:paraId="345163A4">
            <w:pPr>
              <w:adjustRightInd w:val="0"/>
              <w:snapToGrid w:val="0"/>
              <w:spacing w:line="240" w:lineRule="auto"/>
              <w:jc w:val="center"/>
              <w:rPr>
                <w:szCs w:val="21"/>
              </w:rPr>
            </w:pPr>
            <w:r>
              <w:rPr>
                <w:szCs w:val="21"/>
              </w:rPr>
              <w:t>土壤及地下水污染防治措施</w:t>
            </w:r>
          </w:p>
        </w:tc>
        <w:tc>
          <w:tcPr>
            <w:tcW w:w="4366" w:type="pct"/>
            <w:gridSpan w:val="4"/>
            <w:noWrap w:val="0"/>
            <w:vAlign w:val="center"/>
          </w:tcPr>
          <w:p w14:paraId="7D97E98F">
            <w:pPr>
              <w:adjustRightInd w:val="0"/>
              <w:snapToGrid w:val="0"/>
              <w:spacing w:line="240" w:lineRule="auto"/>
              <w:jc w:val="center"/>
              <w:rPr>
                <w:szCs w:val="21"/>
              </w:rPr>
            </w:pPr>
            <w:r>
              <w:rPr>
                <w:color w:val="auto"/>
                <w:szCs w:val="21"/>
              </w:rPr>
              <w:t>危废暂存库</w:t>
            </w:r>
            <w:r>
              <w:rPr>
                <w:rFonts w:hint="eastAsia"/>
                <w:color w:val="auto"/>
                <w:szCs w:val="21"/>
              </w:rPr>
              <w:t>、污水处理站、</w:t>
            </w:r>
            <w:r>
              <w:rPr>
                <w:rFonts w:hint="eastAsia"/>
                <w:color w:val="auto"/>
                <w:szCs w:val="21"/>
                <w:lang w:val="en-US" w:eastAsia="zh-CN"/>
              </w:rPr>
              <w:t>初期雨水收集池、应急事故</w:t>
            </w:r>
            <w:r>
              <w:rPr>
                <w:rFonts w:hint="eastAsia"/>
                <w:color w:val="auto"/>
                <w:szCs w:val="21"/>
              </w:rPr>
              <w:t>池实行</w:t>
            </w:r>
            <w:r>
              <w:rPr>
                <w:color w:val="auto"/>
                <w:szCs w:val="21"/>
              </w:rPr>
              <w:t>重点防渗，采用</w:t>
            </w:r>
            <w:r>
              <w:rPr>
                <w:kern w:val="0"/>
                <w:sz w:val="21"/>
                <w:szCs w:val="21"/>
                <w:lang w:bidi="ar"/>
              </w:rPr>
              <w:t>约20cm厚的水泥防渗混凝土基础，加设厚度1.5mm以上的糙面高密度聚乙烯防渗涂层，上方铺设防腐防渗环氧树脂漆</w:t>
            </w:r>
            <w:r>
              <w:rPr>
                <w:rFonts w:hint="eastAsia"/>
                <w:color w:val="auto"/>
                <w:sz w:val="18"/>
                <w:szCs w:val="18"/>
                <w:lang w:eastAsia="zh-CN"/>
              </w:rPr>
              <w:t>；</w:t>
            </w:r>
            <w:r>
              <w:rPr>
                <w:rFonts w:hint="eastAsia"/>
                <w:color w:val="auto"/>
                <w:szCs w:val="21"/>
                <w:lang w:val="en-US" w:eastAsia="zh-CN"/>
              </w:rPr>
              <w:t>生产车间</w:t>
            </w:r>
            <w:r>
              <w:rPr>
                <w:rFonts w:hint="eastAsia"/>
                <w:color w:val="auto"/>
                <w:szCs w:val="21"/>
              </w:rPr>
              <w:t>、</w:t>
            </w:r>
            <w:r>
              <w:rPr>
                <w:rFonts w:hint="eastAsia"/>
                <w:color w:val="auto"/>
                <w:szCs w:val="21"/>
                <w:lang w:val="en-US" w:eastAsia="zh-CN"/>
              </w:rPr>
              <w:t>废机动车暂存区、</w:t>
            </w:r>
            <w:r>
              <w:rPr>
                <w:rFonts w:hint="eastAsia"/>
                <w:szCs w:val="21"/>
              </w:rPr>
              <w:t>一般固废库实行</w:t>
            </w:r>
            <w:r>
              <w:rPr>
                <w:szCs w:val="21"/>
              </w:rPr>
              <w:t>一般防渗，</w:t>
            </w:r>
            <w:r>
              <w:t>采用水泥防渗混凝土基础，铺设防腐防渗环氧树脂漆。</w:t>
            </w:r>
            <w:r>
              <w:rPr>
                <w:rFonts w:hint="eastAsia"/>
                <w:szCs w:val="21"/>
                <w:lang w:val="en-US" w:eastAsia="zh-CN"/>
              </w:rPr>
              <w:t>办公用房</w:t>
            </w:r>
            <w:r>
              <w:rPr>
                <w:rFonts w:hint="eastAsia"/>
                <w:szCs w:val="21"/>
              </w:rPr>
              <w:t>实行简单防渗，采用水泥硬化处理。</w:t>
            </w:r>
          </w:p>
        </w:tc>
      </w:tr>
      <w:tr w14:paraId="11987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33" w:type="pct"/>
            <w:noWrap w:val="0"/>
            <w:vAlign w:val="center"/>
          </w:tcPr>
          <w:p w14:paraId="08A36591">
            <w:pPr>
              <w:adjustRightInd w:val="0"/>
              <w:snapToGrid w:val="0"/>
              <w:spacing w:line="240" w:lineRule="auto"/>
              <w:jc w:val="center"/>
              <w:rPr>
                <w:szCs w:val="21"/>
              </w:rPr>
            </w:pPr>
            <w:r>
              <w:rPr>
                <w:szCs w:val="21"/>
              </w:rPr>
              <w:t>生态保护措施</w:t>
            </w:r>
          </w:p>
        </w:tc>
        <w:tc>
          <w:tcPr>
            <w:tcW w:w="4366" w:type="pct"/>
            <w:gridSpan w:val="4"/>
            <w:noWrap w:val="0"/>
            <w:vAlign w:val="center"/>
          </w:tcPr>
          <w:p w14:paraId="454D79EA">
            <w:pPr>
              <w:adjustRightInd w:val="0"/>
              <w:snapToGrid w:val="0"/>
              <w:spacing w:line="240" w:lineRule="auto"/>
              <w:jc w:val="center"/>
              <w:rPr>
                <w:szCs w:val="21"/>
              </w:rPr>
            </w:pPr>
            <w:r>
              <w:rPr>
                <w:szCs w:val="21"/>
              </w:rPr>
              <w:t>无</w:t>
            </w:r>
          </w:p>
        </w:tc>
      </w:tr>
      <w:tr w14:paraId="6253E6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633" w:type="pct"/>
            <w:noWrap w:val="0"/>
            <w:vAlign w:val="center"/>
          </w:tcPr>
          <w:p w14:paraId="2B756BC2">
            <w:pPr>
              <w:adjustRightInd w:val="0"/>
              <w:snapToGrid w:val="0"/>
              <w:spacing w:line="240" w:lineRule="auto"/>
              <w:jc w:val="center"/>
              <w:rPr>
                <w:spacing w:val="-8"/>
                <w:szCs w:val="21"/>
              </w:rPr>
            </w:pPr>
            <w:r>
              <w:rPr>
                <w:spacing w:val="-8"/>
                <w:szCs w:val="21"/>
              </w:rPr>
              <w:t>环境风险</w:t>
            </w:r>
          </w:p>
          <w:p w14:paraId="3C510A16">
            <w:pPr>
              <w:adjustRightInd w:val="0"/>
              <w:snapToGrid w:val="0"/>
              <w:spacing w:line="240" w:lineRule="auto"/>
              <w:jc w:val="center"/>
              <w:rPr>
                <w:spacing w:val="-8"/>
                <w:szCs w:val="21"/>
              </w:rPr>
            </w:pPr>
            <w:r>
              <w:rPr>
                <w:spacing w:val="-8"/>
                <w:szCs w:val="21"/>
              </w:rPr>
              <w:t>防范措施</w:t>
            </w:r>
          </w:p>
        </w:tc>
        <w:tc>
          <w:tcPr>
            <w:tcW w:w="4366" w:type="pct"/>
            <w:gridSpan w:val="4"/>
            <w:noWrap w:val="0"/>
            <w:vAlign w:val="center"/>
          </w:tcPr>
          <w:p w14:paraId="66F237BA">
            <w:pPr>
              <w:widowControl/>
              <w:spacing w:line="240" w:lineRule="auto"/>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val="en-US" w:eastAsia="zh-CN" w:bidi="ar"/>
              </w:rPr>
              <w:t>①乙炔、汽油必须与爆炸物品、氧化剂、易燃物品、自燃物品、腐蚀性物品隔离贮存，满瓶与空瓶应分开整齐放置，并有明显标记，应保持直立放置，且应有防止倾倒的措施，不准放在橡胶等绝缘体上，以防静电引起事故。</w:t>
            </w:r>
          </w:p>
          <w:p w14:paraId="63C04D50">
            <w:pPr>
              <w:widowControl/>
              <w:spacing w:line="240" w:lineRule="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②</w:t>
            </w:r>
            <w:r>
              <w:rPr>
                <w:rFonts w:hint="default" w:ascii="Times New Roman" w:hAnsi="Times New Roman" w:eastAsia="宋体" w:cs="Times New Roman"/>
                <w:color w:val="000000"/>
                <w:kern w:val="0"/>
                <w:sz w:val="21"/>
                <w:szCs w:val="21"/>
                <w:lang w:val="en-US" w:eastAsia="zh-CN" w:bidi="ar"/>
              </w:rPr>
              <w:t xml:space="preserve">定期对设备、存储仓库进行安全检测，检测内容、时间、人员应有记录保存。安全检测应根据安全性、危险性设定检测频次。 </w:t>
            </w:r>
          </w:p>
          <w:p w14:paraId="6AF2F5DE">
            <w:pPr>
              <w:widowControl/>
              <w:spacing w:line="240" w:lineRule="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③</w:t>
            </w:r>
            <w:r>
              <w:rPr>
                <w:rFonts w:hint="default" w:ascii="Times New Roman" w:hAnsi="Times New Roman" w:eastAsia="宋体" w:cs="Times New Roman"/>
                <w:color w:val="000000"/>
                <w:kern w:val="0"/>
                <w:sz w:val="21"/>
                <w:szCs w:val="21"/>
                <w:lang w:val="en-US" w:eastAsia="zh-CN" w:bidi="ar"/>
              </w:rPr>
              <w:t>火源的管理严禁火源进入储料区，对明火严格控制，明火发生源为火柴、打火机等，维修用火控制，对设备维修检查，需进行维修焊接，应经确认、准许，并有记录在案。机动车在厂内行驶，须安装阻火器，必要设备安装防火、防爆装置。</w:t>
            </w:r>
          </w:p>
          <w:p w14:paraId="142B2F84">
            <w:pPr>
              <w:widowControl/>
              <w:spacing w:line="240" w:lineRule="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④</w:t>
            </w:r>
            <w:r>
              <w:rPr>
                <w:rFonts w:hint="default" w:ascii="Times New Roman" w:hAnsi="Times New Roman" w:eastAsia="宋体" w:cs="Times New Roman"/>
                <w:color w:val="000000"/>
                <w:kern w:val="0"/>
                <w:sz w:val="21"/>
                <w:szCs w:val="21"/>
                <w:lang w:val="en-US" w:eastAsia="zh-CN" w:bidi="ar"/>
              </w:rPr>
              <w:t xml:space="preserve">危废暂存间应按照《危险废物贮存污染控制标准》的相关规定进行设置，各类危险废物应分类分开存放，并设置围堰。 </w:t>
            </w:r>
          </w:p>
          <w:p w14:paraId="55DA107C">
            <w:pPr>
              <w:widowControl/>
              <w:spacing w:line="240" w:lineRule="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⑤</w:t>
            </w:r>
            <w:r>
              <w:rPr>
                <w:rFonts w:hint="default" w:ascii="Times New Roman" w:hAnsi="Times New Roman" w:eastAsia="宋体" w:cs="Times New Roman"/>
                <w:color w:val="000000"/>
                <w:kern w:val="0"/>
                <w:sz w:val="21"/>
                <w:szCs w:val="21"/>
                <w:lang w:val="en-US" w:eastAsia="zh-CN" w:bidi="ar"/>
              </w:rPr>
              <w:t>危废贮存场地面应做耐腐蚀、防渗漏处理，防渗层为2mm厚人工材料</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防渗系数&lt;10-10cm/s），保证地面无裂痕。 </w:t>
            </w:r>
          </w:p>
          <w:p w14:paraId="02E27C91">
            <w:pPr>
              <w:widowControl/>
              <w:spacing w:line="240" w:lineRule="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⑥</w:t>
            </w:r>
            <w:r>
              <w:rPr>
                <w:rFonts w:hint="default" w:ascii="Times New Roman" w:hAnsi="Times New Roman" w:eastAsia="宋体" w:cs="Times New Roman"/>
                <w:color w:val="000000"/>
                <w:kern w:val="0"/>
                <w:sz w:val="21"/>
                <w:szCs w:val="21"/>
                <w:lang w:val="en-US" w:eastAsia="zh-CN" w:bidi="ar"/>
              </w:rPr>
              <w:t>危废库废油液设隔间单独收集。危险废物的盛装容器密封，耐腐蚀，不渗漏，并进行定期检查。</w:t>
            </w:r>
          </w:p>
          <w:p w14:paraId="27311162">
            <w:pPr>
              <w:adjustRightInd w:val="0"/>
              <w:snapToGrid w:val="0"/>
              <w:spacing w:line="240" w:lineRule="auto"/>
              <w:rPr>
                <w:szCs w:val="21"/>
              </w:rPr>
            </w:pPr>
            <w:r>
              <w:rPr>
                <w:rFonts w:hint="eastAsia" w:ascii="Times New Roman" w:hAnsi="Times New Roman" w:eastAsia="宋体" w:cs="Times New Roman"/>
                <w:color w:val="000000"/>
                <w:kern w:val="0"/>
                <w:sz w:val="21"/>
                <w:szCs w:val="21"/>
                <w:lang w:val="en-US" w:eastAsia="zh-CN" w:bidi="ar"/>
              </w:rPr>
              <w:t>⑦</w:t>
            </w:r>
            <w:r>
              <w:rPr>
                <w:rFonts w:hint="default" w:ascii="Times New Roman" w:hAnsi="Times New Roman" w:eastAsia="宋体" w:cs="Times New Roman"/>
                <w:color w:val="000000"/>
                <w:kern w:val="0"/>
                <w:sz w:val="21"/>
                <w:szCs w:val="21"/>
                <w:lang w:val="en-US" w:eastAsia="zh-CN" w:bidi="ar"/>
              </w:rPr>
              <w:t xml:space="preserve">危废暂存间应设置导流沟、集液槽，防止废油、废液等泄漏流出厂界。 </w:t>
            </w:r>
          </w:p>
        </w:tc>
      </w:tr>
      <w:tr w14:paraId="1F9974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3" w:type="pct"/>
            <w:noWrap w:val="0"/>
            <w:vAlign w:val="center"/>
          </w:tcPr>
          <w:p w14:paraId="2CBC8569">
            <w:pPr>
              <w:adjustRightInd w:val="0"/>
              <w:snapToGrid w:val="0"/>
              <w:spacing w:line="240" w:lineRule="auto"/>
              <w:jc w:val="center"/>
              <w:rPr>
                <w:spacing w:val="-8"/>
                <w:szCs w:val="21"/>
              </w:rPr>
            </w:pPr>
            <w:r>
              <w:rPr>
                <w:spacing w:val="-8"/>
                <w:szCs w:val="21"/>
              </w:rPr>
              <w:t>其他环境</w:t>
            </w:r>
          </w:p>
          <w:p w14:paraId="5EF5D372">
            <w:pPr>
              <w:adjustRightInd w:val="0"/>
              <w:snapToGrid w:val="0"/>
              <w:spacing w:line="240" w:lineRule="auto"/>
              <w:jc w:val="center"/>
              <w:rPr>
                <w:spacing w:val="-8"/>
                <w:szCs w:val="21"/>
              </w:rPr>
            </w:pPr>
            <w:r>
              <w:rPr>
                <w:spacing w:val="-8"/>
                <w:szCs w:val="21"/>
              </w:rPr>
              <w:t>管理要求</w:t>
            </w:r>
          </w:p>
        </w:tc>
        <w:tc>
          <w:tcPr>
            <w:tcW w:w="4366" w:type="pct"/>
            <w:gridSpan w:val="4"/>
            <w:noWrap w:val="0"/>
            <w:vAlign w:val="center"/>
          </w:tcPr>
          <w:p w14:paraId="4010A2E7">
            <w:pPr>
              <w:adjustRightInd w:val="0"/>
              <w:snapToGrid w:val="0"/>
              <w:spacing w:line="240" w:lineRule="auto"/>
              <w:ind w:firstLine="420" w:firstLineChars="200"/>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一、</w:t>
            </w:r>
            <w:r>
              <w:rPr>
                <w:rFonts w:hint="default" w:ascii="Times New Roman" w:hAnsi="Times New Roman" w:cs="Times New Roman"/>
                <w:color w:val="auto"/>
                <w:szCs w:val="21"/>
              </w:rPr>
              <w:t>排污许可管理要求</w:t>
            </w:r>
          </w:p>
          <w:p w14:paraId="1CFD7F4A">
            <w:pPr>
              <w:adjustRightInd w:val="0"/>
              <w:snapToGrid w:val="0"/>
              <w:spacing w:line="24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根据《固定污染源排污许可分类管理名录（2019年版）》，本项目行业类别属于</w:t>
            </w:r>
            <w:r>
              <w:rPr>
                <w:rFonts w:hint="eastAsia" w:ascii="Times New Roman" w:hAnsi="Times New Roman" w:cs="Times New Roman"/>
                <w:color w:val="auto"/>
                <w:szCs w:val="21"/>
                <w:lang w:val="en-US" w:eastAsia="zh-CN"/>
              </w:rPr>
              <w:t>简化</w:t>
            </w:r>
            <w:r>
              <w:rPr>
                <w:rFonts w:hint="default" w:ascii="Times New Roman" w:hAnsi="Times New Roman" w:cs="Times New Roman"/>
                <w:color w:val="auto"/>
                <w:szCs w:val="21"/>
              </w:rPr>
              <w:t>管理</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建设单位应当在启动生产设施或者发生实际排污之前在全国排污许可证管理信息平台进行排污许可证申请。</w:t>
            </w:r>
          </w:p>
          <w:p w14:paraId="52A63D39">
            <w:pPr>
              <w:adjustRightInd w:val="0"/>
              <w:snapToGrid w:val="0"/>
              <w:spacing w:line="240" w:lineRule="auto"/>
              <w:ind w:firstLine="420" w:firstLineChars="200"/>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二、</w:t>
            </w:r>
            <w:r>
              <w:rPr>
                <w:rFonts w:hint="default" w:ascii="Times New Roman" w:hAnsi="Times New Roman" w:cs="Times New Roman"/>
                <w:color w:val="auto"/>
                <w:szCs w:val="21"/>
              </w:rPr>
              <w:t>竣工环境保护验收</w:t>
            </w:r>
          </w:p>
          <w:p w14:paraId="6E9FBC69">
            <w:pPr>
              <w:adjustRightInd w:val="0"/>
              <w:snapToGrid w:val="0"/>
              <w:spacing w:line="240" w:lineRule="auto"/>
              <w:ind w:firstLine="420" w:firstLineChars="200"/>
              <w:rPr>
                <w:rFonts w:hint="default" w:ascii="Times New Roman" w:hAnsi="Times New Roman" w:eastAsia="宋体" w:cs="Times New Roman"/>
                <w:b/>
                <w:bCs/>
                <w:color w:val="FF0000"/>
                <w:szCs w:val="21"/>
                <w:lang w:val="en-US" w:eastAsia="zh-CN"/>
              </w:rPr>
            </w:pPr>
            <w:r>
              <w:rPr>
                <w:rFonts w:hint="default" w:ascii="Times New Roman" w:hAnsi="Times New Roman" w:cs="Times New Roman"/>
                <w:color w:val="auto"/>
                <w:szCs w:val="21"/>
              </w:rPr>
              <w:t>根据《建设项目竣工环境保护验收暂行办法》规定，建设项目竣工后，建设单位应当如实查验、监测、记载建设项目环境保护设施的建设和调试情况，</w:t>
            </w:r>
            <w:r>
              <w:rPr>
                <w:rFonts w:hint="eastAsia" w:cs="Times New Roman"/>
                <w:color w:val="auto"/>
                <w:szCs w:val="21"/>
                <w:lang w:val="en-US" w:eastAsia="zh-CN"/>
              </w:rPr>
              <w:t>并在试生产3个月期限内组织开展竣工环保验收工作，编制验收报告。</w:t>
            </w:r>
          </w:p>
          <w:p w14:paraId="3F9EDBC3">
            <w:pPr>
              <w:adjustRightInd w:val="0"/>
              <w:snapToGrid w:val="0"/>
              <w:spacing w:line="240" w:lineRule="auto"/>
              <w:ind w:firstLine="420" w:firstLineChars="200"/>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三、</w:t>
            </w:r>
            <w:r>
              <w:rPr>
                <w:rFonts w:hint="default" w:ascii="Times New Roman" w:hAnsi="Times New Roman" w:cs="Times New Roman"/>
                <w:color w:val="auto"/>
                <w:szCs w:val="21"/>
              </w:rPr>
              <w:t>环保信息公开要求</w:t>
            </w:r>
          </w:p>
          <w:p w14:paraId="1E268533">
            <w:pPr>
              <w:adjustRightInd w:val="0"/>
              <w:snapToGrid w:val="0"/>
              <w:spacing w:line="24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根据《企业环境信息依法披露管理办法》</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2021年12月11日生态环境部令第24号公布自2022年2月8日起施行</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企业是环境信息依法披露的责任主体。企业应当依法、及时、真实、准确、完整地披露环境信息，披露的环境信息应当简明清晰、通俗易懂，不得有虚假记载、误导性陈述或者重大遗漏。企业年度环境信息依法披露报告应当包括以下内容：</w:t>
            </w:r>
          </w:p>
          <w:p w14:paraId="18484562">
            <w:pPr>
              <w:adjustRightInd w:val="0"/>
              <w:snapToGrid w:val="0"/>
              <w:spacing w:line="24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（一）企业基本信息，包括企业生产和生态环境保护等方面的基础信息；</w:t>
            </w:r>
          </w:p>
          <w:p w14:paraId="5F24622D">
            <w:pPr>
              <w:adjustRightInd w:val="0"/>
              <w:snapToGrid w:val="0"/>
              <w:spacing w:line="24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（二）企业环境管理信息，包括生态环境行政许可、环境保护税、环境污染责任保险、环保信用评价等方面的信息；</w:t>
            </w:r>
          </w:p>
          <w:p w14:paraId="23DBF56C">
            <w:pPr>
              <w:adjustRightInd w:val="0"/>
              <w:snapToGrid w:val="0"/>
              <w:spacing w:line="24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（三）污染物产生、治理与排放信息，包括污染防治设施，污染物排放，有毒有害物质排放，工业固体废物和危险废物产生、贮存、流向、利用、处置，自行监测等方面的信息；</w:t>
            </w:r>
          </w:p>
          <w:p w14:paraId="6B8D558A">
            <w:pPr>
              <w:adjustRightInd w:val="0"/>
              <w:snapToGrid w:val="0"/>
              <w:spacing w:line="24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（四）碳排放信息，包括排放量、排放设施等方面的信息；</w:t>
            </w:r>
          </w:p>
          <w:p w14:paraId="4F1C72A9">
            <w:pPr>
              <w:adjustRightInd w:val="0"/>
              <w:snapToGrid w:val="0"/>
              <w:spacing w:line="24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（五）生态环境应急信息，包括突发环境事件应急预案、重污染天气应急响应等方面的信息；</w:t>
            </w:r>
          </w:p>
          <w:p w14:paraId="329139B4">
            <w:pPr>
              <w:adjustRightInd w:val="0"/>
              <w:snapToGrid w:val="0"/>
              <w:spacing w:line="24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（六）生态环境违法信息；</w:t>
            </w:r>
          </w:p>
          <w:p w14:paraId="16382E27">
            <w:pPr>
              <w:adjustRightInd w:val="0"/>
              <w:snapToGrid w:val="0"/>
              <w:spacing w:line="24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（七）本年度临时环境信息依法披露情况；</w:t>
            </w:r>
          </w:p>
          <w:p w14:paraId="0ABD1A95">
            <w:pPr>
              <w:adjustRightInd w:val="0"/>
              <w:snapToGrid w:val="0"/>
              <w:spacing w:line="24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（八）法律法规规定的其他环境信息。</w:t>
            </w:r>
          </w:p>
          <w:p w14:paraId="0293091F">
            <w:pPr>
              <w:adjustRightInd w:val="0"/>
              <w:snapToGrid w:val="0"/>
              <w:spacing w:line="240" w:lineRule="auto"/>
              <w:ind w:firstLine="420" w:firstLineChars="200"/>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四、</w:t>
            </w:r>
            <w:r>
              <w:rPr>
                <w:rFonts w:hint="default" w:ascii="Times New Roman" w:hAnsi="Times New Roman" w:cs="Times New Roman"/>
                <w:color w:val="auto"/>
                <w:szCs w:val="21"/>
              </w:rPr>
              <w:t>排污口规范化</w:t>
            </w:r>
          </w:p>
          <w:p w14:paraId="6410A165">
            <w:pPr>
              <w:adjustRightInd w:val="0"/>
              <w:snapToGrid w:val="0"/>
              <w:spacing w:line="24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建设单位应按照《</w:t>
            </w:r>
            <w:r>
              <w:rPr>
                <w:rFonts w:hint="eastAsia" w:cs="Times New Roman"/>
                <w:color w:val="auto"/>
                <w:szCs w:val="21"/>
                <w:lang w:val="en-US" w:eastAsia="zh-CN"/>
              </w:rPr>
              <w:t>安徽省污染源排放口规范化整治管理办法</w:t>
            </w:r>
            <w:r>
              <w:rPr>
                <w:rFonts w:hint="default" w:ascii="Times New Roman" w:hAnsi="Times New Roman" w:cs="Times New Roman"/>
                <w:color w:val="auto"/>
                <w:szCs w:val="21"/>
              </w:rPr>
              <w:t>》（环</w:t>
            </w:r>
            <w:r>
              <w:rPr>
                <w:rFonts w:hint="eastAsia" w:cs="Times New Roman"/>
                <w:color w:val="auto"/>
                <w:szCs w:val="21"/>
                <w:lang w:val="en-US" w:eastAsia="zh-CN"/>
              </w:rPr>
              <w:t>法函[2005]11</w:t>
            </w:r>
            <w:r>
              <w:rPr>
                <w:rFonts w:hint="default" w:ascii="Times New Roman" w:hAnsi="Times New Roman" w:cs="Times New Roman"/>
                <w:color w:val="auto"/>
                <w:szCs w:val="21"/>
              </w:rPr>
              <w:t>4号要求，进行排污口规范化设置工作。</w:t>
            </w:r>
          </w:p>
          <w:p w14:paraId="2185CA9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污染物排放口（源）及固体废物贮存场所必须按照国家标准《环境保护图形标志》（GB15562.1-1995，GB15562.2-1995）和《危险废物识别标志设置技术规范》（HJ 1276—2022）的规定设置与之相适应的环境保护图形标志牌。</w:t>
            </w:r>
          </w:p>
          <w:p w14:paraId="6223E79C">
            <w:pPr>
              <w:adjustRightInd w:val="0"/>
              <w:snapToGrid w:val="0"/>
              <w:spacing w:line="240" w:lineRule="auto"/>
              <w:jc w:val="center"/>
              <w:rPr>
                <w:rFonts w:hint="eastAsia"/>
                <w:szCs w:val="21"/>
                <w:lang w:val="en-US" w:eastAsia="zh-CN"/>
              </w:rPr>
            </w:pPr>
          </w:p>
          <w:p w14:paraId="46FB640D">
            <w:pPr>
              <w:adjustRightInd w:val="0"/>
              <w:snapToGrid w:val="0"/>
              <w:spacing w:line="240" w:lineRule="auto"/>
              <w:jc w:val="center"/>
              <w:rPr>
                <w:rFonts w:hint="eastAsia"/>
                <w:szCs w:val="21"/>
                <w:lang w:val="en-US" w:eastAsia="zh-CN"/>
              </w:rPr>
            </w:pPr>
          </w:p>
          <w:p w14:paraId="11C5FFA8">
            <w:pPr>
              <w:adjustRightInd w:val="0"/>
              <w:snapToGrid w:val="0"/>
              <w:spacing w:line="240" w:lineRule="auto"/>
              <w:jc w:val="center"/>
              <w:rPr>
                <w:rFonts w:hint="eastAsia"/>
                <w:szCs w:val="21"/>
                <w:lang w:val="en-US" w:eastAsia="zh-CN"/>
              </w:rPr>
            </w:pPr>
          </w:p>
          <w:p w14:paraId="49A6A6AF">
            <w:pPr>
              <w:adjustRightInd w:val="0"/>
              <w:snapToGrid w:val="0"/>
              <w:spacing w:line="240" w:lineRule="auto"/>
              <w:jc w:val="center"/>
              <w:rPr>
                <w:rFonts w:hint="eastAsia"/>
                <w:szCs w:val="21"/>
                <w:lang w:val="en-US" w:eastAsia="zh-CN"/>
              </w:rPr>
            </w:pPr>
          </w:p>
          <w:p w14:paraId="30D97C68">
            <w:pPr>
              <w:adjustRightInd w:val="0"/>
              <w:snapToGrid w:val="0"/>
              <w:spacing w:line="240" w:lineRule="auto"/>
              <w:jc w:val="center"/>
              <w:rPr>
                <w:rFonts w:hint="eastAsia"/>
                <w:szCs w:val="21"/>
                <w:lang w:val="en-US" w:eastAsia="zh-CN"/>
              </w:rPr>
            </w:pPr>
          </w:p>
          <w:p w14:paraId="0C065922">
            <w:pPr>
              <w:adjustRightInd w:val="0"/>
              <w:snapToGrid w:val="0"/>
              <w:spacing w:line="240" w:lineRule="auto"/>
              <w:jc w:val="center"/>
              <w:rPr>
                <w:rFonts w:hint="eastAsia"/>
                <w:szCs w:val="21"/>
                <w:lang w:val="en-US" w:eastAsia="zh-CN"/>
              </w:rPr>
            </w:pPr>
          </w:p>
          <w:p w14:paraId="3390122B">
            <w:pPr>
              <w:adjustRightInd w:val="0"/>
              <w:snapToGrid w:val="0"/>
              <w:spacing w:line="240" w:lineRule="auto"/>
              <w:jc w:val="center"/>
              <w:rPr>
                <w:rFonts w:hint="eastAsia"/>
                <w:szCs w:val="21"/>
                <w:lang w:val="en-US" w:eastAsia="zh-CN"/>
              </w:rPr>
            </w:pPr>
          </w:p>
          <w:p w14:paraId="779AD7FA">
            <w:pPr>
              <w:adjustRightInd w:val="0"/>
              <w:snapToGrid w:val="0"/>
              <w:spacing w:line="240" w:lineRule="auto"/>
              <w:jc w:val="center"/>
              <w:rPr>
                <w:rFonts w:hint="eastAsia" w:eastAsia="宋体"/>
                <w:szCs w:val="21"/>
                <w:lang w:val="en-US" w:eastAsia="zh-CN"/>
              </w:rPr>
            </w:pPr>
          </w:p>
        </w:tc>
      </w:tr>
    </w:tbl>
    <w:p w14:paraId="7720B62F">
      <w:pPr>
        <w:pStyle w:val="20"/>
        <w:spacing w:before="0" w:beforeAutospacing="0" w:after="0" w:afterAutospacing="0" w:line="360" w:lineRule="auto"/>
        <w:jc w:val="center"/>
        <w:outlineLvl w:val="0"/>
        <w:rPr>
          <w:rFonts w:ascii="Times New Roman" w:hAnsi="Times New Roman"/>
          <w:snapToGrid w:val="0"/>
          <w:sz w:val="30"/>
          <w:szCs w:val="30"/>
        </w:rPr>
      </w:pPr>
      <w:r>
        <w:rPr>
          <w:rFonts w:hint="eastAsia" w:ascii="Times New Roman" w:hAnsi="Times New Roman"/>
          <w:snapToGrid w:val="0"/>
          <w:sz w:val="30"/>
          <w:szCs w:val="30"/>
        </w:rPr>
        <w:t>六、结论</w:t>
      </w:r>
    </w:p>
    <w:tbl>
      <w:tblPr>
        <w:tblStyle w:val="24"/>
        <w:tblW w:w="506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172"/>
      </w:tblGrid>
      <w:tr w14:paraId="6BEA4B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150" w:hRule="atLeast"/>
          <w:jc w:val="center"/>
        </w:trPr>
        <w:tc>
          <w:tcPr>
            <w:tcW w:w="5000" w:type="pct"/>
            <w:noWrap w:val="0"/>
            <w:vAlign w:val="top"/>
          </w:tcPr>
          <w:p w14:paraId="4626C51D">
            <w:pPr>
              <w:kinsoku w:val="0"/>
              <w:overflowPunct w:val="0"/>
              <w:autoSpaceDE w:val="0"/>
              <w:autoSpaceDN w:val="0"/>
              <w:adjustRightInd w:val="0"/>
              <w:snapToGrid w:val="0"/>
              <w:spacing w:before="120" w:beforeLines="50" w:line="360" w:lineRule="auto"/>
              <w:ind w:firstLine="480" w:firstLineChars="200"/>
              <w:rPr>
                <w:bCs/>
                <w:color w:val="000000"/>
                <w:sz w:val="24"/>
                <w:szCs w:val="21"/>
              </w:rPr>
            </w:pPr>
            <w:r>
              <w:rPr>
                <w:rFonts w:hint="eastAsia" w:cs="Times New Roman"/>
                <w:sz w:val="24"/>
                <w:lang w:val="en-US" w:eastAsia="zh-CN"/>
              </w:rPr>
              <w:t>宿州邦裕环保检测有限公司年12000辆报废机动车回收拆解项目</w:t>
            </w:r>
            <w:r>
              <w:rPr>
                <w:bCs/>
                <w:color w:val="000000"/>
                <w:sz w:val="24"/>
                <w:szCs w:val="21"/>
              </w:rPr>
              <w:t>符合国家产业政策，符合地方总体规划要求，选址合理。通过落实环评提出的</w:t>
            </w:r>
            <w:r>
              <w:rPr>
                <w:rFonts w:hint="eastAsia"/>
                <w:bCs/>
                <w:color w:val="000000"/>
                <w:sz w:val="24"/>
                <w:szCs w:val="21"/>
              </w:rPr>
              <w:t>各项</w:t>
            </w:r>
            <w:r>
              <w:rPr>
                <w:bCs/>
                <w:color w:val="000000"/>
                <w:sz w:val="24"/>
                <w:szCs w:val="21"/>
              </w:rPr>
              <w:t>污染防治措施，污染物可实现达标排放，项目建设对周围环境影响较小，从环保角度来</w:t>
            </w:r>
            <w:r>
              <w:rPr>
                <w:rFonts w:hint="eastAsia"/>
                <w:bCs/>
                <w:color w:val="000000"/>
                <w:sz w:val="24"/>
                <w:szCs w:val="21"/>
              </w:rPr>
              <w:t>说，</w:t>
            </w:r>
            <w:r>
              <w:rPr>
                <w:bCs/>
                <w:color w:val="000000"/>
                <w:sz w:val="24"/>
                <w:szCs w:val="21"/>
              </w:rPr>
              <w:t>该项目的实施是可行的。</w:t>
            </w:r>
          </w:p>
          <w:p w14:paraId="79057CA0">
            <w:pPr>
              <w:spacing w:line="360" w:lineRule="auto"/>
              <w:rPr>
                <w:rFonts w:hint="eastAsia" w:cs="宋体"/>
                <w:sz w:val="24"/>
                <w:lang w:val="en-US" w:eastAsia="zh-CN"/>
              </w:rPr>
            </w:pPr>
          </w:p>
          <w:p w14:paraId="09E5A853">
            <w:pPr>
              <w:spacing w:line="360" w:lineRule="auto"/>
              <w:rPr>
                <w:rFonts w:hint="eastAsia" w:cs="宋体"/>
                <w:sz w:val="24"/>
                <w:lang w:val="en-US" w:eastAsia="zh-CN"/>
              </w:rPr>
            </w:pPr>
          </w:p>
          <w:p w14:paraId="45E68C75">
            <w:pPr>
              <w:spacing w:line="360" w:lineRule="auto"/>
              <w:rPr>
                <w:rFonts w:hint="eastAsia" w:cs="宋体"/>
                <w:sz w:val="24"/>
                <w:lang w:val="en-US" w:eastAsia="zh-CN"/>
              </w:rPr>
            </w:pPr>
          </w:p>
          <w:p w14:paraId="0FC61B21">
            <w:pPr>
              <w:spacing w:line="360" w:lineRule="auto"/>
              <w:rPr>
                <w:rFonts w:hint="eastAsia" w:cs="宋体"/>
                <w:sz w:val="24"/>
                <w:lang w:val="en-US" w:eastAsia="zh-CN"/>
              </w:rPr>
            </w:pPr>
          </w:p>
          <w:p w14:paraId="44B4A156">
            <w:pPr>
              <w:spacing w:line="360" w:lineRule="auto"/>
              <w:rPr>
                <w:rFonts w:hint="eastAsia" w:cs="宋体"/>
                <w:sz w:val="24"/>
                <w:lang w:val="en-US" w:eastAsia="zh-CN"/>
              </w:rPr>
            </w:pPr>
          </w:p>
          <w:p w14:paraId="0B67E334">
            <w:pPr>
              <w:spacing w:line="360" w:lineRule="auto"/>
              <w:rPr>
                <w:rFonts w:hint="eastAsia" w:cs="宋体"/>
                <w:sz w:val="24"/>
                <w:lang w:val="en-US" w:eastAsia="zh-CN"/>
              </w:rPr>
            </w:pPr>
          </w:p>
          <w:p w14:paraId="65759653">
            <w:pPr>
              <w:spacing w:line="360" w:lineRule="auto"/>
              <w:rPr>
                <w:rFonts w:hint="eastAsia" w:cs="宋体"/>
                <w:sz w:val="24"/>
                <w:lang w:val="en-US" w:eastAsia="zh-CN"/>
              </w:rPr>
            </w:pPr>
          </w:p>
          <w:p w14:paraId="13F6411A">
            <w:pPr>
              <w:spacing w:line="360" w:lineRule="auto"/>
              <w:rPr>
                <w:rFonts w:hint="eastAsia" w:cs="宋体"/>
                <w:sz w:val="24"/>
                <w:lang w:val="en-US" w:eastAsia="zh-CN"/>
              </w:rPr>
            </w:pPr>
          </w:p>
          <w:p w14:paraId="1945D3DE">
            <w:pPr>
              <w:spacing w:line="360" w:lineRule="auto"/>
              <w:rPr>
                <w:rFonts w:hint="eastAsia" w:cs="宋体"/>
                <w:sz w:val="24"/>
                <w:lang w:val="en-US" w:eastAsia="zh-CN"/>
              </w:rPr>
            </w:pPr>
          </w:p>
          <w:p w14:paraId="4ECA873D">
            <w:pPr>
              <w:spacing w:line="360" w:lineRule="auto"/>
              <w:rPr>
                <w:rFonts w:hint="eastAsia" w:cs="宋体"/>
                <w:sz w:val="24"/>
                <w:lang w:val="en-US" w:eastAsia="zh-CN"/>
              </w:rPr>
            </w:pPr>
          </w:p>
          <w:p w14:paraId="49A3BCC9">
            <w:pPr>
              <w:spacing w:line="360" w:lineRule="auto"/>
              <w:rPr>
                <w:rFonts w:hint="eastAsia" w:cs="宋体"/>
                <w:sz w:val="24"/>
                <w:lang w:val="en-US" w:eastAsia="zh-CN"/>
              </w:rPr>
            </w:pPr>
          </w:p>
          <w:p w14:paraId="6E291A51">
            <w:pPr>
              <w:spacing w:line="360" w:lineRule="auto"/>
              <w:rPr>
                <w:rFonts w:hint="eastAsia" w:cs="宋体"/>
                <w:sz w:val="24"/>
                <w:lang w:val="en-US" w:eastAsia="zh-CN"/>
              </w:rPr>
            </w:pPr>
          </w:p>
          <w:p w14:paraId="2EEFB353">
            <w:pPr>
              <w:spacing w:line="360" w:lineRule="auto"/>
              <w:rPr>
                <w:rFonts w:hint="eastAsia" w:cs="宋体"/>
                <w:sz w:val="24"/>
                <w:lang w:val="en-US" w:eastAsia="zh-CN"/>
              </w:rPr>
            </w:pPr>
          </w:p>
          <w:p w14:paraId="572BD6DA">
            <w:pPr>
              <w:spacing w:line="360" w:lineRule="auto"/>
              <w:rPr>
                <w:rFonts w:hint="eastAsia" w:cs="宋体"/>
                <w:sz w:val="24"/>
                <w:lang w:val="en-US" w:eastAsia="zh-CN"/>
              </w:rPr>
            </w:pPr>
          </w:p>
          <w:p w14:paraId="6A8C2E3C">
            <w:pPr>
              <w:spacing w:line="360" w:lineRule="auto"/>
              <w:rPr>
                <w:rFonts w:hint="eastAsia" w:cs="宋体"/>
                <w:sz w:val="24"/>
                <w:lang w:val="en-US" w:eastAsia="zh-CN"/>
              </w:rPr>
            </w:pPr>
          </w:p>
          <w:p w14:paraId="62C8B458">
            <w:pPr>
              <w:spacing w:line="360" w:lineRule="auto"/>
              <w:rPr>
                <w:rFonts w:hint="eastAsia" w:cs="宋体"/>
                <w:sz w:val="24"/>
                <w:lang w:val="en-US" w:eastAsia="zh-CN"/>
              </w:rPr>
            </w:pPr>
          </w:p>
          <w:p w14:paraId="0B5C8584">
            <w:pPr>
              <w:spacing w:line="360" w:lineRule="auto"/>
              <w:rPr>
                <w:rFonts w:hint="eastAsia" w:cs="宋体"/>
                <w:sz w:val="24"/>
                <w:lang w:val="en-US" w:eastAsia="zh-CN"/>
              </w:rPr>
            </w:pPr>
          </w:p>
          <w:p w14:paraId="2E1FC895">
            <w:pPr>
              <w:spacing w:line="360" w:lineRule="auto"/>
              <w:rPr>
                <w:rFonts w:hint="eastAsia" w:cs="宋体"/>
                <w:sz w:val="24"/>
                <w:lang w:val="en-US" w:eastAsia="zh-CN"/>
              </w:rPr>
            </w:pPr>
          </w:p>
          <w:p w14:paraId="32D2B7EE">
            <w:pPr>
              <w:spacing w:line="360" w:lineRule="auto"/>
              <w:rPr>
                <w:rFonts w:hint="eastAsia" w:cs="宋体"/>
                <w:sz w:val="24"/>
                <w:lang w:val="en-US" w:eastAsia="zh-CN"/>
              </w:rPr>
            </w:pPr>
          </w:p>
          <w:p w14:paraId="11BF8AB0">
            <w:pPr>
              <w:spacing w:line="360" w:lineRule="auto"/>
              <w:rPr>
                <w:rFonts w:hint="eastAsia" w:cs="宋体"/>
                <w:sz w:val="24"/>
                <w:lang w:val="en-US" w:eastAsia="zh-CN"/>
              </w:rPr>
            </w:pPr>
          </w:p>
          <w:p w14:paraId="4B3B7AA4">
            <w:pPr>
              <w:spacing w:line="360" w:lineRule="auto"/>
              <w:rPr>
                <w:rFonts w:hint="eastAsia" w:cs="宋体"/>
                <w:sz w:val="24"/>
                <w:lang w:val="en-US" w:eastAsia="zh-CN"/>
              </w:rPr>
            </w:pPr>
          </w:p>
          <w:p w14:paraId="2B83DA00">
            <w:pPr>
              <w:spacing w:line="360" w:lineRule="auto"/>
              <w:rPr>
                <w:rFonts w:hint="eastAsia" w:cs="宋体"/>
                <w:sz w:val="24"/>
                <w:lang w:val="en-US" w:eastAsia="zh-CN"/>
              </w:rPr>
            </w:pPr>
          </w:p>
          <w:p w14:paraId="48888B1F">
            <w:pPr>
              <w:spacing w:line="360" w:lineRule="auto"/>
              <w:rPr>
                <w:rFonts w:hint="eastAsia" w:cs="宋体"/>
                <w:sz w:val="24"/>
                <w:lang w:val="en-US" w:eastAsia="zh-CN"/>
              </w:rPr>
            </w:pPr>
          </w:p>
          <w:p w14:paraId="736891CE">
            <w:pPr>
              <w:spacing w:line="360" w:lineRule="auto"/>
              <w:rPr>
                <w:rFonts w:hint="eastAsia" w:cs="宋体"/>
                <w:sz w:val="24"/>
                <w:lang w:val="en-US" w:eastAsia="zh-CN"/>
              </w:rPr>
            </w:pPr>
          </w:p>
          <w:p w14:paraId="13E1BE9B">
            <w:pPr>
              <w:spacing w:line="360" w:lineRule="auto"/>
              <w:rPr>
                <w:rFonts w:hint="eastAsia" w:eastAsia="宋体" w:cs="宋体"/>
                <w:sz w:val="24"/>
                <w:lang w:val="en-US" w:eastAsia="zh-CN"/>
              </w:rPr>
            </w:pPr>
          </w:p>
        </w:tc>
      </w:tr>
    </w:tbl>
    <w:p w14:paraId="18F52786">
      <w:pPr>
        <w:pStyle w:val="47"/>
        <w:spacing w:before="192" w:beforeLines="80" w:after="24"/>
        <w:jc w:val="left"/>
        <w:rPr>
          <w:rFonts w:hint="eastAsia" w:ascii="Times New Roman" w:cs="Times New Roman"/>
          <w:snapToGrid w:val="0"/>
          <w:color w:val="000000"/>
          <w:spacing w:val="-6"/>
          <w:kern w:val="21"/>
          <w:szCs w:val="21"/>
          <w:lang w:val="en-US" w:eastAsia="zh-CN"/>
        </w:rPr>
      </w:pPr>
    </w:p>
    <w:p w14:paraId="6FCDDBF8">
      <w:pPr>
        <w:pStyle w:val="47"/>
        <w:spacing w:before="192" w:beforeLines="80" w:after="24"/>
        <w:jc w:val="left"/>
        <w:rPr>
          <w:rFonts w:hint="eastAsia" w:ascii="Times New Roman" w:cs="Times New Roman"/>
          <w:snapToGrid w:val="0"/>
          <w:color w:val="000000"/>
          <w:spacing w:val="-6"/>
          <w:kern w:val="21"/>
          <w:szCs w:val="21"/>
          <w:lang w:val="en-US" w:eastAsia="zh-CN"/>
        </w:rPr>
        <w:sectPr>
          <w:headerReference r:id="rId5" w:type="default"/>
          <w:footerReference r:id="rId6" w:type="default"/>
          <w:pgSz w:w="11906" w:h="16838"/>
          <w:pgMar w:top="1701" w:right="1531" w:bottom="1701" w:left="1531" w:header="851" w:footer="850" w:gutter="0"/>
          <w:pgNumType w:fmt="decimal"/>
          <w:cols w:space="0" w:num="1"/>
          <w:rtlGutter w:val="0"/>
          <w:docGrid w:linePitch="312" w:charSpace="0"/>
        </w:sectPr>
      </w:pPr>
    </w:p>
    <w:p w14:paraId="0902091E">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outlineLvl w:val="0"/>
        <w:rPr>
          <w:rFonts w:hint="eastAsia" w:ascii="Times New Roman" w:hAnsi="Times New Roman" w:eastAsia="宋体" w:cs="Times New Roman"/>
          <w:b/>
          <w:bCs/>
          <w:snapToGrid w:val="0"/>
          <w:sz w:val="32"/>
          <w:szCs w:val="32"/>
          <w:lang w:val="en-US" w:eastAsia="zh-CN"/>
        </w:rPr>
      </w:pPr>
      <w:r>
        <w:rPr>
          <w:rFonts w:hint="default" w:ascii="Times New Roman" w:hAnsi="Times New Roman" w:eastAsia="宋体" w:cs="Times New Roman"/>
          <w:b/>
          <w:bCs/>
          <w:snapToGrid w:val="0"/>
          <w:sz w:val="32"/>
          <w:szCs w:val="32"/>
        </w:rPr>
        <w:t>附表</w:t>
      </w:r>
      <w:r>
        <w:rPr>
          <w:rFonts w:hint="eastAsia" w:ascii="Times New Roman" w:hAnsi="Times New Roman" w:eastAsia="宋体" w:cs="Times New Roman"/>
          <w:b/>
          <w:bCs/>
          <w:snapToGrid w:val="0"/>
          <w:sz w:val="32"/>
          <w:szCs w:val="32"/>
          <w:lang w:val="en-US" w:eastAsia="zh-CN"/>
        </w:rPr>
        <w:t>一</w:t>
      </w:r>
    </w:p>
    <w:p w14:paraId="1267D038">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宋体" w:cs="Times New Roman"/>
          <w:b/>
          <w:bCs/>
          <w:snapToGrid w:val="0"/>
          <w:sz w:val="36"/>
          <w:szCs w:val="36"/>
        </w:rPr>
      </w:pPr>
      <w:r>
        <w:rPr>
          <w:rFonts w:hint="default" w:ascii="Times New Roman" w:hAnsi="Times New Roman" w:eastAsia="宋体" w:cs="Times New Roman"/>
          <w:b/>
          <w:bCs/>
          <w:snapToGrid w:val="0"/>
          <w:sz w:val="36"/>
          <w:szCs w:val="36"/>
        </w:rPr>
        <w:t>建设项目污染物排放量汇总表</w:t>
      </w:r>
    </w:p>
    <w:tbl>
      <w:tblPr>
        <w:tblStyle w:val="24"/>
        <w:tblW w:w="503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2406"/>
        <w:gridCol w:w="1500"/>
        <w:gridCol w:w="1109"/>
        <w:gridCol w:w="1440"/>
        <w:gridCol w:w="1560"/>
        <w:gridCol w:w="1315"/>
        <w:gridCol w:w="1711"/>
        <w:gridCol w:w="1176"/>
      </w:tblGrid>
      <w:tr w14:paraId="249BB6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379" w:type="dxa"/>
            <w:tcBorders>
              <w:tl2br w:val="single" w:color="auto" w:sz="4" w:space="0"/>
            </w:tcBorders>
            <w:noWrap w:val="0"/>
            <w:tcMar>
              <w:left w:w="28" w:type="dxa"/>
              <w:right w:w="28" w:type="dxa"/>
            </w:tcMar>
            <w:vAlign w:val="center"/>
          </w:tcPr>
          <w:p w14:paraId="75573AD4">
            <w:pPr>
              <w:pStyle w:val="47"/>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default" w:ascii="Times New Roman" w:hAnsi="Times New Roman" w:eastAsia="宋体" w:cs="Times New Roman"/>
                <w:snapToGrid w:val="0"/>
                <w:color w:val="000000"/>
                <w:spacing w:val="-6"/>
                <w:kern w:val="21"/>
                <w:sz w:val="21"/>
                <w:szCs w:val="21"/>
              </w:rPr>
            </w:pPr>
            <w:r>
              <w:rPr>
                <w:rFonts w:hint="default" w:ascii="Times New Roman" w:hAnsi="Times New Roman" w:eastAsia="宋体" w:cs="Times New Roman"/>
                <w:snapToGrid w:val="0"/>
                <w:color w:val="000000"/>
                <w:spacing w:val="-6"/>
                <w:kern w:val="21"/>
                <w:sz w:val="21"/>
                <w:szCs w:val="21"/>
              </w:rPr>
              <w:t>项目</w:t>
            </w:r>
          </w:p>
          <w:p w14:paraId="34AD07BF">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default" w:ascii="Times New Roman" w:hAnsi="Times New Roman" w:eastAsia="宋体" w:cs="Times New Roman"/>
                <w:snapToGrid w:val="0"/>
                <w:color w:val="000000"/>
                <w:spacing w:val="-6"/>
                <w:kern w:val="21"/>
                <w:sz w:val="21"/>
                <w:szCs w:val="21"/>
              </w:rPr>
            </w:pPr>
            <w:r>
              <w:rPr>
                <w:rFonts w:hint="default" w:ascii="Times New Roman" w:hAnsi="Times New Roman" w:eastAsia="宋体" w:cs="Times New Roman"/>
                <w:snapToGrid w:val="0"/>
                <w:color w:val="000000"/>
                <w:spacing w:val="-6"/>
                <w:kern w:val="21"/>
                <w:sz w:val="21"/>
                <w:szCs w:val="21"/>
              </w:rPr>
              <w:t>分类</w:t>
            </w:r>
          </w:p>
        </w:tc>
        <w:tc>
          <w:tcPr>
            <w:tcW w:w="2406" w:type="dxa"/>
            <w:noWrap w:val="0"/>
            <w:tcMar>
              <w:left w:w="28" w:type="dxa"/>
              <w:right w:w="28" w:type="dxa"/>
            </w:tcMar>
            <w:vAlign w:val="center"/>
          </w:tcPr>
          <w:p w14:paraId="262E45E3">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000000"/>
                <w:spacing w:val="-6"/>
                <w:kern w:val="21"/>
                <w:sz w:val="21"/>
                <w:szCs w:val="21"/>
              </w:rPr>
            </w:pPr>
            <w:r>
              <w:rPr>
                <w:rFonts w:hint="default" w:ascii="Times New Roman" w:hAnsi="Times New Roman" w:eastAsia="宋体" w:cs="Times New Roman"/>
                <w:snapToGrid w:val="0"/>
                <w:color w:val="000000"/>
                <w:spacing w:val="-6"/>
                <w:kern w:val="21"/>
                <w:sz w:val="21"/>
                <w:szCs w:val="21"/>
              </w:rPr>
              <w:t>污染物名称</w:t>
            </w:r>
          </w:p>
        </w:tc>
        <w:tc>
          <w:tcPr>
            <w:tcW w:w="1500" w:type="dxa"/>
            <w:noWrap w:val="0"/>
            <w:tcMar>
              <w:left w:w="28" w:type="dxa"/>
              <w:right w:w="28" w:type="dxa"/>
            </w:tcMar>
            <w:vAlign w:val="center"/>
          </w:tcPr>
          <w:p w14:paraId="7068F4CB">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000000"/>
                <w:spacing w:val="-6"/>
                <w:kern w:val="21"/>
                <w:sz w:val="21"/>
                <w:szCs w:val="21"/>
              </w:rPr>
            </w:pPr>
            <w:r>
              <w:rPr>
                <w:rFonts w:hint="default" w:ascii="Times New Roman" w:hAnsi="Times New Roman" w:eastAsia="宋体" w:cs="Times New Roman"/>
                <w:snapToGrid w:val="0"/>
                <w:color w:val="000000"/>
                <w:spacing w:val="-6"/>
                <w:kern w:val="21"/>
                <w:sz w:val="21"/>
                <w:szCs w:val="21"/>
              </w:rPr>
              <w:t>现有工程排放量（固体废物产生量）</w:t>
            </w:r>
            <w:r>
              <w:rPr>
                <w:rFonts w:hint="default" w:ascii="Times New Roman" w:hAnsi="Times New Roman" w:eastAsia="宋体" w:cs="Times New Roman"/>
                <w:snapToGrid w:val="0"/>
                <w:color w:val="000000"/>
                <w:spacing w:val="-6"/>
                <w:kern w:val="21"/>
                <w:sz w:val="21"/>
                <w:szCs w:val="21"/>
              </w:rPr>
              <w:fldChar w:fldCharType="begin"/>
            </w:r>
            <w:r>
              <w:rPr>
                <w:rFonts w:hint="default" w:ascii="Times New Roman" w:hAnsi="Times New Roman" w:eastAsia="宋体" w:cs="Times New Roman"/>
                <w:snapToGrid w:val="0"/>
                <w:color w:val="000000"/>
                <w:spacing w:val="-6"/>
                <w:kern w:val="21"/>
                <w:sz w:val="21"/>
                <w:szCs w:val="21"/>
              </w:rPr>
              <w:instrText xml:space="preserve"> = 1 \* GB3 \* MERGEFORMAT </w:instrText>
            </w:r>
            <w:r>
              <w:rPr>
                <w:rFonts w:hint="default" w:ascii="Times New Roman" w:hAnsi="Times New Roman" w:eastAsia="宋体" w:cs="Times New Roman"/>
                <w:snapToGrid w:val="0"/>
                <w:color w:val="000000"/>
                <w:spacing w:val="-6"/>
                <w:kern w:val="21"/>
                <w:sz w:val="21"/>
                <w:szCs w:val="21"/>
              </w:rPr>
              <w:fldChar w:fldCharType="separate"/>
            </w:r>
            <w:r>
              <w:rPr>
                <w:rFonts w:hint="default" w:ascii="Times New Roman" w:hAnsi="Times New Roman" w:eastAsia="宋体" w:cs="Times New Roman"/>
                <w:kern w:val="2"/>
                <w:sz w:val="21"/>
                <w:szCs w:val="21"/>
              </w:rPr>
              <w:t>①</w:t>
            </w:r>
            <w:r>
              <w:rPr>
                <w:rFonts w:hint="default" w:ascii="Times New Roman" w:hAnsi="Times New Roman" w:eastAsia="宋体" w:cs="Times New Roman"/>
                <w:snapToGrid w:val="0"/>
                <w:color w:val="000000"/>
                <w:spacing w:val="-6"/>
                <w:kern w:val="21"/>
                <w:sz w:val="21"/>
                <w:szCs w:val="21"/>
              </w:rPr>
              <w:fldChar w:fldCharType="end"/>
            </w:r>
          </w:p>
        </w:tc>
        <w:tc>
          <w:tcPr>
            <w:tcW w:w="1109" w:type="dxa"/>
            <w:noWrap w:val="0"/>
            <w:tcMar>
              <w:left w:w="28" w:type="dxa"/>
              <w:right w:w="28" w:type="dxa"/>
            </w:tcMar>
            <w:vAlign w:val="center"/>
          </w:tcPr>
          <w:p w14:paraId="5084CFED">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000000"/>
                <w:spacing w:val="-6"/>
                <w:kern w:val="21"/>
                <w:sz w:val="21"/>
                <w:szCs w:val="21"/>
              </w:rPr>
            </w:pPr>
            <w:r>
              <w:rPr>
                <w:rFonts w:hint="default" w:ascii="Times New Roman" w:hAnsi="Times New Roman" w:eastAsia="宋体" w:cs="Times New Roman"/>
                <w:snapToGrid w:val="0"/>
                <w:color w:val="000000"/>
                <w:spacing w:val="-6"/>
                <w:kern w:val="21"/>
                <w:sz w:val="21"/>
                <w:szCs w:val="21"/>
              </w:rPr>
              <w:t>现有工程</w:t>
            </w:r>
          </w:p>
          <w:p w14:paraId="6473A3A8">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000000"/>
                <w:spacing w:val="-6"/>
                <w:kern w:val="21"/>
                <w:sz w:val="21"/>
                <w:szCs w:val="21"/>
              </w:rPr>
            </w:pPr>
            <w:r>
              <w:rPr>
                <w:rFonts w:hint="default" w:ascii="Times New Roman" w:hAnsi="Times New Roman" w:eastAsia="宋体" w:cs="Times New Roman"/>
                <w:snapToGrid w:val="0"/>
                <w:color w:val="000000"/>
                <w:spacing w:val="-6"/>
                <w:kern w:val="21"/>
                <w:sz w:val="21"/>
                <w:szCs w:val="21"/>
              </w:rPr>
              <w:t>许可排放量</w:t>
            </w:r>
            <w:r>
              <w:rPr>
                <w:rFonts w:hint="default" w:ascii="Times New Roman" w:hAnsi="Times New Roman" w:eastAsia="宋体" w:cs="Times New Roman"/>
                <w:snapToGrid w:val="0"/>
                <w:color w:val="000000"/>
                <w:spacing w:val="-6"/>
                <w:kern w:val="21"/>
                <w:sz w:val="21"/>
                <w:szCs w:val="21"/>
              </w:rPr>
              <w:fldChar w:fldCharType="begin"/>
            </w:r>
            <w:r>
              <w:rPr>
                <w:rFonts w:hint="default" w:ascii="Times New Roman" w:hAnsi="Times New Roman" w:eastAsia="宋体" w:cs="Times New Roman"/>
                <w:snapToGrid w:val="0"/>
                <w:color w:val="000000"/>
                <w:spacing w:val="-6"/>
                <w:kern w:val="21"/>
                <w:sz w:val="21"/>
                <w:szCs w:val="21"/>
              </w:rPr>
              <w:instrText xml:space="preserve"> = 2 \* GB3 \* MERGEFORMAT </w:instrText>
            </w:r>
            <w:r>
              <w:rPr>
                <w:rFonts w:hint="default" w:ascii="Times New Roman" w:hAnsi="Times New Roman" w:eastAsia="宋体" w:cs="Times New Roman"/>
                <w:snapToGrid w:val="0"/>
                <w:color w:val="000000"/>
                <w:spacing w:val="-6"/>
                <w:kern w:val="21"/>
                <w:sz w:val="21"/>
                <w:szCs w:val="21"/>
              </w:rPr>
              <w:fldChar w:fldCharType="separate"/>
            </w:r>
            <w:r>
              <w:rPr>
                <w:rFonts w:hint="default" w:ascii="Times New Roman" w:hAnsi="Times New Roman" w:eastAsia="宋体" w:cs="Times New Roman"/>
                <w:snapToGrid w:val="0"/>
                <w:color w:val="000000"/>
                <w:spacing w:val="-6"/>
                <w:kern w:val="21"/>
                <w:sz w:val="21"/>
                <w:szCs w:val="21"/>
              </w:rPr>
              <w:t>②</w:t>
            </w:r>
            <w:r>
              <w:rPr>
                <w:rFonts w:hint="default" w:ascii="Times New Roman" w:hAnsi="Times New Roman" w:eastAsia="宋体" w:cs="Times New Roman"/>
                <w:snapToGrid w:val="0"/>
                <w:color w:val="000000"/>
                <w:spacing w:val="-6"/>
                <w:kern w:val="21"/>
                <w:sz w:val="21"/>
                <w:szCs w:val="21"/>
              </w:rPr>
              <w:fldChar w:fldCharType="end"/>
            </w:r>
          </w:p>
        </w:tc>
        <w:tc>
          <w:tcPr>
            <w:tcW w:w="1440" w:type="dxa"/>
            <w:noWrap w:val="0"/>
            <w:tcMar>
              <w:left w:w="28" w:type="dxa"/>
              <w:right w:w="28" w:type="dxa"/>
            </w:tcMar>
            <w:vAlign w:val="center"/>
          </w:tcPr>
          <w:p w14:paraId="7F4458A8">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000000"/>
                <w:spacing w:val="-6"/>
                <w:kern w:val="21"/>
                <w:sz w:val="21"/>
                <w:szCs w:val="21"/>
              </w:rPr>
            </w:pPr>
            <w:r>
              <w:rPr>
                <w:rFonts w:hint="default" w:ascii="Times New Roman" w:hAnsi="Times New Roman" w:eastAsia="宋体" w:cs="Times New Roman"/>
                <w:snapToGrid w:val="0"/>
                <w:color w:val="000000"/>
                <w:spacing w:val="-6"/>
                <w:kern w:val="21"/>
                <w:sz w:val="21"/>
                <w:szCs w:val="21"/>
              </w:rPr>
              <w:t>在建工程排放量（固体废物产生量）</w:t>
            </w:r>
            <w:r>
              <w:rPr>
                <w:rFonts w:hint="default" w:ascii="Times New Roman" w:hAnsi="Times New Roman" w:eastAsia="宋体" w:cs="Times New Roman"/>
                <w:snapToGrid w:val="0"/>
                <w:color w:val="000000"/>
                <w:spacing w:val="-6"/>
                <w:kern w:val="21"/>
                <w:sz w:val="21"/>
                <w:szCs w:val="21"/>
              </w:rPr>
              <w:fldChar w:fldCharType="begin"/>
            </w:r>
            <w:r>
              <w:rPr>
                <w:rFonts w:hint="default" w:ascii="Times New Roman" w:hAnsi="Times New Roman" w:eastAsia="宋体" w:cs="Times New Roman"/>
                <w:snapToGrid w:val="0"/>
                <w:color w:val="000000"/>
                <w:spacing w:val="-6"/>
                <w:kern w:val="21"/>
                <w:sz w:val="21"/>
                <w:szCs w:val="21"/>
              </w:rPr>
              <w:instrText xml:space="preserve"> = 3 \* GB3 \* MERGEFORMAT </w:instrText>
            </w:r>
            <w:r>
              <w:rPr>
                <w:rFonts w:hint="default" w:ascii="Times New Roman" w:hAnsi="Times New Roman" w:eastAsia="宋体" w:cs="Times New Roman"/>
                <w:snapToGrid w:val="0"/>
                <w:color w:val="000000"/>
                <w:spacing w:val="-6"/>
                <w:kern w:val="21"/>
                <w:sz w:val="21"/>
                <w:szCs w:val="21"/>
              </w:rPr>
              <w:fldChar w:fldCharType="separate"/>
            </w:r>
            <w:r>
              <w:rPr>
                <w:rFonts w:hint="default" w:ascii="Times New Roman" w:hAnsi="Times New Roman" w:eastAsia="宋体" w:cs="Times New Roman"/>
                <w:kern w:val="2"/>
                <w:sz w:val="21"/>
                <w:szCs w:val="21"/>
              </w:rPr>
              <w:t>③</w:t>
            </w:r>
            <w:r>
              <w:rPr>
                <w:rFonts w:hint="default" w:ascii="Times New Roman" w:hAnsi="Times New Roman" w:eastAsia="宋体" w:cs="Times New Roman"/>
                <w:snapToGrid w:val="0"/>
                <w:color w:val="000000"/>
                <w:spacing w:val="-6"/>
                <w:kern w:val="21"/>
                <w:sz w:val="21"/>
                <w:szCs w:val="21"/>
              </w:rPr>
              <w:fldChar w:fldCharType="end"/>
            </w:r>
          </w:p>
        </w:tc>
        <w:tc>
          <w:tcPr>
            <w:tcW w:w="1560" w:type="dxa"/>
            <w:noWrap w:val="0"/>
            <w:tcMar>
              <w:left w:w="28" w:type="dxa"/>
              <w:right w:w="28" w:type="dxa"/>
            </w:tcMar>
            <w:vAlign w:val="center"/>
          </w:tcPr>
          <w:p w14:paraId="0CD995BA">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000000"/>
                <w:spacing w:val="-6"/>
                <w:kern w:val="21"/>
                <w:sz w:val="21"/>
                <w:szCs w:val="21"/>
              </w:rPr>
            </w:pPr>
            <w:r>
              <w:rPr>
                <w:rFonts w:hint="default" w:ascii="Times New Roman" w:hAnsi="Times New Roman" w:eastAsia="宋体" w:cs="Times New Roman"/>
                <w:snapToGrid w:val="0"/>
                <w:color w:val="000000"/>
                <w:spacing w:val="-6"/>
                <w:kern w:val="21"/>
                <w:sz w:val="21"/>
                <w:szCs w:val="21"/>
              </w:rPr>
              <w:t>本项目排放量（固体废物产生量）</w:t>
            </w:r>
            <w:r>
              <w:rPr>
                <w:rFonts w:hint="default" w:ascii="Times New Roman" w:hAnsi="Times New Roman" w:eastAsia="宋体" w:cs="Times New Roman"/>
                <w:snapToGrid w:val="0"/>
                <w:color w:val="000000"/>
                <w:spacing w:val="-6"/>
                <w:kern w:val="21"/>
                <w:sz w:val="21"/>
                <w:szCs w:val="21"/>
              </w:rPr>
              <w:fldChar w:fldCharType="begin"/>
            </w:r>
            <w:r>
              <w:rPr>
                <w:rFonts w:hint="default" w:ascii="Times New Roman" w:hAnsi="Times New Roman" w:eastAsia="宋体" w:cs="Times New Roman"/>
                <w:snapToGrid w:val="0"/>
                <w:color w:val="000000"/>
                <w:spacing w:val="-6"/>
                <w:kern w:val="21"/>
                <w:sz w:val="21"/>
                <w:szCs w:val="21"/>
              </w:rPr>
              <w:instrText xml:space="preserve"> = 4 \* GB3 \* MERGEFORMAT </w:instrText>
            </w:r>
            <w:r>
              <w:rPr>
                <w:rFonts w:hint="default" w:ascii="Times New Roman" w:hAnsi="Times New Roman" w:eastAsia="宋体" w:cs="Times New Roman"/>
                <w:snapToGrid w:val="0"/>
                <w:color w:val="000000"/>
                <w:spacing w:val="-6"/>
                <w:kern w:val="21"/>
                <w:sz w:val="21"/>
                <w:szCs w:val="21"/>
              </w:rPr>
              <w:fldChar w:fldCharType="separate"/>
            </w:r>
            <w:r>
              <w:rPr>
                <w:rFonts w:hint="default" w:ascii="Times New Roman" w:hAnsi="Times New Roman" w:eastAsia="宋体" w:cs="Times New Roman"/>
                <w:kern w:val="2"/>
                <w:sz w:val="21"/>
                <w:szCs w:val="21"/>
              </w:rPr>
              <w:t>④</w:t>
            </w:r>
            <w:r>
              <w:rPr>
                <w:rFonts w:hint="default" w:ascii="Times New Roman" w:hAnsi="Times New Roman" w:eastAsia="宋体" w:cs="Times New Roman"/>
                <w:snapToGrid w:val="0"/>
                <w:color w:val="000000"/>
                <w:spacing w:val="-6"/>
                <w:kern w:val="21"/>
                <w:sz w:val="21"/>
                <w:szCs w:val="21"/>
              </w:rPr>
              <w:fldChar w:fldCharType="end"/>
            </w:r>
          </w:p>
        </w:tc>
        <w:tc>
          <w:tcPr>
            <w:tcW w:w="1315" w:type="dxa"/>
            <w:noWrap w:val="0"/>
            <w:tcMar>
              <w:left w:w="28" w:type="dxa"/>
              <w:right w:w="28" w:type="dxa"/>
            </w:tcMar>
            <w:vAlign w:val="center"/>
          </w:tcPr>
          <w:p w14:paraId="3BB4503F">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000000"/>
                <w:spacing w:val="-16"/>
                <w:kern w:val="21"/>
                <w:sz w:val="21"/>
                <w:szCs w:val="21"/>
              </w:rPr>
            </w:pPr>
            <w:r>
              <w:rPr>
                <w:rFonts w:hint="default" w:ascii="Times New Roman" w:hAnsi="Times New Roman" w:eastAsia="宋体" w:cs="Times New Roman"/>
                <w:snapToGrid w:val="0"/>
                <w:color w:val="000000"/>
                <w:spacing w:val="-16"/>
                <w:kern w:val="21"/>
                <w:sz w:val="21"/>
                <w:szCs w:val="21"/>
              </w:rPr>
              <w:t>以新带老削减量（新建项目不填）</w:t>
            </w:r>
            <w:r>
              <w:rPr>
                <w:rFonts w:hint="default" w:ascii="Times New Roman" w:hAnsi="Times New Roman" w:eastAsia="宋体" w:cs="Times New Roman"/>
                <w:snapToGrid w:val="0"/>
                <w:color w:val="000000"/>
                <w:spacing w:val="-16"/>
                <w:kern w:val="21"/>
                <w:sz w:val="21"/>
                <w:szCs w:val="21"/>
              </w:rPr>
              <w:fldChar w:fldCharType="begin"/>
            </w:r>
            <w:r>
              <w:rPr>
                <w:rFonts w:hint="default" w:ascii="Times New Roman" w:hAnsi="Times New Roman" w:eastAsia="宋体" w:cs="Times New Roman"/>
                <w:snapToGrid w:val="0"/>
                <w:color w:val="000000"/>
                <w:spacing w:val="-16"/>
                <w:kern w:val="21"/>
                <w:sz w:val="21"/>
                <w:szCs w:val="21"/>
              </w:rPr>
              <w:instrText xml:space="preserve"> = 5 \* GB3 \* MERGEFORMAT </w:instrText>
            </w:r>
            <w:r>
              <w:rPr>
                <w:rFonts w:hint="default" w:ascii="Times New Roman" w:hAnsi="Times New Roman" w:eastAsia="宋体" w:cs="Times New Roman"/>
                <w:snapToGrid w:val="0"/>
                <w:color w:val="000000"/>
                <w:spacing w:val="-16"/>
                <w:kern w:val="21"/>
                <w:sz w:val="21"/>
                <w:szCs w:val="21"/>
              </w:rPr>
              <w:fldChar w:fldCharType="separate"/>
            </w:r>
            <w:r>
              <w:rPr>
                <w:rFonts w:hint="default" w:ascii="Times New Roman" w:hAnsi="Times New Roman" w:eastAsia="宋体" w:cs="Times New Roman"/>
                <w:kern w:val="2"/>
                <w:sz w:val="21"/>
                <w:szCs w:val="21"/>
              </w:rPr>
              <w:t>⑤</w:t>
            </w:r>
            <w:r>
              <w:rPr>
                <w:rFonts w:hint="default" w:ascii="Times New Roman" w:hAnsi="Times New Roman" w:eastAsia="宋体" w:cs="Times New Roman"/>
                <w:snapToGrid w:val="0"/>
                <w:color w:val="000000"/>
                <w:spacing w:val="-16"/>
                <w:kern w:val="21"/>
                <w:sz w:val="21"/>
                <w:szCs w:val="21"/>
              </w:rPr>
              <w:fldChar w:fldCharType="end"/>
            </w:r>
          </w:p>
        </w:tc>
        <w:tc>
          <w:tcPr>
            <w:tcW w:w="1711" w:type="dxa"/>
            <w:noWrap w:val="0"/>
            <w:tcMar>
              <w:left w:w="28" w:type="dxa"/>
              <w:right w:w="28" w:type="dxa"/>
            </w:tcMar>
            <w:vAlign w:val="center"/>
          </w:tcPr>
          <w:p w14:paraId="5BC57CE9">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000000"/>
                <w:spacing w:val="-16"/>
                <w:kern w:val="21"/>
                <w:sz w:val="21"/>
                <w:szCs w:val="21"/>
              </w:rPr>
            </w:pPr>
            <w:r>
              <w:rPr>
                <w:rFonts w:hint="default" w:ascii="Times New Roman" w:hAnsi="Times New Roman" w:eastAsia="宋体" w:cs="Times New Roman"/>
                <w:snapToGrid w:val="0"/>
                <w:color w:val="000000"/>
                <w:spacing w:val="-16"/>
                <w:kern w:val="21"/>
                <w:sz w:val="21"/>
                <w:szCs w:val="21"/>
              </w:rPr>
              <w:t>本项目建成后全厂排放量（固体废物产生量）</w:t>
            </w:r>
            <w:r>
              <w:rPr>
                <w:rFonts w:hint="default" w:ascii="Times New Roman" w:hAnsi="Times New Roman" w:eastAsia="宋体" w:cs="Times New Roman"/>
                <w:snapToGrid w:val="0"/>
                <w:color w:val="000000"/>
                <w:spacing w:val="-16"/>
                <w:kern w:val="21"/>
                <w:sz w:val="21"/>
                <w:szCs w:val="21"/>
              </w:rPr>
              <w:fldChar w:fldCharType="begin"/>
            </w:r>
            <w:r>
              <w:rPr>
                <w:rFonts w:hint="default" w:ascii="Times New Roman" w:hAnsi="Times New Roman" w:eastAsia="宋体" w:cs="Times New Roman"/>
                <w:snapToGrid w:val="0"/>
                <w:color w:val="000000"/>
                <w:spacing w:val="-16"/>
                <w:kern w:val="21"/>
                <w:sz w:val="21"/>
                <w:szCs w:val="21"/>
              </w:rPr>
              <w:instrText xml:space="preserve"> = 6 \* GB3 \* MERGEFORMAT </w:instrText>
            </w:r>
            <w:r>
              <w:rPr>
                <w:rFonts w:hint="default" w:ascii="Times New Roman" w:hAnsi="Times New Roman" w:eastAsia="宋体" w:cs="Times New Roman"/>
                <w:snapToGrid w:val="0"/>
                <w:color w:val="000000"/>
                <w:spacing w:val="-16"/>
                <w:kern w:val="21"/>
                <w:sz w:val="21"/>
                <w:szCs w:val="21"/>
              </w:rPr>
              <w:fldChar w:fldCharType="separate"/>
            </w:r>
            <w:r>
              <w:rPr>
                <w:rFonts w:hint="default" w:ascii="Times New Roman" w:hAnsi="Times New Roman" w:eastAsia="宋体" w:cs="Times New Roman"/>
                <w:kern w:val="2"/>
                <w:sz w:val="21"/>
                <w:szCs w:val="21"/>
              </w:rPr>
              <w:t>⑥</w:t>
            </w:r>
            <w:r>
              <w:rPr>
                <w:rFonts w:hint="default" w:ascii="Times New Roman" w:hAnsi="Times New Roman" w:eastAsia="宋体" w:cs="Times New Roman"/>
                <w:snapToGrid w:val="0"/>
                <w:color w:val="000000"/>
                <w:spacing w:val="-16"/>
                <w:kern w:val="21"/>
                <w:sz w:val="21"/>
                <w:szCs w:val="21"/>
              </w:rPr>
              <w:fldChar w:fldCharType="end"/>
            </w:r>
          </w:p>
        </w:tc>
        <w:tc>
          <w:tcPr>
            <w:tcW w:w="1176" w:type="dxa"/>
            <w:noWrap w:val="0"/>
            <w:tcMar>
              <w:left w:w="28" w:type="dxa"/>
              <w:right w:w="28" w:type="dxa"/>
            </w:tcMar>
            <w:vAlign w:val="center"/>
          </w:tcPr>
          <w:p w14:paraId="7E378F6D">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000000"/>
                <w:spacing w:val="-6"/>
                <w:kern w:val="21"/>
                <w:sz w:val="21"/>
                <w:szCs w:val="21"/>
              </w:rPr>
            </w:pPr>
            <w:r>
              <w:rPr>
                <w:rFonts w:hint="default" w:ascii="Times New Roman" w:hAnsi="Times New Roman" w:eastAsia="宋体" w:cs="Times New Roman"/>
                <w:snapToGrid w:val="0"/>
                <w:color w:val="000000"/>
                <w:spacing w:val="-6"/>
                <w:kern w:val="21"/>
                <w:sz w:val="21"/>
                <w:szCs w:val="21"/>
              </w:rPr>
              <w:t>变化量</w:t>
            </w:r>
            <w:r>
              <w:rPr>
                <w:rFonts w:hint="default" w:ascii="Times New Roman" w:hAnsi="Times New Roman" w:eastAsia="宋体" w:cs="Times New Roman"/>
                <w:snapToGrid w:val="0"/>
                <w:color w:val="000000"/>
                <w:spacing w:val="-6"/>
                <w:kern w:val="21"/>
                <w:sz w:val="21"/>
                <w:szCs w:val="21"/>
              </w:rPr>
              <w:fldChar w:fldCharType="begin"/>
            </w:r>
            <w:r>
              <w:rPr>
                <w:rFonts w:hint="default" w:ascii="Times New Roman" w:hAnsi="Times New Roman" w:eastAsia="宋体" w:cs="Times New Roman"/>
                <w:snapToGrid w:val="0"/>
                <w:color w:val="000000"/>
                <w:spacing w:val="-6"/>
                <w:kern w:val="21"/>
                <w:sz w:val="21"/>
                <w:szCs w:val="21"/>
              </w:rPr>
              <w:instrText xml:space="preserve"> = 7 \* GB3 \* MERGEFORMAT </w:instrText>
            </w:r>
            <w:r>
              <w:rPr>
                <w:rFonts w:hint="default" w:ascii="Times New Roman" w:hAnsi="Times New Roman" w:eastAsia="宋体" w:cs="Times New Roman"/>
                <w:snapToGrid w:val="0"/>
                <w:color w:val="000000"/>
                <w:spacing w:val="-6"/>
                <w:kern w:val="21"/>
                <w:sz w:val="21"/>
                <w:szCs w:val="21"/>
              </w:rPr>
              <w:fldChar w:fldCharType="separate"/>
            </w:r>
            <w:r>
              <w:rPr>
                <w:rFonts w:hint="default" w:ascii="Times New Roman" w:hAnsi="Times New Roman" w:eastAsia="宋体" w:cs="Times New Roman"/>
                <w:kern w:val="2"/>
                <w:sz w:val="21"/>
                <w:szCs w:val="21"/>
              </w:rPr>
              <w:t>⑦</w:t>
            </w:r>
            <w:r>
              <w:rPr>
                <w:rFonts w:hint="default" w:ascii="Times New Roman" w:hAnsi="Times New Roman" w:eastAsia="宋体" w:cs="Times New Roman"/>
                <w:snapToGrid w:val="0"/>
                <w:color w:val="000000"/>
                <w:spacing w:val="-6"/>
                <w:kern w:val="21"/>
                <w:sz w:val="21"/>
                <w:szCs w:val="21"/>
              </w:rPr>
              <w:fldChar w:fldCharType="end"/>
            </w:r>
          </w:p>
        </w:tc>
      </w:tr>
      <w:tr w14:paraId="0BAF42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79" w:type="dxa"/>
            <w:vMerge w:val="restart"/>
            <w:noWrap w:val="0"/>
            <w:vAlign w:val="center"/>
          </w:tcPr>
          <w:p w14:paraId="14D91437">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ascii="Times New Roman" w:hAnsi="Times New Roman" w:eastAsia="宋体"/>
                <w:snapToGrid w:val="0"/>
                <w:color w:val="000000"/>
                <w:kern w:val="21"/>
                <w:sz w:val="21"/>
                <w:szCs w:val="21"/>
              </w:rPr>
            </w:pPr>
            <w:r>
              <w:rPr>
                <w:rFonts w:ascii="Times New Roman" w:hAnsi="Times New Roman" w:eastAsia="宋体"/>
                <w:snapToGrid w:val="0"/>
                <w:color w:val="000000"/>
                <w:kern w:val="21"/>
                <w:sz w:val="21"/>
                <w:szCs w:val="21"/>
              </w:rPr>
              <w:t>废气</w:t>
            </w:r>
          </w:p>
        </w:tc>
        <w:tc>
          <w:tcPr>
            <w:tcW w:w="2406" w:type="dxa"/>
            <w:noWrap w:val="0"/>
            <w:vAlign w:val="center"/>
          </w:tcPr>
          <w:p w14:paraId="42525E1F">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snapToGrid w:val="0"/>
                <w:color w:val="000000"/>
                <w:kern w:val="21"/>
                <w:sz w:val="21"/>
                <w:szCs w:val="21"/>
                <w:lang w:val="en-US" w:eastAsia="zh-CN"/>
              </w:rPr>
            </w:pPr>
            <w:r>
              <w:rPr>
                <w:rFonts w:hint="eastAsia" w:ascii="Times New Roman" w:eastAsia="宋体"/>
                <w:snapToGrid w:val="0"/>
                <w:color w:val="000000"/>
                <w:kern w:val="21"/>
                <w:sz w:val="21"/>
                <w:szCs w:val="21"/>
                <w:lang w:val="en-US" w:eastAsia="zh-CN"/>
              </w:rPr>
              <w:t>非甲烷总烃</w:t>
            </w:r>
          </w:p>
        </w:tc>
        <w:tc>
          <w:tcPr>
            <w:tcW w:w="1500" w:type="dxa"/>
            <w:noWrap w:val="0"/>
            <w:vAlign w:val="center"/>
          </w:tcPr>
          <w:p w14:paraId="74990856">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109" w:type="dxa"/>
            <w:noWrap w:val="0"/>
            <w:vAlign w:val="center"/>
          </w:tcPr>
          <w:p w14:paraId="3DFBB70D">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eastAsia="zh-CN"/>
              </w:rPr>
            </w:pPr>
            <w:r>
              <w:rPr>
                <w:rFonts w:hint="eastAsia" w:ascii="Times New Roman" w:hAnsi="Times New Roman" w:eastAsia="宋体"/>
                <w:snapToGrid w:val="0"/>
                <w:color w:val="000000"/>
                <w:kern w:val="21"/>
                <w:sz w:val="21"/>
                <w:szCs w:val="21"/>
                <w:lang w:val="en-US" w:eastAsia="zh-CN"/>
              </w:rPr>
              <w:t>/</w:t>
            </w:r>
          </w:p>
        </w:tc>
        <w:tc>
          <w:tcPr>
            <w:tcW w:w="1440" w:type="dxa"/>
            <w:noWrap w:val="0"/>
            <w:vAlign w:val="center"/>
          </w:tcPr>
          <w:p w14:paraId="0D6223A1">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560" w:type="dxa"/>
            <w:noWrap w:val="0"/>
            <w:vAlign w:val="center"/>
          </w:tcPr>
          <w:p w14:paraId="2A69F4CC">
            <w:pPr>
              <w:pStyle w:val="29"/>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snapToGrid w:val="0"/>
                <w:color w:val="000000"/>
                <w:kern w:val="21"/>
                <w:sz w:val="21"/>
                <w:szCs w:val="21"/>
                <w:lang w:val="en-US"/>
              </w:rPr>
            </w:pPr>
            <w:r>
              <w:rPr>
                <w:rFonts w:hint="eastAsia" w:ascii="Times New Roman" w:hAnsi="Times New Roman" w:eastAsia="宋体" w:cs="Times New Roman"/>
                <w:b w:val="0"/>
                <w:bCs/>
                <w:sz w:val="21"/>
                <w:szCs w:val="21"/>
              </w:rPr>
              <w:t>0</w:t>
            </w:r>
            <w:r>
              <w:rPr>
                <w:rFonts w:hint="eastAsia" w:ascii="Times New Roman" w:hAnsi="Times New Roman" w:eastAsia="宋体" w:cs="Times New Roman"/>
                <w:b w:val="0"/>
                <w:bCs/>
                <w:sz w:val="21"/>
                <w:szCs w:val="21"/>
                <w:lang w:val="en-US" w:eastAsia="zh-CN"/>
              </w:rPr>
              <w:t>.029t/a</w:t>
            </w:r>
          </w:p>
        </w:tc>
        <w:tc>
          <w:tcPr>
            <w:tcW w:w="1315" w:type="dxa"/>
            <w:noWrap w:val="0"/>
            <w:vAlign w:val="center"/>
          </w:tcPr>
          <w:p w14:paraId="7A6F1956">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ascii="Times New Roman" w:hAnsi="Times New Roman" w:eastAsia="宋体"/>
                <w:snapToGrid w:val="0"/>
                <w:color w:val="000000"/>
                <w:kern w:val="21"/>
                <w:sz w:val="21"/>
                <w:szCs w:val="21"/>
              </w:rPr>
            </w:pPr>
            <w:r>
              <w:rPr>
                <w:rFonts w:hint="eastAsia" w:ascii="Times New Roman" w:hAnsi="Times New Roman" w:eastAsia="宋体"/>
                <w:snapToGrid w:val="0"/>
                <w:color w:val="000000"/>
                <w:kern w:val="21"/>
                <w:sz w:val="21"/>
                <w:szCs w:val="21"/>
              </w:rPr>
              <w:t>/</w:t>
            </w:r>
          </w:p>
        </w:tc>
        <w:tc>
          <w:tcPr>
            <w:tcW w:w="1711" w:type="dxa"/>
            <w:noWrap w:val="0"/>
            <w:vAlign w:val="center"/>
          </w:tcPr>
          <w:p w14:paraId="02A6575A">
            <w:pPr>
              <w:pStyle w:val="29"/>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snapToGrid w:val="0"/>
                <w:color w:val="000000"/>
                <w:kern w:val="21"/>
                <w:sz w:val="21"/>
                <w:szCs w:val="21"/>
              </w:rPr>
            </w:pPr>
            <w:r>
              <w:rPr>
                <w:rFonts w:hint="eastAsia" w:ascii="Times New Roman" w:hAnsi="Times New Roman" w:eastAsia="宋体" w:cs="Times New Roman"/>
                <w:b w:val="0"/>
                <w:bCs/>
                <w:sz w:val="21"/>
                <w:szCs w:val="21"/>
              </w:rPr>
              <w:t>0.</w:t>
            </w:r>
            <w:r>
              <w:rPr>
                <w:rFonts w:hint="eastAsia" w:ascii="Times New Roman" w:hAnsi="Times New Roman" w:eastAsia="宋体" w:cs="Times New Roman"/>
                <w:b w:val="0"/>
                <w:bCs/>
                <w:sz w:val="21"/>
                <w:szCs w:val="21"/>
                <w:lang w:val="en-US" w:eastAsia="zh-CN"/>
              </w:rPr>
              <w:t>029t/a</w:t>
            </w:r>
          </w:p>
        </w:tc>
        <w:tc>
          <w:tcPr>
            <w:tcW w:w="1176" w:type="dxa"/>
            <w:noWrap w:val="0"/>
            <w:vAlign w:val="center"/>
          </w:tcPr>
          <w:p w14:paraId="19FF254D">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ascii="Times New Roman" w:hAnsi="Times New Roman" w:eastAsia="宋体"/>
                <w:snapToGrid w:val="0"/>
                <w:color w:val="000000"/>
                <w:kern w:val="21"/>
                <w:sz w:val="21"/>
                <w:szCs w:val="21"/>
              </w:rPr>
            </w:pPr>
            <w:r>
              <w:rPr>
                <w:rFonts w:hint="eastAsia" w:ascii="Times New Roman" w:hAnsi="Times New Roman" w:eastAsia="宋体"/>
                <w:snapToGrid w:val="0"/>
                <w:color w:val="000000"/>
                <w:kern w:val="21"/>
                <w:sz w:val="21"/>
                <w:szCs w:val="21"/>
                <w:lang w:val="en-US" w:eastAsia="zh-CN"/>
              </w:rPr>
              <w:t>/</w:t>
            </w:r>
          </w:p>
        </w:tc>
      </w:tr>
      <w:tr w14:paraId="15E302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79" w:type="dxa"/>
            <w:vMerge w:val="continue"/>
            <w:noWrap w:val="0"/>
            <w:vAlign w:val="center"/>
          </w:tcPr>
          <w:p w14:paraId="4CB85572">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ascii="Times New Roman" w:hAnsi="Times New Roman" w:eastAsia="宋体"/>
                <w:snapToGrid w:val="0"/>
                <w:color w:val="000000"/>
                <w:kern w:val="21"/>
                <w:sz w:val="21"/>
                <w:szCs w:val="21"/>
              </w:rPr>
            </w:pPr>
          </w:p>
        </w:tc>
        <w:tc>
          <w:tcPr>
            <w:tcW w:w="2406" w:type="dxa"/>
            <w:noWrap w:val="0"/>
            <w:vAlign w:val="center"/>
          </w:tcPr>
          <w:p w14:paraId="4355C014">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颗粒物</w:t>
            </w:r>
          </w:p>
        </w:tc>
        <w:tc>
          <w:tcPr>
            <w:tcW w:w="1500" w:type="dxa"/>
            <w:noWrap w:val="0"/>
            <w:vAlign w:val="center"/>
          </w:tcPr>
          <w:p w14:paraId="03AFF77C">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109" w:type="dxa"/>
            <w:noWrap w:val="0"/>
            <w:vAlign w:val="center"/>
          </w:tcPr>
          <w:p w14:paraId="08ADC09A">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440" w:type="dxa"/>
            <w:noWrap w:val="0"/>
            <w:vAlign w:val="center"/>
          </w:tcPr>
          <w:p w14:paraId="31627950">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560" w:type="dxa"/>
            <w:noWrap w:val="0"/>
            <w:vAlign w:val="center"/>
          </w:tcPr>
          <w:p w14:paraId="7E3FC0E7">
            <w:pPr>
              <w:pStyle w:val="29"/>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cs="Times New Roman"/>
                <w:b w:val="0"/>
                <w:bCs/>
                <w:sz w:val="21"/>
                <w:szCs w:val="21"/>
                <w:lang w:val="en-US" w:eastAsia="zh-CN"/>
              </w:rPr>
              <w:t>0.021t/a</w:t>
            </w:r>
          </w:p>
        </w:tc>
        <w:tc>
          <w:tcPr>
            <w:tcW w:w="1315" w:type="dxa"/>
            <w:noWrap w:val="0"/>
            <w:vAlign w:val="center"/>
          </w:tcPr>
          <w:p w14:paraId="1E886635">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hAnsi="Times New Roman" w:eastAsia="宋体"/>
                <w:snapToGrid w:val="0"/>
                <w:color w:val="000000"/>
                <w:kern w:val="21"/>
                <w:sz w:val="21"/>
                <w:szCs w:val="21"/>
              </w:rPr>
              <w:t>/</w:t>
            </w:r>
          </w:p>
        </w:tc>
        <w:tc>
          <w:tcPr>
            <w:tcW w:w="1711" w:type="dxa"/>
            <w:noWrap w:val="0"/>
            <w:vAlign w:val="center"/>
          </w:tcPr>
          <w:p w14:paraId="4CC9DD72">
            <w:pPr>
              <w:pStyle w:val="29"/>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cs="Times New Roman"/>
                <w:b w:val="0"/>
                <w:bCs/>
                <w:sz w:val="21"/>
                <w:szCs w:val="21"/>
                <w:lang w:val="en-US" w:eastAsia="zh-CN"/>
              </w:rPr>
              <w:t>0.021t/a</w:t>
            </w:r>
          </w:p>
        </w:tc>
        <w:tc>
          <w:tcPr>
            <w:tcW w:w="1176" w:type="dxa"/>
            <w:noWrap w:val="0"/>
            <w:vAlign w:val="center"/>
          </w:tcPr>
          <w:p w14:paraId="0C973D61">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hAnsi="Times New Roman" w:eastAsia="宋体"/>
                <w:snapToGrid w:val="0"/>
                <w:color w:val="000000"/>
                <w:kern w:val="21"/>
                <w:sz w:val="21"/>
                <w:szCs w:val="21"/>
              </w:rPr>
              <w:t>/</w:t>
            </w:r>
          </w:p>
        </w:tc>
      </w:tr>
      <w:tr w14:paraId="1B70CF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379" w:type="dxa"/>
            <w:vMerge w:val="restart"/>
            <w:noWrap w:val="0"/>
            <w:vAlign w:val="center"/>
          </w:tcPr>
          <w:p w14:paraId="0864D087">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ascii="Times New Roman" w:hAnsi="Times New Roman" w:eastAsia="宋体"/>
                <w:snapToGrid w:val="0"/>
                <w:color w:val="000000"/>
                <w:kern w:val="21"/>
                <w:sz w:val="21"/>
                <w:szCs w:val="21"/>
              </w:rPr>
            </w:pPr>
            <w:r>
              <w:rPr>
                <w:rFonts w:ascii="Times New Roman" w:hAnsi="Times New Roman" w:eastAsia="宋体"/>
                <w:snapToGrid w:val="0"/>
                <w:color w:val="000000"/>
                <w:kern w:val="21"/>
                <w:sz w:val="21"/>
                <w:szCs w:val="21"/>
              </w:rPr>
              <w:t>废水</w:t>
            </w:r>
          </w:p>
        </w:tc>
        <w:tc>
          <w:tcPr>
            <w:tcW w:w="2406" w:type="dxa"/>
            <w:noWrap w:val="0"/>
            <w:vAlign w:val="center"/>
          </w:tcPr>
          <w:p w14:paraId="0DBF2402">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snapToGrid w:val="0"/>
                <w:color w:val="000000"/>
                <w:kern w:val="21"/>
                <w:sz w:val="21"/>
                <w:szCs w:val="21"/>
                <w:lang w:val="en-US" w:eastAsia="zh-CN"/>
              </w:rPr>
            </w:pPr>
            <w:r>
              <w:rPr>
                <w:rFonts w:hint="eastAsia" w:ascii="Times New Roman" w:hAnsi="Times New Roman" w:eastAsia="宋体" w:cs="Times New Roman"/>
                <w:snapToGrid w:val="0"/>
                <w:color w:val="000000"/>
                <w:kern w:val="21"/>
                <w:sz w:val="21"/>
                <w:szCs w:val="21"/>
                <w:lang w:val="en-US" w:eastAsia="zh-CN"/>
              </w:rPr>
              <w:t>COD</w:t>
            </w:r>
          </w:p>
        </w:tc>
        <w:tc>
          <w:tcPr>
            <w:tcW w:w="1500" w:type="dxa"/>
            <w:noWrap w:val="0"/>
            <w:vAlign w:val="center"/>
          </w:tcPr>
          <w:p w14:paraId="159E1A1C">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snapToGrid w:val="0"/>
                <w:color w:val="000000"/>
                <w:kern w:val="21"/>
                <w:sz w:val="21"/>
                <w:szCs w:val="21"/>
                <w:lang w:val="en-US" w:eastAsia="zh-CN"/>
              </w:rPr>
            </w:pPr>
            <w:r>
              <w:rPr>
                <w:rFonts w:ascii="Times New Roman" w:hAnsi="Times New Roman" w:eastAsia="宋体"/>
                <w:snapToGrid w:val="0"/>
                <w:color w:val="000000"/>
                <w:kern w:val="21"/>
                <w:sz w:val="21"/>
                <w:szCs w:val="21"/>
              </w:rPr>
              <w:t>/</w:t>
            </w:r>
          </w:p>
        </w:tc>
        <w:tc>
          <w:tcPr>
            <w:tcW w:w="1109" w:type="dxa"/>
            <w:noWrap w:val="0"/>
            <w:vAlign w:val="center"/>
          </w:tcPr>
          <w:p w14:paraId="6D474DA5">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ascii="Times New Roman" w:hAnsi="Times New Roman" w:eastAsia="宋体"/>
                <w:snapToGrid w:val="0"/>
                <w:color w:val="000000"/>
                <w:kern w:val="21"/>
                <w:sz w:val="21"/>
                <w:szCs w:val="21"/>
              </w:rPr>
            </w:pPr>
            <w:r>
              <w:rPr>
                <w:rFonts w:ascii="Times New Roman" w:hAnsi="Times New Roman" w:eastAsia="宋体"/>
                <w:snapToGrid w:val="0"/>
                <w:color w:val="000000"/>
                <w:kern w:val="21"/>
                <w:sz w:val="21"/>
                <w:szCs w:val="21"/>
              </w:rPr>
              <w:t>/</w:t>
            </w:r>
          </w:p>
        </w:tc>
        <w:tc>
          <w:tcPr>
            <w:tcW w:w="1440" w:type="dxa"/>
            <w:noWrap w:val="0"/>
            <w:vAlign w:val="center"/>
          </w:tcPr>
          <w:p w14:paraId="02610E5F">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eastAsia="zh-CN"/>
              </w:rPr>
            </w:pPr>
            <w:r>
              <w:rPr>
                <w:rFonts w:ascii="Times New Roman" w:hAnsi="Times New Roman" w:eastAsia="宋体"/>
                <w:snapToGrid w:val="0"/>
                <w:color w:val="000000"/>
                <w:kern w:val="21"/>
                <w:sz w:val="21"/>
                <w:szCs w:val="21"/>
              </w:rPr>
              <w:t>/</w:t>
            </w:r>
          </w:p>
        </w:tc>
        <w:tc>
          <w:tcPr>
            <w:tcW w:w="1560" w:type="dxa"/>
            <w:noWrap w:val="0"/>
            <w:vAlign w:val="center"/>
          </w:tcPr>
          <w:p w14:paraId="4AD34E62">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rPr>
              <w:t>/</w:t>
            </w:r>
          </w:p>
        </w:tc>
        <w:tc>
          <w:tcPr>
            <w:tcW w:w="1315" w:type="dxa"/>
            <w:noWrap w:val="0"/>
            <w:vAlign w:val="center"/>
          </w:tcPr>
          <w:p w14:paraId="271A41BB">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hAnsi="Times New Roman" w:eastAsia="宋体"/>
                <w:snapToGrid w:val="0"/>
                <w:color w:val="000000"/>
                <w:kern w:val="21"/>
                <w:sz w:val="21"/>
                <w:szCs w:val="21"/>
                <w:lang w:val="en-US" w:eastAsia="zh-CN"/>
              </w:rPr>
              <w:t>/</w:t>
            </w:r>
          </w:p>
        </w:tc>
        <w:tc>
          <w:tcPr>
            <w:tcW w:w="1711" w:type="dxa"/>
            <w:noWrap w:val="0"/>
            <w:vAlign w:val="center"/>
          </w:tcPr>
          <w:p w14:paraId="54BB33D2">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ascii="Times New Roman" w:hAnsi="Times New Roman" w:eastAsia="宋体"/>
                <w:snapToGrid w:val="0"/>
                <w:color w:val="000000"/>
                <w:kern w:val="21"/>
                <w:sz w:val="21"/>
                <w:szCs w:val="21"/>
              </w:rPr>
            </w:pPr>
            <w:r>
              <w:rPr>
                <w:rFonts w:hint="eastAsia" w:ascii="Times New Roman" w:hAnsi="Times New Roman" w:eastAsia="宋体"/>
                <w:snapToGrid w:val="0"/>
                <w:color w:val="000000"/>
                <w:kern w:val="21"/>
                <w:sz w:val="21"/>
                <w:szCs w:val="21"/>
              </w:rPr>
              <w:t>/</w:t>
            </w:r>
          </w:p>
        </w:tc>
        <w:tc>
          <w:tcPr>
            <w:tcW w:w="1176" w:type="dxa"/>
            <w:noWrap w:val="0"/>
            <w:vAlign w:val="center"/>
          </w:tcPr>
          <w:p w14:paraId="01872C09">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hAnsi="Times New Roman" w:eastAsia="宋体"/>
                <w:snapToGrid w:val="0"/>
                <w:color w:val="000000"/>
                <w:kern w:val="21"/>
                <w:sz w:val="21"/>
                <w:szCs w:val="21"/>
                <w:lang w:val="en-US" w:eastAsia="zh-CN"/>
              </w:rPr>
              <w:t>/</w:t>
            </w:r>
          </w:p>
        </w:tc>
      </w:tr>
      <w:tr w14:paraId="323DFD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79" w:type="dxa"/>
            <w:vMerge w:val="continue"/>
            <w:noWrap w:val="0"/>
            <w:vAlign w:val="center"/>
          </w:tcPr>
          <w:p w14:paraId="7D2FD5BE">
            <w:pPr>
              <w:pStyle w:val="4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hAnsi="Times New Roman" w:eastAsia="宋体"/>
                <w:snapToGrid w:val="0"/>
                <w:color w:val="000000"/>
                <w:kern w:val="21"/>
                <w:sz w:val="21"/>
                <w:szCs w:val="21"/>
              </w:rPr>
            </w:pPr>
          </w:p>
        </w:tc>
        <w:tc>
          <w:tcPr>
            <w:tcW w:w="2406" w:type="dxa"/>
            <w:noWrap w:val="0"/>
            <w:vAlign w:val="center"/>
          </w:tcPr>
          <w:p w14:paraId="18B271DA">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氨氮</w:t>
            </w:r>
          </w:p>
        </w:tc>
        <w:tc>
          <w:tcPr>
            <w:tcW w:w="1500" w:type="dxa"/>
            <w:noWrap w:val="0"/>
            <w:vAlign w:val="center"/>
          </w:tcPr>
          <w:p w14:paraId="006FD49C">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109" w:type="dxa"/>
            <w:noWrap w:val="0"/>
            <w:vAlign w:val="center"/>
          </w:tcPr>
          <w:p w14:paraId="2721B977">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440" w:type="dxa"/>
            <w:noWrap w:val="0"/>
            <w:vAlign w:val="center"/>
          </w:tcPr>
          <w:p w14:paraId="3CBE97B0">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560" w:type="dxa"/>
            <w:noWrap w:val="0"/>
            <w:vAlign w:val="center"/>
          </w:tcPr>
          <w:p w14:paraId="1BC036E2">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315" w:type="dxa"/>
            <w:noWrap w:val="0"/>
            <w:vAlign w:val="center"/>
          </w:tcPr>
          <w:p w14:paraId="45162F76">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711" w:type="dxa"/>
            <w:noWrap w:val="0"/>
            <w:vAlign w:val="center"/>
          </w:tcPr>
          <w:p w14:paraId="66817604">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176" w:type="dxa"/>
            <w:noWrap w:val="0"/>
            <w:vAlign w:val="center"/>
          </w:tcPr>
          <w:p w14:paraId="5AD8C1E5">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hAnsi="Times New Roman" w:eastAsia="宋体"/>
                <w:snapToGrid w:val="0"/>
                <w:color w:val="000000"/>
                <w:kern w:val="21"/>
                <w:sz w:val="21"/>
                <w:szCs w:val="21"/>
              </w:rPr>
            </w:pPr>
            <w:r>
              <w:rPr>
                <w:rFonts w:hint="eastAsia" w:ascii="Times New Roman" w:hAnsi="Times New Roman" w:eastAsia="宋体"/>
                <w:snapToGrid w:val="0"/>
                <w:color w:val="000000"/>
                <w:kern w:val="21"/>
                <w:sz w:val="21"/>
                <w:szCs w:val="21"/>
                <w:lang w:val="en-US" w:eastAsia="zh-CN"/>
              </w:rPr>
              <w:t>/</w:t>
            </w:r>
          </w:p>
        </w:tc>
      </w:tr>
      <w:tr w14:paraId="5E3869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79" w:type="dxa"/>
            <w:vMerge w:val="restart"/>
            <w:noWrap w:val="0"/>
            <w:vAlign w:val="center"/>
          </w:tcPr>
          <w:p w14:paraId="3B938B6A">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ascii="Times New Roman" w:hAnsi="Times New Roman" w:eastAsia="宋体"/>
                <w:snapToGrid w:val="0"/>
                <w:color w:val="000000"/>
                <w:kern w:val="21"/>
                <w:sz w:val="21"/>
                <w:szCs w:val="21"/>
              </w:rPr>
            </w:pPr>
            <w:r>
              <w:rPr>
                <w:rFonts w:ascii="Times New Roman" w:hAnsi="Times New Roman" w:eastAsia="宋体"/>
                <w:snapToGrid w:val="0"/>
                <w:color w:val="000000"/>
                <w:kern w:val="21"/>
                <w:sz w:val="21"/>
                <w:szCs w:val="21"/>
              </w:rPr>
              <w:t>一般工业</w:t>
            </w:r>
          </w:p>
          <w:p w14:paraId="167A129C">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ascii="Times New Roman" w:hAnsi="Times New Roman" w:eastAsia="宋体"/>
                <w:snapToGrid w:val="0"/>
                <w:color w:val="000000"/>
                <w:kern w:val="21"/>
                <w:sz w:val="21"/>
                <w:szCs w:val="21"/>
              </w:rPr>
            </w:pPr>
            <w:r>
              <w:rPr>
                <w:rFonts w:ascii="Times New Roman" w:hAnsi="Times New Roman" w:eastAsia="宋体"/>
                <w:snapToGrid w:val="0"/>
                <w:color w:val="000000"/>
                <w:kern w:val="21"/>
                <w:sz w:val="21"/>
                <w:szCs w:val="21"/>
              </w:rPr>
              <w:t>固体废物</w:t>
            </w:r>
          </w:p>
        </w:tc>
        <w:tc>
          <w:tcPr>
            <w:tcW w:w="2406" w:type="dxa"/>
            <w:noWrap w:val="0"/>
            <w:vAlign w:val="center"/>
          </w:tcPr>
          <w:p w14:paraId="1E5A5BE8">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000000"/>
                <w:kern w:val="21"/>
                <w:sz w:val="21"/>
                <w:szCs w:val="21"/>
                <w:lang w:val="en-US" w:eastAsia="zh-CN"/>
              </w:rPr>
            </w:pPr>
            <w:r>
              <w:rPr>
                <w:rFonts w:hint="eastAsia" w:ascii="Times New Roman" w:hAnsi="Times New Roman" w:eastAsia="宋体" w:cs="Times New Roman"/>
                <w:snapToGrid w:val="0"/>
                <w:color w:val="000000"/>
                <w:kern w:val="21"/>
                <w:sz w:val="21"/>
                <w:szCs w:val="21"/>
                <w:lang w:val="en-US" w:eastAsia="zh-CN"/>
              </w:rPr>
              <w:t>其他不可利用固体废物</w:t>
            </w:r>
          </w:p>
        </w:tc>
        <w:tc>
          <w:tcPr>
            <w:tcW w:w="1500" w:type="dxa"/>
            <w:noWrap w:val="0"/>
            <w:vAlign w:val="center"/>
          </w:tcPr>
          <w:p w14:paraId="3B0F3073">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109" w:type="dxa"/>
            <w:noWrap w:val="0"/>
            <w:vAlign w:val="center"/>
          </w:tcPr>
          <w:p w14:paraId="6BA72A35">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440" w:type="dxa"/>
            <w:noWrap w:val="0"/>
            <w:vAlign w:val="center"/>
          </w:tcPr>
          <w:p w14:paraId="7C86480E">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560" w:type="dxa"/>
            <w:noWrap w:val="0"/>
            <w:vAlign w:val="center"/>
          </w:tcPr>
          <w:p w14:paraId="7439337E">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b w:val="0"/>
                <w:bCs/>
                <w:snapToGrid w:val="0"/>
                <w:color w:val="000000"/>
                <w:kern w:val="21"/>
                <w:sz w:val="21"/>
                <w:szCs w:val="21"/>
                <w:lang w:val="en-US" w:eastAsia="zh-CN"/>
              </w:rPr>
              <w:t>726t/a</w:t>
            </w:r>
          </w:p>
        </w:tc>
        <w:tc>
          <w:tcPr>
            <w:tcW w:w="1315" w:type="dxa"/>
            <w:noWrap w:val="0"/>
            <w:vAlign w:val="center"/>
          </w:tcPr>
          <w:p w14:paraId="6C0458A4">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711" w:type="dxa"/>
            <w:noWrap w:val="0"/>
            <w:vAlign w:val="center"/>
          </w:tcPr>
          <w:p w14:paraId="79938620">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b w:val="0"/>
                <w:bCs/>
                <w:snapToGrid w:val="0"/>
                <w:color w:val="000000"/>
                <w:kern w:val="21"/>
                <w:sz w:val="21"/>
                <w:szCs w:val="21"/>
                <w:lang w:val="en-US" w:eastAsia="zh-CN"/>
              </w:rPr>
              <w:t>726t/a</w:t>
            </w:r>
          </w:p>
        </w:tc>
        <w:tc>
          <w:tcPr>
            <w:tcW w:w="1176" w:type="dxa"/>
            <w:noWrap w:val="0"/>
            <w:vAlign w:val="center"/>
          </w:tcPr>
          <w:p w14:paraId="702B78EB">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r>
      <w:tr w14:paraId="5C88A4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79" w:type="dxa"/>
            <w:vMerge w:val="continue"/>
            <w:noWrap w:val="0"/>
            <w:vAlign w:val="center"/>
          </w:tcPr>
          <w:p w14:paraId="3E8D04D0">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ascii="Times New Roman" w:hAnsi="Times New Roman" w:eastAsia="宋体"/>
                <w:snapToGrid w:val="0"/>
                <w:color w:val="000000"/>
                <w:kern w:val="21"/>
                <w:sz w:val="21"/>
                <w:szCs w:val="21"/>
              </w:rPr>
            </w:pPr>
          </w:p>
        </w:tc>
        <w:tc>
          <w:tcPr>
            <w:tcW w:w="2406" w:type="dxa"/>
            <w:noWrap w:val="0"/>
            <w:vAlign w:val="center"/>
          </w:tcPr>
          <w:p w14:paraId="414D0CCF">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000000"/>
                <w:kern w:val="21"/>
                <w:sz w:val="21"/>
                <w:szCs w:val="21"/>
                <w:lang w:val="en-US" w:eastAsia="zh-CN"/>
              </w:rPr>
            </w:pPr>
            <w:r>
              <w:rPr>
                <w:rFonts w:hint="eastAsia" w:ascii="Times New Roman" w:hAnsi="Times New Roman" w:eastAsia="宋体" w:cs="Times New Roman"/>
                <w:snapToGrid w:val="0"/>
                <w:color w:val="000000"/>
                <w:kern w:val="21"/>
                <w:sz w:val="21"/>
                <w:szCs w:val="21"/>
                <w:lang w:val="en-US" w:eastAsia="zh-CN"/>
              </w:rPr>
              <w:t>废动力蓄电池</w:t>
            </w:r>
          </w:p>
        </w:tc>
        <w:tc>
          <w:tcPr>
            <w:tcW w:w="1500" w:type="dxa"/>
            <w:noWrap w:val="0"/>
            <w:vAlign w:val="center"/>
          </w:tcPr>
          <w:p w14:paraId="2990F6C1">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109" w:type="dxa"/>
            <w:noWrap w:val="0"/>
            <w:vAlign w:val="center"/>
          </w:tcPr>
          <w:p w14:paraId="327E460E">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440" w:type="dxa"/>
            <w:noWrap w:val="0"/>
            <w:vAlign w:val="center"/>
          </w:tcPr>
          <w:p w14:paraId="125FFAE0">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560" w:type="dxa"/>
            <w:noWrap w:val="0"/>
            <w:vAlign w:val="center"/>
          </w:tcPr>
          <w:p w14:paraId="04F0D62B">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b w:val="0"/>
                <w:bCs/>
                <w:snapToGrid w:val="0"/>
                <w:color w:val="000000"/>
                <w:kern w:val="21"/>
                <w:sz w:val="21"/>
                <w:szCs w:val="21"/>
                <w:lang w:val="en-US" w:eastAsia="zh-CN"/>
              </w:rPr>
            </w:pPr>
            <w:r>
              <w:rPr>
                <w:rFonts w:hint="eastAsia" w:ascii="Times New Roman" w:hAnsi="Times New Roman" w:eastAsia="宋体"/>
                <w:b w:val="0"/>
                <w:bCs/>
                <w:snapToGrid w:val="0"/>
                <w:color w:val="000000"/>
                <w:kern w:val="21"/>
                <w:sz w:val="21"/>
                <w:szCs w:val="21"/>
                <w:lang w:val="en-US" w:eastAsia="zh-CN"/>
              </w:rPr>
              <w:t>1240t/a</w:t>
            </w:r>
          </w:p>
        </w:tc>
        <w:tc>
          <w:tcPr>
            <w:tcW w:w="1315" w:type="dxa"/>
            <w:noWrap w:val="0"/>
            <w:vAlign w:val="center"/>
          </w:tcPr>
          <w:p w14:paraId="14F8DEF1">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711" w:type="dxa"/>
            <w:noWrap w:val="0"/>
            <w:vAlign w:val="center"/>
          </w:tcPr>
          <w:p w14:paraId="6A65BBF2">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b w:val="0"/>
                <w:bCs/>
                <w:snapToGrid w:val="0"/>
                <w:color w:val="000000"/>
                <w:kern w:val="21"/>
                <w:sz w:val="21"/>
                <w:szCs w:val="21"/>
                <w:lang w:val="en-US" w:eastAsia="zh-CN"/>
              </w:rPr>
            </w:pPr>
            <w:r>
              <w:rPr>
                <w:rFonts w:hint="eastAsia" w:ascii="Times New Roman" w:hAnsi="Times New Roman" w:eastAsia="宋体"/>
                <w:b w:val="0"/>
                <w:bCs/>
                <w:snapToGrid w:val="0"/>
                <w:color w:val="000000"/>
                <w:kern w:val="21"/>
                <w:sz w:val="21"/>
                <w:szCs w:val="21"/>
                <w:lang w:val="en-US" w:eastAsia="zh-CN"/>
              </w:rPr>
              <w:t>1240t/a</w:t>
            </w:r>
          </w:p>
        </w:tc>
        <w:tc>
          <w:tcPr>
            <w:tcW w:w="1176" w:type="dxa"/>
            <w:noWrap w:val="0"/>
            <w:vAlign w:val="center"/>
          </w:tcPr>
          <w:p w14:paraId="14363DC8">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r>
      <w:tr w14:paraId="400702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79" w:type="dxa"/>
            <w:vMerge w:val="continue"/>
            <w:noWrap w:val="0"/>
            <w:vAlign w:val="center"/>
          </w:tcPr>
          <w:p w14:paraId="53C7616C">
            <w:pPr>
              <w:pStyle w:val="4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hAnsi="Times New Roman" w:eastAsia="宋体"/>
                <w:snapToGrid w:val="0"/>
                <w:color w:val="000000"/>
                <w:kern w:val="21"/>
                <w:sz w:val="21"/>
                <w:szCs w:val="21"/>
              </w:rPr>
            </w:pPr>
          </w:p>
        </w:tc>
        <w:tc>
          <w:tcPr>
            <w:tcW w:w="2406" w:type="dxa"/>
            <w:noWrap w:val="0"/>
            <w:vAlign w:val="center"/>
          </w:tcPr>
          <w:p w14:paraId="3CBD5E28">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000000"/>
                <w:kern w:val="21"/>
                <w:sz w:val="21"/>
                <w:szCs w:val="21"/>
                <w:lang w:val="en-US" w:eastAsia="zh-CN"/>
              </w:rPr>
            </w:pPr>
            <w:r>
              <w:rPr>
                <w:rFonts w:hint="eastAsia" w:ascii="Times New Roman" w:hAnsi="Times New Roman" w:eastAsia="宋体" w:cs="Times New Roman"/>
                <w:snapToGrid w:val="0"/>
                <w:color w:val="000000"/>
                <w:kern w:val="21"/>
                <w:sz w:val="21"/>
                <w:szCs w:val="21"/>
                <w:lang w:val="en-US" w:eastAsia="zh-CN"/>
              </w:rPr>
              <w:t>布袋除尘器收集的粉尘</w:t>
            </w:r>
          </w:p>
        </w:tc>
        <w:tc>
          <w:tcPr>
            <w:tcW w:w="1500" w:type="dxa"/>
            <w:noWrap w:val="0"/>
            <w:vAlign w:val="center"/>
          </w:tcPr>
          <w:p w14:paraId="71F00348">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109" w:type="dxa"/>
            <w:noWrap w:val="0"/>
            <w:vAlign w:val="center"/>
          </w:tcPr>
          <w:p w14:paraId="1A2CC8FB">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440" w:type="dxa"/>
            <w:noWrap w:val="0"/>
            <w:vAlign w:val="center"/>
          </w:tcPr>
          <w:p w14:paraId="01B96C75">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560" w:type="dxa"/>
            <w:noWrap w:val="0"/>
            <w:vAlign w:val="center"/>
          </w:tcPr>
          <w:p w14:paraId="7107250C">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eastAsia="宋体" w:cs="Times New Roman"/>
                <w:b w:val="0"/>
                <w:bCs w:val="0"/>
                <w:sz w:val="21"/>
                <w:szCs w:val="21"/>
                <w:lang w:val="en-US" w:eastAsia="zh-CN"/>
              </w:rPr>
            </w:pPr>
            <w:r>
              <w:rPr>
                <w:rFonts w:hint="eastAsia" w:ascii="Times New Roman" w:eastAsia="宋体" w:cs="Times New Roman"/>
                <w:b w:val="0"/>
                <w:bCs w:val="0"/>
                <w:sz w:val="21"/>
                <w:szCs w:val="21"/>
                <w:lang w:val="en-US" w:eastAsia="zh-CN"/>
              </w:rPr>
              <w:t>2.039t/a</w:t>
            </w:r>
          </w:p>
        </w:tc>
        <w:tc>
          <w:tcPr>
            <w:tcW w:w="1315" w:type="dxa"/>
            <w:noWrap w:val="0"/>
            <w:vAlign w:val="center"/>
          </w:tcPr>
          <w:p w14:paraId="3664FA0A">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711" w:type="dxa"/>
            <w:noWrap w:val="0"/>
            <w:vAlign w:val="center"/>
          </w:tcPr>
          <w:p w14:paraId="04DAAD99">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eastAsia="宋体" w:cs="Times New Roman"/>
                <w:b w:val="0"/>
                <w:bCs w:val="0"/>
                <w:sz w:val="21"/>
                <w:szCs w:val="21"/>
                <w:lang w:val="en-US" w:eastAsia="zh-CN"/>
              </w:rPr>
            </w:pPr>
            <w:r>
              <w:rPr>
                <w:rFonts w:hint="eastAsia" w:ascii="Times New Roman" w:eastAsia="宋体" w:cs="Times New Roman"/>
                <w:b w:val="0"/>
                <w:bCs w:val="0"/>
                <w:sz w:val="21"/>
                <w:szCs w:val="21"/>
                <w:lang w:val="en-US" w:eastAsia="zh-CN"/>
              </w:rPr>
              <w:t>2.039t/a</w:t>
            </w:r>
          </w:p>
        </w:tc>
        <w:tc>
          <w:tcPr>
            <w:tcW w:w="1176" w:type="dxa"/>
            <w:noWrap w:val="0"/>
            <w:vAlign w:val="center"/>
          </w:tcPr>
          <w:p w14:paraId="488100BF">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r>
      <w:tr w14:paraId="00DCC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79" w:type="dxa"/>
            <w:vMerge w:val="restart"/>
            <w:noWrap w:val="0"/>
            <w:vAlign w:val="center"/>
          </w:tcPr>
          <w:p w14:paraId="676C9BFA">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ascii="Times New Roman" w:hAnsi="Times New Roman" w:eastAsia="宋体"/>
                <w:snapToGrid w:val="0"/>
                <w:color w:val="000000"/>
                <w:kern w:val="21"/>
                <w:sz w:val="21"/>
                <w:szCs w:val="21"/>
              </w:rPr>
            </w:pPr>
            <w:r>
              <w:rPr>
                <w:rFonts w:ascii="Times New Roman" w:hAnsi="Times New Roman" w:eastAsia="宋体"/>
                <w:snapToGrid w:val="0"/>
                <w:color w:val="000000"/>
                <w:kern w:val="21"/>
                <w:sz w:val="21"/>
                <w:szCs w:val="21"/>
              </w:rPr>
              <w:t>危险废物</w:t>
            </w:r>
          </w:p>
        </w:tc>
        <w:tc>
          <w:tcPr>
            <w:tcW w:w="2406" w:type="dxa"/>
            <w:noWrap w:val="0"/>
            <w:vAlign w:val="center"/>
          </w:tcPr>
          <w:p w14:paraId="233E4047">
            <w:pPr>
              <w:jc w:val="center"/>
              <w:rPr>
                <w:rFonts w:hint="default" w:ascii="宋体" w:hAnsi="宋体" w:eastAsia="宋体" w:cs="宋体"/>
                <w:b w:val="0"/>
                <w:bCs/>
                <w:snapToGrid w:val="0"/>
                <w:color w:val="000000"/>
                <w:kern w:val="21"/>
                <w:sz w:val="21"/>
                <w:szCs w:val="21"/>
                <w:lang w:val="en-US" w:eastAsia="zh-CN"/>
              </w:rPr>
            </w:pPr>
            <w:r>
              <w:rPr>
                <w:rFonts w:hint="eastAsia"/>
                <w:color w:val="auto"/>
                <w:sz w:val="21"/>
                <w:szCs w:val="21"/>
                <w:lang w:val="en-US" w:eastAsia="zh-CN"/>
              </w:rPr>
              <w:t>废燃料油</w:t>
            </w:r>
          </w:p>
        </w:tc>
        <w:tc>
          <w:tcPr>
            <w:tcW w:w="1500" w:type="dxa"/>
            <w:noWrap w:val="0"/>
            <w:vAlign w:val="center"/>
          </w:tcPr>
          <w:p w14:paraId="2A10FD55">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eastAsia="zh-CN"/>
              </w:rPr>
            </w:pPr>
            <w:r>
              <w:rPr>
                <w:rFonts w:hint="eastAsia" w:ascii="Times New Roman" w:hAnsi="Times New Roman" w:eastAsia="宋体"/>
                <w:snapToGrid w:val="0"/>
                <w:color w:val="000000"/>
                <w:kern w:val="21"/>
                <w:sz w:val="21"/>
                <w:szCs w:val="21"/>
                <w:lang w:val="en-US" w:eastAsia="zh-CN"/>
              </w:rPr>
              <w:t>/</w:t>
            </w:r>
          </w:p>
        </w:tc>
        <w:tc>
          <w:tcPr>
            <w:tcW w:w="1109" w:type="dxa"/>
            <w:noWrap w:val="0"/>
            <w:vAlign w:val="center"/>
          </w:tcPr>
          <w:p w14:paraId="1FE0F483">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ascii="Times New Roman" w:hAnsi="Times New Roman" w:eastAsia="宋体"/>
                <w:snapToGrid w:val="0"/>
                <w:color w:val="000000"/>
                <w:kern w:val="21"/>
                <w:sz w:val="21"/>
                <w:szCs w:val="21"/>
              </w:rPr>
            </w:pPr>
            <w:r>
              <w:rPr>
                <w:rFonts w:hint="eastAsia" w:ascii="Times New Roman" w:hAnsi="Times New Roman" w:eastAsia="宋体"/>
                <w:snapToGrid w:val="0"/>
                <w:color w:val="000000"/>
                <w:kern w:val="21"/>
                <w:sz w:val="21"/>
                <w:szCs w:val="21"/>
                <w:lang w:val="en-US" w:eastAsia="zh-CN"/>
              </w:rPr>
              <w:t>/</w:t>
            </w:r>
          </w:p>
        </w:tc>
        <w:tc>
          <w:tcPr>
            <w:tcW w:w="1440" w:type="dxa"/>
            <w:noWrap w:val="0"/>
            <w:vAlign w:val="center"/>
          </w:tcPr>
          <w:p w14:paraId="38AF88BE">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ascii="Times New Roman" w:hAnsi="Times New Roman" w:eastAsia="宋体"/>
                <w:snapToGrid w:val="0"/>
                <w:color w:val="000000"/>
                <w:kern w:val="21"/>
                <w:sz w:val="21"/>
                <w:szCs w:val="21"/>
              </w:rPr>
            </w:pPr>
            <w:r>
              <w:rPr>
                <w:rFonts w:hint="eastAsia" w:ascii="Times New Roman" w:hAnsi="Times New Roman" w:eastAsia="宋体"/>
                <w:snapToGrid w:val="0"/>
                <w:color w:val="000000"/>
                <w:kern w:val="21"/>
                <w:sz w:val="21"/>
                <w:szCs w:val="21"/>
                <w:lang w:val="en-US" w:eastAsia="zh-CN"/>
              </w:rPr>
              <w:t>/</w:t>
            </w:r>
          </w:p>
        </w:tc>
        <w:tc>
          <w:tcPr>
            <w:tcW w:w="1560" w:type="dxa"/>
            <w:noWrap w:val="0"/>
            <w:vAlign w:val="center"/>
          </w:tcPr>
          <w:p w14:paraId="72A66068">
            <w:pPr>
              <w:jc w:val="center"/>
              <w:rPr>
                <w:rFonts w:hint="default" w:ascii="Times New Roman" w:hAnsi="Times New Roman" w:eastAsia="宋体" w:cs="Times New Roman"/>
                <w:b w:val="0"/>
                <w:bCs w:val="0"/>
                <w:color w:val="auto"/>
                <w:sz w:val="21"/>
                <w:szCs w:val="21"/>
                <w:lang w:val="en-US" w:eastAsia="zh-CN"/>
              </w:rPr>
            </w:pPr>
            <w:r>
              <w:rPr>
                <w:rFonts w:hint="eastAsia"/>
                <w:color w:val="auto"/>
                <w:sz w:val="21"/>
                <w:szCs w:val="21"/>
                <w:lang w:val="en-US" w:eastAsia="zh-CN"/>
              </w:rPr>
              <w:t>11.4</w:t>
            </w:r>
            <w:r>
              <w:rPr>
                <w:rFonts w:hint="eastAsia" w:ascii="Times New Roman" w:eastAsia="宋体" w:cs="Times New Roman"/>
                <w:b w:val="0"/>
                <w:bCs w:val="0"/>
                <w:sz w:val="21"/>
                <w:szCs w:val="21"/>
                <w:lang w:val="en-US" w:eastAsia="zh-CN"/>
              </w:rPr>
              <w:t>t/a</w:t>
            </w:r>
          </w:p>
        </w:tc>
        <w:tc>
          <w:tcPr>
            <w:tcW w:w="1315" w:type="dxa"/>
            <w:noWrap w:val="0"/>
            <w:vAlign w:val="center"/>
          </w:tcPr>
          <w:p w14:paraId="08AFDF62">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ascii="Times New Roman" w:hAnsi="Times New Roman" w:eastAsia="宋体"/>
                <w:snapToGrid w:val="0"/>
                <w:color w:val="000000"/>
                <w:kern w:val="21"/>
                <w:sz w:val="21"/>
                <w:szCs w:val="21"/>
              </w:rPr>
            </w:pPr>
            <w:r>
              <w:rPr>
                <w:rFonts w:hint="eastAsia" w:ascii="Times New Roman" w:hAnsi="Times New Roman" w:eastAsia="宋体"/>
                <w:snapToGrid w:val="0"/>
                <w:color w:val="000000"/>
                <w:kern w:val="21"/>
                <w:sz w:val="21"/>
                <w:szCs w:val="21"/>
                <w:lang w:val="en-US" w:eastAsia="zh-CN"/>
              </w:rPr>
              <w:t>/</w:t>
            </w:r>
          </w:p>
        </w:tc>
        <w:tc>
          <w:tcPr>
            <w:tcW w:w="1711" w:type="dxa"/>
            <w:noWrap w:val="0"/>
            <w:vAlign w:val="center"/>
          </w:tcPr>
          <w:p w14:paraId="2655B76E">
            <w:pPr>
              <w:jc w:val="center"/>
              <w:rPr>
                <w:rFonts w:hint="default" w:ascii="Times New Roman" w:hAnsi="Times New Roman" w:eastAsia="宋体"/>
                <w:kern w:val="2"/>
                <w:sz w:val="21"/>
                <w:szCs w:val="21"/>
                <w:lang w:val="en-US" w:eastAsia="zh-CN" w:bidi="ar-SA"/>
              </w:rPr>
            </w:pPr>
            <w:r>
              <w:rPr>
                <w:rFonts w:hint="eastAsia"/>
                <w:color w:val="auto"/>
                <w:sz w:val="21"/>
                <w:szCs w:val="21"/>
                <w:lang w:val="en-US" w:eastAsia="zh-CN"/>
              </w:rPr>
              <w:t>11.4</w:t>
            </w:r>
            <w:r>
              <w:rPr>
                <w:rFonts w:hint="eastAsia" w:ascii="Times New Roman" w:eastAsia="宋体" w:cs="Times New Roman"/>
                <w:b w:val="0"/>
                <w:bCs w:val="0"/>
                <w:sz w:val="21"/>
                <w:szCs w:val="21"/>
                <w:lang w:val="en-US" w:eastAsia="zh-CN"/>
              </w:rPr>
              <w:t>t/a</w:t>
            </w:r>
          </w:p>
        </w:tc>
        <w:tc>
          <w:tcPr>
            <w:tcW w:w="1176" w:type="dxa"/>
            <w:noWrap w:val="0"/>
            <w:vAlign w:val="center"/>
          </w:tcPr>
          <w:p w14:paraId="76A1E5EB">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kern w:val="2"/>
                <w:sz w:val="21"/>
                <w:szCs w:val="21"/>
                <w:lang w:val="en-US" w:eastAsia="zh-CN" w:bidi="ar-SA"/>
              </w:rPr>
            </w:pPr>
            <w:r>
              <w:rPr>
                <w:rFonts w:hint="eastAsia" w:ascii="Times New Roman" w:hAnsi="Times New Roman" w:eastAsia="宋体"/>
                <w:snapToGrid w:val="0"/>
                <w:color w:val="000000"/>
                <w:kern w:val="21"/>
                <w:sz w:val="21"/>
                <w:szCs w:val="21"/>
                <w:lang w:val="en-US" w:eastAsia="zh-CN"/>
              </w:rPr>
              <w:t>/</w:t>
            </w:r>
          </w:p>
        </w:tc>
      </w:tr>
      <w:tr w14:paraId="38A538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79" w:type="dxa"/>
            <w:vMerge w:val="continue"/>
            <w:noWrap w:val="0"/>
            <w:vAlign w:val="center"/>
          </w:tcPr>
          <w:p w14:paraId="02937787">
            <w:pPr>
              <w:pStyle w:val="4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hAnsi="Times New Roman" w:eastAsia="宋体"/>
                <w:snapToGrid w:val="0"/>
                <w:color w:val="000000"/>
                <w:kern w:val="21"/>
                <w:sz w:val="21"/>
                <w:szCs w:val="21"/>
              </w:rPr>
            </w:pPr>
          </w:p>
        </w:tc>
        <w:tc>
          <w:tcPr>
            <w:tcW w:w="2406" w:type="dxa"/>
            <w:noWrap w:val="0"/>
            <w:vAlign w:val="center"/>
          </w:tcPr>
          <w:p w14:paraId="0A70971D">
            <w:pPr>
              <w:jc w:val="center"/>
              <w:rPr>
                <w:rFonts w:hint="default" w:ascii="宋体" w:hAnsi="宋体" w:eastAsia="宋体" w:cs="宋体"/>
                <w:b w:val="0"/>
                <w:bCs/>
                <w:snapToGrid w:val="0"/>
                <w:color w:val="000000"/>
                <w:kern w:val="21"/>
                <w:sz w:val="21"/>
                <w:szCs w:val="21"/>
                <w:lang w:val="en-US" w:eastAsia="zh-CN"/>
              </w:rPr>
            </w:pPr>
            <w:r>
              <w:rPr>
                <w:rFonts w:hint="eastAsia"/>
                <w:color w:val="auto"/>
                <w:sz w:val="21"/>
                <w:szCs w:val="21"/>
                <w:lang w:val="en-US" w:eastAsia="zh-CN"/>
              </w:rPr>
              <w:t>非燃料类废油液</w:t>
            </w:r>
          </w:p>
        </w:tc>
        <w:tc>
          <w:tcPr>
            <w:tcW w:w="1500" w:type="dxa"/>
            <w:noWrap w:val="0"/>
            <w:vAlign w:val="center"/>
          </w:tcPr>
          <w:p w14:paraId="4FB8DF8A">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109" w:type="dxa"/>
            <w:noWrap w:val="0"/>
            <w:vAlign w:val="center"/>
          </w:tcPr>
          <w:p w14:paraId="3942070D">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440" w:type="dxa"/>
            <w:noWrap w:val="0"/>
            <w:vAlign w:val="center"/>
          </w:tcPr>
          <w:p w14:paraId="7A877CFB">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560" w:type="dxa"/>
            <w:noWrap w:val="0"/>
            <w:vAlign w:val="center"/>
          </w:tcPr>
          <w:p w14:paraId="0C3F0BC5">
            <w:pPr>
              <w:jc w:val="center"/>
              <w:rPr>
                <w:rFonts w:hint="default"/>
                <w:color w:val="auto"/>
                <w:sz w:val="21"/>
                <w:szCs w:val="21"/>
                <w:lang w:val="en-US" w:eastAsia="zh-CN"/>
              </w:rPr>
            </w:pPr>
            <w:r>
              <w:rPr>
                <w:rFonts w:hint="eastAsia"/>
                <w:color w:val="auto"/>
                <w:sz w:val="21"/>
                <w:szCs w:val="21"/>
                <w:lang w:val="en-US" w:eastAsia="zh-CN"/>
              </w:rPr>
              <w:t>31.95</w:t>
            </w:r>
            <w:r>
              <w:rPr>
                <w:rFonts w:hint="eastAsia" w:ascii="Times New Roman" w:eastAsia="宋体" w:cs="Times New Roman"/>
                <w:b w:val="0"/>
                <w:bCs w:val="0"/>
                <w:sz w:val="21"/>
                <w:szCs w:val="21"/>
                <w:lang w:val="en-US" w:eastAsia="zh-CN"/>
              </w:rPr>
              <w:t>t/a</w:t>
            </w:r>
          </w:p>
        </w:tc>
        <w:tc>
          <w:tcPr>
            <w:tcW w:w="1315" w:type="dxa"/>
            <w:noWrap w:val="0"/>
            <w:vAlign w:val="center"/>
          </w:tcPr>
          <w:p w14:paraId="480F9973">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711" w:type="dxa"/>
            <w:noWrap w:val="0"/>
            <w:vAlign w:val="center"/>
          </w:tcPr>
          <w:p w14:paraId="68CE8D14">
            <w:pPr>
              <w:jc w:val="center"/>
              <w:rPr>
                <w:rFonts w:hint="default"/>
                <w:color w:val="auto"/>
                <w:sz w:val="21"/>
                <w:szCs w:val="21"/>
                <w:lang w:val="en-US" w:eastAsia="zh-CN"/>
              </w:rPr>
            </w:pPr>
            <w:r>
              <w:rPr>
                <w:rFonts w:hint="eastAsia"/>
                <w:color w:val="auto"/>
                <w:sz w:val="21"/>
                <w:szCs w:val="21"/>
                <w:lang w:val="en-US" w:eastAsia="zh-CN"/>
              </w:rPr>
              <w:t>31.95</w:t>
            </w:r>
            <w:r>
              <w:rPr>
                <w:rFonts w:hint="eastAsia" w:ascii="Times New Roman" w:eastAsia="宋体" w:cs="Times New Roman"/>
                <w:b w:val="0"/>
                <w:bCs w:val="0"/>
                <w:sz w:val="21"/>
                <w:szCs w:val="21"/>
                <w:lang w:val="en-US" w:eastAsia="zh-CN"/>
              </w:rPr>
              <w:t>t/a</w:t>
            </w:r>
          </w:p>
        </w:tc>
        <w:tc>
          <w:tcPr>
            <w:tcW w:w="1176" w:type="dxa"/>
            <w:noWrap w:val="0"/>
            <w:vAlign w:val="center"/>
          </w:tcPr>
          <w:p w14:paraId="019568F8">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r>
      <w:tr w14:paraId="328BD6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79" w:type="dxa"/>
            <w:vMerge w:val="continue"/>
            <w:noWrap w:val="0"/>
            <w:vAlign w:val="center"/>
          </w:tcPr>
          <w:p w14:paraId="203D4EFA">
            <w:pPr>
              <w:pStyle w:val="4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hAnsi="Times New Roman" w:eastAsia="宋体"/>
                <w:snapToGrid w:val="0"/>
                <w:color w:val="000000"/>
                <w:kern w:val="21"/>
                <w:sz w:val="21"/>
                <w:szCs w:val="21"/>
              </w:rPr>
            </w:pPr>
          </w:p>
        </w:tc>
        <w:tc>
          <w:tcPr>
            <w:tcW w:w="2406" w:type="dxa"/>
            <w:noWrap w:val="0"/>
            <w:vAlign w:val="center"/>
          </w:tcPr>
          <w:p w14:paraId="0314220F">
            <w:pPr>
              <w:jc w:val="center"/>
              <w:rPr>
                <w:rFonts w:hint="eastAsia" w:ascii="宋体" w:hAnsi="宋体" w:eastAsia="宋体" w:cs="宋体"/>
                <w:b w:val="0"/>
                <w:bCs/>
                <w:snapToGrid w:val="0"/>
                <w:color w:val="000000"/>
                <w:kern w:val="21"/>
                <w:sz w:val="21"/>
                <w:szCs w:val="21"/>
                <w:lang w:val="en-US" w:eastAsia="zh-CN"/>
              </w:rPr>
            </w:pPr>
            <w:r>
              <w:rPr>
                <w:rFonts w:hint="eastAsia"/>
                <w:color w:val="auto"/>
                <w:sz w:val="21"/>
                <w:szCs w:val="21"/>
                <w:lang w:val="en-US" w:eastAsia="zh-CN"/>
              </w:rPr>
              <w:t>废防冻冷却液、废挡风玻璃清洗剂</w:t>
            </w:r>
          </w:p>
        </w:tc>
        <w:tc>
          <w:tcPr>
            <w:tcW w:w="1500" w:type="dxa"/>
            <w:noWrap w:val="0"/>
            <w:vAlign w:val="center"/>
          </w:tcPr>
          <w:p w14:paraId="0C698B55">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109" w:type="dxa"/>
            <w:noWrap w:val="0"/>
            <w:vAlign w:val="center"/>
          </w:tcPr>
          <w:p w14:paraId="6E3F2B93">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440" w:type="dxa"/>
            <w:noWrap w:val="0"/>
            <w:vAlign w:val="center"/>
          </w:tcPr>
          <w:p w14:paraId="43F13838">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560" w:type="dxa"/>
            <w:noWrap w:val="0"/>
            <w:vAlign w:val="center"/>
          </w:tcPr>
          <w:p w14:paraId="3DA457F3">
            <w:pPr>
              <w:jc w:val="center"/>
              <w:rPr>
                <w:rFonts w:hint="eastAsia"/>
                <w:color w:val="auto"/>
                <w:sz w:val="21"/>
                <w:szCs w:val="21"/>
                <w:lang w:val="en-US" w:eastAsia="zh-CN"/>
              </w:rPr>
            </w:pPr>
            <w:r>
              <w:rPr>
                <w:rFonts w:hint="eastAsia" w:cs="Times New Roman"/>
                <w:b w:val="0"/>
                <w:bCs w:val="0"/>
                <w:sz w:val="21"/>
                <w:szCs w:val="21"/>
                <w:lang w:val="en-US" w:eastAsia="zh-CN"/>
              </w:rPr>
              <w:t>76.85</w:t>
            </w:r>
            <w:r>
              <w:rPr>
                <w:rFonts w:hint="eastAsia" w:ascii="Times New Roman" w:eastAsia="宋体" w:cs="Times New Roman"/>
                <w:b w:val="0"/>
                <w:bCs w:val="0"/>
                <w:sz w:val="21"/>
                <w:szCs w:val="21"/>
                <w:lang w:val="en-US" w:eastAsia="zh-CN"/>
              </w:rPr>
              <w:t>t/a</w:t>
            </w:r>
          </w:p>
        </w:tc>
        <w:tc>
          <w:tcPr>
            <w:tcW w:w="1315" w:type="dxa"/>
            <w:noWrap w:val="0"/>
            <w:vAlign w:val="center"/>
          </w:tcPr>
          <w:p w14:paraId="2D030D3C">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711" w:type="dxa"/>
            <w:noWrap w:val="0"/>
            <w:vAlign w:val="center"/>
          </w:tcPr>
          <w:p w14:paraId="017DFA92">
            <w:pPr>
              <w:jc w:val="center"/>
              <w:rPr>
                <w:rFonts w:hint="eastAsia"/>
                <w:color w:val="auto"/>
                <w:sz w:val="21"/>
                <w:szCs w:val="21"/>
                <w:lang w:val="en-US" w:eastAsia="zh-CN"/>
              </w:rPr>
            </w:pPr>
            <w:r>
              <w:rPr>
                <w:rFonts w:hint="eastAsia" w:cs="Times New Roman"/>
                <w:b w:val="0"/>
                <w:bCs w:val="0"/>
                <w:sz w:val="21"/>
                <w:szCs w:val="21"/>
                <w:lang w:val="en-US" w:eastAsia="zh-CN"/>
              </w:rPr>
              <w:t>76.85</w:t>
            </w:r>
            <w:r>
              <w:rPr>
                <w:rFonts w:hint="eastAsia" w:ascii="Times New Roman" w:eastAsia="宋体" w:cs="Times New Roman"/>
                <w:b w:val="0"/>
                <w:bCs w:val="0"/>
                <w:sz w:val="21"/>
                <w:szCs w:val="21"/>
                <w:lang w:val="en-US" w:eastAsia="zh-CN"/>
              </w:rPr>
              <w:t>t/a</w:t>
            </w:r>
          </w:p>
        </w:tc>
        <w:tc>
          <w:tcPr>
            <w:tcW w:w="1176" w:type="dxa"/>
            <w:noWrap w:val="0"/>
            <w:vAlign w:val="center"/>
          </w:tcPr>
          <w:p w14:paraId="07D7F251">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r>
      <w:tr w14:paraId="4844B9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79" w:type="dxa"/>
            <w:vMerge w:val="continue"/>
            <w:noWrap w:val="0"/>
            <w:vAlign w:val="center"/>
          </w:tcPr>
          <w:p w14:paraId="70D7F17B">
            <w:pPr>
              <w:pStyle w:val="4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hAnsi="Times New Roman" w:eastAsia="宋体"/>
                <w:snapToGrid w:val="0"/>
                <w:color w:val="000000"/>
                <w:kern w:val="21"/>
                <w:sz w:val="21"/>
                <w:szCs w:val="21"/>
              </w:rPr>
            </w:pPr>
          </w:p>
        </w:tc>
        <w:tc>
          <w:tcPr>
            <w:tcW w:w="2406" w:type="dxa"/>
            <w:noWrap w:val="0"/>
            <w:vAlign w:val="center"/>
          </w:tcPr>
          <w:p w14:paraId="1EEC25ED">
            <w:pPr>
              <w:jc w:val="center"/>
              <w:rPr>
                <w:rFonts w:hint="eastAsia" w:ascii="宋体" w:hAnsi="宋体" w:eastAsia="宋体" w:cs="宋体"/>
                <w:b w:val="0"/>
                <w:bCs/>
                <w:snapToGrid w:val="0"/>
                <w:color w:val="000000"/>
                <w:kern w:val="21"/>
                <w:sz w:val="21"/>
                <w:szCs w:val="21"/>
                <w:lang w:val="en-US" w:eastAsia="zh-CN"/>
              </w:rPr>
            </w:pPr>
            <w:r>
              <w:rPr>
                <w:rFonts w:hint="eastAsia"/>
                <w:color w:val="auto"/>
                <w:sz w:val="21"/>
                <w:szCs w:val="21"/>
                <w:lang w:val="en-US" w:eastAsia="zh-CN"/>
              </w:rPr>
              <w:t>废铅酸蓄电池</w:t>
            </w:r>
          </w:p>
        </w:tc>
        <w:tc>
          <w:tcPr>
            <w:tcW w:w="1500" w:type="dxa"/>
            <w:noWrap w:val="0"/>
            <w:vAlign w:val="center"/>
          </w:tcPr>
          <w:p w14:paraId="2E1310E5">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109" w:type="dxa"/>
            <w:noWrap w:val="0"/>
            <w:vAlign w:val="center"/>
          </w:tcPr>
          <w:p w14:paraId="1C5AE6F5">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440" w:type="dxa"/>
            <w:noWrap w:val="0"/>
            <w:vAlign w:val="center"/>
          </w:tcPr>
          <w:p w14:paraId="6CEC105B">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560" w:type="dxa"/>
            <w:noWrap w:val="0"/>
            <w:vAlign w:val="center"/>
          </w:tcPr>
          <w:p w14:paraId="6D913BF6">
            <w:pPr>
              <w:jc w:val="center"/>
              <w:rPr>
                <w:rFonts w:hint="eastAsia"/>
                <w:color w:val="auto"/>
                <w:sz w:val="21"/>
                <w:szCs w:val="21"/>
                <w:lang w:val="en-US" w:eastAsia="zh-CN"/>
              </w:rPr>
            </w:pPr>
            <w:r>
              <w:rPr>
                <w:rFonts w:hint="eastAsia"/>
                <w:color w:val="auto"/>
                <w:sz w:val="21"/>
                <w:szCs w:val="21"/>
                <w:lang w:val="en-US" w:eastAsia="zh-CN"/>
              </w:rPr>
              <w:t>123.5</w:t>
            </w:r>
            <w:r>
              <w:rPr>
                <w:rFonts w:hint="eastAsia" w:ascii="Times New Roman" w:eastAsia="宋体" w:cs="Times New Roman"/>
                <w:b w:val="0"/>
                <w:bCs w:val="0"/>
                <w:sz w:val="21"/>
                <w:szCs w:val="21"/>
                <w:lang w:val="en-US" w:eastAsia="zh-CN"/>
              </w:rPr>
              <w:t>t/a</w:t>
            </w:r>
          </w:p>
        </w:tc>
        <w:tc>
          <w:tcPr>
            <w:tcW w:w="1315" w:type="dxa"/>
            <w:noWrap w:val="0"/>
            <w:vAlign w:val="center"/>
          </w:tcPr>
          <w:p w14:paraId="18F930AA">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711" w:type="dxa"/>
            <w:noWrap w:val="0"/>
            <w:vAlign w:val="center"/>
          </w:tcPr>
          <w:p w14:paraId="6749E5D5">
            <w:pPr>
              <w:jc w:val="center"/>
              <w:rPr>
                <w:rFonts w:hint="eastAsia"/>
                <w:color w:val="auto"/>
                <w:sz w:val="21"/>
                <w:szCs w:val="21"/>
                <w:lang w:val="en-US" w:eastAsia="zh-CN"/>
              </w:rPr>
            </w:pPr>
            <w:r>
              <w:rPr>
                <w:rFonts w:hint="eastAsia"/>
                <w:color w:val="auto"/>
                <w:sz w:val="21"/>
                <w:szCs w:val="21"/>
                <w:lang w:val="en-US" w:eastAsia="zh-CN"/>
              </w:rPr>
              <w:t>123.5</w:t>
            </w:r>
            <w:r>
              <w:rPr>
                <w:rFonts w:hint="eastAsia" w:ascii="Times New Roman" w:eastAsia="宋体" w:cs="Times New Roman"/>
                <w:b w:val="0"/>
                <w:bCs w:val="0"/>
                <w:sz w:val="21"/>
                <w:szCs w:val="21"/>
                <w:lang w:val="en-US" w:eastAsia="zh-CN"/>
              </w:rPr>
              <w:t>t/a</w:t>
            </w:r>
          </w:p>
        </w:tc>
        <w:tc>
          <w:tcPr>
            <w:tcW w:w="1176" w:type="dxa"/>
            <w:noWrap w:val="0"/>
            <w:vAlign w:val="center"/>
          </w:tcPr>
          <w:p w14:paraId="27C84EFF">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r>
      <w:tr w14:paraId="3F87C0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79" w:type="dxa"/>
            <w:vMerge w:val="continue"/>
            <w:noWrap w:val="0"/>
            <w:vAlign w:val="center"/>
          </w:tcPr>
          <w:p w14:paraId="4A573E55">
            <w:pPr>
              <w:pStyle w:val="4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hAnsi="Times New Roman" w:eastAsia="宋体"/>
                <w:snapToGrid w:val="0"/>
                <w:color w:val="000000"/>
                <w:kern w:val="21"/>
                <w:sz w:val="21"/>
                <w:szCs w:val="21"/>
              </w:rPr>
            </w:pPr>
          </w:p>
        </w:tc>
        <w:tc>
          <w:tcPr>
            <w:tcW w:w="2406" w:type="dxa"/>
            <w:noWrap w:val="0"/>
            <w:vAlign w:val="center"/>
          </w:tcPr>
          <w:p w14:paraId="4AC824A4">
            <w:pPr>
              <w:jc w:val="center"/>
              <w:rPr>
                <w:rFonts w:hint="eastAsia" w:ascii="宋体" w:hAnsi="宋体" w:eastAsia="宋体" w:cs="宋体"/>
                <w:b w:val="0"/>
                <w:bCs/>
                <w:snapToGrid w:val="0"/>
                <w:color w:val="000000"/>
                <w:kern w:val="21"/>
                <w:sz w:val="21"/>
                <w:szCs w:val="21"/>
                <w:lang w:val="en-US" w:eastAsia="zh-CN"/>
              </w:rPr>
            </w:pPr>
            <w:r>
              <w:rPr>
                <w:rFonts w:hint="eastAsia"/>
                <w:color w:val="auto"/>
                <w:sz w:val="21"/>
                <w:szCs w:val="21"/>
                <w:lang w:val="en-US" w:eastAsia="zh-CN"/>
              </w:rPr>
              <w:t>废制冷剂</w:t>
            </w:r>
          </w:p>
        </w:tc>
        <w:tc>
          <w:tcPr>
            <w:tcW w:w="1500" w:type="dxa"/>
            <w:noWrap w:val="0"/>
            <w:vAlign w:val="center"/>
          </w:tcPr>
          <w:p w14:paraId="6B2717B2">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109" w:type="dxa"/>
            <w:noWrap w:val="0"/>
            <w:vAlign w:val="center"/>
          </w:tcPr>
          <w:p w14:paraId="7D981551">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440" w:type="dxa"/>
            <w:noWrap w:val="0"/>
            <w:vAlign w:val="center"/>
          </w:tcPr>
          <w:p w14:paraId="0D005EAD">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560" w:type="dxa"/>
            <w:noWrap w:val="0"/>
            <w:vAlign w:val="center"/>
          </w:tcPr>
          <w:p w14:paraId="2C2F1D15">
            <w:pPr>
              <w:jc w:val="center"/>
              <w:rPr>
                <w:rFonts w:hint="eastAsia"/>
                <w:color w:val="auto"/>
                <w:sz w:val="21"/>
                <w:szCs w:val="21"/>
                <w:lang w:val="en-US" w:eastAsia="zh-CN"/>
              </w:rPr>
            </w:pPr>
            <w:r>
              <w:rPr>
                <w:rFonts w:hint="eastAsia"/>
                <w:color w:val="auto"/>
                <w:sz w:val="21"/>
                <w:szCs w:val="21"/>
                <w:lang w:val="en-US" w:eastAsia="zh-CN"/>
              </w:rPr>
              <w:t>3.05</w:t>
            </w:r>
            <w:r>
              <w:rPr>
                <w:rFonts w:hint="eastAsia" w:ascii="Times New Roman" w:eastAsia="宋体" w:cs="Times New Roman"/>
                <w:b w:val="0"/>
                <w:bCs w:val="0"/>
                <w:sz w:val="21"/>
                <w:szCs w:val="21"/>
                <w:lang w:val="en-US" w:eastAsia="zh-CN"/>
              </w:rPr>
              <w:t>t/a</w:t>
            </w:r>
          </w:p>
        </w:tc>
        <w:tc>
          <w:tcPr>
            <w:tcW w:w="1315" w:type="dxa"/>
            <w:noWrap w:val="0"/>
            <w:vAlign w:val="center"/>
          </w:tcPr>
          <w:p w14:paraId="484AA7FD">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711" w:type="dxa"/>
            <w:noWrap w:val="0"/>
            <w:vAlign w:val="center"/>
          </w:tcPr>
          <w:p w14:paraId="6741512C">
            <w:pPr>
              <w:jc w:val="center"/>
              <w:rPr>
                <w:rFonts w:hint="eastAsia"/>
                <w:color w:val="auto"/>
                <w:sz w:val="21"/>
                <w:szCs w:val="21"/>
                <w:lang w:val="en-US" w:eastAsia="zh-CN"/>
              </w:rPr>
            </w:pPr>
            <w:r>
              <w:rPr>
                <w:rFonts w:hint="eastAsia"/>
                <w:color w:val="auto"/>
                <w:sz w:val="21"/>
                <w:szCs w:val="21"/>
                <w:lang w:val="en-US" w:eastAsia="zh-CN"/>
              </w:rPr>
              <w:t>3.05</w:t>
            </w:r>
            <w:r>
              <w:rPr>
                <w:rFonts w:hint="eastAsia" w:ascii="Times New Roman" w:eastAsia="宋体" w:cs="Times New Roman"/>
                <w:b w:val="0"/>
                <w:bCs w:val="0"/>
                <w:sz w:val="21"/>
                <w:szCs w:val="21"/>
                <w:lang w:val="en-US" w:eastAsia="zh-CN"/>
              </w:rPr>
              <w:t>t/a</w:t>
            </w:r>
          </w:p>
        </w:tc>
        <w:tc>
          <w:tcPr>
            <w:tcW w:w="1176" w:type="dxa"/>
            <w:noWrap w:val="0"/>
            <w:vAlign w:val="center"/>
          </w:tcPr>
          <w:p w14:paraId="11291460">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r>
      <w:tr w14:paraId="6D7F3E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79" w:type="dxa"/>
            <w:vMerge w:val="continue"/>
            <w:noWrap w:val="0"/>
            <w:vAlign w:val="center"/>
          </w:tcPr>
          <w:p w14:paraId="329FEF92">
            <w:pPr>
              <w:pStyle w:val="4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hAnsi="Times New Roman" w:eastAsia="宋体"/>
                <w:snapToGrid w:val="0"/>
                <w:color w:val="000000"/>
                <w:kern w:val="21"/>
                <w:sz w:val="21"/>
                <w:szCs w:val="21"/>
              </w:rPr>
            </w:pPr>
          </w:p>
        </w:tc>
        <w:tc>
          <w:tcPr>
            <w:tcW w:w="2406" w:type="dxa"/>
            <w:noWrap w:val="0"/>
            <w:vAlign w:val="center"/>
          </w:tcPr>
          <w:p w14:paraId="124B6FD8">
            <w:pPr>
              <w:jc w:val="center"/>
              <w:rPr>
                <w:rFonts w:hint="eastAsia" w:ascii="宋体" w:hAnsi="宋体" w:eastAsia="宋体" w:cs="宋体"/>
                <w:b w:val="0"/>
                <w:bCs/>
                <w:snapToGrid w:val="0"/>
                <w:color w:val="000000"/>
                <w:kern w:val="21"/>
                <w:sz w:val="21"/>
                <w:szCs w:val="21"/>
                <w:lang w:val="en-US" w:eastAsia="zh-CN"/>
              </w:rPr>
            </w:pPr>
            <w:r>
              <w:rPr>
                <w:rFonts w:hint="eastAsia"/>
                <w:color w:val="auto"/>
                <w:sz w:val="21"/>
                <w:szCs w:val="21"/>
                <w:lang w:val="en-US" w:eastAsia="zh-CN"/>
              </w:rPr>
              <w:t>废油箱</w:t>
            </w:r>
          </w:p>
        </w:tc>
        <w:tc>
          <w:tcPr>
            <w:tcW w:w="1500" w:type="dxa"/>
            <w:noWrap w:val="0"/>
            <w:vAlign w:val="center"/>
          </w:tcPr>
          <w:p w14:paraId="734AE65C">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109" w:type="dxa"/>
            <w:noWrap w:val="0"/>
            <w:vAlign w:val="center"/>
          </w:tcPr>
          <w:p w14:paraId="2FB13F78">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440" w:type="dxa"/>
            <w:noWrap w:val="0"/>
            <w:vAlign w:val="center"/>
          </w:tcPr>
          <w:p w14:paraId="71870256">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560" w:type="dxa"/>
            <w:noWrap w:val="0"/>
            <w:vAlign w:val="center"/>
          </w:tcPr>
          <w:p w14:paraId="07554220">
            <w:pPr>
              <w:jc w:val="center"/>
              <w:rPr>
                <w:rFonts w:hint="eastAsia"/>
                <w:color w:val="auto"/>
                <w:sz w:val="21"/>
                <w:szCs w:val="21"/>
                <w:lang w:val="en-US" w:eastAsia="zh-CN"/>
              </w:rPr>
            </w:pPr>
            <w:r>
              <w:rPr>
                <w:rFonts w:hint="eastAsia"/>
                <w:color w:val="auto"/>
                <w:sz w:val="21"/>
                <w:szCs w:val="21"/>
                <w:lang w:val="en-US" w:eastAsia="zh-CN"/>
              </w:rPr>
              <w:t>685</w:t>
            </w:r>
            <w:r>
              <w:rPr>
                <w:rFonts w:hint="eastAsia" w:ascii="Times New Roman" w:eastAsia="宋体" w:cs="Times New Roman"/>
                <w:b w:val="0"/>
                <w:bCs w:val="0"/>
                <w:sz w:val="21"/>
                <w:szCs w:val="21"/>
                <w:lang w:val="en-US" w:eastAsia="zh-CN"/>
              </w:rPr>
              <w:t>t/a</w:t>
            </w:r>
          </w:p>
        </w:tc>
        <w:tc>
          <w:tcPr>
            <w:tcW w:w="1315" w:type="dxa"/>
            <w:noWrap w:val="0"/>
            <w:vAlign w:val="center"/>
          </w:tcPr>
          <w:p w14:paraId="59173281">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711" w:type="dxa"/>
            <w:noWrap w:val="0"/>
            <w:vAlign w:val="center"/>
          </w:tcPr>
          <w:p w14:paraId="0CE50B05">
            <w:pPr>
              <w:jc w:val="center"/>
              <w:rPr>
                <w:rFonts w:hint="eastAsia"/>
                <w:color w:val="auto"/>
                <w:sz w:val="21"/>
                <w:szCs w:val="21"/>
                <w:lang w:val="en-US" w:eastAsia="zh-CN"/>
              </w:rPr>
            </w:pPr>
            <w:r>
              <w:rPr>
                <w:rFonts w:hint="eastAsia"/>
                <w:color w:val="auto"/>
                <w:sz w:val="21"/>
                <w:szCs w:val="21"/>
                <w:lang w:val="en-US" w:eastAsia="zh-CN"/>
              </w:rPr>
              <w:t>685</w:t>
            </w:r>
            <w:r>
              <w:rPr>
                <w:rFonts w:hint="eastAsia" w:ascii="Times New Roman" w:eastAsia="宋体" w:cs="Times New Roman"/>
                <w:b w:val="0"/>
                <w:bCs w:val="0"/>
                <w:sz w:val="21"/>
                <w:szCs w:val="21"/>
                <w:lang w:val="en-US" w:eastAsia="zh-CN"/>
              </w:rPr>
              <w:t>t/a</w:t>
            </w:r>
          </w:p>
        </w:tc>
        <w:tc>
          <w:tcPr>
            <w:tcW w:w="1176" w:type="dxa"/>
            <w:noWrap w:val="0"/>
            <w:vAlign w:val="center"/>
          </w:tcPr>
          <w:p w14:paraId="106EE160">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r>
      <w:tr w14:paraId="6E500A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79" w:type="dxa"/>
            <w:vMerge w:val="continue"/>
            <w:noWrap w:val="0"/>
            <w:vAlign w:val="center"/>
          </w:tcPr>
          <w:p w14:paraId="17AB6CD1">
            <w:pPr>
              <w:pStyle w:val="4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hAnsi="Times New Roman" w:eastAsia="宋体"/>
                <w:snapToGrid w:val="0"/>
                <w:color w:val="000000"/>
                <w:kern w:val="21"/>
                <w:sz w:val="21"/>
                <w:szCs w:val="21"/>
              </w:rPr>
            </w:pPr>
          </w:p>
        </w:tc>
        <w:tc>
          <w:tcPr>
            <w:tcW w:w="2406" w:type="dxa"/>
            <w:noWrap w:val="0"/>
            <w:vAlign w:val="center"/>
          </w:tcPr>
          <w:p w14:paraId="72AA2A0C">
            <w:pPr>
              <w:jc w:val="center"/>
              <w:rPr>
                <w:rFonts w:hint="eastAsia" w:ascii="宋体" w:hAnsi="宋体" w:eastAsia="宋体" w:cs="宋体"/>
                <w:b w:val="0"/>
                <w:bCs/>
                <w:snapToGrid w:val="0"/>
                <w:color w:val="000000"/>
                <w:kern w:val="21"/>
                <w:sz w:val="21"/>
                <w:szCs w:val="21"/>
                <w:lang w:val="en-US" w:eastAsia="zh-CN"/>
              </w:rPr>
            </w:pPr>
            <w:r>
              <w:rPr>
                <w:rFonts w:hint="eastAsia"/>
                <w:color w:val="auto"/>
                <w:sz w:val="21"/>
                <w:szCs w:val="21"/>
                <w:lang w:val="en-US" w:eastAsia="zh-CN"/>
              </w:rPr>
              <w:t>废液化气罐</w:t>
            </w:r>
          </w:p>
        </w:tc>
        <w:tc>
          <w:tcPr>
            <w:tcW w:w="1500" w:type="dxa"/>
            <w:noWrap w:val="0"/>
            <w:vAlign w:val="center"/>
          </w:tcPr>
          <w:p w14:paraId="492BEE08">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109" w:type="dxa"/>
            <w:noWrap w:val="0"/>
            <w:vAlign w:val="center"/>
          </w:tcPr>
          <w:p w14:paraId="489BBFB2">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440" w:type="dxa"/>
            <w:noWrap w:val="0"/>
            <w:vAlign w:val="center"/>
          </w:tcPr>
          <w:p w14:paraId="3DA0CF10">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560" w:type="dxa"/>
            <w:noWrap w:val="0"/>
            <w:vAlign w:val="center"/>
          </w:tcPr>
          <w:p w14:paraId="48C51695">
            <w:pPr>
              <w:jc w:val="center"/>
              <w:rPr>
                <w:rFonts w:hint="eastAsia"/>
                <w:color w:val="auto"/>
                <w:sz w:val="21"/>
                <w:szCs w:val="21"/>
                <w:lang w:val="en-US" w:eastAsia="zh-CN"/>
              </w:rPr>
            </w:pPr>
            <w:r>
              <w:rPr>
                <w:rFonts w:hint="eastAsia"/>
                <w:color w:val="auto"/>
                <w:sz w:val="21"/>
                <w:szCs w:val="21"/>
                <w:lang w:val="en-US" w:eastAsia="zh-CN"/>
              </w:rPr>
              <w:t>60</w:t>
            </w:r>
            <w:r>
              <w:rPr>
                <w:rFonts w:hint="eastAsia" w:ascii="Times New Roman" w:eastAsia="宋体" w:cs="Times New Roman"/>
                <w:b w:val="0"/>
                <w:bCs w:val="0"/>
                <w:sz w:val="21"/>
                <w:szCs w:val="21"/>
                <w:lang w:val="en-US" w:eastAsia="zh-CN"/>
              </w:rPr>
              <w:t>t/a</w:t>
            </w:r>
          </w:p>
        </w:tc>
        <w:tc>
          <w:tcPr>
            <w:tcW w:w="1315" w:type="dxa"/>
            <w:noWrap w:val="0"/>
            <w:vAlign w:val="center"/>
          </w:tcPr>
          <w:p w14:paraId="348FD75D">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711" w:type="dxa"/>
            <w:noWrap w:val="0"/>
            <w:vAlign w:val="center"/>
          </w:tcPr>
          <w:p w14:paraId="45833D0E">
            <w:pPr>
              <w:jc w:val="center"/>
              <w:rPr>
                <w:rFonts w:hint="eastAsia"/>
                <w:color w:val="auto"/>
                <w:sz w:val="21"/>
                <w:szCs w:val="21"/>
                <w:lang w:val="en-US" w:eastAsia="zh-CN"/>
              </w:rPr>
            </w:pPr>
            <w:r>
              <w:rPr>
                <w:rFonts w:hint="eastAsia"/>
                <w:color w:val="auto"/>
                <w:sz w:val="21"/>
                <w:szCs w:val="21"/>
                <w:lang w:val="en-US" w:eastAsia="zh-CN"/>
              </w:rPr>
              <w:t>60</w:t>
            </w:r>
            <w:r>
              <w:rPr>
                <w:rFonts w:hint="eastAsia" w:ascii="Times New Roman" w:eastAsia="宋体" w:cs="Times New Roman"/>
                <w:b w:val="0"/>
                <w:bCs w:val="0"/>
                <w:sz w:val="21"/>
                <w:szCs w:val="21"/>
                <w:lang w:val="en-US" w:eastAsia="zh-CN"/>
              </w:rPr>
              <w:t>t/a</w:t>
            </w:r>
          </w:p>
        </w:tc>
        <w:tc>
          <w:tcPr>
            <w:tcW w:w="1176" w:type="dxa"/>
            <w:noWrap w:val="0"/>
            <w:vAlign w:val="center"/>
          </w:tcPr>
          <w:p w14:paraId="48D337A1">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r>
      <w:tr w14:paraId="442B7E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79" w:type="dxa"/>
            <w:vMerge w:val="continue"/>
            <w:noWrap w:val="0"/>
            <w:vAlign w:val="center"/>
          </w:tcPr>
          <w:p w14:paraId="7B4CB52A">
            <w:pPr>
              <w:pStyle w:val="4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hAnsi="Times New Roman" w:eastAsia="宋体"/>
                <w:snapToGrid w:val="0"/>
                <w:color w:val="000000"/>
                <w:kern w:val="21"/>
                <w:sz w:val="21"/>
                <w:szCs w:val="21"/>
              </w:rPr>
            </w:pPr>
          </w:p>
        </w:tc>
        <w:tc>
          <w:tcPr>
            <w:tcW w:w="2406" w:type="dxa"/>
            <w:noWrap w:val="0"/>
            <w:vAlign w:val="center"/>
          </w:tcPr>
          <w:p w14:paraId="626F2904">
            <w:pPr>
              <w:jc w:val="center"/>
              <w:rPr>
                <w:rFonts w:hint="eastAsia" w:ascii="宋体" w:hAnsi="宋体" w:eastAsia="宋体" w:cs="宋体"/>
                <w:b w:val="0"/>
                <w:bCs/>
                <w:snapToGrid w:val="0"/>
                <w:color w:val="000000"/>
                <w:kern w:val="21"/>
                <w:sz w:val="21"/>
                <w:szCs w:val="21"/>
                <w:lang w:val="en-US" w:eastAsia="zh-CN"/>
              </w:rPr>
            </w:pPr>
            <w:r>
              <w:rPr>
                <w:rFonts w:hint="eastAsia"/>
                <w:color w:val="auto"/>
                <w:sz w:val="21"/>
                <w:szCs w:val="21"/>
                <w:lang w:val="en-US" w:eastAsia="zh-CN"/>
              </w:rPr>
              <w:t>废机油、燃油滤清器</w:t>
            </w:r>
          </w:p>
        </w:tc>
        <w:tc>
          <w:tcPr>
            <w:tcW w:w="1500" w:type="dxa"/>
            <w:noWrap w:val="0"/>
            <w:vAlign w:val="center"/>
          </w:tcPr>
          <w:p w14:paraId="717B03B8">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109" w:type="dxa"/>
            <w:noWrap w:val="0"/>
            <w:vAlign w:val="center"/>
          </w:tcPr>
          <w:p w14:paraId="78BDE8DE">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440" w:type="dxa"/>
            <w:noWrap w:val="0"/>
            <w:vAlign w:val="center"/>
          </w:tcPr>
          <w:p w14:paraId="0381BDF4">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560" w:type="dxa"/>
            <w:noWrap w:val="0"/>
            <w:vAlign w:val="center"/>
          </w:tcPr>
          <w:p w14:paraId="6BEB333A">
            <w:pPr>
              <w:jc w:val="center"/>
              <w:rPr>
                <w:rFonts w:hint="eastAsia"/>
                <w:color w:val="auto"/>
                <w:sz w:val="21"/>
                <w:szCs w:val="21"/>
                <w:lang w:val="en-US" w:eastAsia="zh-CN"/>
              </w:rPr>
            </w:pPr>
            <w:r>
              <w:rPr>
                <w:rFonts w:hint="eastAsia"/>
                <w:color w:val="auto"/>
                <w:sz w:val="21"/>
                <w:szCs w:val="21"/>
                <w:lang w:val="en-US" w:eastAsia="zh-CN"/>
              </w:rPr>
              <w:t>11.4</w:t>
            </w:r>
            <w:r>
              <w:rPr>
                <w:rFonts w:hint="eastAsia" w:ascii="Times New Roman" w:eastAsia="宋体" w:cs="Times New Roman"/>
                <w:b w:val="0"/>
                <w:bCs w:val="0"/>
                <w:sz w:val="21"/>
                <w:szCs w:val="21"/>
                <w:lang w:val="en-US" w:eastAsia="zh-CN"/>
              </w:rPr>
              <w:t>t/a</w:t>
            </w:r>
          </w:p>
        </w:tc>
        <w:tc>
          <w:tcPr>
            <w:tcW w:w="1315" w:type="dxa"/>
            <w:noWrap w:val="0"/>
            <w:vAlign w:val="center"/>
          </w:tcPr>
          <w:p w14:paraId="4D705509">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711" w:type="dxa"/>
            <w:noWrap w:val="0"/>
            <w:vAlign w:val="center"/>
          </w:tcPr>
          <w:p w14:paraId="38588123">
            <w:pPr>
              <w:jc w:val="center"/>
              <w:rPr>
                <w:rFonts w:hint="eastAsia"/>
                <w:color w:val="auto"/>
                <w:sz w:val="21"/>
                <w:szCs w:val="21"/>
                <w:lang w:val="en-US" w:eastAsia="zh-CN"/>
              </w:rPr>
            </w:pPr>
            <w:r>
              <w:rPr>
                <w:rFonts w:hint="eastAsia"/>
                <w:color w:val="auto"/>
                <w:sz w:val="21"/>
                <w:szCs w:val="21"/>
                <w:lang w:val="en-US" w:eastAsia="zh-CN"/>
              </w:rPr>
              <w:t>11.4</w:t>
            </w:r>
            <w:r>
              <w:rPr>
                <w:rFonts w:hint="eastAsia" w:ascii="Times New Roman" w:eastAsia="宋体" w:cs="Times New Roman"/>
                <w:b w:val="0"/>
                <w:bCs w:val="0"/>
                <w:sz w:val="21"/>
                <w:szCs w:val="21"/>
                <w:lang w:val="en-US" w:eastAsia="zh-CN"/>
              </w:rPr>
              <w:t>t/a</w:t>
            </w:r>
          </w:p>
        </w:tc>
        <w:tc>
          <w:tcPr>
            <w:tcW w:w="1176" w:type="dxa"/>
            <w:noWrap w:val="0"/>
            <w:vAlign w:val="center"/>
          </w:tcPr>
          <w:p w14:paraId="093804E8">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r>
      <w:tr w14:paraId="654C39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79" w:type="dxa"/>
            <w:vMerge w:val="continue"/>
            <w:noWrap w:val="0"/>
            <w:vAlign w:val="center"/>
          </w:tcPr>
          <w:p w14:paraId="19425F0D">
            <w:pPr>
              <w:pStyle w:val="4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hAnsi="Times New Roman" w:eastAsia="宋体"/>
                <w:snapToGrid w:val="0"/>
                <w:color w:val="000000"/>
                <w:kern w:val="21"/>
                <w:sz w:val="21"/>
                <w:szCs w:val="21"/>
              </w:rPr>
            </w:pPr>
          </w:p>
        </w:tc>
        <w:tc>
          <w:tcPr>
            <w:tcW w:w="2406" w:type="dxa"/>
            <w:noWrap w:val="0"/>
            <w:vAlign w:val="center"/>
          </w:tcPr>
          <w:p w14:paraId="39C43B6B">
            <w:pPr>
              <w:jc w:val="center"/>
              <w:rPr>
                <w:rFonts w:hint="eastAsia" w:ascii="宋体" w:hAnsi="宋体" w:eastAsia="宋体" w:cs="宋体"/>
                <w:b w:val="0"/>
                <w:bCs/>
                <w:snapToGrid w:val="0"/>
                <w:color w:val="000000"/>
                <w:kern w:val="21"/>
                <w:sz w:val="21"/>
                <w:szCs w:val="21"/>
                <w:lang w:val="en-US" w:eastAsia="zh-CN"/>
              </w:rPr>
            </w:pPr>
            <w:r>
              <w:rPr>
                <w:rFonts w:hint="eastAsia"/>
                <w:color w:val="auto"/>
                <w:sz w:val="21"/>
                <w:szCs w:val="21"/>
                <w:lang w:val="en-US" w:eastAsia="zh-CN"/>
              </w:rPr>
              <w:t>废电容器</w:t>
            </w:r>
          </w:p>
        </w:tc>
        <w:tc>
          <w:tcPr>
            <w:tcW w:w="1500" w:type="dxa"/>
            <w:noWrap w:val="0"/>
            <w:vAlign w:val="center"/>
          </w:tcPr>
          <w:p w14:paraId="5C4C9E1A">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109" w:type="dxa"/>
            <w:noWrap w:val="0"/>
            <w:vAlign w:val="center"/>
          </w:tcPr>
          <w:p w14:paraId="0988FD75">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440" w:type="dxa"/>
            <w:noWrap w:val="0"/>
            <w:vAlign w:val="center"/>
          </w:tcPr>
          <w:p w14:paraId="043C662A">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560" w:type="dxa"/>
            <w:noWrap w:val="0"/>
            <w:vAlign w:val="center"/>
          </w:tcPr>
          <w:p w14:paraId="15808403">
            <w:pPr>
              <w:jc w:val="center"/>
              <w:rPr>
                <w:rFonts w:hint="eastAsia"/>
                <w:color w:val="auto"/>
                <w:sz w:val="21"/>
                <w:szCs w:val="21"/>
                <w:lang w:val="en-US" w:eastAsia="zh-CN"/>
              </w:rPr>
            </w:pPr>
            <w:r>
              <w:rPr>
                <w:rFonts w:hint="eastAsia"/>
                <w:color w:val="auto"/>
                <w:sz w:val="21"/>
                <w:szCs w:val="21"/>
                <w:lang w:val="en-US" w:eastAsia="zh-CN"/>
              </w:rPr>
              <w:t>24.5</w:t>
            </w:r>
            <w:r>
              <w:rPr>
                <w:rFonts w:hint="eastAsia" w:ascii="Times New Roman" w:eastAsia="宋体" w:cs="Times New Roman"/>
                <w:b w:val="0"/>
                <w:bCs w:val="0"/>
                <w:sz w:val="21"/>
                <w:szCs w:val="21"/>
                <w:lang w:val="en-US" w:eastAsia="zh-CN"/>
              </w:rPr>
              <w:t>t/a</w:t>
            </w:r>
          </w:p>
        </w:tc>
        <w:tc>
          <w:tcPr>
            <w:tcW w:w="1315" w:type="dxa"/>
            <w:noWrap w:val="0"/>
            <w:vAlign w:val="center"/>
          </w:tcPr>
          <w:p w14:paraId="39798954">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711" w:type="dxa"/>
            <w:noWrap w:val="0"/>
            <w:vAlign w:val="center"/>
          </w:tcPr>
          <w:p w14:paraId="79F519C3">
            <w:pPr>
              <w:jc w:val="center"/>
              <w:rPr>
                <w:rFonts w:hint="eastAsia"/>
                <w:color w:val="auto"/>
                <w:sz w:val="21"/>
                <w:szCs w:val="21"/>
                <w:lang w:val="en-US" w:eastAsia="zh-CN"/>
              </w:rPr>
            </w:pPr>
            <w:r>
              <w:rPr>
                <w:rFonts w:hint="eastAsia"/>
                <w:color w:val="auto"/>
                <w:sz w:val="21"/>
                <w:szCs w:val="21"/>
                <w:lang w:val="en-US" w:eastAsia="zh-CN"/>
              </w:rPr>
              <w:t>24.5</w:t>
            </w:r>
            <w:r>
              <w:rPr>
                <w:rFonts w:hint="eastAsia" w:ascii="Times New Roman" w:eastAsia="宋体" w:cs="Times New Roman"/>
                <w:b w:val="0"/>
                <w:bCs w:val="0"/>
                <w:sz w:val="21"/>
                <w:szCs w:val="21"/>
                <w:lang w:val="en-US" w:eastAsia="zh-CN"/>
              </w:rPr>
              <w:t>t/a</w:t>
            </w:r>
          </w:p>
        </w:tc>
        <w:tc>
          <w:tcPr>
            <w:tcW w:w="1176" w:type="dxa"/>
            <w:noWrap w:val="0"/>
            <w:vAlign w:val="center"/>
          </w:tcPr>
          <w:p w14:paraId="4A1332AD">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r>
      <w:tr w14:paraId="4F3841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79" w:type="dxa"/>
            <w:vMerge w:val="continue"/>
            <w:noWrap w:val="0"/>
            <w:vAlign w:val="center"/>
          </w:tcPr>
          <w:p w14:paraId="35EDC888">
            <w:pPr>
              <w:pStyle w:val="4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hAnsi="Times New Roman" w:eastAsia="宋体"/>
                <w:snapToGrid w:val="0"/>
                <w:color w:val="000000"/>
                <w:kern w:val="21"/>
                <w:sz w:val="21"/>
                <w:szCs w:val="21"/>
              </w:rPr>
            </w:pPr>
          </w:p>
        </w:tc>
        <w:tc>
          <w:tcPr>
            <w:tcW w:w="2406" w:type="dxa"/>
            <w:noWrap w:val="0"/>
            <w:vAlign w:val="center"/>
          </w:tcPr>
          <w:p w14:paraId="421A2DBF">
            <w:pPr>
              <w:jc w:val="center"/>
              <w:rPr>
                <w:rFonts w:hint="eastAsia" w:ascii="宋体" w:hAnsi="宋体" w:eastAsia="宋体" w:cs="宋体"/>
                <w:b w:val="0"/>
                <w:bCs/>
                <w:snapToGrid w:val="0"/>
                <w:color w:val="000000"/>
                <w:kern w:val="21"/>
                <w:sz w:val="21"/>
                <w:szCs w:val="21"/>
                <w:lang w:val="en-US" w:eastAsia="zh-CN"/>
              </w:rPr>
            </w:pPr>
            <w:r>
              <w:rPr>
                <w:rFonts w:hint="eastAsia"/>
                <w:color w:val="auto"/>
                <w:sz w:val="21"/>
                <w:szCs w:val="21"/>
                <w:lang w:val="en-US" w:eastAsia="zh-CN"/>
              </w:rPr>
              <w:t>废尾气净化器</w:t>
            </w:r>
          </w:p>
        </w:tc>
        <w:tc>
          <w:tcPr>
            <w:tcW w:w="1500" w:type="dxa"/>
            <w:noWrap w:val="0"/>
            <w:vAlign w:val="center"/>
          </w:tcPr>
          <w:p w14:paraId="0DF40EBF">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109" w:type="dxa"/>
            <w:noWrap w:val="0"/>
            <w:vAlign w:val="center"/>
          </w:tcPr>
          <w:p w14:paraId="7DB4F667">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440" w:type="dxa"/>
            <w:noWrap w:val="0"/>
            <w:vAlign w:val="center"/>
          </w:tcPr>
          <w:p w14:paraId="42F08DA7">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560" w:type="dxa"/>
            <w:noWrap w:val="0"/>
            <w:vAlign w:val="center"/>
          </w:tcPr>
          <w:p w14:paraId="45BC2624">
            <w:pPr>
              <w:jc w:val="center"/>
              <w:rPr>
                <w:rFonts w:hint="eastAsia"/>
                <w:color w:val="auto"/>
                <w:sz w:val="21"/>
                <w:szCs w:val="21"/>
                <w:lang w:val="en-US" w:eastAsia="zh-CN"/>
              </w:rPr>
            </w:pPr>
            <w:r>
              <w:rPr>
                <w:rFonts w:hint="eastAsia"/>
                <w:color w:val="auto"/>
                <w:sz w:val="21"/>
                <w:szCs w:val="21"/>
                <w:lang w:val="en-US" w:eastAsia="zh-CN"/>
              </w:rPr>
              <w:t>11.15</w:t>
            </w:r>
            <w:r>
              <w:rPr>
                <w:rFonts w:hint="eastAsia" w:ascii="Times New Roman" w:eastAsia="宋体" w:cs="Times New Roman"/>
                <w:b w:val="0"/>
                <w:bCs w:val="0"/>
                <w:sz w:val="21"/>
                <w:szCs w:val="21"/>
                <w:lang w:val="en-US" w:eastAsia="zh-CN"/>
              </w:rPr>
              <w:t>t/a</w:t>
            </w:r>
          </w:p>
        </w:tc>
        <w:tc>
          <w:tcPr>
            <w:tcW w:w="1315" w:type="dxa"/>
            <w:noWrap w:val="0"/>
            <w:vAlign w:val="center"/>
          </w:tcPr>
          <w:p w14:paraId="5AD3E24F">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711" w:type="dxa"/>
            <w:noWrap w:val="0"/>
            <w:vAlign w:val="center"/>
          </w:tcPr>
          <w:p w14:paraId="014D831B">
            <w:pPr>
              <w:jc w:val="center"/>
              <w:rPr>
                <w:rFonts w:hint="eastAsia"/>
                <w:color w:val="auto"/>
                <w:sz w:val="21"/>
                <w:szCs w:val="21"/>
                <w:lang w:val="en-US" w:eastAsia="zh-CN"/>
              </w:rPr>
            </w:pPr>
            <w:r>
              <w:rPr>
                <w:rFonts w:hint="eastAsia"/>
                <w:color w:val="auto"/>
                <w:sz w:val="21"/>
                <w:szCs w:val="21"/>
                <w:lang w:val="en-US" w:eastAsia="zh-CN"/>
              </w:rPr>
              <w:t>11.15</w:t>
            </w:r>
            <w:r>
              <w:rPr>
                <w:rFonts w:hint="eastAsia" w:ascii="Times New Roman" w:eastAsia="宋体" w:cs="Times New Roman"/>
                <w:b w:val="0"/>
                <w:bCs w:val="0"/>
                <w:sz w:val="21"/>
                <w:szCs w:val="21"/>
                <w:lang w:val="en-US" w:eastAsia="zh-CN"/>
              </w:rPr>
              <w:t>t/a</w:t>
            </w:r>
          </w:p>
        </w:tc>
        <w:tc>
          <w:tcPr>
            <w:tcW w:w="1176" w:type="dxa"/>
            <w:noWrap w:val="0"/>
            <w:vAlign w:val="center"/>
          </w:tcPr>
          <w:p w14:paraId="422C8B3D">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r>
      <w:tr w14:paraId="04236A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79" w:type="dxa"/>
            <w:vMerge w:val="continue"/>
            <w:noWrap w:val="0"/>
            <w:vAlign w:val="center"/>
          </w:tcPr>
          <w:p w14:paraId="1A4A9FB3">
            <w:pPr>
              <w:pStyle w:val="4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hAnsi="Times New Roman" w:eastAsia="宋体"/>
                <w:snapToGrid w:val="0"/>
                <w:color w:val="000000"/>
                <w:kern w:val="21"/>
                <w:sz w:val="21"/>
                <w:szCs w:val="21"/>
              </w:rPr>
            </w:pPr>
          </w:p>
        </w:tc>
        <w:tc>
          <w:tcPr>
            <w:tcW w:w="2406" w:type="dxa"/>
            <w:noWrap w:val="0"/>
            <w:vAlign w:val="center"/>
          </w:tcPr>
          <w:p w14:paraId="6DE67A58">
            <w:pPr>
              <w:jc w:val="center"/>
              <w:rPr>
                <w:rFonts w:hint="eastAsia" w:ascii="宋体" w:hAnsi="宋体" w:eastAsia="宋体" w:cs="宋体"/>
                <w:b w:val="0"/>
                <w:bCs/>
                <w:snapToGrid w:val="0"/>
                <w:color w:val="000000"/>
                <w:kern w:val="21"/>
                <w:sz w:val="21"/>
                <w:szCs w:val="21"/>
                <w:lang w:val="en-US" w:eastAsia="zh-CN"/>
              </w:rPr>
            </w:pPr>
            <w:r>
              <w:rPr>
                <w:rFonts w:hint="eastAsia"/>
                <w:color w:val="auto"/>
                <w:sz w:val="21"/>
                <w:szCs w:val="21"/>
                <w:lang w:val="en-US" w:eastAsia="zh-CN"/>
              </w:rPr>
              <w:t>废电路板及电子元器件</w:t>
            </w:r>
          </w:p>
        </w:tc>
        <w:tc>
          <w:tcPr>
            <w:tcW w:w="1500" w:type="dxa"/>
            <w:noWrap w:val="0"/>
            <w:vAlign w:val="center"/>
          </w:tcPr>
          <w:p w14:paraId="4E9036F2">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109" w:type="dxa"/>
            <w:noWrap w:val="0"/>
            <w:vAlign w:val="center"/>
          </w:tcPr>
          <w:p w14:paraId="249A04E7">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440" w:type="dxa"/>
            <w:noWrap w:val="0"/>
            <w:vAlign w:val="center"/>
          </w:tcPr>
          <w:p w14:paraId="753AAC97">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560" w:type="dxa"/>
            <w:noWrap w:val="0"/>
            <w:vAlign w:val="center"/>
          </w:tcPr>
          <w:p w14:paraId="131D46DF">
            <w:pPr>
              <w:jc w:val="center"/>
              <w:rPr>
                <w:rFonts w:hint="eastAsia"/>
                <w:color w:val="auto"/>
                <w:sz w:val="21"/>
                <w:szCs w:val="21"/>
                <w:lang w:val="en-US" w:eastAsia="zh-CN"/>
              </w:rPr>
            </w:pPr>
            <w:r>
              <w:rPr>
                <w:rFonts w:hint="eastAsia"/>
                <w:color w:val="auto"/>
                <w:sz w:val="21"/>
                <w:szCs w:val="21"/>
                <w:lang w:val="en-US" w:eastAsia="zh-CN"/>
              </w:rPr>
              <w:t>49.2</w:t>
            </w:r>
            <w:r>
              <w:rPr>
                <w:rFonts w:hint="eastAsia" w:ascii="Times New Roman" w:eastAsia="宋体" w:cs="Times New Roman"/>
                <w:b w:val="0"/>
                <w:bCs w:val="0"/>
                <w:sz w:val="21"/>
                <w:szCs w:val="21"/>
                <w:lang w:val="en-US" w:eastAsia="zh-CN"/>
              </w:rPr>
              <w:t>t/a</w:t>
            </w:r>
          </w:p>
        </w:tc>
        <w:tc>
          <w:tcPr>
            <w:tcW w:w="1315" w:type="dxa"/>
            <w:noWrap w:val="0"/>
            <w:vAlign w:val="center"/>
          </w:tcPr>
          <w:p w14:paraId="2AA042B9">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711" w:type="dxa"/>
            <w:noWrap w:val="0"/>
            <w:vAlign w:val="center"/>
          </w:tcPr>
          <w:p w14:paraId="215BA4F3">
            <w:pPr>
              <w:jc w:val="center"/>
              <w:rPr>
                <w:rFonts w:hint="eastAsia"/>
                <w:color w:val="auto"/>
                <w:sz w:val="21"/>
                <w:szCs w:val="21"/>
                <w:lang w:val="en-US" w:eastAsia="zh-CN"/>
              </w:rPr>
            </w:pPr>
            <w:r>
              <w:rPr>
                <w:rFonts w:hint="eastAsia"/>
                <w:color w:val="auto"/>
                <w:sz w:val="21"/>
                <w:szCs w:val="21"/>
                <w:lang w:val="en-US" w:eastAsia="zh-CN"/>
              </w:rPr>
              <w:t>49.2</w:t>
            </w:r>
            <w:r>
              <w:rPr>
                <w:rFonts w:hint="eastAsia" w:ascii="Times New Roman" w:eastAsia="宋体" w:cs="Times New Roman"/>
                <w:b w:val="0"/>
                <w:bCs w:val="0"/>
                <w:sz w:val="21"/>
                <w:szCs w:val="21"/>
                <w:lang w:val="en-US" w:eastAsia="zh-CN"/>
              </w:rPr>
              <w:t>t/a</w:t>
            </w:r>
          </w:p>
        </w:tc>
        <w:tc>
          <w:tcPr>
            <w:tcW w:w="1176" w:type="dxa"/>
            <w:noWrap w:val="0"/>
            <w:vAlign w:val="center"/>
          </w:tcPr>
          <w:p w14:paraId="749BA251">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r>
      <w:tr w14:paraId="36BFC8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79" w:type="dxa"/>
            <w:vMerge w:val="continue"/>
            <w:noWrap w:val="0"/>
            <w:vAlign w:val="center"/>
          </w:tcPr>
          <w:p w14:paraId="6EBCE60F">
            <w:pPr>
              <w:pStyle w:val="4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hAnsi="Times New Roman" w:eastAsia="宋体"/>
                <w:snapToGrid w:val="0"/>
                <w:color w:val="000000"/>
                <w:kern w:val="21"/>
                <w:sz w:val="21"/>
                <w:szCs w:val="21"/>
              </w:rPr>
            </w:pPr>
          </w:p>
        </w:tc>
        <w:tc>
          <w:tcPr>
            <w:tcW w:w="2406" w:type="dxa"/>
            <w:noWrap w:val="0"/>
            <w:vAlign w:val="center"/>
          </w:tcPr>
          <w:p w14:paraId="0C4B617E">
            <w:pPr>
              <w:jc w:val="center"/>
              <w:rPr>
                <w:rFonts w:hint="eastAsia" w:ascii="宋体" w:hAnsi="宋体" w:eastAsia="宋体" w:cs="宋体"/>
                <w:b w:val="0"/>
                <w:bCs/>
                <w:snapToGrid w:val="0"/>
                <w:color w:val="000000"/>
                <w:kern w:val="21"/>
                <w:sz w:val="21"/>
                <w:szCs w:val="21"/>
                <w:lang w:val="en-US" w:eastAsia="zh-CN"/>
              </w:rPr>
            </w:pPr>
            <w:r>
              <w:rPr>
                <w:rFonts w:hint="eastAsia"/>
                <w:color w:val="auto"/>
                <w:sz w:val="21"/>
                <w:szCs w:val="21"/>
                <w:lang w:val="en-US" w:eastAsia="zh-CN"/>
              </w:rPr>
              <w:t>废活性炭</w:t>
            </w:r>
          </w:p>
        </w:tc>
        <w:tc>
          <w:tcPr>
            <w:tcW w:w="1500" w:type="dxa"/>
            <w:noWrap w:val="0"/>
            <w:vAlign w:val="center"/>
          </w:tcPr>
          <w:p w14:paraId="672BC38D">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109" w:type="dxa"/>
            <w:noWrap w:val="0"/>
            <w:vAlign w:val="center"/>
          </w:tcPr>
          <w:p w14:paraId="57AF1E21">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440" w:type="dxa"/>
            <w:noWrap w:val="0"/>
            <w:vAlign w:val="center"/>
          </w:tcPr>
          <w:p w14:paraId="4E51E314">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560" w:type="dxa"/>
            <w:noWrap w:val="0"/>
            <w:vAlign w:val="center"/>
          </w:tcPr>
          <w:p w14:paraId="3E19C099">
            <w:pPr>
              <w:jc w:val="center"/>
              <w:rPr>
                <w:rFonts w:hint="eastAsia"/>
                <w:color w:val="auto"/>
                <w:sz w:val="21"/>
                <w:szCs w:val="21"/>
                <w:lang w:val="en-US" w:eastAsia="zh-CN"/>
              </w:rPr>
            </w:pPr>
            <w:r>
              <w:rPr>
                <w:rFonts w:hint="eastAsia"/>
                <w:color w:val="auto"/>
                <w:sz w:val="21"/>
                <w:szCs w:val="21"/>
                <w:lang w:val="en-US" w:eastAsia="zh-CN"/>
              </w:rPr>
              <w:t>0.26</w:t>
            </w:r>
            <w:r>
              <w:rPr>
                <w:rFonts w:hint="eastAsia" w:ascii="Times New Roman" w:eastAsia="宋体" w:cs="Times New Roman"/>
                <w:b w:val="0"/>
                <w:bCs w:val="0"/>
                <w:sz w:val="21"/>
                <w:szCs w:val="21"/>
                <w:lang w:val="en-US" w:eastAsia="zh-CN"/>
              </w:rPr>
              <w:t>t/a</w:t>
            </w:r>
          </w:p>
        </w:tc>
        <w:tc>
          <w:tcPr>
            <w:tcW w:w="1315" w:type="dxa"/>
            <w:noWrap w:val="0"/>
            <w:vAlign w:val="center"/>
          </w:tcPr>
          <w:p w14:paraId="1DA790E2">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711" w:type="dxa"/>
            <w:noWrap w:val="0"/>
            <w:vAlign w:val="center"/>
          </w:tcPr>
          <w:p w14:paraId="2E297A9F">
            <w:pPr>
              <w:jc w:val="center"/>
              <w:rPr>
                <w:rFonts w:hint="eastAsia"/>
                <w:color w:val="auto"/>
                <w:sz w:val="21"/>
                <w:szCs w:val="21"/>
                <w:lang w:val="en-US" w:eastAsia="zh-CN"/>
              </w:rPr>
            </w:pPr>
            <w:r>
              <w:rPr>
                <w:rFonts w:hint="eastAsia"/>
                <w:color w:val="auto"/>
                <w:sz w:val="21"/>
                <w:szCs w:val="21"/>
                <w:lang w:val="en-US" w:eastAsia="zh-CN"/>
              </w:rPr>
              <w:t>0.26</w:t>
            </w:r>
            <w:r>
              <w:rPr>
                <w:rFonts w:hint="eastAsia" w:ascii="Times New Roman" w:eastAsia="宋体" w:cs="Times New Roman"/>
                <w:b w:val="0"/>
                <w:bCs w:val="0"/>
                <w:sz w:val="21"/>
                <w:szCs w:val="21"/>
                <w:lang w:val="en-US" w:eastAsia="zh-CN"/>
              </w:rPr>
              <w:t>t/a</w:t>
            </w:r>
          </w:p>
        </w:tc>
        <w:tc>
          <w:tcPr>
            <w:tcW w:w="1176" w:type="dxa"/>
            <w:noWrap w:val="0"/>
            <w:vAlign w:val="center"/>
          </w:tcPr>
          <w:p w14:paraId="6D4E79B4">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r>
      <w:tr w14:paraId="718D1C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79" w:type="dxa"/>
            <w:vMerge w:val="continue"/>
            <w:noWrap w:val="0"/>
            <w:vAlign w:val="center"/>
          </w:tcPr>
          <w:p w14:paraId="4C57C4A0">
            <w:pPr>
              <w:pStyle w:val="4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hAnsi="Times New Roman" w:eastAsia="宋体"/>
                <w:snapToGrid w:val="0"/>
                <w:color w:val="000000"/>
                <w:kern w:val="21"/>
                <w:sz w:val="21"/>
                <w:szCs w:val="21"/>
              </w:rPr>
            </w:pPr>
          </w:p>
        </w:tc>
        <w:tc>
          <w:tcPr>
            <w:tcW w:w="2406" w:type="dxa"/>
            <w:noWrap w:val="0"/>
            <w:vAlign w:val="center"/>
          </w:tcPr>
          <w:p w14:paraId="47D6B490">
            <w:pPr>
              <w:jc w:val="center"/>
              <w:rPr>
                <w:rFonts w:hint="eastAsia" w:ascii="宋体" w:hAnsi="宋体" w:eastAsia="宋体" w:cs="宋体"/>
                <w:b w:val="0"/>
                <w:bCs/>
                <w:snapToGrid w:val="0"/>
                <w:color w:val="000000"/>
                <w:kern w:val="21"/>
                <w:sz w:val="21"/>
                <w:szCs w:val="21"/>
                <w:lang w:val="en-US" w:eastAsia="zh-CN"/>
              </w:rPr>
            </w:pPr>
            <w:r>
              <w:rPr>
                <w:rFonts w:hint="eastAsia"/>
                <w:color w:val="auto"/>
                <w:sz w:val="21"/>
                <w:szCs w:val="21"/>
                <w:lang w:val="en-US" w:eastAsia="zh-CN"/>
              </w:rPr>
              <w:t>污水处理站油泥</w:t>
            </w:r>
          </w:p>
        </w:tc>
        <w:tc>
          <w:tcPr>
            <w:tcW w:w="1500" w:type="dxa"/>
            <w:noWrap w:val="0"/>
            <w:vAlign w:val="center"/>
          </w:tcPr>
          <w:p w14:paraId="45E7E678">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109" w:type="dxa"/>
            <w:noWrap w:val="0"/>
            <w:vAlign w:val="center"/>
          </w:tcPr>
          <w:p w14:paraId="544B361A">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440" w:type="dxa"/>
            <w:noWrap w:val="0"/>
            <w:vAlign w:val="center"/>
          </w:tcPr>
          <w:p w14:paraId="2C0F6F1C">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560" w:type="dxa"/>
            <w:noWrap w:val="0"/>
            <w:vAlign w:val="center"/>
          </w:tcPr>
          <w:p w14:paraId="3B5B7B8F">
            <w:pPr>
              <w:jc w:val="center"/>
              <w:rPr>
                <w:rFonts w:hint="eastAsia"/>
                <w:color w:val="auto"/>
                <w:sz w:val="21"/>
                <w:szCs w:val="21"/>
                <w:lang w:val="en-US" w:eastAsia="zh-CN"/>
              </w:rPr>
            </w:pPr>
            <w:r>
              <w:rPr>
                <w:rFonts w:hint="eastAsia"/>
                <w:color w:val="auto"/>
                <w:sz w:val="21"/>
                <w:szCs w:val="21"/>
                <w:lang w:val="en-US" w:eastAsia="zh-CN"/>
              </w:rPr>
              <w:t>20.174</w:t>
            </w:r>
            <w:r>
              <w:rPr>
                <w:rFonts w:hint="eastAsia" w:ascii="Times New Roman" w:eastAsia="宋体" w:cs="Times New Roman"/>
                <w:b w:val="0"/>
                <w:bCs w:val="0"/>
                <w:sz w:val="21"/>
                <w:szCs w:val="21"/>
                <w:lang w:val="en-US" w:eastAsia="zh-CN"/>
              </w:rPr>
              <w:t>t/a</w:t>
            </w:r>
          </w:p>
        </w:tc>
        <w:tc>
          <w:tcPr>
            <w:tcW w:w="1315" w:type="dxa"/>
            <w:noWrap w:val="0"/>
            <w:vAlign w:val="center"/>
          </w:tcPr>
          <w:p w14:paraId="1A56C999">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711" w:type="dxa"/>
            <w:noWrap w:val="0"/>
            <w:vAlign w:val="center"/>
          </w:tcPr>
          <w:p w14:paraId="7AB035CE">
            <w:pPr>
              <w:jc w:val="center"/>
              <w:rPr>
                <w:rFonts w:hint="eastAsia"/>
                <w:color w:val="auto"/>
                <w:sz w:val="21"/>
                <w:szCs w:val="21"/>
                <w:lang w:val="en-US" w:eastAsia="zh-CN"/>
              </w:rPr>
            </w:pPr>
            <w:r>
              <w:rPr>
                <w:rFonts w:hint="eastAsia"/>
                <w:color w:val="auto"/>
                <w:sz w:val="21"/>
                <w:szCs w:val="21"/>
                <w:lang w:val="en-US" w:eastAsia="zh-CN"/>
              </w:rPr>
              <w:t>20.174</w:t>
            </w:r>
            <w:r>
              <w:rPr>
                <w:rFonts w:hint="eastAsia" w:ascii="Times New Roman" w:eastAsia="宋体" w:cs="Times New Roman"/>
                <w:b w:val="0"/>
                <w:bCs w:val="0"/>
                <w:sz w:val="21"/>
                <w:szCs w:val="21"/>
                <w:lang w:val="en-US" w:eastAsia="zh-CN"/>
              </w:rPr>
              <w:t>t/a</w:t>
            </w:r>
          </w:p>
        </w:tc>
        <w:tc>
          <w:tcPr>
            <w:tcW w:w="1176" w:type="dxa"/>
            <w:noWrap w:val="0"/>
            <w:vAlign w:val="center"/>
          </w:tcPr>
          <w:p w14:paraId="2103E36F">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r>
      <w:tr w14:paraId="2A67B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79" w:type="dxa"/>
            <w:vMerge w:val="continue"/>
            <w:noWrap w:val="0"/>
            <w:vAlign w:val="center"/>
          </w:tcPr>
          <w:p w14:paraId="2137EEF7">
            <w:pPr>
              <w:pStyle w:val="4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hAnsi="Times New Roman" w:eastAsia="宋体"/>
                <w:snapToGrid w:val="0"/>
                <w:color w:val="000000"/>
                <w:kern w:val="21"/>
                <w:sz w:val="21"/>
                <w:szCs w:val="21"/>
              </w:rPr>
            </w:pPr>
          </w:p>
        </w:tc>
        <w:tc>
          <w:tcPr>
            <w:tcW w:w="2406" w:type="dxa"/>
            <w:noWrap w:val="0"/>
            <w:vAlign w:val="center"/>
          </w:tcPr>
          <w:p w14:paraId="2A9BFEB9">
            <w:pPr>
              <w:jc w:val="center"/>
              <w:rPr>
                <w:rFonts w:hint="default"/>
                <w:color w:val="auto"/>
                <w:sz w:val="21"/>
                <w:szCs w:val="21"/>
                <w:lang w:val="en-US" w:eastAsia="zh-CN"/>
              </w:rPr>
            </w:pPr>
            <w:r>
              <w:rPr>
                <w:rFonts w:hint="eastAsia"/>
                <w:color w:val="auto"/>
                <w:sz w:val="21"/>
                <w:szCs w:val="21"/>
                <w:lang w:val="en-US" w:eastAsia="zh-CN"/>
              </w:rPr>
              <w:t>含油手套及抹布</w:t>
            </w:r>
          </w:p>
        </w:tc>
        <w:tc>
          <w:tcPr>
            <w:tcW w:w="1500" w:type="dxa"/>
            <w:noWrap w:val="0"/>
            <w:vAlign w:val="center"/>
          </w:tcPr>
          <w:p w14:paraId="36795D17">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109" w:type="dxa"/>
            <w:noWrap w:val="0"/>
            <w:vAlign w:val="center"/>
          </w:tcPr>
          <w:p w14:paraId="7ADA5BCE">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440" w:type="dxa"/>
            <w:noWrap w:val="0"/>
            <w:vAlign w:val="center"/>
          </w:tcPr>
          <w:p w14:paraId="7AECBF07">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560" w:type="dxa"/>
            <w:noWrap w:val="0"/>
            <w:vAlign w:val="center"/>
          </w:tcPr>
          <w:p w14:paraId="22D4D100">
            <w:pPr>
              <w:jc w:val="center"/>
              <w:rPr>
                <w:rFonts w:hint="eastAsia"/>
                <w:color w:val="auto"/>
                <w:sz w:val="21"/>
                <w:szCs w:val="21"/>
                <w:lang w:val="en-US" w:eastAsia="zh-CN"/>
              </w:rPr>
            </w:pPr>
            <w:r>
              <w:rPr>
                <w:rFonts w:hint="eastAsia"/>
                <w:color w:val="auto"/>
                <w:sz w:val="21"/>
                <w:szCs w:val="21"/>
                <w:lang w:val="en-US" w:eastAsia="zh-CN"/>
              </w:rPr>
              <w:t>0.1</w:t>
            </w:r>
            <w:r>
              <w:rPr>
                <w:rFonts w:hint="eastAsia" w:ascii="Times New Roman" w:eastAsia="宋体" w:cs="Times New Roman"/>
                <w:b w:val="0"/>
                <w:bCs w:val="0"/>
                <w:sz w:val="21"/>
                <w:szCs w:val="21"/>
                <w:lang w:val="en-US" w:eastAsia="zh-CN"/>
              </w:rPr>
              <w:t>t/a</w:t>
            </w:r>
          </w:p>
        </w:tc>
        <w:tc>
          <w:tcPr>
            <w:tcW w:w="1315" w:type="dxa"/>
            <w:noWrap w:val="0"/>
            <w:vAlign w:val="center"/>
          </w:tcPr>
          <w:p w14:paraId="17196285">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c>
          <w:tcPr>
            <w:tcW w:w="1711" w:type="dxa"/>
            <w:noWrap w:val="0"/>
            <w:vAlign w:val="center"/>
          </w:tcPr>
          <w:p w14:paraId="1F140E25">
            <w:pPr>
              <w:jc w:val="center"/>
              <w:rPr>
                <w:rFonts w:hint="eastAsia"/>
                <w:color w:val="auto"/>
                <w:sz w:val="21"/>
                <w:szCs w:val="21"/>
                <w:lang w:val="en-US" w:eastAsia="zh-CN"/>
              </w:rPr>
            </w:pPr>
            <w:r>
              <w:rPr>
                <w:rFonts w:hint="eastAsia"/>
                <w:color w:val="auto"/>
                <w:sz w:val="21"/>
                <w:szCs w:val="21"/>
                <w:lang w:val="en-US" w:eastAsia="zh-CN"/>
              </w:rPr>
              <w:t>0.1</w:t>
            </w:r>
            <w:r>
              <w:rPr>
                <w:rFonts w:hint="eastAsia" w:ascii="Times New Roman" w:eastAsia="宋体" w:cs="Times New Roman"/>
                <w:b w:val="0"/>
                <w:bCs w:val="0"/>
                <w:sz w:val="21"/>
                <w:szCs w:val="21"/>
                <w:lang w:val="en-US" w:eastAsia="zh-CN"/>
              </w:rPr>
              <w:t>t/a</w:t>
            </w:r>
          </w:p>
        </w:tc>
        <w:tc>
          <w:tcPr>
            <w:tcW w:w="1176" w:type="dxa"/>
            <w:noWrap w:val="0"/>
            <w:vAlign w:val="center"/>
          </w:tcPr>
          <w:p w14:paraId="30484197">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snapToGrid w:val="0"/>
                <w:color w:val="000000"/>
                <w:kern w:val="21"/>
                <w:sz w:val="21"/>
                <w:szCs w:val="21"/>
                <w:lang w:val="en-US" w:eastAsia="zh-CN"/>
              </w:rPr>
            </w:pPr>
            <w:r>
              <w:rPr>
                <w:rFonts w:hint="eastAsia" w:ascii="Times New Roman" w:hAnsi="Times New Roman" w:eastAsia="宋体"/>
                <w:snapToGrid w:val="0"/>
                <w:color w:val="000000"/>
                <w:kern w:val="21"/>
                <w:sz w:val="21"/>
                <w:szCs w:val="21"/>
                <w:lang w:val="en-US" w:eastAsia="zh-CN"/>
              </w:rPr>
              <w:t>/</w:t>
            </w:r>
          </w:p>
        </w:tc>
      </w:tr>
    </w:tbl>
    <w:p w14:paraId="5EBAFEBA">
      <w:pPr>
        <w:pStyle w:val="47"/>
        <w:keepNext w:val="0"/>
        <w:keepLines w:val="0"/>
        <w:pageBreakBefore w:val="0"/>
        <w:widowControl w:val="0"/>
        <w:kinsoku/>
        <w:wordWrap/>
        <w:overflowPunct/>
        <w:topLinePunct w:val="0"/>
        <w:autoSpaceDE w:val="0"/>
        <w:autoSpaceDN w:val="0"/>
        <w:bidi w:val="0"/>
        <w:adjustRightInd w:val="0"/>
        <w:snapToGrid w:val="0"/>
        <w:spacing w:beforeLines="0" w:afterLines="0" w:line="260" w:lineRule="auto"/>
        <w:ind w:firstLine="482"/>
        <w:jc w:val="left"/>
        <w:textAlignment w:val="auto"/>
        <w:rPr>
          <w:rFonts w:hint="eastAsia" w:ascii="Times New Roman" w:eastAsia="宋体"/>
          <w:snapToGrid w:val="0"/>
          <w:color w:val="000000"/>
          <w:spacing w:val="-6"/>
          <w:kern w:val="21"/>
          <w:szCs w:val="21"/>
          <w:lang w:val="en-US" w:eastAsia="zh-CN"/>
        </w:rPr>
      </w:pPr>
      <w:r>
        <w:rPr>
          <w:rFonts w:ascii="Times New Roman" w:hAnsi="Times New Roman" w:eastAsia="宋体"/>
          <w:snapToGrid w:val="0"/>
          <w:color w:val="000000"/>
          <w:kern w:val="21"/>
          <w:szCs w:val="21"/>
        </w:rPr>
        <w:t>注：</w:t>
      </w:r>
      <w:r>
        <w:rPr>
          <w:rFonts w:ascii="Times New Roman" w:hAnsi="Times New Roman" w:eastAsia="宋体"/>
          <w:snapToGrid w:val="0"/>
          <w:color w:val="000000"/>
          <w:spacing w:val="-16"/>
          <w:kern w:val="21"/>
          <w:szCs w:val="21"/>
        </w:rPr>
        <w:fldChar w:fldCharType="begin"/>
      </w:r>
      <w:r>
        <w:rPr>
          <w:rFonts w:ascii="Times New Roman" w:hAnsi="Times New Roman" w:eastAsia="宋体"/>
          <w:snapToGrid w:val="0"/>
          <w:color w:val="000000"/>
          <w:spacing w:val="-16"/>
          <w:kern w:val="21"/>
          <w:szCs w:val="21"/>
        </w:rPr>
        <w:instrText xml:space="preserve"> = 6 \* GB3 \* MERGEFORMAT </w:instrText>
      </w:r>
      <w:r>
        <w:rPr>
          <w:rFonts w:ascii="Times New Roman" w:hAnsi="Times New Roman" w:eastAsia="宋体"/>
          <w:snapToGrid w:val="0"/>
          <w:color w:val="000000"/>
          <w:spacing w:val="-16"/>
          <w:kern w:val="21"/>
          <w:szCs w:val="21"/>
        </w:rPr>
        <w:fldChar w:fldCharType="separate"/>
      </w:r>
      <w:r>
        <w:rPr>
          <w:rFonts w:ascii="Times New Roman" w:hAnsi="Times New Roman" w:eastAsia="宋体"/>
          <w:szCs w:val="21"/>
        </w:rPr>
        <w:t>⑥</w:t>
      </w:r>
      <w:r>
        <w:rPr>
          <w:rFonts w:ascii="Times New Roman" w:hAnsi="Times New Roman" w:eastAsia="宋体"/>
          <w:snapToGrid w:val="0"/>
          <w:color w:val="000000"/>
          <w:spacing w:val="-16"/>
          <w:kern w:val="21"/>
          <w:szCs w:val="21"/>
        </w:rPr>
        <w:fldChar w:fldCharType="end"/>
      </w:r>
      <w:r>
        <w:rPr>
          <w:rFonts w:ascii="Times New Roman" w:hAnsi="Times New Roman" w:eastAsia="宋体"/>
          <w:snapToGrid w:val="0"/>
          <w:color w:val="000000"/>
          <w:spacing w:val="-16"/>
          <w:kern w:val="21"/>
          <w:szCs w:val="21"/>
        </w:rPr>
        <w:t>=</w:t>
      </w:r>
      <w:r>
        <w:rPr>
          <w:rFonts w:ascii="Times New Roman" w:hAnsi="Times New Roman" w:eastAsia="宋体"/>
          <w:snapToGrid w:val="0"/>
          <w:color w:val="000000"/>
          <w:spacing w:val="-6"/>
          <w:kern w:val="21"/>
          <w:szCs w:val="21"/>
        </w:rPr>
        <w:fldChar w:fldCharType="begin"/>
      </w:r>
      <w:r>
        <w:rPr>
          <w:rFonts w:ascii="Times New Roman" w:hAnsi="Times New Roman" w:eastAsia="宋体"/>
          <w:snapToGrid w:val="0"/>
          <w:color w:val="000000"/>
          <w:spacing w:val="-6"/>
          <w:kern w:val="21"/>
          <w:szCs w:val="21"/>
        </w:rPr>
        <w:instrText xml:space="preserve"> = 1 \* GB3 \* MERGEFORMAT </w:instrText>
      </w:r>
      <w:r>
        <w:rPr>
          <w:rFonts w:ascii="Times New Roman" w:hAnsi="Times New Roman" w:eastAsia="宋体"/>
          <w:snapToGrid w:val="0"/>
          <w:color w:val="000000"/>
          <w:spacing w:val="-6"/>
          <w:kern w:val="21"/>
          <w:szCs w:val="21"/>
        </w:rPr>
        <w:fldChar w:fldCharType="separate"/>
      </w:r>
      <w:r>
        <w:rPr>
          <w:rFonts w:ascii="Times New Roman" w:hAnsi="Times New Roman" w:eastAsia="宋体"/>
          <w:szCs w:val="21"/>
        </w:rPr>
        <w:t>①</w:t>
      </w:r>
      <w:r>
        <w:rPr>
          <w:rFonts w:ascii="Times New Roman" w:hAnsi="Times New Roman" w:eastAsia="宋体"/>
          <w:snapToGrid w:val="0"/>
          <w:color w:val="000000"/>
          <w:spacing w:val="-6"/>
          <w:kern w:val="21"/>
          <w:szCs w:val="21"/>
        </w:rPr>
        <w:fldChar w:fldCharType="end"/>
      </w:r>
      <w:r>
        <w:rPr>
          <w:rFonts w:ascii="Times New Roman" w:hAnsi="Times New Roman" w:eastAsia="宋体"/>
          <w:snapToGrid w:val="0"/>
          <w:color w:val="000000"/>
          <w:spacing w:val="-6"/>
          <w:kern w:val="21"/>
          <w:szCs w:val="21"/>
        </w:rPr>
        <w:t>+</w:t>
      </w:r>
      <w:r>
        <w:rPr>
          <w:rFonts w:ascii="Times New Roman" w:hAnsi="Times New Roman" w:eastAsia="宋体"/>
          <w:snapToGrid w:val="0"/>
          <w:color w:val="000000"/>
          <w:spacing w:val="-6"/>
          <w:kern w:val="21"/>
          <w:szCs w:val="21"/>
        </w:rPr>
        <w:fldChar w:fldCharType="begin"/>
      </w:r>
      <w:r>
        <w:rPr>
          <w:rFonts w:ascii="Times New Roman" w:hAnsi="Times New Roman" w:eastAsia="宋体"/>
          <w:snapToGrid w:val="0"/>
          <w:color w:val="000000"/>
          <w:spacing w:val="-6"/>
          <w:kern w:val="21"/>
          <w:szCs w:val="21"/>
        </w:rPr>
        <w:instrText xml:space="preserve"> = 3 \* GB3 \* MERGEFORMAT </w:instrText>
      </w:r>
      <w:r>
        <w:rPr>
          <w:rFonts w:ascii="Times New Roman" w:hAnsi="Times New Roman" w:eastAsia="宋体"/>
          <w:snapToGrid w:val="0"/>
          <w:color w:val="000000"/>
          <w:spacing w:val="-6"/>
          <w:kern w:val="21"/>
          <w:szCs w:val="21"/>
        </w:rPr>
        <w:fldChar w:fldCharType="separate"/>
      </w:r>
      <w:r>
        <w:rPr>
          <w:rFonts w:ascii="Times New Roman" w:hAnsi="Times New Roman" w:eastAsia="宋体"/>
          <w:szCs w:val="21"/>
        </w:rPr>
        <w:t>③</w:t>
      </w:r>
      <w:r>
        <w:rPr>
          <w:rFonts w:ascii="Times New Roman" w:hAnsi="Times New Roman" w:eastAsia="宋体"/>
          <w:snapToGrid w:val="0"/>
          <w:color w:val="000000"/>
          <w:spacing w:val="-6"/>
          <w:kern w:val="21"/>
          <w:szCs w:val="21"/>
        </w:rPr>
        <w:fldChar w:fldCharType="end"/>
      </w:r>
      <w:r>
        <w:rPr>
          <w:rFonts w:ascii="Times New Roman" w:hAnsi="Times New Roman" w:eastAsia="宋体"/>
          <w:snapToGrid w:val="0"/>
          <w:color w:val="000000"/>
          <w:spacing w:val="-6"/>
          <w:kern w:val="21"/>
          <w:szCs w:val="21"/>
        </w:rPr>
        <w:t>+</w:t>
      </w:r>
      <w:r>
        <w:rPr>
          <w:rFonts w:ascii="Times New Roman" w:hAnsi="Times New Roman" w:eastAsia="宋体"/>
          <w:snapToGrid w:val="0"/>
          <w:color w:val="000000"/>
          <w:spacing w:val="-6"/>
          <w:kern w:val="21"/>
          <w:szCs w:val="21"/>
        </w:rPr>
        <w:fldChar w:fldCharType="begin"/>
      </w:r>
      <w:r>
        <w:rPr>
          <w:rFonts w:ascii="Times New Roman" w:hAnsi="Times New Roman" w:eastAsia="宋体"/>
          <w:snapToGrid w:val="0"/>
          <w:color w:val="000000"/>
          <w:spacing w:val="-6"/>
          <w:kern w:val="21"/>
          <w:szCs w:val="21"/>
        </w:rPr>
        <w:instrText xml:space="preserve"> = 4 \* GB3 \* MERGEFORMAT </w:instrText>
      </w:r>
      <w:r>
        <w:rPr>
          <w:rFonts w:ascii="Times New Roman" w:hAnsi="Times New Roman" w:eastAsia="宋体"/>
          <w:snapToGrid w:val="0"/>
          <w:color w:val="000000"/>
          <w:spacing w:val="-6"/>
          <w:kern w:val="21"/>
          <w:szCs w:val="21"/>
        </w:rPr>
        <w:fldChar w:fldCharType="separate"/>
      </w:r>
      <w:r>
        <w:rPr>
          <w:rFonts w:ascii="Times New Roman" w:hAnsi="Times New Roman" w:eastAsia="宋体"/>
          <w:szCs w:val="21"/>
        </w:rPr>
        <w:t>④</w:t>
      </w:r>
      <w:r>
        <w:rPr>
          <w:rFonts w:ascii="Times New Roman" w:hAnsi="Times New Roman" w:eastAsia="宋体"/>
          <w:snapToGrid w:val="0"/>
          <w:color w:val="000000"/>
          <w:spacing w:val="-6"/>
          <w:kern w:val="21"/>
          <w:szCs w:val="21"/>
        </w:rPr>
        <w:fldChar w:fldCharType="end"/>
      </w:r>
      <w:r>
        <w:rPr>
          <w:rFonts w:ascii="Times New Roman" w:hAnsi="Times New Roman" w:eastAsia="宋体"/>
          <w:snapToGrid w:val="0"/>
          <w:color w:val="000000"/>
          <w:spacing w:val="-6"/>
          <w:kern w:val="21"/>
          <w:szCs w:val="21"/>
        </w:rPr>
        <w:t>-</w:t>
      </w:r>
      <w:r>
        <w:rPr>
          <w:rFonts w:ascii="Times New Roman" w:hAnsi="Times New Roman" w:eastAsia="宋体"/>
          <w:snapToGrid w:val="0"/>
          <w:color w:val="000000"/>
          <w:spacing w:val="-16"/>
          <w:kern w:val="21"/>
          <w:szCs w:val="21"/>
        </w:rPr>
        <w:fldChar w:fldCharType="begin"/>
      </w:r>
      <w:r>
        <w:rPr>
          <w:rFonts w:ascii="Times New Roman" w:hAnsi="Times New Roman" w:eastAsia="宋体"/>
          <w:snapToGrid w:val="0"/>
          <w:color w:val="000000"/>
          <w:spacing w:val="-16"/>
          <w:kern w:val="21"/>
          <w:szCs w:val="21"/>
        </w:rPr>
        <w:instrText xml:space="preserve"> = 5 \* GB3 \* MERGEFORMAT </w:instrText>
      </w:r>
      <w:r>
        <w:rPr>
          <w:rFonts w:ascii="Times New Roman" w:hAnsi="Times New Roman" w:eastAsia="宋体"/>
          <w:snapToGrid w:val="0"/>
          <w:color w:val="000000"/>
          <w:spacing w:val="-16"/>
          <w:kern w:val="21"/>
          <w:szCs w:val="21"/>
        </w:rPr>
        <w:fldChar w:fldCharType="separate"/>
      </w:r>
      <w:r>
        <w:rPr>
          <w:rFonts w:ascii="Times New Roman" w:hAnsi="Times New Roman" w:eastAsia="宋体"/>
          <w:szCs w:val="21"/>
        </w:rPr>
        <w:t>⑤</w:t>
      </w:r>
      <w:r>
        <w:rPr>
          <w:rFonts w:ascii="Times New Roman" w:hAnsi="Times New Roman" w:eastAsia="宋体"/>
          <w:snapToGrid w:val="0"/>
          <w:color w:val="000000"/>
          <w:spacing w:val="-16"/>
          <w:kern w:val="21"/>
          <w:szCs w:val="21"/>
        </w:rPr>
        <w:fldChar w:fldCharType="end"/>
      </w:r>
      <w:r>
        <w:rPr>
          <w:rFonts w:ascii="Times New Roman" w:hAnsi="Times New Roman" w:eastAsia="宋体"/>
          <w:snapToGrid w:val="0"/>
          <w:color w:val="000000"/>
          <w:spacing w:val="-16"/>
          <w:kern w:val="21"/>
          <w:szCs w:val="21"/>
        </w:rPr>
        <w:t>；</w:t>
      </w:r>
      <w:r>
        <w:rPr>
          <w:rFonts w:ascii="Times New Roman" w:hAnsi="Times New Roman" w:eastAsia="宋体"/>
          <w:snapToGrid w:val="0"/>
          <w:color w:val="000000"/>
          <w:spacing w:val="-6"/>
          <w:kern w:val="21"/>
          <w:szCs w:val="21"/>
        </w:rPr>
        <w:fldChar w:fldCharType="begin"/>
      </w:r>
      <w:r>
        <w:rPr>
          <w:rFonts w:ascii="Times New Roman" w:hAnsi="Times New Roman" w:eastAsia="宋体"/>
          <w:snapToGrid w:val="0"/>
          <w:color w:val="000000"/>
          <w:spacing w:val="-6"/>
          <w:kern w:val="21"/>
          <w:szCs w:val="21"/>
        </w:rPr>
        <w:instrText xml:space="preserve"> = 7 \* GB3 \* MERGEFORMAT </w:instrText>
      </w:r>
      <w:r>
        <w:rPr>
          <w:rFonts w:ascii="Times New Roman" w:hAnsi="Times New Roman" w:eastAsia="宋体"/>
          <w:snapToGrid w:val="0"/>
          <w:color w:val="000000"/>
          <w:spacing w:val="-6"/>
          <w:kern w:val="21"/>
          <w:szCs w:val="21"/>
        </w:rPr>
        <w:fldChar w:fldCharType="separate"/>
      </w:r>
      <w:r>
        <w:rPr>
          <w:rFonts w:ascii="Times New Roman" w:hAnsi="Times New Roman" w:eastAsia="宋体"/>
          <w:szCs w:val="21"/>
        </w:rPr>
        <w:t>⑦</w:t>
      </w:r>
      <w:r>
        <w:rPr>
          <w:rFonts w:ascii="Times New Roman" w:hAnsi="Times New Roman" w:eastAsia="宋体"/>
          <w:snapToGrid w:val="0"/>
          <w:color w:val="000000"/>
          <w:spacing w:val="-6"/>
          <w:kern w:val="21"/>
          <w:szCs w:val="21"/>
        </w:rPr>
        <w:fldChar w:fldCharType="end"/>
      </w:r>
      <w:r>
        <w:rPr>
          <w:rFonts w:ascii="Times New Roman" w:hAnsi="Times New Roman" w:eastAsia="宋体"/>
          <w:snapToGrid w:val="0"/>
          <w:color w:val="000000"/>
          <w:spacing w:val="-6"/>
          <w:kern w:val="21"/>
          <w:szCs w:val="21"/>
        </w:rPr>
        <w:t>=</w:t>
      </w:r>
      <w:r>
        <w:rPr>
          <w:rFonts w:ascii="Times New Roman" w:hAnsi="Times New Roman" w:eastAsia="宋体"/>
          <w:snapToGrid w:val="0"/>
          <w:color w:val="000000"/>
          <w:spacing w:val="-16"/>
          <w:kern w:val="21"/>
          <w:szCs w:val="21"/>
        </w:rPr>
        <w:fldChar w:fldCharType="begin"/>
      </w:r>
      <w:r>
        <w:rPr>
          <w:rFonts w:ascii="Times New Roman" w:hAnsi="Times New Roman" w:eastAsia="宋体"/>
          <w:snapToGrid w:val="0"/>
          <w:color w:val="000000"/>
          <w:spacing w:val="-16"/>
          <w:kern w:val="21"/>
          <w:szCs w:val="21"/>
        </w:rPr>
        <w:instrText xml:space="preserve"> = 6 \* GB3 \* MERGEFORMAT </w:instrText>
      </w:r>
      <w:r>
        <w:rPr>
          <w:rFonts w:ascii="Times New Roman" w:hAnsi="Times New Roman" w:eastAsia="宋体"/>
          <w:snapToGrid w:val="0"/>
          <w:color w:val="000000"/>
          <w:spacing w:val="-16"/>
          <w:kern w:val="21"/>
          <w:szCs w:val="21"/>
        </w:rPr>
        <w:fldChar w:fldCharType="separate"/>
      </w:r>
      <w:r>
        <w:rPr>
          <w:rFonts w:ascii="Times New Roman" w:hAnsi="Times New Roman" w:eastAsia="宋体"/>
          <w:szCs w:val="21"/>
        </w:rPr>
        <w:t>⑥</w:t>
      </w:r>
      <w:r>
        <w:rPr>
          <w:rFonts w:ascii="Times New Roman" w:hAnsi="Times New Roman" w:eastAsia="宋体"/>
          <w:snapToGrid w:val="0"/>
          <w:color w:val="000000"/>
          <w:spacing w:val="-16"/>
          <w:kern w:val="21"/>
          <w:szCs w:val="21"/>
        </w:rPr>
        <w:fldChar w:fldCharType="end"/>
      </w:r>
      <w:r>
        <w:rPr>
          <w:rFonts w:ascii="Times New Roman" w:hAnsi="Times New Roman" w:eastAsia="宋体"/>
          <w:snapToGrid w:val="0"/>
          <w:color w:val="000000"/>
          <w:spacing w:val="-16"/>
          <w:kern w:val="21"/>
          <w:szCs w:val="21"/>
        </w:rPr>
        <w:t>-</w:t>
      </w:r>
      <w:r>
        <w:rPr>
          <w:rFonts w:ascii="Times New Roman" w:hAnsi="Times New Roman" w:eastAsia="宋体"/>
          <w:snapToGrid w:val="0"/>
          <w:color w:val="000000"/>
          <w:spacing w:val="-6"/>
          <w:kern w:val="21"/>
          <w:szCs w:val="21"/>
        </w:rPr>
        <w:fldChar w:fldCharType="begin"/>
      </w:r>
      <w:r>
        <w:rPr>
          <w:rFonts w:ascii="Times New Roman" w:hAnsi="Times New Roman" w:eastAsia="宋体"/>
          <w:snapToGrid w:val="0"/>
          <w:color w:val="000000"/>
          <w:spacing w:val="-6"/>
          <w:kern w:val="21"/>
          <w:szCs w:val="21"/>
        </w:rPr>
        <w:instrText xml:space="preserve"> = 1 \* GB3 \* MERGEFORMAT </w:instrText>
      </w:r>
      <w:r>
        <w:rPr>
          <w:rFonts w:ascii="Times New Roman" w:hAnsi="Times New Roman" w:eastAsia="宋体"/>
          <w:snapToGrid w:val="0"/>
          <w:color w:val="000000"/>
          <w:spacing w:val="-6"/>
          <w:kern w:val="21"/>
          <w:szCs w:val="21"/>
        </w:rPr>
        <w:fldChar w:fldCharType="separate"/>
      </w:r>
      <w:r>
        <w:rPr>
          <w:rFonts w:ascii="Times New Roman" w:hAnsi="Times New Roman" w:eastAsia="宋体"/>
          <w:szCs w:val="21"/>
        </w:rPr>
        <w:t>①</w:t>
      </w:r>
      <w:r>
        <w:rPr>
          <w:rFonts w:ascii="Times New Roman" w:hAnsi="Times New Roman" w:eastAsia="宋体"/>
          <w:snapToGrid w:val="0"/>
          <w:color w:val="000000"/>
          <w:spacing w:val="-6"/>
          <w:kern w:val="21"/>
          <w:szCs w:val="21"/>
        </w:rPr>
        <w:fldChar w:fldCharType="end"/>
      </w:r>
    </w:p>
    <w:p w14:paraId="3D9F4AEB">
      <w:pPr>
        <w:pStyle w:val="20"/>
        <w:adjustRightInd w:val="0"/>
        <w:snapToGrid w:val="0"/>
        <w:spacing w:before="0" w:beforeAutospacing="0" w:after="120" w:afterLines="50" w:afterAutospacing="0"/>
        <w:outlineLvl w:val="0"/>
        <w:rPr>
          <w:b/>
          <w:bCs/>
          <w:snapToGrid w:val="0"/>
          <w:sz w:val="30"/>
          <w:szCs w:val="30"/>
        </w:rPr>
      </w:pPr>
      <w:r>
        <w:rPr>
          <w:rFonts w:hint="eastAsia"/>
          <w:b/>
          <w:bCs/>
          <w:snapToGrid w:val="0"/>
          <w:sz w:val="30"/>
          <w:szCs w:val="30"/>
        </w:rPr>
        <w:t>附表二</w:t>
      </w:r>
    </w:p>
    <w:p w14:paraId="556D1E3F">
      <w:pPr>
        <w:pStyle w:val="20"/>
        <w:adjustRightInd w:val="0"/>
        <w:snapToGrid w:val="0"/>
        <w:spacing w:before="0" w:beforeAutospacing="0" w:after="120" w:afterLines="50" w:afterAutospacing="0"/>
        <w:jc w:val="center"/>
        <w:rPr>
          <w:b/>
          <w:bCs/>
          <w:snapToGrid w:val="0"/>
          <w:sz w:val="30"/>
          <w:szCs w:val="30"/>
        </w:rPr>
      </w:pPr>
      <w:r>
        <w:rPr>
          <w:rFonts w:hint="eastAsia"/>
          <w:b/>
          <w:bCs/>
          <w:snapToGrid w:val="0"/>
          <w:sz w:val="30"/>
          <w:szCs w:val="30"/>
        </w:rPr>
        <w:t>建设项目环境影响评价与排污许可联动内容</w:t>
      </w:r>
    </w:p>
    <w:tbl>
      <w:tblPr>
        <w:tblStyle w:val="24"/>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
      <w:tblGrid>
        <w:gridCol w:w="13575"/>
      </w:tblGrid>
      <w:tr w14:paraId="761F2D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6793" w:hRule="atLeast"/>
        </w:trPr>
        <w:tc>
          <w:tcPr>
            <w:tcW w:w="13575" w:type="dxa"/>
            <w:noWrap w:val="0"/>
            <w:vAlign w:val="top"/>
          </w:tcPr>
          <w:p w14:paraId="2541283F">
            <w:pPr>
              <w:pStyle w:val="20"/>
              <w:adjustRightInd w:val="0"/>
              <w:snapToGrid w:val="0"/>
              <w:spacing w:before="0" w:beforeAutospacing="0" w:after="0" w:afterAutospacing="0" w:line="360" w:lineRule="auto"/>
              <w:ind w:firstLine="482" w:firstLineChars="200"/>
              <w:outlineLvl w:val="0"/>
              <w:rPr>
                <w:rFonts w:hint="eastAsia"/>
                <w:b/>
                <w:bCs/>
                <w:snapToGrid w:val="0"/>
                <w:szCs w:val="24"/>
                <w:lang w:val="en-US" w:eastAsia="zh-CN"/>
              </w:rPr>
            </w:pPr>
            <w:r>
              <w:rPr>
                <w:rFonts w:hint="eastAsia"/>
                <w:b/>
                <w:bCs/>
                <w:snapToGrid w:val="0"/>
                <w:szCs w:val="24"/>
                <w:lang w:val="en-US" w:eastAsia="zh-CN"/>
              </w:rPr>
              <w:t>1</w:t>
            </w:r>
            <w:r>
              <w:rPr>
                <w:b/>
                <w:bCs/>
                <w:snapToGrid w:val="0"/>
                <w:szCs w:val="24"/>
                <w:lang w:val="en-US" w:eastAsia="zh-CN"/>
              </w:rPr>
              <w:t>.</w:t>
            </w:r>
            <w:r>
              <w:rPr>
                <w:rFonts w:hint="eastAsia"/>
                <w:b/>
                <w:bCs/>
                <w:snapToGrid w:val="0"/>
                <w:szCs w:val="24"/>
                <w:lang w:val="en-US" w:eastAsia="zh-CN"/>
              </w:rPr>
              <w:t>国民经济行业类别和排污许可管理类别</w:t>
            </w:r>
          </w:p>
          <w:p w14:paraId="1ED87E11">
            <w:pPr>
              <w:pStyle w:val="20"/>
              <w:adjustRightInd w:val="0"/>
              <w:snapToGrid w:val="0"/>
              <w:spacing w:before="0" w:beforeAutospacing="0" w:after="0" w:afterAutospacing="0" w:line="360" w:lineRule="auto"/>
              <w:ind w:firstLine="480" w:firstLineChars="200"/>
              <w:outlineLvl w:val="0"/>
              <w:rPr>
                <w:rFonts w:ascii="Times New Roman" w:hAnsi="Times New Roman" w:eastAsia="宋体" w:cs="Times New Roman"/>
                <w:snapToGrid w:val="0"/>
                <w:szCs w:val="24"/>
                <w:lang w:val="en-US" w:eastAsia="zh-CN"/>
              </w:rPr>
            </w:pPr>
            <w:r>
              <w:rPr>
                <w:rFonts w:ascii="Times New Roman" w:hAnsi="Times New Roman"/>
                <w:snapToGrid w:val="0"/>
                <w:szCs w:val="24"/>
                <w:lang w:val="en-US" w:eastAsia="zh-CN"/>
              </w:rPr>
              <w:t>根据《国民经济分类管理名录》（GB/T4754—2017），本项目属</w:t>
            </w:r>
            <w:r>
              <w:rPr>
                <w:rFonts w:ascii="Times New Roman" w:hAnsi="Times New Roman" w:eastAsia="宋体" w:cs="Times New Roman"/>
                <w:snapToGrid w:val="0"/>
                <w:szCs w:val="24"/>
                <w:lang w:val="en-US" w:eastAsia="zh-CN"/>
              </w:rPr>
              <w:t>于</w:t>
            </w:r>
            <w:r>
              <w:rPr>
                <w:rFonts w:hint="default" w:ascii="Times New Roman" w:hAnsi="Times New Roman" w:cs="Times New Roman"/>
                <w:sz w:val="24"/>
              </w:rPr>
              <w:t>C</w:t>
            </w:r>
            <w:r>
              <w:rPr>
                <w:rFonts w:hint="eastAsia" w:ascii="Times New Roman" w:hAnsi="Times New Roman" w:cs="Times New Roman"/>
                <w:sz w:val="24"/>
                <w:lang w:val="en-US" w:eastAsia="zh-CN"/>
              </w:rPr>
              <w:t>4210 金属废料和碎屑加工</w:t>
            </w:r>
            <w:r>
              <w:rPr>
                <w:rFonts w:ascii="Times New Roman" w:hAnsi="Times New Roman"/>
                <w:snapToGrid w:val="0"/>
                <w:szCs w:val="24"/>
                <w:lang w:val="en-US" w:eastAsia="zh-CN"/>
              </w:rPr>
              <w:t>；根据《固定污染源排污许可分类管理名录（2019年版）》，本项目行业类别属于</w:t>
            </w:r>
            <w:r>
              <w:rPr>
                <w:rFonts w:hint="eastAsia" w:ascii="Times New Roman" w:hAnsi="Times New Roman" w:eastAsia="宋体" w:cs="Times New Roman"/>
                <w:snapToGrid w:val="0"/>
                <w:szCs w:val="24"/>
                <w:lang w:val="en-US" w:eastAsia="zh-CN"/>
              </w:rPr>
              <w:t>“三十七、废弃资源综合利用业42，金属废料和碎屑加工处理421非中废机动车加工处理”</w:t>
            </w:r>
            <w:r>
              <w:rPr>
                <w:rFonts w:ascii="Times New Roman" w:hAnsi="Times New Roman" w:eastAsia="宋体" w:cs="Times New Roman"/>
                <w:snapToGrid w:val="0"/>
                <w:szCs w:val="24"/>
                <w:lang w:val="en-US" w:eastAsia="zh-CN"/>
              </w:rPr>
              <w:t>，排污许可分类属于</w:t>
            </w:r>
            <w:r>
              <w:rPr>
                <w:rFonts w:hint="eastAsia" w:ascii="Times New Roman" w:hAnsi="Times New Roman" w:eastAsia="宋体" w:cs="Times New Roman"/>
                <w:snapToGrid w:val="0"/>
                <w:szCs w:val="24"/>
                <w:lang w:val="en-US" w:eastAsia="zh-CN"/>
              </w:rPr>
              <w:t>简化</w:t>
            </w:r>
            <w:r>
              <w:rPr>
                <w:rFonts w:ascii="Times New Roman" w:hAnsi="Times New Roman" w:eastAsia="宋体" w:cs="Times New Roman"/>
                <w:snapToGrid w:val="0"/>
                <w:szCs w:val="24"/>
                <w:lang w:val="en-US" w:eastAsia="zh-CN"/>
              </w:rPr>
              <w:t>管理。</w:t>
            </w:r>
          </w:p>
          <w:p w14:paraId="4D1937DA">
            <w:pPr>
              <w:adjustRightInd w:val="0"/>
              <w:snapToGrid w:val="0"/>
              <w:spacing w:line="360" w:lineRule="auto"/>
              <w:ind w:firstLine="482" w:firstLineChars="200"/>
              <w:jc w:val="left"/>
              <w:rPr>
                <w:b/>
                <w:bCs/>
                <w:snapToGrid w:val="0"/>
                <w:kern w:val="0"/>
                <w:sz w:val="24"/>
              </w:rPr>
            </w:pPr>
            <w:r>
              <w:rPr>
                <w:b/>
                <w:bCs/>
                <w:snapToGrid w:val="0"/>
                <w:kern w:val="0"/>
                <w:sz w:val="24"/>
              </w:rPr>
              <w:t>2.有关附表</w:t>
            </w:r>
          </w:p>
          <w:p w14:paraId="63A72931">
            <w:pPr>
              <w:jc w:val="center"/>
              <w:rPr>
                <w:b/>
                <w:szCs w:val="21"/>
              </w:rPr>
            </w:pPr>
            <w:r>
              <w:rPr>
                <w:b/>
                <w:szCs w:val="21"/>
              </w:rPr>
              <w:t>表1  建设项目排污许可申请基本信息表</w:t>
            </w:r>
          </w:p>
          <w:tbl>
            <w:tblPr>
              <w:tblStyle w:val="24"/>
              <w:tblW w:w="5000" w:type="pct"/>
              <w:tblInd w:w="10"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614"/>
              <w:gridCol w:w="1214"/>
              <w:gridCol w:w="952"/>
              <w:gridCol w:w="1517"/>
              <w:gridCol w:w="1003"/>
              <w:gridCol w:w="670"/>
              <w:gridCol w:w="1030"/>
              <w:gridCol w:w="1977"/>
              <w:gridCol w:w="1130"/>
              <w:gridCol w:w="2748"/>
              <w:gridCol w:w="596"/>
            </w:tblGrid>
            <w:tr w14:paraId="56A4A374">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228" w:type="pct"/>
                  <w:tcBorders>
                    <w:bottom w:val="single" w:color="000000" w:sz="4" w:space="0"/>
                    <w:right w:val="single" w:color="000000" w:sz="4" w:space="0"/>
                  </w:tcBorders>
                  <w:noWrap w:val="0"/>
                  <w:vAlign w:val="center"/>
                </w:tcPr>
                <w:p w14:paraId="240D2C98">
                  <w:pPr>
                    <w:pStyle w:val="58"/>
                    <w:adjustRightInd w:val="0"/>
                    <w:snapToGrid w:val="0"/>
                    <w:jc w:val="center"/>
                    <w:rPr>
                      <w:b/>
                      <w:sz w:val="21"/>
                      <w:szCs w:val="21"/>
                    </w:rPr>
                  </w:pPr>
                  <w:r>
                    <w:rPr>
                      <w:b/>
                      <w:sz w:val="21"/>
                      <w:szCs w:val="21"/>
                    </w:rPr>
                    <w:t>序号</w:t>
                  </w:r>
                </w:p>
              </w:tc>
              <w:tc>
                <w:tcPr>
                  <w:tcW w:w="451" w:type="pct"/>
                  <w:tcBorders>
                    <w:left w:val="single" w:color="000000" w:sz="4" w:space="0"/>
                    <w:bottom w:val="single" w:color="000000" w:sz="4" w:space="0"/>
                    <w:right w:val="single" w:color="000000" w:sz="4" w:space="0"/>
                  </w:tcBorders>
                  <w:noWrap w:val="0"/>
                  <w:vAlign w:val="center"/>
                </w:tcPr>
                <w:p w14:paraId="66279EFC">
                  <w:pPr>
                    <w:pStyle w:val="58"/>
                    <w:adjustRightInd w:val="0"/>
                    <w:snapToGrid w:val="0"/>
                    <w:jc w:val="center"/>
                    <w:rPr>
                      <w:b/>
                      <w:sz w:val="21"/>
                      <w:szCs w:val="21"/>
                    </w:rPr>
                  </w:pPr>
                  <w:r>
                    <w:rPr>
                      <w:b/>
                      <w:sz w:val="21"/>
                      <w:szCs w:val="21"/>
                    </w:rPr>
                    <w:t>生产线名称</w:t>
                  </w:r>
                </w:p>
              </w:tc>
              <w:tc>
                <w:tcPr>
                  <w:tcW w:w="353" w:type="pct"/>
                  <w:tcBorders>
                    <w:left w:val="single" w:color="000000" w:sz="4" w:space="0"/>
                    <w:bottom w:val="single" w:color="000000" w:sz="4" w:space="0"/>
                    <w:right w:val="single" w:color="000000" w:sz="4" w:space="0"/>
                  </w:tcBorders>
                  <w:noWrap w:val="0"/>
                  <w:vAlign w:val="center"/>
                </w:tcPr>
                <w:p w14:paraId="24EE5501">
                  <w:pPr>
                    <w:pStyle w:val="58"/>
                    <w:adjustRightInd w:val="0"/>
                    <w:snapToGrid w:val="0"/>
                    <w:jc w:val="center"/>
                    <w:rPr>
                      <w:b/>
                      <w:sz w:val="21"/>
                      <w:szCs w:val="21"/>
                    </w:rPr>
                  </w:pPr>
                  <w:r>
                    <w:rPr>
                      <w:b/>
                      <w:sz w:val="21"/>
                      <w:szCs w:val="21"/>
                    </w:rPr>
                    <w:t>生产线</w:t>
                  </w:r>
                </w:p>
                <w:p w14:paraId="323217CD">
                  <w:pPr>
                    <w:pStyle w:val="58"/>
                    <w:adjustRightInd w:val="0"/>
                    <w:snapToGrid w:val="0"/>
                    <w:jc w:val="center"/>
                    <w:rPr>
                      <w:b/>
                      <w:sz w:val="21"/>
                      <w:szCs w:val="21"/>
                    </w:rPr>
                  </w:pPr>
                  <w:r>
                    <w:rPr>
                      <w:b/>
                      <w:sz w:val="21"/>
                      <w:szCs w:val="21"/>
                    </w:rPr>
                    <w:t>编号</w:t>
                  </w:r>
                </w:p>
              </w:tc>
              <w:tc>
                <w:tcPr>
                  <w:tcW w:w="563" w:type="pct"/>
                  <w:tcBorders>
                    <w:left w:val="single" w:color="000000" w:sz="4" w:space="0"/>
                    <w:bottom w:val="single" w:color="000000" w:sz="4" w:space="0"/>
                    <w:right w:val="single" w:color="000000" w:sz="4" w:space="0"/>
                  </w:tcBorders>
                  <w:noWrap w:val="0"/>
                  <w:vAlign w:val="center"/>
                </w:tcPr>
                <w:p w14:paraId="186CE57F">
                  <w:pPr>
                    <w:pStyle w:val="58"/>
                    <w:adjustRightInd w:val="0"/>
                    <w:snapToGrid w:val="0"/>
                    <w:jc w:val="center"/>
                    <w:rPr>
                      <w:b/>
                      <w:sz w:val="21"/>
                      <w:szCs w:val="21"/>
                    </w:rPr>
                  </w:pPr>
                  <w:r>
                    <w:rPr>
                      <w:b/>
                      <w:sz w:val="21"/>
                      <w:szCs w:val="21"/>
                    </w:rPr>
                    <w:t>产品名称</w:t>
                  </w:r>
                </w:p>
              </w:tc>
              <w:tc>
                <w:tcPr>
                  <w:tcW w:w="372" w:type="pct"/>
                  <w:tcBorders>
                    <w:left w:val="single" w:color="000000" w:sz="4" w:space="0"/>
                    <w:bottom w:val="single" w:color="000000" w:sz="4" w:space="0"/>
                    <w:right w:val="single" w:color="000000" w:sz="4" w:space="0"/>
                  </w:tcBorders>
                  <w:noWrap w:val="0"/>
                  <w:vAlign w:val="center"/>
                </w:tcPr>
                <w:p w14:paraId="42C33BA7">
                  <w:pPr>
                    <w:pStyle w:val="58"/>
                    <w:adjustRightInd w:val="0"/>
                    <w:snapToGrid w:val="0"/>
                    <w:jc w:val="center"/>
                    <w:rPr>
                      <w:b/>
                      <w:sz w:val="21"/>
                      <w:szCs w:val="21"/>
                    </w:rPr>
                  </w:pPr>
                  <w:r>
                    <w:rPr>
                      <w:b/>
                      <w:sz w:val="21"/>
                      <w:szCs w:val="21"/>
                    </w:rPr>
                    <w:t>计量单位</w:t>
                  </w:r>
                </w:p>
              </w:tc>
              <w:tc>
                <w:tcPr>
                  <w:tcW w:w="249" w:type="pct"/>
                  <w:tcBorders>
                    <w:left w:val="single" w:color="000000" w:sz="4" w:space="0"/>
                    <w:bottom w:val="single" w:color="000000" w:sz="4" w:space="0"/>
                    <w:right w:val="single" w:color="000000" w:sz="4" w:space="0"/>
                  </w:tcBorders>
                  <w:noWrap w:val="0"/>
                  <w:vAlign w:val="center"/>
                </w:tcPr>
                <w:p w14:paraId="35A89401">
                  <w:pPr>
                    <w:pStyle w:val="58"/>
                    <w:adjustRightInd w:val="0"/>
                    <w:snapToGrid w:val="0"/>
                    <w:jc w:val="center"/>
                    <w:rPr>
                      <w:b/>
                      <w:sz w:val="21"/>
                      <w:szCs w:val="21"/>
                    </w:rPr>
                  </w:pPr>
                  <w:r>
                    <w:rPr>
                      <w:b/>
                      <w:sz w:val="21"/>
                      <w:szCs w:val="21"/>
                    </w:rPr>
                    <w:t>生产</w:t>
                  </w:r>
                </w:p>
                <w:p w14:paraId="035F34A8">
                  <w:pPr>
                    <w:pStyle w:val="58"/>
                    <w:adjustRightInd w:val="0"/>
                    <w:snapToGrid w:val="0"/>
                    <w:jc w:val="center"/>
                    <w:rPr>
                      <w:b/>
                      <w:sz w:val="21"/>
                      <w:szCs w:val="21"/>
                    </w:rPr>
                  </w:pPr>
                  <w:r>
                    <w:rPr>
                      <w:b/>
                      <w:sz w:val="21"/>
                      <w:szCs w:val="21"/>
                    </w:rPr>
                    <w:t>能力</w:t>
                  </w:r>
                </w:p>
              </w:tc>
              <w:tc>
                <w:tcPr>
                  <w:tcW w:w="382" w:type="pct"/>
                  <w:tcBorders>
                    <w:left w:val="single" w:color="000000" w:sz="4" w:space="0"/>
                    <w:bottom w:val="single" w:color="000000" w:sz="4" w:space="0"/>
                    <w:right w:val="single" w:color="000000" w:sz="4" w:space="0"/>
                  </w:tcBorders>
                  <w:noWrap w:val="0"/>
                  <w:vAlign w:val="center"/>
                </w:tcPr>
                <w:p w14:paraId="45696462">
                  <w:pPr>
                    <w:pStyle w:val="58"/>
                    <w:adjustRightInd w:val="0"/>
                    <w:snapToGrid w:val="0"/>
                    <w:jc w:val="center"/>
                    <w:rPr>
                      <w:b/>
                      <w:sz w:val="21"/>
                      <w:szCs w:val="21"/>
                    </w:rPr>
                  </w:pPr>
                  <w:r>
                    <w:rPr>
                      <w:b/>
                      <w:sz w:val="21"/>
                      <w:szCs w:val="21"/>
                    </w:rPr>
                    <w:t>年生产时间（h）</w:t>
                  </w:r>
                </w:p>
              </w:tc>
              <w:tc>
                <w:tcPr>
                  <w:tcW w:w="734" w:type="pct"/>
                  <w:tcBorders>
                    <w:left w:val="single" w:color="000000" w:sz="4" w:space="0"/>
                    <w:bottom w:val="single" w:color="000000" w:sz="4" w:space="0"/>
                    <w:right w:val="single" w:color="000000" w:sz="4" w:space="0"/>
                  </w:tcBorders>
                  <w:noWrap w:val="0"/>
                  <w:vAlign w:val="center"/>
                </w:tcPr>
                <w:p w14:paraId="7A4B66D9">
                  <w:pPr>
                    <w:pStyle w:val="58"/>
                    <w:adjustRightInd w:val="0"/>
                    <w:snapToGrid w:val="0"/>
                    <w:jc w:val="center"/>
                    <w:rPr>
                      <w:b/>
                      <w:sz w:val="21"/>
                      <w:szCs w:val="21"/>
                    </w:rPr>
                  </w:pPr>
                  <w:r>
                    <w:rPr>
                      <w:b/>
                      <w:sz w:val="21"/>
                      <w:szCs w:val="21"/>
                    </w:rPr>
                    <w:t>国民经济</w:t>
                  </w:r>
                </w:p>
                <w:p w14:paraId="4D2CE4B3">
                  <w:pPr>
                    <w:pStyle w:val="58"/>
                    <w:adjustRightInd w:val="0"/>
                    <w:snapToGrid w:val="0"/>
                    <w:jc w:val="center"/>
                    <w:rPr>
                      <w:b/>
                      <w:sz w:val="21"/>
                      <w:szCs w:val="21"/>
                    </w:rPr>
                  </w:pPr>
                  <w:r>
                    <w:rPr>
                      <w:b/>
                      <w:sz w:val="21"/>
                      <w:szCs w:val="21"/>
                    </w:rPr>
                    <w:t>行业类别</w:t>
                  </w:r>
                </w:p>
              </w:tc>
              <w:tc>
                <w:tcPr>
                  <w:tcW w:w="420" w:type="pct"/>
                  <w:tcBorders>
                    <w:left w:val="single" w:color="000000" w:sz="4" w:space="0"/>
                    <w:bottom w:val="single" w:color="000000" w:sz="4" w:space="0"/>
                    <w:right w:val="single" w:color="000000" w:sz="4" w:space="0"/>
                  </w:tcBorders>
                  <w:noWrap w:val="0"/>
                  <w:vAlign w:val="center"/>
                </w:tcPr>
                <w:p w14:paraId="4CDAA5B4">
                  <w:pPr>
                    <w:pStyle w:val="58"/>
                    <w:adjustRightInd w:val="0"/>
                    <w:snapToGrid w:val="0"/>
                    <w:jc w:val="center"/>
                    <w:rPr>
                      <w:b/>
                      <w:sz w:val="21"/>
                      <w:szCs w:val="21"/>
                    </w:rPr>
                  </w:pPr>
                  <w:r>
                    <w:rPr>
                      <w:b/>
                      <w:sz w:val="21"/>
                      <w:szCs w:val="21"/>
                    </w:rPr>
                    <w:t>排污许可</w:t>
                  </w:r>
                </w:p>
                <w:p w14:paraId="1EB9D087">
                  <w:pPr>
                    <w:pStyle w:val="58"/>
                    <w:adjustRightInd w:val="0"/>
                    <w:snapToGrid w:val="0"/>
                    <w:jc w:val="center"/>
                    <w:rPr>
                      <w:b/>
                      <w:sz w:val="21"/>
                      <w:szCs w:val="21"/>
                    </w:rPr>
                  </w:pPr>
                  <w:r>
                    <w:rPr>
                      <w:b/>
                      <w:sz w:val="21"/>
                      <w:szCs w:val="21"/>
                    </w:rPr>
                    <w:t>管理类别</w:t>
                  </w:r>
                </w:p>
              </w:tc>
              <w:tc>
                <w:tcPr>
                  <w:tcW w:w="1021" w:type="pct"/>
                  <w:tcBorders>
                    <w:left w:val="single" w:color="000000" w:sz="4" w:space="0"/>
                    <w:bottom w:val="single" w:color="000000" w:sz="4" w:space="0"/>
                    <w:right w:val="single" w:color="000000" w:sz="4" w:space="0"/>
                  </w:tcBorders>
                  <w:noWrap w:val="0"/>
                  <w:vAlign w:val="center"/>
                </w:tcPr>
                <w:p w14:paraId="23DA7729">
                  <w:pPr>
                    <w:pStyle w:val="58"/>
                    <w:adjustRightInd w:val="0"/>
                    <w:snapToGrid w:val="0"/>
                    <w:jc w:val="center"/>
                    <w:rPr>
                      <w:b/>
                      <w:sz w:val="21"/>
                      <w:szCs w:val="21"/>
                      <w:lang w:eastAsia="zh-CN"/>
                    </w:rPr>
                  </w:pPr>
                  <w:r>
                    <w:rPr>
                      <w:b/>
                      <w:sz w:val="21"/>
                      <w:szCs w:val="21"/>
                      <w:lang w:eastAsia="zh-CN"/>
                    </w:rPr>
                    <w:t>排污许可申请与核发</w:t>
                  </w:r>
                </w:p>
                <w:p w14:paraId="54436501">
                  <w:pPr>
                    <w:pStyle w:val="58"/>
                    <w:adjustRightInd w:val="0"/>
                    <w:snapToGrid w:val="0"/>
                    <w:jc w:val="center"/>
                    <w:rPr>
                      <w:b/>
                      <w:sz w:val="21"/>
                      <w:szCs w:val="21"/>
                      <w:lang w:eastAsia="zh-CN"/>
                    </w:rPr>
                  </w:pPr>
                  <w:r>
                    <w:rPr>
                      <w:b/>
                      <w:sz w:val="21"/>
                      <w:szCs w:val="21"/>
                      <w:lang w:eastAsia="zh-CN"/>
                    </w:rPr>
                    <w:t>技术规范</w:t>
                  </w:r>
                </w:p>
              </w:tc>
              <w:tc>
                <w:tcPr>
                  <w:tcW w:w="221" w:type="pct"/>
                  <w:tcBorders>
                    <w:left w:val="single" w:color="000000" w:sz="4" w:space="0"/>
                    <w:bottom w:val="single" w:color="000000" w:sz="4" w:space="0"/>
                  </w:tcBorders>
                  <w:noWrap w:val="0"/>
                  <w:vAlign w:val="center"/>
                </w:tcPr>
                <w:p w14:paraId="5A685405">
                  <w:pPr>
                    <w:pStyle w:val="58"/>
                    <w:adjustRightInd w:val="0"/>
                    <w:snapToGrid w:val="0"/>
                    <w:jc w:val="center"/>
                    <w:rPr>
                      <w:b/>
                      <w:sz w:val="21"/>
                      <w:szCs w:val="21"/>
                      <w:lang w:eastAsia="zh-CN"/>
                    </w:rPr>
                  </w:pPr>
                  <w:r>
                    <w:rPr>
                      <w:b/>
                      <w:sz w:val="21"/>
                      <w:szCs w:val="21"/>
                      <w:lang w:eastAsia="zh-CN"/>
                    </w:rPr>
                    <w:t>备注</w:t>
                  </w:r>
                </w:p>
              </w:tc>
            </w:tr>
            <w:tr w14:paraId="774533DC">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1" w:hRule="atLeast"/>
              </w:trPr>
              <w:tc>
                <w:tcPr>
                  <w:tcW w:w="228" w:type="pct"/>
                  <w:tcBorders>
                    <w:top w:val="single" w:color="000000" w:sz="4" w:space="0"/>
                    <w:bottom w:val="single" w:color="000000" w:sz="4" w:space="0"/>
                    <w:right w:val="single" w:color="000000" w:sz="4" w:space="0"/>
                  </w:tcBorders>
                  <w:noWrap w:val="0"/>
                  <w:vAlign w:val="center"/>
                </w:tcPr>
                <w:p w14:paraId="242F7C05">
                  <w:pPr>
                    <w:pStyle w:val="58"/>
                    <w:adjustRightInd w:val="0"/>
                    <w:snapToGrid w:val="0"/>
                    <w:jc w:val="center"/>
                    <w:rPr>
                      <w:sz w:val="21"/>
                      <w:szCs w:val="21"/>
                      <w:lang w:eastAsia="zh-CN"/>
                    </w:rPr>
                  </w:pPr>
                  <w:r>
                    <w:rPr>
                      <w:sz w:val="21"/>
                      <w:szCs w:val="21"/>
                      <w:lang w:eastAsia="zh-CN"/>
                    </w:rPr>
                    <w:t>1</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14:paraId="633DE9E0">
                  <w:pPr>
                    <w:pStyle w:val="58"/>
                    <w:adjustRightInd w:val="0"/>
                    <w:snapToGrid w:val="0"/>
                    <w:jc w:val="center"/>
                    <w:rPr>
                      <w:sz w:val="21"/>
                      <w:szCs w:val="21"/>
                      <w:lang w:eastAsia="zh-CN"/>
                    </w:rPr>
                  </w:pPr>
                  <w:r>
                    <w:rPr>
                      <w:rFonts w:hint="eastAsia"/>
                      <w:sz w:val="21"/>
                      <w:szCs w:val="21"/>
                      <w:lang w:val="en-US" w:eastAsia="zh-CN"/>
                    </w:rPr>
                    <w:t>报废机动车拆解</w:t>
                  </w:r>
                  <w:r>
                    <w:rPr>
                      <w:rFonts w:hint="eastAsia"/>
                      <w:sz w:val="21"/>
                      <w:szCs w:val="21"/>
                      <w:lang w:eastAsia="zh-CN"/>
                    </w:rPr>
                    <w:t>生产线</w:t>
                  </w:r>
                </w:p>
              </w:tc>
              <w:tc>
                <w:tcPr>
                  <w:tcW w:w="353" w:type="pct"/>
                  <w:tcBorders>
                    <w:top w:val="single" w:color="000000" w:sz="4" w:space="0"/>
                    <w:left w:val="single" w:color="000000" w:sz="4" w:space="0"/>
                    <w:bottom w:val="single" w:color="000000" w:sz="4" w:space="0"/>
                    <w:right w:val="single" w:color="000000" w:sz="4" w:space="0"/>
                  </w:tcBorders>
                  <w:noWrap w:val="0"/>
                  <w:vAlign w:val="center"/>
                </w:tcPr>
                <w:p w14:paraId="44A0104E">
                  <w:pPr>
                    <w:pStyle w:val="58"/>
                    <w:adjustRightInd w:val="0"/>
                    <w:snapToGrid w:val="0"/>
                    <w:jc w:val="center"/>
                    <w:rPr>
                      <w:rFonts w:hint="default"/>
                      <w:sz w:val="21"/>
                      <w:szCs w:val="21"/>
                      <w:lang w:val="en-US" w:eastAsia="zh-CN"/>
                    </w:rPr>
                  </w:pPr>
                  <w:r>
                    <w:rPr>
                      <w:rFonts w:hint="eastAsia"/>
                      <w:sz w:val="21"/>
                      <w:szCs w:val="21"/>
                      <w:lang w:val="en-US" w:eastAsia="zh-CN"/>
                    </w:rPr>
                    <w:t>SCX001</w:t>
                  </w:r>
                </w:p>
              </w:tc>
              <w:tc>
                <w:tcPr>
                  <w:tcW w:w="563" w:type="pct"/>
                  <w:tcBorders>
                    <w:top w:val="single" w:color="000000" w:sz="4" w:space="0"/>
                    <w:left w:val="single" w:color="000000" w:sz="4" w:space="0"/>
                    <w:bottom w:val="single" w:color="000000" w:sz="4" w:space="0"/>
                    <w:right w:val="single" w:color="000000" w:sz="4" w:space="0"/>
                  </w:tcBorders>
                  <w:noWrap w:val="0"/>
                  <w:vAlign w:val="center"/>
                </w:tcPr>
                <w:p w14:paraId="0C67E25A">
                  <w:pPr>
                    <w:pStyle w:val="58"/>
                    <w:adjustRightInd w:val="0"/>
                    <w:snapToGrid w:val="0"/>
                    <w:jc w:val="center"/>
                    <w:rPr>
                      <w:rFonts w:hint="default"/>
                      <w:sz w:val="21"/>
                      <w:szCs w:val="21"/>
                      <w:lang w:val="en-US" w:eastAsia="zh-CN"/>
                    </w:rPr>
                  </w:pPr>
                  <w:r>
                    <w:rPr>
                      <w:rFonts w:hint="eastAsia"/>
                      <w:sz w:val="21"/>
                      <w:szCs w:val="21"/>
                      <w:lang w:val="en-US" w:eastAsia="zh-CN"/>
                    </w:rPr>
                    <w:t>拆解回用件</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19B16B46">
                  <w:pPr>
                    <w:pStyle w:val="58"/>
                    <w:adjustRightInd w:val="0"/>
                    <w:snapToGrid w:val="0"/>
                    <w:jc w:val="center"/>
                    <w:rPr>
                      <w:sz w:val="21"/>
                      <w:szCs w:val="21"/>
                      <w:lang w:eastAsia="zh-CN"/>
                    </w:rPr>
                  </w:pPr>
                  <w:r>
                    <w:rPr>
                      <w:rFonts w:hint="eastAsia"/>
                      <w:sz w:val="21"/>
                      <w:szCs w:val="21"/>
                      <w:lang w:val="en-US" w:eastAsia="zh-CN"/>
                    </w:rPr>
                    <w:t>吨</w:t>
                  </w:r>
                  <w:r>
                    <w:rPr>
                      <w:rFonts w:hint="eastAsia"/>
                      <w:sz w:val="21"/>
                      <w:szCs w:val="21"/>
                      <w:lang w:eastAsia="zh-CN"/>
                    </w:rPr>
                    <w:t>/年</w:t>
                  </w:r>
                </w:p>
              </w:tc>
              <w:tc>
                <w:tcPr>
                  <w:tcW w:w="249" w:type="pct"/>
                  <w:tcBorders>
                    <w:top w:val="single" w:color="000000" w:sz="4" w:space="0"/>
                    <w:left w:val="single" w:color="000000" w:sz="4" w:space="0"/>
                    <w:bottom w:val="single" w:color="000000" w:sz="4" w:space="0"/>
                    <w:right w:val="single" w:color="000000" w:sz="4" w:space="0"/>
                  </w:tcBorders>
                  <w:noWrap w:val="0"/>
                  <w:vAlign w:val="center"/>
                </w:tcPr>
                <w:p w14:paraId="08ECA5FD">
                  <w:pPr>
                    <w:pStyle w:val="58"/>
                    <w:adjustRightInd w:val="0"/>
                    <w:snapToGrid w:val="0"/>
                    <w:jc w:val="center"/>
                    <w:rPr>
                      <w:rFonts w:hint="default"/>
                      <w:sz w:val="21"/>
                      <w:szCs w:val="21"/>
                      <w:lang w:val="en-US" w:eastAsia="zh-CN"/>
                    </w:rPr>
                  </w:pPr>
                  <w:r>
                    <w:rPr>
                      <w:rFonts w:hint="eastAsia"/>
                      <w:sz w:val="21"/>
                      <w:szCs w:val="21"/>
                      <w:lang w:val="en-US" w:eastAsia="zh-CN"/>
                    </w:rPr>
                    <w:t>24356</w:t>
                  </w:r>
                </w:p>
              </w:tc>
              <w:tc>
                <w:tcPr>
                  <w:tcW w:w="382" w:type="pct"/>
                  <w:tcBorders>
                    <w:top w:val="single" w:color="000000" w:sz="4" w:space="0"/>
                    <w:left w:val="single" w:color="000000" w:sz="4" w:space="0"/>
                    <w:bottom w:val="single" w:color="000000" w:sz="4" w:space="0"/>
                    <w:right w:val="single" w:color="000000" w:sz="4" w:space="0"/>
                  </w:tcBorders>
                  <w:noWrap w:val="0"/>
                  <w:vAlign w:val="center"/>
                </w:tcPr>
                <w:p w14:paraId="7A89CB6A">
                  <w:pPr>
                    <w:pStyle w:val="58"/>
                    <w:adjustRightInd w:val="0"/>
                    <w:snapToGrid w:val="0"/>
                    <w:jc w:val="center"/>
                    <w:rPr>
                      <w:rFonts w:hint="default"/>
                      <w:sz w:val="21"/>
                      <w:szCs w:val="21"/>
                      <w:lang w:val="en-US" w:eastAsia="zh-CN"/>
                    </w:rPr>
                  </w:pPr>
                  <w:r>
                    <w:rPr>
                      <w:rFonts w:hint="eastAsia"/>
                      <w:sz w:val="21"/>
                      <w:szCs w:val="21"/>
                      <w:lang w:val="en-US" w:eastAsia="zh-CN"/>
                    </w:rPr>
                    <w:t>2400</w:t>
                  </w:r>
                </w:p>
              </w:tc>
              <w:tc>
                <w:tcPr>
                  <w:tcW w:w="734" w:type="pct"/>
                  <w:tcBorders>
                    <w:top w:val="single" w:color="000000" w:sz="4" w:space="0"/>
                    <w:left w:val="single" w:color="000000" w:sz="4" w:space="0"/>
                    <w:right w:val="single" w:color="000000" w:sz="4" w:space="0"/>
                  </w:tcBorders>
                  <w:noWrap w:val="0"/>
                  <w:vAlign w:val="center"/>
                </w:tcPr>
                <w:p w14:paraId="7542C4A2">
                  <w:pPr>
                    <w:pStyle w:val="58"/>
                    <w:adjustRightInd w:val="0"/>
                    <w:snapToGrid w:val="0"/>
                    <w:jc w:val="center"/>
                    <w:rPr>
                      <w:rFonts w:hint="default"/>
                      <w:sz w:val="21"/>
                      <w:szCs w:val="21"/>
                      <w:lang w:val="en-US" w:eastAsia="zh-CN"/>
                    </w:rPr>
                  </w:pPr>
                  <w:r>
                    <w:rPr>
                      <w:rFonts w:hint="eastAsia"/>
                      <w:sz w:val="21"/>
                      <w:szCs w:val="21"/>
                      <w:lang w:val="en-US" w:eastAsia="zh-CN"/>
                    </w:rPr>
                    <w:t>C4210 金属废料和碎屑加工</w:t>
                  </w:r>
                </w:p>
              </w:tc>
              <w:tc>
                <w:tcPr>
                  <w:tcW w:w="420" w:type="pct"/>
                  <w:tcBorders>
                    <w:top w:val="single" w:color="000000" w:sz="4" w:space="0"/>
                    <w:left w:val="single" w:color="000000" w:sz="4" w:space="0"/>
                    <w:right w:val="single" w:color="000000" w:sz="4" w:space="0"/>
                  </w:tcBorders>
                  <w:noWrap w:val="0"/>
                  <w:vAlign w:val="center"/>
                </w:tcPr>
                <w:p w14:paraId="3F510C80">
                  <w:pPr>
                    <w:pStyle w:val="58"/>
                    <w:adjustRightInd w:val="0"/>
                    <w:snapToGrid w:val="0"/>
                    <w:jc w:val="center"/>
                    <w:rPr>
                      <w:sz w:val="21"/>
                      <w:szCs w:val="21"/>
                      <w:lang w:eastAsia="zh-CN"/>
                    </w:rPr>
                  </w:pPr>
                  <w:r>
                    <w:rPr>
                      <w:rFonts w:hint="eastAsia"/>
                      <w:sz w:val="21"/>
                      <w:szCs w:val="21"/>
                      <w:lang w:eastAsia="zh-CN"/>
                    </w:rPr>
                    <w:t>简化管理</w:t>
                  </w:r>
                </w:p>
              </w:tc>
              <w:tc>
                <w:tcPr>
                  <w:tcW w:w="1021" w:type="pct"/>
                  <w:tcBorders>
                    <w:top w:val="single" w:color="000000" w:sz="4" w:space="0"/>
                    <w:left w:val="single" w:color="000000" w:sz="4" w:space="0"/>
                    <w:right w:val="single" w:color="000000" w:sz="4" w:space="0"/>
                  </w:tcBorders>
                  <w:noWrap w:val="0"/>
                  <w:vAlign w:val="center"/>
                </w:tcPr>
                <w:p w14:paraId="3E1F90AF">
                  <w:pPr>
                    <w:pStyle w:val="58"/>
                    <w:adjustRightInd w:val="0"/>
                    <w:snapToGrid w:val="0"/>
                    <w:jc w:val="center"/>
                    <w:rPr>
                      <w:sz w:val="21"/>
                      <w:szCs w:val="21"/>
                      <w:lang w:eastAsia="zh-CN"/>
                    </w:rPr>
                  </w:pPr>
                  <w:r>
                    <w:rPr>
                      <w:rFonts w:hint="eastAsia" w:ascii="Times New Roman" w:hAnsi="Times New Roman" w:eastAsia="宋体" w:cs="Times New Roman"/>
                      <w:sz w:val="21"/>
                      <w:szCs w:val="21"/>
                      <w:lang w:val="en-US" w:eastAsia="zh-CN"/>
                    </w:rPr>
                    <w:t>《排污许可证申请与核发技术规范  废弃资源加工工业》（HJ1034-2019）</w:t>
                  </w:r>
                </w:p>
              </w:tc>
              <w:tc>
                <w:tcPr>
                  <w:tcW w:w="221" w:type="pct"/>
                  <w:tcBorders>
                    <w:top w:val="single" w:color="000000" w:sz="4" w:space="0"/>
                    <w:left w:val="single" w:color="000000" w:sz="4" w:space="0"/>
                  </w:tcBorders>
                  <w:noWrap w:val="0"/>
                  <w:vAlign w:val="center"/>
                </w:tcPr>
                <w:p w14:paraId="6C161D71">
                  <w:pPr>
                    <w:pStyle w:val="58"/>
                    <w:adjustRightInd w:val="0"/>
                    <w:snapToGrid w:val="0"/>
                    <w:jc w:val="center"/>
                    <w:rPr>
                      <w:sz w:val="21"/>
                      <w:szCs w:val="21"/>
                      <w:lang w:eastAsia="zh-CN"/>
                    </w:rPr>
                  </w:pPr>
                  <w:r>
                    <w:rPr>
                      <w:rFonts w:hint="eastAsia"/>
                      <w:sz w:val="21"/>
                      <w:szCs w:val="21"/>
                      <w:lang w:eastAsia="zh-CN"/>
                    </w:rPr>
                    <w:t>/</w:t>
                  </w:r>
                </w:p>
              </w:tc>
            </w:tr>
          </w:tbl>
          <w:p w14:paraId="54DA339C">
            <w:pPr>
              <w:spacing w:before="1" w:after="51"/>
              <w:ind w:left="2859" w:right="2729"/>
              <w:jc w:val="center"/>
              <w:rPr>
                <w:b/>
                <w:sz w:val="24"/>
              </w:rPr>
            </w:pPr>
          </w:p>
          <w:p w14:paraId="33F3FD80">
            <w:pPr>
              <w:spacing w:line="240" w:lineRule="atLeast"/>
              <w:ind w:left="2857" w:right="2727"/>
              <w:jc w:val="center"/>
              <w:rPr>
                <w:b/>
                <w:szCs w:val="21"/>
              </w:rPr>
            </w:pPr>
            <w:r>
              <w:rPr>
                <w:b/>
                <w:szCs w:val="21"/>
              </w:rPr>
              <w:t>表2  建设项目主要原辅材料及燃料信息表</w:t>
            </w:r>
          </w:p>
          <w:tbl>
            <w:tblPr>
              <w:tblStyle w:val="24"/>
              <w:tblW w:w="5000" w:type="pct"/>
              <w:tblInd w:w="10"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28" w:type="dxa"/>
                <w:bottom w:w="0" w:type="dxa"/>
                <w:right w:w="28" w:type="dxa"/>
              </w:tblCellMar>
            </w:tblPr>
            <w:tblGrid>
              <w:gridCol w:w="598"/>
              <w:gridCol w:w="713"/>
              <w:gridCol w:w="1348"/>
              <w:gridCol w:w="1528"/>
              <w:gridCol w:w="1802"/>
              <w:gridCol w:w="1307"/>
              <w:gridCol w:w="834"/>
              <w:gridCol w:w="982"/>
              <w:gridCol w:w="1246"/>
              <w:gridCol w:w="1143"/>
              <w:gridCol w:w="995"/>
              <w:gridCol w:w="955"/>
            </w:tblGrid>
            <w:tr w14:paraId="1EB926C2">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28" w:type="dxa"/>
                  <w:bottom w:w="0" w:type="dxa"/>
                  <w:right w:w="28" w:type="dxa"/>
                </w:tblCellMar>
              </w:tblPrEx>
              <w:trPr>
                <w:trHeight w:val="50" w:hRule="atLeast"/>
              </w:trPr>
              <w:tc>
                <w:tcPr>
                  <w:tcW w:w="222" w:type="pct"/>
                  <w:tcBorders>
                    <w:bottom w:val="single" w:color="000000" w:sz="4" w:space="0"/>
                    <w:right w:val="single" w:color="000000" w:sz="4" w:space="0"/>
                  </w:tcBorders>
                  <w:noWrap w:val="0"/>
                  <w:vAlign w:val="center"/>
                </w:tcPr>
                <w:p w14:paraId="082361E7">
                  <w:pPr>
                    <w:pStyle w:val="58"/>
                    <w:adjustRightInd w:val="0"/>
                    <w:jc w:val="center"/>
                    <w:rPr>
                      <w:b/>
                      <w:sz w:val="21"/>
                      <w:szCs w:val="21"/>
                    </w:rPr>
                  </w:pPr>
                  <w:r>
                    <w:rPr>
                      <w:b/>
                      <w:sz w:val="21"/>
                      <w:szCs w:val="21"/>
                    </w:rPr>
                    <w:t>序号</w:t>
                  </w:r>
                </w:p>
              </w:tc>
              <w:tc>
                <w:tcPr>
                  <w:tcW w:w="265" w:type="pct"/>
                  <w:tcBorders>
                    <w:left w:val="single" w:color="000000" w:sz="4" w:space="0"/>
                    <w:bottom w:val="single" w:color="000000" w:sz="4" w:space="0"/>
                    <w:right w:val="single" w:color="000000" w:sz="4" w:space="0"/>
                  </w:tcBorders>
                  <w:noWrap w:val="0"/>
                  <w:vAlign w:val="center"/>
                </w:tcPr>
                <w:p w14:paraId="4CC498BA">
                  <w:pPr>
                    <w:pStyle w:val="58"/>
                    <w:adjustRightInd w:val="0"/>
                    <w:jc w:val="center"/>
                    <w:rPr>
                      <w:b/>
                      <w:sz w:val="21"/>
                      <w:szCs w:val="21"/>
                    </w:rPr>
                  </w:pPr>
                  <w:r>
                    <w:rPr>
                      <w:b/>
                      <w:sz w:val="21"/>
                      <w:szCs w:val="21"/>
                    </w:rPr>
                    <w:t>种类</w:t>
                  </w:r>
                </w:p>
              </w:tc>
              <w:tc>
                <w:tcPr>
                  <w:tcW w:w="501" w:type="pct"/>
                  <w:tcBorders>
                    <w:left w:val="single" w:color="000000" w:sz="4" w:space="0"/>
                    <w:bottom w:val="single" w:color="000000" w:sz="4" w:space="0"/>
                    <w:right w:val="single" w:color="000000" w:sz="4" w:space="0"/>
                  </w:tcBorders>
                  <w:noWrap w:val="0"/>
                  <w:vAlign w:val="center"/>
                </w:tcPr>
                <w:p w14:paraId="41C5D26B">
                  <w:pPr>
                    <w:pStyle w:val="58"/>
                    <w:adjustRightInd w:val="0"/>
                    <w:jc w:val="center"/>
                    <w:rPr>
                      <w:b/>
                      <w:sz w:val="21"/>
                      <w:szCs w:val="21"/>
                    </w:rPr>
                  </w:pPr>
                  <w:r>
                    <w:rPr>
                      <w:b/>
                      <w:sz w:val="21"/>
                      <w:szCs w:val="21"/>
                    </w:rPr>
                    <w:t>名称</w:t>
                  </w:r>
                </w:p>
              </w:tc>
              <w:tc>
                <w:tcPr>
                  <w:tcW w:w="567" w:type="pct"/>
                  <w:tcBorders>
                    <w:left w:val="single" w:color="000000" w:sz="4" w:space="0"/>
                    <w:bottom w:val="single" w:color="000000" w:sz="4" w:space="0"/>
                    <w:right w:val="single" w:color="000000" w:sz="4" w:space="0"/>
                  </w:tcBorders>
                  <w:noWrap w:val="0"/>
                  <w:vAlign w:val="center"/>
                </w:tcPr>
                <w:p w14:paraId="6B634800">
                  <w:pPr>
                    <w:pStyle w:val="58"/>
                    <w:adjustRightInd w:val="0"/>
                    <w:jc w:val="center"/>
                    <w:rPr>
                      <w:b/>
                      <w:sz w:val="21"/>
                      <w:szCs w:val="21"/>
                    </w:rPr>
                  </w:pPr>
                  <w:r>
                    <w:rPr>
                      <w:b/>
                      <w:sz w:val="21"/>
                      <w:szCs w:val="21"/>
                    </w:rPr>
                    <w:t>设计年使用量</w:t>
                  </w:r>
                </w:p>
              </w:tc>
              <w:tc>
                <w:tcPr>
                  <w:tcW w:w="669" w:type="pct"/>
                  <w:tcBorders>
                    <w:left w:val="single" w:color="000000" w:sz="4" w:space="0"/>
                    <w:bottom w:val="single" w:color="000000" w:sz="4" w:space="0"/>
                    <w:right w:val="single" w:color="000000" w:sz="4" w:space="0"/>
                  </w:tcBorders>
                  <w:noWrap w:val="0"/>
                  <w:vAlign w:val="center"/>
                </w:tcPr>
                <w:p w14:paraId="1C502A3F">
                  <w:pPr>
                    <w:pStyle w:val="58"/>
                    <w:adjustRightInd w:val="0"/>
                    <w:jc w:val="center"/>
                    <w:rPr>
                      <w:b/>
                      <w:sz w:val="21"/>
                      <w:szCs w:val="21"/>
                    </w:rPr>
                  </w:pPr>
                  <w:r>
                    <w:rPr>
                      <w:b/>
                      <w:sz w:val="21"/>
                      <w:szCs w:val="21"/>
                    </w:rPr>
                    <w:t>年最大使用量</w:t>
                  </w:r>
                </w:p>
              </w:tc>
              <w:tc>
                <w:tcPr>
                  <w:tcW w:w="485" w:type="pct"/>
                  <w:tcBorders>
                    <w:left w:val="single" w:color="000000" w:sz="4" w:space="0"/>
                    <w:bottom w:val="single" w:color="000000" w:sz="4" w:space="0"/>
                    <w:right w:val="single" w:color="000000" w:sz="4" w:space="0"/>
                  </w:tcBorders>
                  <w:noWrap w:val="0"/>
                  <w:vAlign w:val="center"/>
                </w:tcPr>
                <w:p w14:paraId="5E0D9482">
                  <w:pPr>
                    <w:pStyle w:val="58"/>
                    <w:adjustRightInd w:val="0"/>
                    <w:jc w:val="center"/>
                    <w:rPr>
                      <w:b/>
                      <w:sz w:val="21"/>
                      <w:szCs w:val="21"/>
                    </w:rPr>
                  </w:pPr>
                  <w:r>
                    <w:rPr>
                      <w:b/>
                      <w:sz w:val="21"/>
                      <w:szCs w:val="21"/>
                    </w:rPr>
                    <w:t>计量单位</w:t>
                  </w:r>
                </w:p>
              </w:tc>
              <w:tc>
                <w:tcPr>
                  <w:tcW w:w="675" w:type="pct"/>
                  <w:gridSpan w:val="2"/>
                  <w:tcBorders>
                    <w:left w:val="single" w:color="000000" w:sz="4" w:space="0"/>
                    <w:bottom w:val="single" w:color="000000" w:sz="4" w:space="0"/>
                    <w:right w:val="single" w:color="000000" w:sz="4" w:space="0"/>
                  </w:tcBorders>
                  <w:noWrap w:val="0"/>
                  <w:vAlign w:val="center"/>
                </w:tcPr>
                <w:p w14:paraId="7958ACDC">
                  <w:pPr>
                    <w:pStyle w:val="58"/>
                    <w:adjustRightInd w:val="0"/>
                    <w:jc w:val="center"/>
                    <w:rPr>
                      <w:b/>
                      <w:sz w:val="21"/>
                      <w:szCs w:val="21"/>
                    </w:rPr>
                  </w:pPr>
                  <w:r>
                    <w:rPr>
                      <w:b/>
                      <w:sz w:val="21"/>
                      <w:szCs w:val="21"/>
                    </w:rPr>
                    <w:t>有毒有害成分</w:t>
                  </w:r>
                </w:p>
              </w:tc>
              <w:tc>
                <w:tcPr>
                  <w:tcW w:w="888" w:type="pct"/>
                  <w:gridSpan w:val="2"/>
                  <w:tcBorders>
                    <w:left w:val="single" w:color="000000" w:sz="4" w:space="0"/>
                    <w:bottom w:val="single" w:color="000000" w:sz="4" w:space="0"/>
                    <w:right w:val="single" w:color="000000" w:sz="4" w:space="0"/>
                  </w:tcBorders>
                  <w:noWrap w:val="0"/>
                  <w:vAlign w:val="center"/>
                </w:tcPr>
                <w:p w14:paraId="28DF704C">
                  <w:pPr>
                    <w:pStyle w:val="58"/>
                    <w:adjustRightInd w:val="0"/>
                    <w:jc w:val="center"/>
                    <w:rPr>
                      <w:b/>
                      <w:sz w:val="21"/>
                      <w:szCs w:val="21"/>
                    </w:rPr>
                  </w:pPr>
                  <w:r>
                    <w:rPr>
                      <w:b/>
                      <w:sz w:val="21"/>
                      <w:szCs w:val="21"/>
                    </w:rPr>
                    <w:t>有毒有害成分占比（%）</w:t>
                  </w:r>
                </w:p>
              </w:tc>
              <w:tc>
                <w:tcPr>
                  <w:tcW w:w="724" w:type="pct"/>
                  <w:gridSpan w:val="2"/>
                  <w:tcBorders>
                    <w:left w:val="single" w:color="000000" w:sz="4" w:space="0"/>
                    <w:bottom w:val="single" w:color="000000" w:sz="4" w:space="0"/>
                  </w:tcBorders>
                  <w:noWrap w:val="0"/>
                  <w:vAlign w:val="center"/>
                </w:tcPr>
                <w:p w14:paraId="0EAE7CB2">
                  <w:pPr>
                    <w:pStyle w:val="58"/>
                    <w:adjustRightInd w:val="0"/>
                    <w:jc w:val="center"/>
                    <w:rPr>
                      <w:b/>
                      <w:sz w:val="21"/>
                      <w:szCs w:val="21"/>
                    </w:rPr>
                  </w:pPr>
                  <w:r>
                    <w:rPr>
                      <w:b/>
                      <w:sz w:val="21"/>
                      <w:szCs w:val="21"/>
                    </w:rPr>
                    <w:t>其他信息</w:t>
                  </w:r>
                </w:p>
              </w:tc>
            </w:tr>
            <w:tr w14:paraId="1EE09B4F">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28" w:type="dxa"/>
                  <w:bottom w:w="0" w:type="dxa"/>
                  <w:right w:w="28" w:type="dxa"/>
                </w:tblCellMar>
              </w:tblPrEx>
              <w:tc>
                <w:tcPr>
                  <w:tcW w:w="5000" w:type="pct"/>
                  <w:gridSpan w:val="12"/>
                  <w:tcBorders>
                    <w:top w:val="single" w:color="000000" w:sz="4" w:space="0"/>
                    <w:bottom w:val="single" w:color="000000" w:sz="4" w:space="0"/>
                  </w:tcBorders>
                  <w:noWrap w:val="0"/>
                  <w:vAlign w:val="center"/>
                </w:tcPr>
                <w:p w14:paraId="7C6138FD">
                  <w:pPr>
                    <w:pStyle w:val="58"/>
                    <w:adjustRightInd w:val="0"/>
                    <w:jc w:val="center"/>
                    <w:rPr>
                      <w:sz w:val="21"/>
                      <w:szCs w:val="21"/>
                    </w:rPr>
                  </w:pPr>
                  <w:r>
                    <w:rPr>
                      <w:b/>
                      <w:sz w:val="21"/>
                      <w:szCs w:val="21"/>
                    </w:rPr>
                    <w:t>原料及辅料</w:t>
                  </w:r>
                </w:p>
              </w:tc>
            </w:tr>
            <w:tr w14:paraId="48B56BA9">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28" w:type="dxa"/>
                  <w:bottom w:w="0" w:type="dxa"/>
                  <w:right w:w="28" w:type="dxa"/>
                </w:tblCellMar>
              </w:tblPrEx>
              <w:tc>
                <w:tcPr>
                  <w:tcW w:w="222" w:type="pct"/>
                  <w:tcBorders>
                    <w:top w:val="single" w:color="000000" w:sz="4" w:space="0"/>
                    <w:bottom w:val="single" w:color="000000" w:sz="6" w:space="0"/>
                    <w:right w:val="single" w:color="000000" w:sz="4" w:space="0"/>
                  </w:tcBorders>
                  <w:noWrap w:val="0"/>
                  <w:vAlign w:val="center"/>
                </w:tcPr>
                <w:p w14:paraId="4E90371A">
                  <w:pPr>
                    <w:pStyle w:val="58"/>
                    <w:adjustRightInd w:val="0"/>
                    <w:jc w:val="center"/>
                    <w:rPr>
                      <w:sz w:val="21"/>
                      <w:szCs w:val="21"/>
                      <w:lang w:eastAsia="zh-CN"/>
                    </w:rPr>
                  </w:pPr>
                  <w:r>
                    <w:rPr>
                      <w:sz w:val="21"/>
                      <w:szCs w:val="21"/>
                      <w:lang w:eastAsia="zh-CN"/>
                    </w:rPr>
                    <w:t>1</w:t>
                  </w:r>
                </w:p>
              </w:tc>
              <w:tc>
                <w:tcPr>
                  <w:tcW w:w="265" w:type="pct"/>
                  <w:tcBorders>
                    <w:top w:val="single" w:color="000000" w:sz="4" w:space="0"/>
                    <w:left w:val="single" w:color="000000" w:sz="4" w:space="0"/>
                    <w:bottom w:val="single" w:color="000000" w:sz="6" w:space="0"/>
                    <w:right w:val="single" w:color="000000" w:sz="4" w:space="0"/>
                  </w:tcBorders>
                  <w:noWrap w:val="0"/>
                  <w:vAlign w:val="center"/>
                </w:tcPr>
                <w:p w14:paraId="0362A8DD">
                  <w:pPr>
                    <w:pStyle w:val="58"/>
                    <w:adjustRightInd w:val="0"/>
                    <w:jc w:val="center"/>
                    <w:rPr>
                      <w:sz w:val="21"/>
                      <w:szCs w:val="21"/>
                      <w:lang w:eastAsia="zh-CN"/>
                    </w:rPr>
                  </w:pPr>
                  <w:r>
                    <w:rPr>
                      <w:rFonts w:hint="eastAsia"/>
                      <w:sz w:val="21"/>
                      <w:szCs w:val="21"/>
                      <w:lang w:eastAsia="zh-CN"/>
                    </w:rPr>
                    <w:t>原料</w:t>
                  </w:r>
                </w:p>
              </w:tc>
              <w:tc>
                <w:tcPr>
                  <w:tcW w:w="501" w:type="pct"/>
                  <w:tcBorders>
                    <w:top w:val="single" w:color="000000" w:sz="4" w:space="0"/>
                    <w:left w:val="single" w:color="000000" w:sz="4" w:space="0"/>
                    <w:bottom w:val="single" w:color="000000" w:sz="6" w:space="0"/>
                    <w:right w:val="single" w:color="000000" w:sz="4" w:space="0"/>
                  </w:tcBorders>
                  <w:noWrap w:val="0"/>
                  <w:vAlign w:val="center"/>
                </w:tcPr>
                <w:p w14:paraId="0B553C6E">
                  <w:pPr>
                    <w:pStyle w:val="58"/>
                    <w:adjustRightInd w:val="0"/>
                    <w:jc w:val="center"/>
                    <w:rPr>
                      <w:rFonts w:hint="default"/>
                      <w:sz w:val="21"/>
                      <w:szCs w:val="21"/>
                      <w:lang w:val="en-US" w:eastAsia="zh-CN"/>
                    </w:rPr>
                  </w:pPr>
                  <w:r>
                    <w:rPr>
                      <w:rFonts w:hint="eastAsia"/>
                      <w:sz w:val="21"/>
                      <w:szCs w:val="21"/>
                      <w:lang w:val="en-US" w:eastAsia="zh-CN"/>
                    </w:rPr>
                    <w:t>报废机动车</w:t>
                  </w:r>
                </w:p>
              </w:tc>
              <w:tc>
                <w:tcPr>
                  <w:tcW w:w="567" w:type="pct"/>
                  <w:tcBorders>
                    <w:top w:val="single" w:color="000000" w:sz="4" w:space="0"/>
                    <w:left w:val="single" w:color="000000" w:sz="4" w:space="0"/>
                    <w:bottom w:val="single" w:color="000000" w:sz="6" w:space="0"/>
                    <w:right w:val="single" w:color="000000" w:sz="4" w:space="0"/>
                  </w:tcBorders>
                  <w:noWrap w:val="0"/>
                  <w:vAlign w:val="center"/>
                </w:tcPr>
                <w:p w14:paraId="7540BF37">
                  <w:pPr>
                    <w:pStyle w:val="58"/>
                    <w:adjustRightInd w:val="0"/>
                    <w:jc w:val="center"/>
                    <w:rPr>
                      <w:rFonts w:hint="default"/>
                      <w:sz w:val="21"/>
                      <w:szCs w:val="21"/>
                      <w:lang w:val="en-US" w:eastAsia="zh-CN"/>
                    </w:rPr>
                  </w:pPr>
                  <w:r>
                    <w:rPr>
                      <w:rFonts w:hint="eastAsia"/>
                      <w:sz w:val="21"/>
                      <w:szCs w:val="21"/>
                      <w:lang w:val="en-US" w:eastAsia="zh-CN"/>
                    </w:rPr>
                    <w:t>12000</w:t>
                  </w:r>
                </w:p>
              </w:tc>
              <w:tc>
                <w:tcPr>
                  <w:tcW w:w="669" w:type="pct"/>
                  <w:tcBorders>
                    <w:top w:val="single" w:color="000000" w:sz="4" w:space="0"/>
                    <w:left w:val="single" w:color="000000" w:sz="4" w:space="0"/>
                    <w:bottom w:val="single" w:color="000000" w:sz="6" w:space="0"/>
                    <w:right w:val="single" w:color="000000" w:sz="4" w:space="0"/>
                  </w:tcBorders>
                  <w:noWrap w:val="0"/>
                  <w:vAlign w:val="center"/>
                </w:tcPr>
                <w:p w14:paraId="7A15D881">
                  <w:pPr>
                    <w:pStyle w:val="58"/>
                    <w:adjustRightInd w:val="0"/>
                    <w:jc w:val="center"/>
                    <w:rPr>
                      <w:rFonts w:hint="default"/>
                      <w:sz w:val="21"/>
                      <w:szCs w:val="21"/>
                      <w:lang w:val="en-US" w:eastAsia="zh-CN"/>
                    </w:rPr>
                  </w:pPr>
                  <w:r>
                    <w:rPr>
                      <w:rFonts w:hint="eastAsia"/>
                      <w:sz w:val="21"/>
                      <w:szCs w:val="21"/>
                      <w:lang w:val="en-US" w:eastAsia="zh-CN"/>
                    </w:rPr>
                    <w:t>12000</w:t>
                  </w:r>
                </w:p>
              </w:tc>
              <w:tc>
                <w:tcPr>
                  <w:tcW w:w="485" w:type="pct"/>
                  <w:tcBorders>
                    <w:top w:val="single" w:color="000000" w:sz="4" w:space="0"/>
                    <w:left w:val="single" w:color="000000" w:sz="4" w:space="0"/>
                    <w:bottom w:val="single" w:color="000000" w:sz="6" w:space="0"/>
                    <w:right w:val="single" w:color="000000" w:sz="4" w:space="0"/>
                  </w:tcBorders>
                  <w:noWrap w:val="0"/>
                  <w:vAlign w:val="center"/>
                </w:tcPr>
                <w:p w14:paraId="542E9746">
                  <w:pPr>
                    <w:pStyle w:val="58"/>
                    <w:adjustRightInd w:val="0"/>
                    <w:jc w:val="center"/>
                    <w:rPr>
                      <w:sz w:val="21"/>
                      <w:szCs w:val="21"/>
                      <w:lang w:eastAsia="zh-CN"/>
                    </w:rPr>
                  </w:pPr>
                  <w:r>
                    <w:rPr>
                      <w:rFonts w:hint="eastAsia"/>
                      <w:sz w:val="21"/>
                      <w:szCs w:val="21"/>
                      <w:lang w:val="en-US" w:eastAsia="zh-CN"/>
                    </w:rPr>
                    <w:t>辆</w:t>
                  </w:r>
                  <w:r>
                    <w:rPr>
                      <w:sz w:val="21"/>
                      <w:szCs w:val="21"/>
                      <w:lang w:eastAsia="zh-CN"/>
                    </w:rPr>
                    <w:t>/a</w:t>
                  </w:r>
                </w:p>
              </w:tc>
              <w:tc>
                <w:tcPr>
                  <w:tcW w:w="675" w:type="pct"/>
                  <w:gridSpan w:val="2"/>
                  <w:tcBorders>
                    <w:top w:val="single" w:color="000000" w:sz="4" w:space="0"/>
                    <w:left w:val="single" w:color="000000" w:sz="4" w:space="0"/>
                    <w:bottom w:val="single" w:color="000000" w:sz="6" w:space="0"/>
                    <w:right w:val="single" w:color="000000" w:sz="4" w:space="0"/>
                  </w:tcBorders>
                  <w:noWrap w:val="0"/>
                  <w:vAlign w:val="center"/>
                </w:tcPr>
                <w:p w14:paraId="59A015AE">
                  <w:pPr>
                    <w:pStyle w:val="58"/>
                    <w:adjustRightInd w:val="0"/>
                    <w:jc w:val="center"/>
                    <w:rPr>
                      <w:sz w:val="21"/>
                      <w:szCs w:val="21"/>
                      <w:lang w:eastAsia="zh-CN"/>
                    </w:rPr>
                  </w:pPr>
                  <w:r>
                    <w:rPr>
                      <w:sz w:val="21"/>
                      <w:szCs w:val="21"/>
                      <w:lang w:eastAsia="zh-CN"/>
                    </w:rPr>
                    <w:t>/</w:t>
                  </w:r>
                </w:p>
              </w:tc>
              <w:tc>
                <w:tcPr>
                  <w:tcW w:w="888" w:type="pct"/>
                  <w:gridSpan w:val="2"/>
                  <w:tcBorders>
                    <w:top w:val="single" w:color="000000" w:sz="4" w:space="0"/>
                    <w:left w:val="single" w:color="000000" w:sz="4" w:space="0"/>
                    <w:bottom w:val="single" w:color="000000" w:sz="6" w:space="0"/>
                    <w:right w:val="single" w:color="000000" w:sz="4" w:space="0"/>
                  </w:tcBorders>
                  <w:noWrap w:val="0"/>
                  <w:vAlign w:val="center"/>
                </w:tcPr>
                <w:p w14:paraId="61E7BDAC">
                  <w:pPr>
                    <w:pStyle w:val="58"/>
                    <w:adjustRightInd w:val="0"/>
                    <w:jc w:val="center"/>
                    <w:rPr>
                      <w:sz w:val="21"/>
                      <w:szCs w:val="21"/>
                      <w:lang w:eastAsia="zh-CN"/>
                    </w:rPr>
                  </w:pPr>
                  <w:r>
                    <w:rPr>
                      <w:sz w:val="21"/>
                      <w:szCs w:val="21"/>
                      <w:lang w:eastAsia="zh-CN"/>
                    </w:rPr>
                    <w:t>/</w:t>
                  </w:r>
                </w:p>
              </w:tc>
              <w:tc>
                <w:tcPr>
                  <w:tcW w:w="724" w:type="pct"/>
                  <w:gridSpan w:val="2"/>
                  <w:tcBorders>
                    <w:top w:val="single" w:color="000000" w:sz="4" w:space="0"/>
                    <w:left w:val="single" w:color="000000" w:sz="4" w:space="0"/>
                    <w:bottom w:val="single" w:color="000000" w:sz="6" w:space="0"/>
                  </w:tcBorders>
                  <w:noWrap w:val="0"/>
                  <w:vAlign w:val="center"/>
                </w:tcPr>
                <w:p w14:paraId="7FCCCCE0">
                  <w:pPr>
                    <w:pStyle w:val="58"/>
                    <w:adjustRightInd w:val="0"/>
                    <w:jc w:val="center"/>
                    <w:rPr>
                      <w:sz w:val="21"/>
                      <w:szCs w:val="21"/>
                      <w:lang w:eastAsia="zh-CN"/>
                    </w:rPr>
                  </w:pPr>
                  <w:r>
                    <w:rPr>
                      <w:sz w:val="21"/>
                      <w:szCs w:val="21"/>
                      <w:lang w:eastAsia="zh-CN"/>
                    </w:rPr>
                    <w:t>/</w:t>
                  </w:r>
                </w:p>
              </w:tc>
            </w:tr>
            <w:tr w14:paraId="7B094299">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28" w:type="dxa"/>
                  <w:bottom w:w="0" w:type="dxa"/>
                  <w:right w:w="28" w:type="dxa"/>
                </w:tblCellMar>
              </w:tblPrEx>
              <w:tc>
                <w:tcPr>
                  <w:tcW w:w="222" w:type="pct"/>
                  <w:tcBorders>
                    <w:top w:val="single" w:color="000000" w:sz="4" w:space="0"/>
                    <w:bottom w:val="single" w:color="000000" w:sz="6" w:space="0"/>
                    <w:right w:val="single" w:color="000000" w:sz="4" w:space="0"/>
                  </w:tcBorders>
                  <w:noWrap w:val="0"/>
                  <w:vAlign w:val="center"/>
                </w:tcPr>
                <w:p w14:paraId="65DD30DA">
                  <w:pPr>
                    <w:pStyle w:val="58"/>
                    <w:adjustRightInd w:val="0"/>
                    <w:jc w:val="center"/>
                    <w:rPr>
                      <w:sz w:val="21"/>
                      <w:szCs w:val="21"/>
                      <w:lang w:eastAsia="zh-CN"/>
                    </w:rPr>
                  </w:pPr>
                  <w:r>
                    <w:rPr>
                      <w:rFonts w:hint="eastAsia"/>
                      <w:sz w:val="21"/>
                      <w:szCs w:val="21"/>
                      <w:lang w:eastAsia="zh-CN"/>
                    </w:rPr>
                    <w:t>2</w:t>
                  </w:r>
                </w:p>
              </w:tc>
              <w:tc>
                <w:tcPr>
                  <w:tcW w:w="265" w:type="pct"/>
                  <w:tcBorders>
                    <w:top w:val="single" w:color="000000" w:sz="4" w:space="0"/>
                    <w:left w:val="single" w:color="000000" w:sz="4" w:space="0"/>
                    <w:bottom w:val="single" w:color="000000" w:sz="6" w:space="0"/>
                    <w:right w:val="single" w:color="000000" w:sz="4" w:space="0"/>
                  </w:tcBorders>
                  <w:noWrap w:val="0"/>
                  <w:vAlign w:val="center"/>
                </w:tcPr>
                <w:p w14:paraId="5D122C5C">
                  <w:pPr>
                    <w:pStyle w:val="58"/>
                    <w:adjustRightInd w:val="0"/>
                    <w:jc w:val="center"/>
                    <w:rPr>
                      <w:sz w:val="21"/>
                      <w:szCs w:val="21"/>
                      <w:lang w:eastAsia="zh-CN"/>
                    </w:rPr>
                  </w:pPr>
                  <w:r>
                    <w:rPr>
                      <w:rFonts w:hint="eastAsia"/>
                      <w:sz w:val="21"/>
                      <w:szCs w:val="21"/>
                      <w:lang w:val="en-US" w:eastAsia="zh-CN"/>
                    </w:rPr>
                    <w:t>辅料</w:t>
                  </w:r>
                </w:p>
              </w:tc>
              <w:tc>
                <w:tcPr>
                  <w:tcW w:w="501" w:type="pct"/>
                  <w:tcBorders>
                    <w:top w:val="single" w:color="000000" w:sz="4" w:space="0"/>
                    <w:left w:val="single" w:color="000000" w:sz="4" w:space="0"/>
                    <w:bottom w:val="single" w:color="000000" w:sz="6" w:space="0"/>
                    <w:right w:val="single" w:color="000000" w:sz="4" w:space="0"/>
                  </w:tcBorders>
                  <w:noWrap w:val="0"/>
                  <w:vAlign w:val="center"/>
                </w:tcPr>
                <w:p w14:paraId="0F544B7C">
                  <w:pPr>
                    <w:jc w:val="center"/>
                    <w:rPr>
                      <w:rFonts w:hint="eastAsia" w:eastAsia="宋体"/>
                      <w:szCs w:val="21"/>
                      <w:lang w:val="en-US" w:eastAsia="zh-CN"/>
                    </w:rPr>
                  </w:pPr>
                  <w:r>
                    <w:rPr>
                      <w:rFonts w:hint="eastAsia"/>
                      <w:szCs w:val="21"/>
                      <w:lang w:val="en-US" w:eastAsia="zh-CN"/>
                    </w:rPr>
                    <w:t>乙炔</w:t>
                  </w:r>
                </w:p>
              </w:tc>
              <w:tc>
                <w:tcPr>
                  <w:tcW w:w="567" w:type="pct"/>
                  <w:tcBorders>
                    <w:top w:val="single" w:color="000000" w:sz="4" w:space="0"/>
                    <w:left w:val="single" w:color="000000" w:sz="4" w:space="0"/>
                    <w:bottom w:val="single" w:color="000000" w:sz="6" w:space="0"/>
                    <w:right w:val="single" w:color="000000" w:sz="4" w:space="0"/>
                  </w:tcBorders>
                  <w:noWrap w:val="0"/>
                  <w:vAlign w:val="center"/>
                </w:tcPr>
                <w:p w14:paraId="7F1415F9">
                  <w:pPr>
                    <w:jc w:val="center"/>
                    <w:rPr>
                      <w:rFonts w:hint="default" w:eastAsia="宋体"/>
                      <w:szCs w:val="21"/>
                      <w:lang w:val="en-US" w:eastAsia="zh-CN"/>
                    </w:rPr>
                  </w:pPr>
                  <w:r>
                    <w:rPr>
                      <w:rFonts w:hint="eastAsia" w:eastAsia="宋体"/>
                      <w:szCs w:val="21"/>
                      <w:lang w:val="en-US" w:eastAsia="zh-CN"/>
                    </w:rPr>
                    <w:t>1.8</w:t>
                  </w:r>
                </w:p>
              </w:tc>
              <w:tc>
                <w:tcPr>
                  <w:tcW w:w="669" w:type="pct"/>
                  <w:tcBorders>
                    <w:top w:val="single" w:color="000000" w:sz="4" w:space="0"/>
                    <w:left w:val="single" w:color="000000" w:sz="4" w:space="0"/>
                    <w:bottom w:val="single" w:color="000000" w:sz="6" w:space="0"/>
                    <w:right w:val="single" w:color="000000" w:sz="4" w:space="0"/>
                  </w:tcBorders>
                  <w:noWrap w:val="0"/>
                  <w:vAlign w:val="center"/>
                </w:tcPr>
                <w:p w14:paraId="7A7D032A">
                  <w:pPr>
                    <w:jc w:val="center"/>
                    <w:rPr>
                      <w:rFonts w:hint="default" w:eastAsia="宋体"/>
                      <w:szCs w:val="21"/>
                      <w:lang w:val="en-US" w:eastAsia="zh-CN"/>
                    </w:rPr>
                  </w:pPr>
                  <w:r>
                    <w:rPr>
                      <w:rFonts w:hint="eastAsia"/>
                      <w:lang w:val="en-US" w:eastAsia="zh-CN"/>
                    </w:rPr>
                    <w:t>1.8</w:t>
                  </w:r>
                </w:p>
              </w:tc>
              <w:tc>
                <w:tcPr>
                  <w:tcW w:w="485" w:type="pct"/>
                  <w:tcBorders>
                    <w:top w:val="single" w:color="000000" w:sz="4" w:space="0"/>
                    <w:left w:val="single" w:color="000000" w:sz="4" w:space="0"/>
                    <w:bottom w:val="single" w:color="000000" w:sz="6" w:space="0"/>
                    <w:right w:val="single" w:color="000000" w:sz="4" w:space="0"/>
                  </w:tcBorders>
                  <w:noWrap w:val="0"/>
                  <w:vAlign w:val="center"/>
                </w:tcPr>
                <w:p w14:paraId="1B4CEBB1">
                  <w:pPr>
                    <w:adjustRightInd w:val="0"/>
                    <w:jc w:val="center"/>
                    <w:rPr>
                      <w:szCs w:val="21"/>
                    </w:rPr>
                  </w:pPr>
                  <w:r>
                    <w:rPr>
                      <w:szCs w:val="21"/>
                    </w:rPr>
                    <w:t>t/a</w:t>
                  </w:r>
                </w:p>
              </w:tc>
              <w:tc>
                <w:tcPr>
                  <w:tcW w:w="675" w:type="pct"/>
                  <w:gridSpan w:val="2"/>
                  <w:tcBorders>
                    <w:top w:val="single" w:color="000000" w:sz="4" w:space="0"/>
                    <w:left w:val="single" w:color="000000" w:sz="4" w:space="0"/>
                    <w:bottom w:val="single" w:color="000000" w:sz="6" w:space="0"/>
                    <w:right w:val="single" w:color="000000" w:sz="4" w:space="0"/>
                  </w:tcBorders>
                  <w:noWrap w:val="0"/>
                  <w:vAlign w:val="center"/>
                </w:tcPr>
                <w:p w14:paraId="369957E1">
                  <w:pPr>
                    <w:adjustRightInd w:val="0"/>
                    <w:jc w:val="center"/>
                    <w:rPr>
                      <w:szCs w:val="21"/>
                    </w:rPr>
                  </w:pPr>
                  <w:r>
                    <w:rPr>
                      <w:szCs w:val="21"/>
                    </w:rPr>
                    <w:t>/</w:t>
                  </w:r>
                </w:p>
              </w:tc>
              <w:tc>
                <w:tcPr>
                  <w:tcW w:w="888" w:type="pct"/>
                  <w:gridSpan w:val="2"/>
                  <w:tcBorders>
                    <w:top w:val="single" w:color="000000" w:sz="4" w:space="0"/>
                    <w:left w:val="single" w:color="000000" w:sz="4" w:space="0"/>
                    <w:bottom w:val="single" w:color="000000" w:sz="6" w:space="0"/>
                    <w:right w:val="single" w:color="000000" w:sz="4" w:space="0"/>
                  </w:tcBorders>
                  <w:noWrap w:val="0"/>
                  <w:vAlign w:val="center"/>
                </w:tcPr>
                <w:p w14:paraId="53FA00AE">
                  <w:pPr>
                    <w:adjustRightInd w:val="0"/>
                    <w:jc w:val="center"/>
                    <w:rPr>
                      <w:szCs w:val="21"/>
                    </w:rPr>
                  </w:pPr>
                  <w:r>
                    <w:rPr>
                      <w:szCs w:val="21"/>
                    </w:rPr>
                    <w:t>/</w:t>
                  </w:r>
                </w:p>
              </w:tc>
              <w:tc>
                <w:tcPr>
                  <w:tcW w:w="724" w:type="pct"/>
                  <w:gridSpan w:val="2"/>
                  <w:tcBorders>
                    <w:top w:val="single" w:color="000000" w:sz="4" w:space="0"/>
                    <w:left w:val="single" w:color="000000" w:sz="4" w:space="0"/>
                    <w:bottom w:val="single" w:color="000000" w:sz="6" w:space="0"/>
                  </w:tcBorders>
                  <w:noWrap w:val="0"/>
                  <w:vAlign w:val="center"/>
                </w:tcPr>
                <w:p w14:paraId="2C20B544">
                  <w:pPr>
                    <w:adjustRightInd w:val="0"/>
                    <w:jc w:val="center"/>
                    <w:rPr>
                      <w:szCs w:val="21"/>
                    </w:rPr>
                  </w:pPr>
                  <w:r>
                    <w:rPr>
                      <w:szCs w:val="21"/>
                    </w:rPr>
                    <w:t>/</w:t>
                  </w:r>
                </w:p>
              </w:tc>
            </w:tr>
            <w:tr w14:paraId="4ECF3414">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28" w:type="dxa"/>
                  <w:bottom w:w="0" w:type="dxa"/>
                  <w:right w:w="28" w:type="dxa"/>
                </w:tblCellMar>
              </w:tblPrEx>
              <w:tc>
                <w:tcPr>
                  <w:tcW w:w="222" w:type="pct"/>
                  <w:tcBorders>
                    <w:top w:val="single" w:color="000000" w:sz="4" w:space="0"/>
                    <w:bottom w:val="single" w:color="000000" w:sz="6" w:space="0"/>
                    <w:right w:val="single" w:color="000000" w:sz="4" w:space="0"/>
                  </w:tcBorders>
                  <w:noWrap w:val="0"/>
                  <w:vAlign w:val="center"/>
                </w:tcPr>
                <w:p w14:paraId="5AA52E9F">
                  <w:pPr>
                    <w:pStyle w:val="58"/>
                    <w:adjustRightInd w:val="0"/>
                    <w:jc w:val="center"/>
                    <w:rPr>
                      <w:sz w:val="21"/>
                      <w:szCs w:val="21"/>
                      <w:lang w:eastAsia="zh-CN"/>
                    </w:rPr>
                  </w:pPr>
                  <w:r>
                    <w:rPr>
                      <w:rFonts w:hint="eastAsia"/>
                      <w:sz w:val="21"/>
                      <w:szCs w:val="21"/>
                      <w:lang w:eastAsia="zh-CN"/>
                    </w:rPr>
                    <w:t>3</w:t>
                  </w:r>
                </w:p>
              </w:tc>
              <w:tc>
                <w:tcPr>
                  <w:tcW w:w="265" w:type="pct"/>
                  <w:tcBorders>
                    <w:top w:val="single" w:color="000000" w:sz="4" w:space="0"/>
                    <w:left w:val="single" w:color="000000" w:sz="4" w:space="0"/>
                    <w:bottom w:val="single" w:color="000000" w:sz="6" w:space="0"/>
                    <w:right w:val="single" w:color="000000" w:sz="4" w:space="0"/>
                  </w:tcBorders>
                  <w:noWrap w:val="0"/>
                  <w:vAlign w:val="center"/>
                </w:tcPr>
                <w:p w14:paraId="3A474A6C">
                  <w:pPr>
                    <w:pStyle w:val="58"/>
                    <w:adjustRightInd w:val="0"/>
                    <w:jc w:val="center"/>
                    <w:rPr>
                      <w:sz w:val="21"/>
                      <w:szCs w:val="21"/>
                      <w:lang w:eastAsia="zh-CN"/>
                    </w:rPr>
                  </w:pPr>
                  <w:r>
                    <w:rPr>
                      <w:rFonts w:hint="eastAsia"/>
                      <w:sz w:val="21"/>
                      <w:szCs w:val="21"/>
                      <w:lang w:val="en-US" w:eastAsia="zh-CN"/>
                    </w:rPr>
                    <w:t>辅</w:t>
                  </w:r>
                  <w:r>
                    <w:rPr>
                      <w:rFonts w:hint="eastAsia"/>
                      <w:sz w:val="21"/>
                      <w:szCs w:val="21"/>
                      <w:lang w:eastAsia="zh-CN"/>
                    </w:rPr>
                    <w:t>料</w:t>
                  </w:r>
                </w:p>
              </w:tc>
              <w:tc>
                <w:tcPr>
                  <w:tcW w:w="501" w:type="pct"/>
                  <w:tcBorders>
                    <w:top w:val="single" w:color="000000" w:sz="4" w:space="0"/>
                    <w:left w:val="single" w:color="000000" w:sz="4" w:space="0"/>
                    <w:bottom w:val="single" w:color="000000" w:sz="6" w:space="0"/>
                    <w:right w:val="single" w:color="000000" w:sz="4" w:space="0"/>
                  </w:tcBorders>
                  <w:noWrap w:val="0"/>
                  <w:vAlign w:val="center"/>
                </w:tcPr>
                <w:p w14:paraId="1C3AE613">
                  <w:pPr>
                    <w:jc w:val="center"/>
                    <w:rPr>
                      <w:rFonts w:hint="default" w:eastAsia="宋体"/>
                      <w:szCs w:val="21"/>
                      <w:lang w:val="en-US" w:eastAsia="zh-CN"/>
                    </w:rPr>
                  </w:pPr>
                  <w:r>
                    <w:rPr>
                      <w:rFonts w:hint="eastAsia" w:eastAsia="宋体"/>
                      <w:szCs w:val="21"/>
                      <w:lang w:val="en-US" w:eastAsia="zh-CN"/>
                    </w:rPr>
                    <w:t>氧气</w:t>
                  </w:r>
                </w:p>
              </w:tc>
              <w:tc>
                <w:tcPr>
                  <w:tcW w:w="567" w:type="pct"/>
                  <w:tcBorders>
                    <w:top w:val="single" w:color="000000" w:sz="4" w:space="0"/>
                    <w:left w:val="single" w:color="000000" w:sz="4" w:space="0"/>
                    <w:bottom w:val="single" w:color="000000" w:sz="6" w:space="0"/>
                    <w:right w:val="single" w:color="000000" w:sz="4" w:space="0"/>
                  </w:tcBorders>
                  <w:noWrap w:val="0"/>
                  <w:vAlign w:val="center"/>
                </w:tcPr>
                <w:p w14:paraId="4C1C7783">
                  <w:pPr>
                    <w:jc w:val="center"/>
                    <w:rPr>
                      <w:rFonts w:hint="default" w:eastAsia="宋体"/>
                      <w:szCs w:val="21"/>
                      <w:lang w:val="en-US" w:eastAsia="zh-CN"/>
                    </w:rPr>
                  </w:pPr>
                  <w:r>
                    <w:rPr>
                      <w:rFonts w:hint="eastAsia" w:eastAsia="宋体"/>
                      <w:szCs w:val="21"/>
                      <w:lang w:val="en-US" w:eastAsia="zh-CN"/>
                    </w:rPr>
                    <w:t>3</w:t>
                  </w:r>
                </w:p>
              </w:tc>
              <w:tc>
                <w:tcPr>
                  <w:tcW w:w="669" w:type="pct"/>
                  <w:tcBorders>
                    <w:top w:val="single" w:color="000000" w:sz="4" w:space="0"/>
                    <w:left w:val="single" w:color="000000" w:sz="4" w:space="0"/>
                    <w:bottom w:val="single" w:color="000000" w:sz="6" w:space="0"/>
                    <w:right w:val="single" w:color="000000" w:sz="4" w:space="0"/>
                  </w:tcBorders>
                  <w:noWrap w:val="0"/>
                  <w:vAlign w:val="center"/>
                </w:tcPr>
                <w:p w14:paraId="43D17FCA">
                  <w:pPr>
                    <w:jc w:val="center"/>
                    <w:rPr>
                      <w:rFonts w:hint="default" w:eastAsia="宋体"/>
                      <w:szCs w:val="21"/>
                      <w:lang w:val="en-US" w:eastAsia="zh-CN"/>
                    </w:rPr>
                  </w:pPr>
                  <w:r>
                    <w:rPr>
                      <w:rFonts w:hint="eastAsia" w:eastAsia="宋体"/>
                      <w:szCs w:val="21"/>
                      <w:lang w:val="en-US" w:eastAsia="zh-CN"/>
                    </w:rPr>
                    <w:t>3</w:t>
                  </w:r>
                </w:p>
              </w:tc>
              <w:tc>
                <w:tcPr>
                  <w:tcW w:w="485" w:type="pct"/>
                  <w:tcBorders>
                    <w:top w:val="single" w:color="000000" w:sz="4" w:space="0"/>
                    <w:left w:val="single" w:color="000000" w:sz="4" w:space="0"/>
                    <w:bottom w:val="single" w:color="000000" w:sz="6" w:space="0"/>
                    <w:right w:val="single" w:color="000000" w:sz="4" w:space="0"/>
                  </w:tcBorders>
                  <w:noWrap w:val="0"/>
                  <w:vAlign w:val="center"/>
                </w:tcPr>
                <w:p w14:paraId="7471671D">
                  <w:pPr>
                    <w:adjustRightInd w:val="0"/>
                    <w:jc w:val="center"/>
                    <w:rPr>
                      <w:szCs w:val="21"/>
                    </w:rPr>
                  </w:pPr>
                  <w:r>
                    <w:rPr>
                      <w:szCs w:val="21"/>
                    </w:rPr>
                    <w:t>t/a</w:t>
                  </w:r>
                </w:p>
              </w:tc>
              <w:tc>
                <w:tcPr>
                  <w:tcW w:w="675" w:type="pct"/>
                  <w:gridSpan w:val="2"/>
                  <w:tcBorders>
                    <w:top w:val="single" w:color="000000" w:sz="4" w:space="0"/>
                    <w:left w:val="single" w:color="000000" w:sz="4" w:space="0"/>
                    <w:bottom w:val="single" w:color="000000" w:sz="6" w:space="0"/>
                    <w:right w:val="single" w:color="000000" w:sz="4" w:space="0"/>
                  </w:tcBorders>
                  <w:noWrap w:val="0"/>
                  <w:vAlign w:val="center"/>
                </w:tcPr>
                <w:p w14:paraId="6A528500">
                  <w:pPr>
                    <w:adjustRightInd w:val="0"/>
                    <w:jc w:val="center"/>
                    <w:rPr>
                      <w:szCs w:val="21"/>
                    </w:rPr>
                  </w:pPr>
                  <w:r>
                    <w:rPr>
                      <w:szCs w:val="21"/>
                    </w:rPr>
                    <w:t>/</w:t>
                  </w:r>
                </w:p>
              </w:tc>
              <w:tc>
                <w:tcPr>
                  <w:tcW w:w="888" w:type="pct"/>
                  <w:gridSpan w:val="2"/>
                  <w:tcBorders>
                    <w:top w:val="single" w:color="000000" w:sz="4" w:space="0"/>
                    <w:left w:val="single" w:color="000000" w:sz="4" w:space="0"/>
                    <w:bottom w:val="single" w:color="000000" w:sz="6" w:space="0"/>
                    <w:right w:val="single" w:color="000000" w:sz="4" w:space="0"/>
                  </w:tcBorders>
                  <w:noWrap w:val="0"/>
                  <w:vAlign w:val="center"/>
                </w:tcPr>
                <w:p w14:paraId="00899901">
                  <w:pPr>
                    <w:adjustRightInd w:val="0"/>
                    <w:jc w:val="center"/>
                    <w:rPr>
                      <w:szCs w:val="21"/>
                    </w:rPr>
                  </w:pPr>
                  <w:r>
                    <w:rPr>
                      <w:szCs w:val="21"/>
                    </w:rPr>
                    <w:t>/</w:t>
                  </w:r>
                </w:p>
              </w:tc>
              <w:tc>
                <w:tcPr>
                  <w:tcW w:w="724" w:type="pct"/>
                  <w:gridSpan w:val="2"/>
                  <w:tcBorders>
                    <w:top w:val="single" w:color="000000" w:sz="4" w:space="0"/>
                    <w:left w:val="single" w:color="000000" w:sz="4" w:space="0"/>
                    <w:bottom w:val="single" w:color="000000" w:sz="6" w:space="0"/>
                  </w:tcBorders>
                  <w:noWrap w:val="0"/>
                  <w:vAlign w:val="center"/>
                </w:tcPr>
                <w:p w14:paraId="787CF4D8">
                  <w:pPr>
                    <w:adjustRightInd w:val="0"/>
                    <w:jc w:val="center"/>
                    <w:rPr>
                      <w:szCs w:val="21"/>
                    </w:rPr>
                  </w:pPr>
                  <w:r>
                    <w:rPr>
                      <w:szCs w:val="21"/>
                    </w:rPr>
                    <w:t>/</w:t>
                  </w:r>
                </w:p>
              </w:tc>
            </w:tr>
            <w:tr w14:paraId="2198671B">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28" w:type="dxa"/>
                  <w:bottom w:w="0" w:type="dxa"/>
                  <w:right w:w="28" w:type="dxa"/>
                </w:tblCellMar>
              </w:tblPrEx>
              <w:tc>
                <w:tcPr>
                  <w:tcW w:w="5000" w:type="pct"/>
                  <w:gridSpan w:val="12"/>
                  <w:tcBorders>
                    <w:top w:val="single" w:color="000000" w:sz="6" w:space="0"/>
                    <w:bottom w:val="single" w:color="000000" w:sz="6" w:space="0"/>
                  </w:tcBorders>
                  <w:noWrap w:val="0"/>
                  <w:vAlign w:val="center"/>
                </w:tcPr>
                <w:p w14:paraId="2C135403">
                  <w:pPr>
                    <w:pStyle w:val="58"/>
                    <w:adjustRightInd w:val="0"/>
                    <w:jc w:val="center"/>
                    <w:rPr>
                      <w:sz w:val="21"/>
                      <w:szCs w:val="21"/>
                    </w:rPr>
                  </w:pPr>
                  <w:r>
                    <w:rPr>
                      <w:b/>
                      <w:sz w:val="21"/>
                      <w:szCs w:val="21"/>
                    </w:rPr>
                    <w:t>燃料</w:t>
                  </w:r>
                </w:p>
              </w:tc>
            </w:tr>
            <w:tr w14:paraId="2F06AE49">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28" w:type="dxa"/>
                  <w:bottom w:w="0" w:type="dxa"/>
                  <w:right w:w="28" w:type="dxa"/>
                </w:tblCellMar>
              </w:tblPrEx>
              <w:tc>
                <w:tcPr>
                  <w:tcW w:w="222" w:type="pct"/>
                  <w:tcBorders>
                    <w:top w:val="single" w:color="000000" w:sz="6" w:space="0"/>
                    <w:bottom w:val="single" w:color="000000" w:sz="6" w:space="0"/>
                    <w:right w:val="single" w:color="000000" w:sz="4" w:space="0"/>
                  </w:tcBorders>
                  <w:noWrap w:val="0"/>
                  <w:vAlign w:val="center"/>
                </w:tcPr>
                <w:p w14:paraId="5D210E8C">
                  <w:pPr>
                    <w:pStyle w:val="58"/>
                    <w:adjustRightInd w:val="0"/>
                    <w:jc w:val="center"/>
                    <w:rPr>
                      <w:b/>
                      <w:sz w:val="21"/>
                      <w:szCs w:val="21"/>
                    </w:rPr>
                  </w:pPr>
                  <w:r>
                    <w:rPr>
                      <w:b/>
                      <w:sz w:val="21"/>
                      <w:szCs w:val="21"/>
                    </w:rPr>
                    <w:t>序号</w:t>
                  </w:r>
                </w:p>
              </w:tc>
              <w:tc>
                <w:tcPr>
                  <w:tcW w:w="265" w:type="pct"/>
                  <w:tcBorders>
                    <w:top w:val="single" w:color="000000" w:sz="6" w:space="0"/>
                    <w:left w:val="single" w:color="000000" w:sz="4" w:space="0"/>
                    <w:bottom w:val="single" w:color="000000" w:sz="6" w:space="0"/>
                    <w:right w:val="single" w:color="000000" w:sz="4" w:space="0"/>
                  </w:tcBorders>
                  <w:noWrap w:val="0"/>
                  <w:vAlign w:val="center"/>
                </w:tcPr>
                <w:p w14:paraId="62FF8685">
                  <w:pPr>
                    <w:pStyle w:val="58"/>
                    <w:adjustRightInd w:val="0"/>
                    <w:jc w:val="center"/>
                    <w:rPr>
                      <w:b/>
                      <w:sz w:val="21"/>
                      <w:szCs w:val="21"/>
                    </w:rPr>
                  </w:pPr>
                  <w:r>
                    <w:rPr>
                      <w:b/>
                      <w:sz w:val="21"/>
                      <w:szCs w:val="21"/>
                    </w:rPr>
                    <w:t>燃料名称</w:t>
                  </w:r>
                </w:p>
              </w:tc>
              <w:tc>
                <w:tcPr>
                  <w:tcW w:w="501" w:type="pct"/>
                  <w:tcBorders>
                    <w:top w:val="single" w:color="000000" w:sz="6" w:space="0"/>
                    <w:left w:val="single" w:color="000000" w:sz="4" w:space="0"/>
                    <w:bottom w:val="single" w:color="000000" w:sz="6" w:space="0"/>
                    <w:right w:val="single" w:color="000000" w:sz="4" w:space="0"/>
                  </w:tcBorders>
                  <w:noWrap w:val="0"/>
                  <w:vAlign w:val="center"/>
                </w:tcPr>
                <w:p w14:paraId="2808DC6C">
                  <w:pPr>
                    <w:pStyle w:val="58"/>
                    <w:adjustRightInd w:val="0"/>
                    <w:jc w:val="center"/>
                    <w:rPr>
                      <w:b/>
                      <w:sz w:val="21"/>
                      <w:szCs w:val="21"/>
                    </w:rPr>
                  </w:pPr>
                  <w:r>
                    <w:rPr>
                      <w:b/>
                      <w:sz w:val="21"/>
                      <w:szCs w:val="21"/>
                    </w:rPr>
                    <w:t>设计年使用量</w:t>
                  </w:r>
                </w:p>
              </w:tc>
              <w:tc>
                <w:tcPr>
                  <w:tcW w:w="567" w:type="pct"/>
                  <w:tcBorders>
                    <w:top w:val="single" w:color="000000" w:sz="6" w:space="0"/>
                    <w:left w:val="single" w:color="000000" w:sz="4" w:space="0"/>
                    <w:bottom w:val="single" w:color="000000" w:sz="6" w:space="0"/>
                    <w:right w:val="single" w:color="000000" w:sz="4" w:space="0"/>
                  </w:tcBorders>
                  <w:noWrap w:val="0"/>
                  <w:vAlign w:val="center"/>
                </w:tcPr>
                <w:p w14:paraId="30631328">
                  <w:pPr>
                    <w:pStyle w:val="58"/>
                    <w:adjustRightInd w:val="0"/>
                    <w:jc w:val="center"/>
                    <w:rPr>
                      <w:b/>
                      <w:sz w:val="21"/>
                      <w:szCs w:val="21"/>
                    </w:rPr>
                  </w:pPr>
                  <w:r>
                    <w:rPr>
                      <w:b/>
                      <w:sz w:val="21"/>
                      <w:szCs w:val="21"/>
                    </w:rPr>
                    <w:t>年最大使用量</w:t>
                  </w:r>
                </w:p>
              </w:tc>
              <w:tc>
                <w:tcPr>
                  <w:tcW w:w="669" w:type="pct"/>
                  <w:tcBorders>
                    <w:top w:val="single" w:color="000000" w:sz="6" w:space="0"/>
                    <w:left w:val="single" w:color="000000" w:sz="4" w:space="0"/>
                    <w:bottom w:val="single" w:color="000000" w:sz="6" w:space="0"/>
                    <w:right w:val="single" w:color="000000" w:sz="4" w:space="0"/>
                  </w:tcBorders>
                  <w:noWrap w:val="0"/>
                  <w:vAlign w:val="center"/>
                </w:tcPr>
                <w:p w14:paraId="3AC7029A">
                  <w:pPr>
                    <w:pStyle w:val="58"/>
                    <w:adjustRightInd w:val="0"/>
                    <w:jc w:val="center"/>
                    <w:rPr>
                      <w:b/>
                      <w:sz w:val="21"/>
                      <w:szCs w:val="21"/>
                    </w:rPr>
                  </w:pPr>
                  <w:r>
                    <w:rPr>
                      <w:b/>
                      <w:sz w:val="21"/>
                      <w:szCs w:val="21"/>
                    </w:rPr>
                    <w:t>计量单位</w:t>
                  </w:r>
                </w:p>
              </w:tc>
              <w:tc>
                <w:tcPr>
                  <w:tcW w:w="485" w:type="pct"/>
                  <w:tcBorders>
                    <w:top w:val="single" w:color="000000" w:sz="6" w:space="0"/>
                    <w:left w:val="single" w:color="000000" w:sz="4" w:space="0"/>
                    <w:bottom w:val="single" w:color="000000" w:sz="6" w:space="0"/>
                    <w:right w:val="single" w:color="000000" w:sz="4" w:space="0"/>
                  </w:tcBorders>
                  <w:noWrap w:val="0"/>
                  <w:vAlign w:val="center"/>
                </w:tcPr>
                <w:p w14:paraId="39427EF4">
                  <w:pPr>
                    <w:pStyle w:val="58"/>
                    <w:adjustRightInd w:val="0"/>
                    <w:jc w:val="center"/>
                    <w:rPr>
                      <w:b/>
                      <w:sz w:val="21"/>
                      <w:szCs w:val="21"/>
                    </w:rPr>
                  </w:pPr>
                  <w:r>
                    <w:rPr>
                      <w:b/>
                      <w:w w:val="95"/>
                      <w:sz w:val="21"/>
                      <w:szCs w:val="21"/>
                    </w:rPr>
                    <w:t>灰分(%)</w:t>
                  </w:r>
                </w:p>
              </w:tc>
              <w:tc>
                <w:tcPr>
                  <w:tcW w:w="310" w:type="pct"/>
                  <w:tcBorders>
                    <w:top w:val="single" w:color="000000" w:sz="6" w:space="0"/>
                    <w:left w:val="single" w:color="000000" w:sz="4" w:space="0"/>
                    <w:bottom w:val="single" w:color="000000" w:sz="6" w:space="0"/>
                    <w:right w:val="single" w:color="000000" w:sz="6" w:space="0"/>
                  </w:tcBorders>
                  <w:noWrap w:val="0"/>
                  <w:vAlign w:val="center"/>
                </w:tcPr>
                <w:p w14:paraId="4D41C914">
                  <w:pPr>
                    <w:pStyle w:val="58"/>
                    <w:adjustRightInd w:val="0"/>
                    <w:jc w:val="center"/>
                    <w:rPr>
                      <w:b/>
                      <w:sz w:val="21"/>
                      <w:szCs w:val="21"/>
                    </w:rPr>
                  </w:pPr>
                  <w:r>
                    <w:rPr>
                      <w:b/>
                      <w:sz w:val="21"/>
                      <w:szCs w:val="21"/>
                    </w:rPr>
                    <w:t>硫分(%)</w:t>
                  </w:r>
                </w:p>
              </w:tc>
              <w:tc>
                <w:tcPr>
                  <w:tcW w:w="365" w:type="pct"/>
                  <w:tcBorders>
                    <w:top w:val="single" w:color="000000" w:sz="6" w:space="0"/>
                    <w:left w:val="single" w:color="000000" w:sz="6" w:space="0"/>
                    <w:bottom w:val="single" w:color="000000" w:sz="6" w:space="0"/>
                    <w:right w:val="single" w:color="000000" w:sz="4" w:space="0"/>
                  </w:tcBorders>
                  <w:noWrap w:val="0"/>
                  <w:vAlign w:val="center"/>
                </w:tcPr>
                <w:p w14:paraId="6DF0F0CB">
                  <w:pPr>
                    <w:pStyle w:val="58"/>
                    <w:adjustRightInd w:val="0"/>
                    <w:jc w:val="center"/>
                    <w:rPr>
                      <w:b/>
                      <w:sz w:val="21"/>
                      <w:szCs w:val="21"/>
                    </w:rPr>
                  </w:pPr>
                  <w:r>
                    <w:rPr>
                      <w:b/>
                      <w:sz w:val="21"/>
                      <w:szCs w:val="21"/>
                    </w:rPr>
                    <w:t>挥发分(%)</w:t>
                  </w:r>
                </w:p>
              </w:tc>
              <w:tc>
                <w:tcPr>
                  <w:tcW w:w="463" w:type="pct"/>
                  <w:tcBorders>
                    <w:top w:val="single" w:color="000000" w:sz="6" w:space="0"/>
                    <w:left w:val="single" w:color="000000" w:sz="4" w:space="0"/>
                    <w:bottom w:val="single" w:color="000000" w:sz="6" w:space="0"/>
                    <w:right w:val="single" w:color="000000" w:sz="6" w:space="0"/>
                  </w:tcBorders>
                  <w:noWrap w:val="0"/>
                  <w:vAlign w:val="center"/>
                </w:tcPr>
                <w:p w14:paraId="127B8D89">
                  <w:pPr>
                    <w:pStyle w:val="58"/>
                    <w:adjustRightInd w:val="0"/>
                    <w:jc w:val="center"/>
                    <w:rPr>
                      <w:b/>
                      <w:sz w:val="21"/>
                      <w:szCs w:val="21"/>
                      <w:lang w:eastAsia="zh-CN"/>
                    </w:rPr>
                  </w:pPr>
                  <w:r>
                    <w:rPr>
                      <w:b/>
                      <w:sz w:val="21"/>
                      <w:szCs w:val="21"/>
                      <w:lang w:eastAsia="zh-CN"/>
                    </w:rPr>
                    <w:t>低位热值</w:t>
                  </w:r>
                </w:p>
                <w:p w14:paraId="5BF7EC06">
                  <w:pPr>
                    <w:pStyle w:val="58"/>
                    <w:adjustRightInd w:val="0"/>
                    <w:jc w:val="center"/>
                    <w:rPr>
                      <w:b/>
                      <w:sz w:val="21"/>
                      <w:szCs w:val="21"/>
                      <w:lang w:eastAsia="zh-CN"/>
                    </w:rPr>
                  </w:pPr>
                  <w:r>
                    <w:rPr>
                      <w:b/>
                      <w:spacing w:val="-89"/>
                      <w:sz w:val="21"/>
                      <w:szCs w:val="21"/>
                      <w:lang w:eastAsia="zh-CN"/>
                    </w:rPr>
                    <w:t>（</w:t>
                  </w:r>
                  <w:r>
                    <w:rPr>
                      <w:b/>
                      <w:sz w:val="21"/>
                      <w:szCs w:val="21"/>
                      <w:lang w:eastAsia="zh-CN"/>
                    </w:rPr>
                    <w:t>（</w:t>
                  </w:r>
                  <w:r>
                    <w:rPr>
                      <w:b/>
                      <w:w w:val="99"/>
                      <w:sz w:val="21"/>
                      <w:szCs w:val="21"/>
                      <w:lang w:eastAsia="zh-CN"/>
                    </w:rPr>
                    <w:t>MJ/m³</w:t>
                  </w:r>
                  <w:r>
                    <w:rPr>
                      <w:b/>
                      <w:spacing w:val="-92"/>
                      <w:sz w:val="21"/>
                      <w:szCs w:val="21"/>
                      <w:lang w:eastAsia="zh-CN"/>
                    </w:rPr>
                    <w:t>）</w:t>
                  </w:r>
                  <w:r>
                    <w:rPr>
                      <w:b/>
                      <w:sz w:val="21"/>
                      <w:szCs w:val="21"/>
                      <w:lang w:eastAsia="zh-CN"/>
                    </w:rPr>
                    <w:t>）</w:t>
                  </w:r>
                </w:p>
              </w:tc>
              <w:tc>
                <w:tcPr>
                  <w:tcW w:w="424" w:type="pct"/>
                  <w:tcBorders>
                    <w:top w:val="single" w:color="000000" w:sz="6" w:space="0"/>
                    <w:left w:val="single" w:color="000000" w:sz="6" w:space="0"/>
                    <w:bottom w:val="single" w:color="000000" w:sz="6" w:space="0"/>
                    <w:right w:val="single" w:color="000000" w:sz="4" w:space="0"/>
                  </w:tcBorders>
                  <w:noWrap w:val="0"/>
                  <w:vAlign w:val="center"/>
                </w:tcPr>
                <w:p w14:paraId="5F7B7E65">
                  <w:pPr>
                    <w:pStyle w:val="58"/>
                    <w:adjustRightInd w:val="0"/>
                    <w:jc w:val="center"/>
                    <w:rPr>
                      <w:b/>
                      <w:sz w:val="21"/>
                      <w:szCs w:val="21"/>
                    </w:rPr>
                  </w:pPr>
                  <w:r>
                    <w:rPr>
                      <w:b/>
                      <w:sz w:val="21"/>
                      <w:szCs w:val="21"/>
                    </w:rPr>
                    <w:t>有毒有害物质</w:t>
                  </w:r>
                </w:p>
              </w:tc>
              <w:tc>
                <w:tcPr>
                  <w:tcW w:w="369" w:type="pct"/>
                  <w:tcBorders>
                    <w:top w:val="single" w:color="000000" w:sz="6" w:space="0"/>
                    <w:left w:val="single" w:color="000000" w:sz="4" w:space="0"/>
                    <w:bottom w:val="single" w:color="000000" w:sz="6" w:space="0"/>
                    <w:right w:val="single" w:color="000000" w:sz="6" w:space="0"/>
                  </w:tcBorders>
                  <w:noWrap w:val="0"/>
                  <w:vAlign w:val="center"/>
                </w:tcPr>
                <w:p w14:paraId="35B2AA53">
                  <w:pPr>
                    <w:pStyle w:val="58"/>
                    <w:adjustRightInd w:val="0"/>
                    <w:jc w:val="center"/>
                    <w:rPr>
                      <w:b/>
                      <w:sz w:val="21"/>
                      <w:szCs w:val="21"/>
                      <w:lang w:eastAsia="zh-CN"/>
                    </w:rPr>
                  </w:pPr>
                  <w:r>
                    <w:rPr>
                      <w:b/>
                      <w:sz w:val="21"/>
                      <w:szCs w:val="21"/>
                      <w:lang w:eastAsia="zh-CN"/>
                    </w:rPr>
                    <w:t>有毒有害物质成分占比(%)</w:t>
                  </w:r>
                </w:p>
              </w:tc>
              <w:tc>
                <w:tcPr>
                  <w:tcW w:w="354" w:type="pct"/>
                  <w:tcBorders>
                    <w:top w:val="single" w:color="000000" w:sz="6" w:space="0"/>
                    <w:left w:val="single" w:color="000000" w:sz="6" w:space="0"/>
                    <w:bottom w:val="single" w:color="000000" w:sz="6" w:space="0"/>
                  </w:tcBorders>
                  <w:noWrap w:val="0"/>
                  <w:vAlign w:val="center"/>
                </w:tcPr>
                <w:p w14:paraId="136BE9E4">
                  <w:pPr>
                    <w:pStyle w:val="58"/>
                    <w:adjustRightInd w:val="0"/>
                    <w:jc w:val="center"/>
                    <w:rPr>
                      <w:b/>
                      <w:sz w:val="21"/>
                      <w:szCs w:val="21"/>
                      <w:lang w:eastAsia="zh-CN"/>
                    </w:rPr>
                  </w:pPr>
                  <w:r>
                    <w:rPr>
                      <w:b/>
                      <w:sz w:val="21"/>
                      <w:szCs w:val="21"/>
                      <w:lang w:eastAsia="zh-CN"/>
                    </w:rPr>
                    <w:t>其他信息</w:t>
                  </w:r>
                </w:p>
              </w:tc>
            </w:tr>
            <w:tr w14:paraId="4E2EF2F1">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28" w:type="dxa"/>
                  <w:bottom w:w="0" w:type="dxa"/>
                  <w:right w:w="28" w:type="dxa"/>
                </w:tblCellMar>
              </w:tblPrEx>
              <w:tc>
                <w:tcPr>
                  <w:tcW w:w="222" w:type="pct"/>
                  <w:tcBorders>
                    <w:top w:val="single" w:color="000000" w:sz="6" w:space="0"/>
                    <w:right w:val="single" w:color="000000" w:sz="4" w:space="0"/>
                  </w:tcBorders>
                  <w:noWrap w:val="0"/>
                  <w:vAlign w:val="center"/>
                </w:tcPr>
                <w:p w14:paraId="6E797A52">
                  <w:pPr>
                    <w:pStyle w:val="58"/>
                    <w:adjustRightInd w:val="0"/>
                    <w:jc w:val="center"/>
                    <w:rPr>
                      <w:sz w:val="21"/>
                      <w:szCs w:val="21"/>
                      <w:lang w:eastAsia="zh-CN"/>
                    </w:rPr>
                  </w:pPr>
                </w:p>
              </w:tc>
              <w:tc>
                <w:tcPr>
                  <w:tcW w:w="265" w:type="pct"/>
                  <w:tcBorders>
                    <w:top w:val="single" w:color="000000" w:sz="6" w:space="0"/>
                    <w:left w:val="single" w:color="000000" w:sz="4" w:space="0"/>
                    <w:right w:val="single" w:color="000000" w:sz="4" w:space="0"/>
                  </w:tcBorders>
                  <w:noWrap w:val="0"/>
                  <w:vAlign w:val="center"/>
                </w:tcPr>
                <w:p w14:paraId="55625FA8">
                  <w:pPr>
                    <w:pStyle w:val="58"/>
                    <w:adjustRightInd w:val="0"/>
                    <w:jc w:val="center"/>
                    <w:rPr>
                      <w:sz w:val="21"/>
                      <w:szCs w:val="21"/>
                      <w:lang w:eastAsia="zh-CN"/>
                    </w:rPr>
                  </w:pPr>
                  <w:r>
                    <w:rPr>
                      <w:sz w:val="21"/>
                      <w:szCs w:val="21"/>
                      <w:lang w:eastAsia="zh-CN"/>
                    </w:rPr>
                    <w:t>/</w:t>
                  </w:r>
                </w:p>
              </w:tc>
              <w:tc>
                <w:tcPr>
                  <w:tcW w:w="501" w:type="pct"/>
                  <w:tcBorders>
                    <w:top w:val="single" w:color="000000" w:sz="6" w:space="0"/>
                    <w:left w:val="single" w:color="000000" w:sz="4" w:space="0"/>
                    <w:right w:val="single" w:color="000000" w:sz="4" w:space="0"/>
                  </w:tcBorders>
                  <w:noWrap w:val="0"/>
                  <w:vAlign w:val="center"/>
                </w:tcPr>
                <w:p w14:paraId="0FB16B0A">
                  <w:pPr>
                    <w:pStyle w:val="58"/>
                    <w:adjustRightInd w:val="0"/>
                    <w:jc w:val="center"/>
                    <w:rPr>
                      <w:sz w:val="21"/>
                      <w:szCs w:val="21"/>
                      <w:lang w:eastAsia="zh-CN"/>
                    </w:rPr>
                  </w:pPr>
                  <w:r>
                    <w:rPr>
                      <w:sz w:val="21"/>
                      <w:szCs w:val="21"/>
                      <w:lang w:eastAsia="zh-CN"/>
                    </w:rPr>
                    <w:t>/</w:t>
                  </w:r>
                </w:p>
              </w:tc>
              <w:tc>
                <w:tcPr>
                  <w:tcW w:w="567" w:type="pct"/>
                  <w:tcBorders>
                    <w:top w:val="single" w:color="000000" w:sz="6" w:space="0"/>
                    <w:left w:val="single" w:color="000000" w:sz="4" w:space="0"/>
                    <w:right w:val="single" w:color="000000" w:sz="4" w:space="0"/>
                  </w:tcBorders>
                  <w:noWrap w:val="0"/>
                  <w:vAlign w:val="center"/>
                </w:tcPr>
                <w:p w14:paraId="09B43C88">
                  <w:pPr>
                    <w:pStyle w:val="58"/>
                    <w:adjustRightInd w:val="0"/>
                    <w:jc w:val="center"/>
                    <w:rPr>
                      <w:sz w:val="21"/>
                      <w:szCs w:val="21"/>
                      <w:lang w:eastAsia="zh-CN"/>
                    </w:rPr>
                  </w:pPr>
                  <w:r>
                    <w:rPr>
                      <w:sz w:val="21"/>
                      <w:szCs w:val="21"/>
                      <w:lang w:eastAsia="zh-CN"/>
                    </w:rPr>
                    <w:t>/</w:t>
                  </w:r>
                </w:p>
              </w:tc>
              <w:tc>
                <w:tcPr>
                  <w:tcW w:w="669" w:type="pct"/>
                  <w:tcBorders>
                    <w:top w:val="single" w:color="000000" w:sz="6" w:space="0"/>
                    <w:left w:val="single" w:color="000000" w:sz="4" w:space="0"/>
                    <w:right w:val="single" w:color="000000" w:sz="4" w:space="0"/>
                  </w:tcBorders>
                  <w:noWrap w:val="0"/>
                  <w:vAlign w:val="center"/>
                </w:tcPr>
                <w:p w14:paraId="755B5A26">
                  <w:pPr>
                    <w:pStyle w:val="58"/>
                    <w:adjustRightInd w:val="0"/>
                    <w:jc w:val="center"/>
                    <w:rPr>
                      <w:sz w:val="21"/>
                      <w:szCs w:val="21"/>
                      <w:lang w:eastAsia="zh-CN"/>
                    </w:rPr>
                  </w:pPr>
                  <w:r>
                    <w:rPr>
                      <w:sz w:val="21"/>
                      <w:szCs w:val="21"/>
                      <w:lang w:eastAsia="zh-CN"/>
                    </w:rPr>
                    <w:t>/</w:t>
                  </w:r>
                </w:p>
              </w:tc>
              <w:tc>
                <w:tcPr>
                  <w:tcW w:w="485" w:type="pct"/>
                  <w:tcBorders>
                    <w:top w:val="single" w:color="000000" w:sz="6" w:space="0"/>
                    <w:left w:val="single" w:color="000000" w:sz="4" w:space="0"/>
                    <w:right w:val="single" w:color="000000" w:sz="4" w:space="0"/>
                  </w:tcBorders>
                  <w:noWrap w:val="0"/>
                  <w:vAlign w:val="center"/>
                </w:tcPr>
                <w:p w14:paraId="31B35AD7">
                  <w:pPr>
                    <w:pStyle w:val="58"/>
                    <w:adjustRightInd w:val="0"/>
                    <w:jc w:val="center"/>
                    <w:rPr>
                      <w:sz w:val="21"/>
                      <w:szCs w:val="21"/>
                      <w:lang w:eastAsia="zh-CN"/>
                    </w:rPr>
                  </w:pPr>
                  <w:r>
                    <w:rPr>
                      <w:sz w:val="21"/>
                      <w:szCs w:val="21"/>
                      <w:lang w:eastAsia="zh-CN"/>
                    </w:rPr>
                    <w:t>/</w:t>
                  </w:r>
                </w:p>
              </w:tc>
              <w:tc>
                <w:tcPr>
                  <w:tcW w:w="310" w:type="pct"/>
                  <w:tcBorders>
                    <w:top w:val="single" w:color="000000" w:sz="6" w:space="0"/>
                    <w:left w:val="single" w:color="000000" w:sz="4" w:space="0"/>
                    <w:right w:val="single" w:color="000000" w:sz="6" w:space="0"/>
                  </w:tcBorders>
                  <w:noWrap w:val="0"/>
                  <w:vAlign w:val="center"/>
                </w:tcPr>
                <w:p w14:paraId="1BA80FB0">
                  <w:pPr>
                    <w:pStyle w:val="58"/>
                    <w:adjustRightInd w:val="0"/>
                    <w:jc w:val="center"/>
                    <w:rPr>
                      <w:sz w:val="21"/>
                      <w:szCs w:val="21"/>
                      <w:lang w:eastAsia="zh-CN"/>
                    </w:rPr>
                  </w:pPr>
                  <w:r>
                    <w:rPr>
                      <w:sz w:val="21"/>
                      <w:szCs w:val="21"/>
                      <w:lang w:eastAsia="zh-CN"/>
                    </w:rPr>
                    <w:t>/</w:t>
                  </w:r>
                </w:p>
              </w:tc>
              <w:tc>
                <w:tcPr>
                  <w:tcW w:w="365" w:type="pct"/>
                  <w:tcBorders>
                    <w:top w:val="single" w:color="000000" w:sz="6" w:space="0"/>
                    <w:left w:val="single" w:color="000000" w:sz="6" w:space="0"/>
                    <w:right w:val="single" w:color="000000" w:sz="4" w:space="0"/>
                  </w:tcBorders>
                  <w:noWrap w:val="0"/>
                  <w:vAlign w:val="center"/>
                </w:tcPr>
                <w:p w14:paraId="4FB87B47">
                  <w:pPr>
                    <w:pStyle w:val="58"/>
                    <w:adjustRightInd w:val="0"/>
                    <w:jc w:val="center"/>
                    <w:rPr>
                      <w:sz w:val="21"/>
                      <w:szCs w:val="21"/>
                      <w:lang w:eastAsia="zh-CN"/>
                    </w:rPr>
                  </w:pPr>
                  <w:r>
                    <w:rPr>
                      <w:sz w:val="21"/>
                      <w:szCs w:val="21"/>
                      <w:lang w:eastAsia="zh-CN"/>
                    </w:rPr>
                    <w:t>/</w:t>
                  </w:r>
                </w:p>
              </w:tc>
              <w:tc>
                <w:tcPr>
                  <w:tcW w:w="463" w:type="pct"/>
                  <w:tcBorders>
                    <w:top w:val="single" w:color="000000" w:sz="6" w:space="0"/>
                    <w:left w:val="single" w:color="000000" w:sz="4" w:space="0"/>
                    <w:right w:val="single" w:color="000000" w:sz="6" w:space="0"/>
                  </w:tcBorders>
                  <w:noWrap w:val="0"/>
                  <w:vAlign w:val="center"/>
                </w:tcPr>
                <w:p w14:paraId="16D5C8E0">
                  <w:pPr>
                    <w:pStyle w:val="58"/>
                    <w:adjustRightInd w:val="0"/>
                    <w:jc w:val="center"/>
                    <w:rPr>
                      <w:sz w:val="21"/>
                      <w:szCs w:val="21"/>
                      <w:lang w:eastAsia="zh-CN"/>
                    </w:rPr>
                  </w:pPr>
                  <w:r>
                    <w:rPr>
                      <w:sz w:val="21"/>
                      <w:szCs w:val="21"/>
                      <w:lang w:eastAsia="zh-CN"/>
                    </w:rPr>
                    <w:t>/</w:t>
                  </w:r>
                </w:p>
              </w:tc>
              <w:tc>
                <w:tcPr>
                  <w:tcW w:w="424" w:type="pct"/>
                  <w:tcBorders>
                    <w:top w:val="single" w:color="000000" w:sz="6" w:space="0"/>
                    <w:left w:val="single" w:color="000000" w:sz="6" w:space="0"/>
                    <w:right w:val="single" w:color="000000" w:sz="4" w:space="0"/>
                  </w:tcBorders>
                  <w:noWrap w:val="0"/>
                  <w:vAlign w:val="center"/>
                </w:tcPr>
                <w:p w14:paraId="1A7B0398">
                  <w:pPr>
                    <w:pStyle w:val="58"/>
                    <w:adjustRightInd w:val="0"/>
                    <w:jc w:val="center"/>
                    <w:rPr>
                      <w:sz w:val="21"/>
                      <w:szCs w:val="21"/>
                      <w:lang w:eastAsia="zh-CN"/>
                    </w:rPr>
                  </w:pPr>
                  <w:r>
                    <w:rPr>
                      <w:sz w:val="21"/>
                      <w:szCs w:val="21"/>
                      <w:lang w:eastAsia="zh-CN"/>
                    </w:rPr>
                    <w:t>/</w:t>
                  </w:r>
                </w:p>
              </w:tc>
              <w:tc>
                <w:tcPr>
                  <w:tcW w:w="369" w:type="pct"/>
                  <w:tcBorders>
                    <w:top w:val="single" w:color="000000" w:sz="6" w:space="0"/>
                    <w:left w:val="single" w:color="000000" w:sz="4" w:space="0"/>
                    <w:right w:val="single" w:color="000000" w:sz="6" w:space="0"/>
                  </w:tcBorders>
                  <w:noWrap w:val="0"/>
                  <w:vAlign w:val="center"/>
                </w:tcPr>
                <w:p w14:paraId="301B9A59">
                  <w:pPr>
                    <w:pStyle w:val="58"/>
                    <w:adjustRightInd w:val="0"/>
                    <w:jc w:val="center"/>
                    <w:rPr>
                      <w:sz w:val="21"/>
                      <w:szCs w:val="21"/>
                      <w:lang w:eastAsia="zh-CN"/>
                    </w:rPr>
                  </w:pPr>
                  <w:r>
                    <w:rPr>
                      <w:sz w:val="21"/>
                      <w:szCs w:val="21"/>
                      <w:lang w:eastAsia="zh-CN"/>
                    </w:rPr>
                    <w:t>/</w:t>
                  </w:r>
                </w:p>
              </w:tc>
              <w:tc>
                <w:tcPr>
                  <w:tcW w:w="354" w:type="pct"/>
                  <w:tcBorders>
                    <w:top w:val="single" w:color="000000" w:sz="6" w:space="0"/>
                    <w:left w:val="single" w:color="000000" w:sz="6" w:space="0"/>
                  </w:tcBorders>
                  <w:noWrap w:val="0"/>
                  <w:vAlign w:val="center"/>
                </w:tcPr>
                <w:p w14:paraId="4AB07B0D">
                  <w:pPr>
                    <w:pStyle w:val="58"/>
                    <w:adjustRightInd w:val="0"/>
                    <w:jc w:val="center"/>
                    <w:rPr>
                      <w:sz w:val="21"/>
                      <w:szCs w:val="21"/>
                      <w:lang w:eastAsia="zh-CN"/>
                    </w:rPr>
                  </w:pPr>
                  <w:r>
                    <w:rPr>
                      <w:sz w:val="21"/>
                      <w:szCs w:val="21"/>
                      <w:lang w:eastAsia="zh-CN"/>
                    </w:rPr>
                    <w:t>/</w:t>
                  </w:r>
                </w:p>
              </w:tc>
            </w:tr>
          </w:tbl>
          <w:p w14:paraId="38D2E7CF">
            <w:pPr>
              <w:spacing w:line="240" w:lineRule="atLeast"/>
              <w:ind w:left="2857" w:right="2727"/>
              <w:jc w:val="center"/>
              <w:rPr>
                <w:b/>
                <w:szCs w:val="21"/>
              </w:rPr>
            </w:pPr>
          </w:p>
          <w:p w14:paraId="062F80F7">
            <w:pPr>
              <w:spacing w:line="240" w:lineRule="atLeast"/>
              <w:ind w:left="2857" w:right="2727"/>
              <w:jc w:val="center"/>
              <w:rPr>
                <w:rFonts w:ascii="宋体" w:hAnsi="宋体"/>
                <w:b/>
                <w:sz w:val="24"/>
              </w:rPr>
            </w:pPr>
            <w:r>
              <w:rPr>
                <w:b/>
                <w:szCs w:val="21"/>
              </w:rPr>
              <w:t>表3  建设项目主要生产设施一览表</w:t>
            </w:r>
          </w:p>
          <w:tbl>
            <w:tblPr>
              <w:tblStyle w:val="24"/>
              <w:tblW w:w="5000" w:type="pct"/>
              <w:tblInd w:w="10"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343"/>
              <w:gridCol w:w="865"/>
              <w:gridCol w:w="1459"/>
              <w:gridCol w:w="1292"/>
              <w:gridCol w:w="2018"/>
              <w:gridCol w:w="1635"/>
              <w:gridCol w:w="975"/>
              <w:gridCol w:w="720"/>
              <w:gridCol w:w="900"/>
              <w:gridCol w:w="1030"/>
              <w:gridCol w:w="1291"/>
              <w:gridCol w:w="923"/>
            </w:tblGrid>
            <w:tr w14:paraId="133121F9">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27" w:type="pct"/>
                  <w:vMerge w:val="restart"/>
                  <w:tcBorders>
                    <w:bottom w:val="single" w:color="000000" w:sz="4" w:space="0"/>
                    <w:right w:val="single" w:color="000000" w:sz="4" w:space="0"/>
                  </w:tcBorders>
                  <w:noWrap w:val="0"/>
                  <w:vAlign w:val="center"/>
                </w:tcPr>
                <w:p w14:paraId="5A327B7D">
                  <w:pPr>
                    <w:pStyle w:val="58"/>
                    <w:adjustRightInd w:val="0"/>
                    <w:snapToGrid w:val="0"/>
                    <w:jc w:val="center"/>
                    <w:rPr>
                      <w:b/>
                      <w:sz w:val="21"/>
                      <w:szCs w:val="21"/>
                    </w:rPr>
                  </w:pPr>
                  <w:r>
                    <w:rPr>
                      <w:rFonts w:hint="eastAsia"/>
                      <w:b/>
                      <w:sz w:val="21"/>
                      <w:szCs w:val="21"/>
                    </w:rPr>
                    <w:t>序号</w:t>
                  </w:r>
                </w:p>
              </w:tc>
              <w:tc>
                <w:tcPr>
                  <w:tcW w:w="321" w:type="pct"/>
                  <w:vMerge w:val="restart"/>
                  <w:tcBorders>
                    <w:left w:val="single" w:color="000000" w:sz="4" w:space="0"/>
                    <w:bottom w:val="single" w:color="000000" w:sz="4" w:space="0"/>
                    <w:right w:val="single" w:color="000000" w:sz="4" w:space="0"/>
                  </w:tcBorders>
                  <w:noWrap w:val="0"/>
                  <w:vAlign w:val="center"/>
                </w:tcPr>
                <w:p w14:paraId="346DF3AA">
                  <w:pPr>
                    <w:pStyle w:val="58"/>
                    <w:adjustRightInd w:val="0"/>
                    <w:snapToGrid w:val="0"/>
                    <w:jc w:val="center"/>
                    <w:rPr>
                      <w:b/>
                      <w:sz w:val="21"/>
                      <w:szCs w:val="21"/>
                    </w:rPr>
                  </w:pPr>
                  <w:r>
                    <w:rPr>
                      <w:rFonts w:hint="eastAsia"/>
                      <w:b/>
                      <w:sz w:val="21"/>
                      <w:szCs w:val="21"/>
                    </w:rPr>
                    <w:t>生产线名称</w:t>
                  </w:r>
                </w:p>
              </w:tc>
              <w:tc>
                <w:tcPr>
                  <w:tcW w:w="542" w:type="pct"/>
                  <w:vMerge w:val="restart"/>
                  <w:tcBorders>
                    <w:left w:val="single" w:color="000000" w:sz="4" w:space="0"/>
                    <w:bottom w:val="single" w:color="000000" w:sz="4" w:space="0"/>
                    <w:right w:val="single" w:color="000000" w:sz="4" w:space="0"/>
                  </w:tcBorders>
                  <w:noWrap w:val="0"/>
                  <w:vAlign w:val="center"/>
                </w:tcPr>
                <w:p w14:paraId="764CDD88">
                  <w:pPr>
                    <w:pStyle w:val="58"/>
                    <w:adjustRightInd w:val="0"/>
                    <w:snapToGrid w:val="0"/>
                    <w:jc w:val="center"/>
                    <w:rPr>
                      <w:b/>
                      <w:sz w:val="21"/>
                      <w:szCs w:val="21"/>
                      <w:lang w:eastAsia="zh-CN"/>
                    </w:rPr>
                  </w:pPr>
                  <w:r>
                    <w:rPr>
                      <w:rFonts w:hint="eastAsia"/>
                      <w:b/>
                      <w:sz w:val="21"/>
                      <w:szCs w:val="21"/>
                      <w:lang w:eastAsia="zh-CN"/>
                    </w:rPr>
                    <w:t>主要生产单元名称（总平图中标识）</w:t>
                  </w:r>
                </w:p>
              </w:tc>
              <w:tc>
                <w:tcPr>
                  <w:tcW w:w="480" w:type="pct"/>
                  <w:vMerge w:val="restart"/>
                  <w:tcBorders>
                    <w:left w:val="single" w:color="000000" w:sz="4" w:space="0"/>
                    <w:bottom w:val="single" w:color="000000" w:sz="4" w:space="0"/>
                    <w:right w:val="single" w:color="000000" w:sz="4" w:space="0"/>
                  </w:tcBorders>
                  <w:noWrap w:val="0"/>
                  <w:vAlign w:val="center"/>
                </w:tcPr>
                <w:p w14:paraId="07835F0F">
                  <w:pPr>
                    <w:pStyle w:val="58"/>
                    <w:adjustRightInd w:val="0"/>
                    <w:snapToGrid w:val="0"/>
                    <w:jc w:val="center"/>
                    <w:rPr>
                      <w:b/>
                      <w:sz w:val="21"/>
                      <w:szCs w:val="21"/>
                      <w:lang w:eastAsia="zh-CN"/>
                    </w:rPr>
                  </w:pPr>
                  <w:r>
                    <w:rPr>
                      <w:rFonts w:hint="eastAsia"/>
                      <w:b/>
                      <w:sz w:val="21"/>
                      <w:szCs w:val="21"/>
                      <w:lang w:eastAsia="zh-CN"/>
                    </w:rPr>
                    <w:t>主要工艺名称</w:t>
                  </w:r>
                </w:p>
                <w:p w14:paraId="1F8DC92A">
                  <w:pPr>
                    <w:pStyle w:val="58"/>
                    <w:adjustRightInd w:val="0"/>
                    <w:snapToGrid w:val="0"/>
                    <w:jc w:val="center"/>
                    <w:rPr>
                      <w:b/>
                      <w:sz w:val="21"/>
                      <w:szCs w:val="21"/>
                      <w:lang w:eastAsia="zh-CN"/>
                    </w:rPr>
                  </w:pPr>
                  <w:r>
                    <w:rPr>
                      <w:rFonts w:hint="eastAsia"/>
                      <w:b/>
                      <w:sz w:val="21"/>
                      <w:szCs w:val="21"/>
                      <w:lang w:eastAsia="zh-CN"/>
                    </w:rPr>
                    <w:t>（工艺流程图中标识）</w:t>
                  </w:r>
                </w:p>
              </w:tc>
              <w:tc>
                <w:tcPr>
                  <w:tcW w:w="750" w:type="pct"/>
                  <w:vMerge w:val="restart"/>
                  <w:tcBorders>
                    <w:left w:val="single" w:color="000000" w:sz="4" w:space="0"/>
                    <w:bottom w:val="single" w:color="000000" w:sz="4" w:space="0"/>
                    <w:right w:val="single" w:color="000000" w:sz="4" w:space="0"/>
                  </w:tcBorders>
                  <w:noWrap w:val="0"/>
                  <w:vAlign w:val="center"/>
                </w:tcPr>
                <w:p w14:paraId="5AA90794">
                  <w:pPr>
                    <w:pStyle w:val="58"/>
                    <w:adjustRightInd w:val="0"/>
                    <w:snapToGrid w:val="0"/>
                    <w:jc w:val="center"/>
                    <w:rPr>
                      <w:b/>
                      <w:sz w:val="21"/>
                      <w:szCs w:val="21"/>
                      <w:lang w:eastAsia="zh-CN"/>
                    </w:rPr>
                  </w:pPr>
                  <w:r>
                    <w:rPr>
                      <w:rFonts w:hint="eastAsia"/>
                      <w:b/>
                      <w:sz w:val="21"/>
                      <w:szCs w:val="21"/>
                      <w:lang w:eastAsia="zh-CN"/>
                    </w:rPr>
                    <w:t>生产设施名称</w:t>
                  </w:r>
                </w:p>
              </w:tc>
              <w:tc>
                <w:tcPr>
                  <w:tcW w:w="607" w:type="pct"/>
                  <w:vMerge w:val="restart"/>
                  <w:tcBorders>
                    <w:left w:val="single" w:color="000000" w:sz="4" w:space="0"/>
                    <w:bottom w:val="single" w:color="000000" w:sz="4" w:space="0"/>
                    <w:right w:val="single" w:color="000000" w:sz="4" w:space="0"/>
                  </w:tcBorders>
                  <w:noWrap w:val="0"/>
                  <w:vAlign w:val="center"/>
                </w:tcPr>
                <w:p w14:paraId="5DDCDD61">
                  <w:pPr>
                    <w:pStyle w:val="58"/>
                    <w:adjustRightInd w:val="0"/>
                    <w:snapToGrid w:val="0"/>
                    <w:jc w:val="center"/>
                    <w:rPr>
                      <w:b/>
                      <w:sz w:val="21"/>
                      <w:szCs w:val="21"/>
                      <w:lang w:eastAsia="zh-CN"/>
                    </w:rPr>
                  </w:pPr>
                  <w:r>
                    <w:rPr>
                      <w:rFonts w:hint="eastAsia"/>
                      <w:b/>
                      <w:sz w:val="21"/>
                      <w:szCs w:val="21"/>
                      <w:lang w:eastAsia="zh-CN"/>
                    </w:rPr>
                    <w:t>生产设施编号</w:t>
                  </w:r>
                </w:p>
              </w:tc>
              <w:tc>
                <w:tcPr>
                  <w:tcW w:w="1347" w:type="pct"/>
                  <w:gridSpan w:val="4"/>
                  <w:tcBorders>
                    <w:left w:val="single" w:color="000000" w:sz="4" w:space="0"/>
                    <w:bottom w:val="single" w:color="000000" w:sz="6" w:space="0"/>
                    <w:right w:val="single" w:color="000000" w:sz="4" w:space="0"/>
                  </w:tcBorders>
                  <w:noWrap w:val="0"/>
                  <w:vAlign w:val="center"/>
                </w:tcPr>
                <w:p w14:paraId="2495AEC6">
                  <w:pPr>
                    <w:pStyle w:val="58"/>
                    <w:adjustRightInd w:val="0"/>
                    <w:snapToGrid w:val="0"/>
                    <w:jc w:val="center"/>
                    <w:rPr>
                      <w:b/>
                      <w:sz w:val="21"/>
                      <w:szCs w:val="21"/>
                      <w:lang w:eastAsia="zh-CN"/>
                    </w:rPr>
                  </w:pPr>
                  <w:r>
                    <w:rPr>
                      <w:rFonts w:hint="eastAsia"/>
                      <w:b/>
                      <w:sz w:val="21"/>
                      <w:szCs w:val="21"/>
                      <w:lang w:eastAsia="zh-CN"/>
                    </w:rPr>
                    <w:t>设施参数</w:t>
                  </w:r>
                </w:p>
              </w:tc>
              <w:tc>
                <w:tcPr>
                  <w:tcW w:w="479" w:type="pct"/>
                  <w:vMerge w:val="restart"/>
                  <w:tcBorders>
                    <w:left w:val="single" w:color="000000" w:sz="4" w:space="0"/>
                    <w:bottom w:val="single" w:color="000000" w:sz="4" w:space="0"/>
                    <w:right w:val="single" w:color="000000" w:sz="4" w:space="0"/>
                  </w:tcBorders>
                  <w:noWrap w:val="0"/>
                  <w:vAlign w:val="center"/>
                </w:tcPr>
                <w:p w14:paraId="6C4087FA">
                  <w:pPr>
                    <w:pStyle w:val="58"/>
                    <w:adjustRightInd w:val="0"/>
                    <w:snapToGrid w:val="0"/>
                    <w:jc w:val="center"/>
                    <w:rPr>
                      <w:b/>
                      <w:sz w:val="21"/>
                      <w:szCs w:val="21"/>
                      <w:lang w:eastAsia="zh-CN"/>
                    </w:rPr>
                  </w:pPr>
                  <w:r>
                    <w:rPr>
                      <w:rFonts w:hint="eastAsia"/>
                      <w:b/>
                      <w:sz w:val="21"/>
                      <w:szCs w:val="21"/>
                      <w:lang w:eastAsia="zh-CN"/>
                    </w:rPr>
                    <w:t>其他设施信息</w:t>
                  </w:r>
                </w:p>
              </w:tc>
              <w:tc>
                <w:tcPr>
                  <w:tcW w:w="343" w:type="pct"/>
                  <w:vMerge w:val="restart"/>
                  <w:tcBorders>
                    <w:left w:val="single" w:color="000000" w:sz="4" w:space="0"/>
                    <w:bottom w:val="single" w:color="000000" w:sz="4" w:space="0"/>
                  </w:tcBorders>
                  <w:noWrap w:val="0"/>
                  <w:vAlign w:val="center"/>
                </w:tcPr>
                <w:p w14:paraId="1C0BBD96">
                  <w:pPr>
                    <w:pStyle w:val="58"/>
                    <w:adjustRightInd w:val="0"/>
                    <w:snapToGrid w:val="0"/>
                    <w:jc w:val="center"/>
                    <w:rPr>
                      <w:b/>
                      <w:sz w:val="21"/>
                      <w:szCs w:val="21"/>
                      <w:lang w:eastAsia="zh-CN"/>
                    </w:rPr>
                  </w:pPr>
                  <w:r>
                    <w:rPr>
                      <w:rFonts w:hint="eastAsia"/>
                      <w:b/>
                      <w:sz w:val="21"/>
                      <w:szCs w:val="21"/>
                      <w:lang w:eastAsia="zh-CN"/>
                    </w:rPr>
                    <w:t>备注</w:t>
                  </w:r>
                </w:p>
              </w:tc>
            </w:tr>
            <w:tr w14:paraId="7BA7CEE0">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27" w:type="pct"/>
                  <w:vMerge w:val="continue"/>
                  <w:tcBorders>
                    <w:top w:val="nil"/>
                    <w:bottom w:val="single" w:color="auto" w:sz="4" w:space="0"/>
                    <w:right w:val="single" w:color="000000" w:sz="4" w:space="0"/>
                  </w:tcBorders>
                  <w:noWrap w:val="0"/>
                  <w:vAlign w:val="center"/>
                </w:tcPr>
                <w:p w14:paraId="0788EE38">
                  <w:pPr>
                    <w:autoSpaceDE w:val="0"/>
                    <w:autoSpaceDN w:val="0"/>
                    <w:adjustRightInd w:val="0"/>
                    <w:snapToGrid w:val="0"/>
                    <w:jc w:val="center"/>
                    <w:rPr>
                      <w:rFonts w:ascii="宋体" w:hAnsi="宋体"/>
                      <w:szCs w:val="21"/>
                    </w:rPr>
                  </w:pPr>
                </w:p>
              </w:tc>
              <w:tc>
                <w:tcPr>
                  <w:tcW w:w="321" w:type="pct"/>
                  <w:vMerge w:val="continue"/>
                  <w:tcBorders>
                    <w:top w:val="nil"/>
                    <w:left w:val="single" w:color="000000" w:sz="4" w:space="0"/>
                    <w:bottom w:val="single" w:color="000000" w:sz="4" w:space="0"/>
                    <w:right w:val="single" w:color="000000" w:sz="4" w:space="0"/>
                  </w:tcBorders>
                  <w:noWrap w:val="0"/>
                  <w:vAlign w:val="center"/>
                </w:tcPr>
                <w:p w14:paraId="40B51C23">
                  <w:pPr>
                    <w:autoSpaceDE w:val="0"/>
                    <w:autoSpaceDN w:val="0"/>
                    <w:adjustRightInd w:val="0"/>
                    <w:snapToGrid w:val="0"/>
                    <w:jc w:val="center"/>
                    <w:rPr>
                      <w:rFonts w:ascii="宋体" w:hAnsi="宋体"/>
                      <w:szCs w:val="21"/>
                    </w:rPr>
                  </w:pPr>
                </w:p>
              </w:tc>
              <w:tc>
                <w:tcPr>
                  <w:tcW w:w="542" w:type="pct"/>
                  <w:vMerge w:val="continue"/>
                  <w:tcBorders>
                    <w:top w:val="nil"/>
                    <w:left w:val="single" w:color="000000" w:sz="4" w:space="0"/>
                    <w:bottom w:val="single" w:color="000000" w:sz="4" w:space="0"/>
                    <w:right w:val="single" w:color="000000" w:sz="4" w:space="0"/>
                  </w:tcBorders>
                  <w:noWrap w:val="0"/>
                  <w:vAlign w:val="center"/>
                </w:tcPr>
                <w:p w14:paraId="0B6B9797">
                  <w:pPr>
                    <w:autoSpaceDE w:val="0"/>
                    <w:autoSpaceDN w:val="0"/>
                    <w:adjustRightInd w:val="0"/>
                    <w:snapToGrid w:val="0"/>
                    <w:jc w:val="center"/>
                    <w:rPr>
                      <w:rFonts w:ascii="宋体" w:hAnsi="宋体"/>
                      <w:szCs w:val="21"/>
                    </w:rPr>
                  </w:pPr>
                </w:p>
              </w:tc>
              <w:tc>
                <w:tcPr>
                  <w:tcW w:w="480" w:type="pct"/>
                  <w:vMerge w:val="continue"/>
                  <w:tcBorders>
                    <w:top w:val="nil"/>
                    <w:left w:val="single" w:color="000000" w:sz="4" w:space="0"/>
                    <w:bottom w:val="single" w:color="000000" w:sz="4" w:space="0"/>
                    <w:right w:val="single" w:color="000000" w:sz="4" w:space="0"/>
                  </w:tcBorders>
                  <w:noWrap w:val="0"/>
                  <w:vAlign w:val="center"/>
                </w:tcPr>
                <w:p w14:paraId="3EFF7411">
                  <w:pPr>
                    <w:autoSpaceDE w:val="0"/>
                    <w:autoSpaceDN w:val="0"/>
                    <w:adjustRightInd w:val="0"/>
                    <w:snapToGrid w:val="0"/>
                    <w:jc w:val="center"/>
                    <w:rPr>
                      <w:rFonts w:ascii="宋体" w:hAnsi="宋体"/>
                      <w:szCs w:val="21"/>
                    </w:rPr>
                  </w:pPr>
                </w:p>
              </w:tc>
              <w:tc>
                <w:tcPr>
                  <w:tcW w:w="750" w:type="pct"/>
                  <w:vMerge w:val="continue"/>
                  <w:tcBorders>
                    <w:top w:val="nil"/>
                    <w:left w:val="single" w:color="000000" w:sz="4" w:space="0"/>
                    <w:bottom w:val="single" w:color="000000" w:sz="4" w:space="0"/>
                    <w:right w:val="single" w:color="000000" w:sz="4" w:space="0"/>
                  </w:tcBorders>
                  <w:noWrap w:val="0"/>
                  <w:vAlign w:val="center"/>
                </w:tcPr>
                <w:p w14:paraId="27D9DBA0">
                  <w:pPr>
                    <w:autoSpaceDE w:val="0"/>
                    <w:autoSpaceDN w:val="0"/>
                    <w:adjustRightInd w:val="0"/>
                    <w:snapToGrid w:val="0"/>
                    <w:jc w:val="center"/>
                    <w:rPr>
                      <w:rFonts w:ascii="宋体" w:hAnsi="宋体"/>
                      <w:szCs w:val="21"/>
                    </w:rPr>
                  </w:pPr>
                </w:p>
              </w:tc>
              <w:tc>
                <w:tcPr>
                  <w:tcW w:w="607" w:type="pct"/>
                  <w:vMerge w:val="continue"/>
                  <w:tcBorders>
                    <w:top w:val="nil"/>
                    <w:left w:val="single" w:color="000000" w:sz="4" w:space="0"/>
                    <w:bottom w:val="single" w:color="000000" w:sz="4" w:space="0"/>
                    <w:right w:val="single" w:color="000000" w:sz="4" w:space="0"/>
                  </w:tcBorders>
                  <w:noWrap w:val="0"/>
                  <w:vAlign w:val="center"/>
                </w:tcPr>
                <w:p w14:paraId="4A0415E4">
                  <w:pPr>
                    <w:autoSpaceDE w:val="0"/>
                    <w:autoSpaceDN w:val="0"/>
                    <w:adjustRightInd w:val="0"/>
                    <w:snapToGrid w:val="0"/>
                    <w:jc w:val="center"/>
                    <w:rPr>
                      <w:rFonts w:ascii="宋体" w:hAnsi="宋体"/>
                      <w:szCs w:val="21"/>
                    </w:rPr>
                  </w:pPr>
                </w:p>
              </w:tc>
              <w:tc>
                <w:tcPr>
                  <w:tcW w:w="362" w:type="pct"/>
                  <w:tcBorders>
                    <w:top w:val="single" w:color="000000" w:sz="6" w:space="0"/>
                    <w:left w:val="single" w:color="000000" w:sz="4" w:space="0"/>
                    <w:bottom w:val="single" w:color="000000" w:sz="4" w:space="0"/>
                    <w:right w:val="single" w:color="000000" w:sz="4" w:space="0"/>
                  </w:tcBorders>
                  <w:noWrap w:val="0"/>
                  <w:vAlign w:val="center"/>
                </w:tcPr>
                <w:p w14:paraId="0EC3064F">
                  <w:pPr>
                    <w:pStyle w:val="58"/>
                    <w:adjustRightInd w:val="0"/>
                    <w:snapToGrid w:val="0"/>
                    <w:jc w:val="center"/>
                    <w:rPr>
                      <w:b/>
                      <w:sz w:val="21"/>
                      <w:szCs w:val="21"/>
                      <w:lang w:eastAsia="zh-CN"/>
                    </w:rPr>
                  </w:pPr>
                  <w:r>
                    <w:rPr>
                      <w:rFonts w:hint="eastAsia"/>
                      <w:b/>
                      <w:sz w:val="21"/>
                      <w:szCs w:val="21"/>
                      <w:lang w:eastAsia="zh-CN"/>
                    </w:rPr>
                    <w:t>参数</w:t>
                  </w:r>
                </w:p>
                <w:p w14:paraId="5F702D2C">
                  <w:pPr>
                    <w:pStyle w:val="58"/>
                    <w:adjustRightInd w:val="0"/>
                    <w:snapToGrid w:val="0"/>
                    <w:jc w:val="center"/>
                    <w:rPr>
                      <w:b/>
                      <w:sz w:val="21"/>
                      <w:szCs w:val="21"/>
                      <w:lang w:eastAsia="zh-CN"/>
                    </w:rPr>
                  </w:pPr>
                  <w:r>
                    <w:rPr>
                      <w:rFonts w:hint="eastAsia"/>
                      <w:b/>
                      <w:sz w:val="21"/>
                      <w:szCs w:val="21"/>
                      <w:lang w:eastAsia="zh-CN"/>
                    </w:rPr>
                    <w:t>名称</w:t>
                  </w:r>
                </w:p>
              </w:tc>
              <w:tc>
                <w:tcPr>
                  <w:tcW w:w="267" w:type="pct"/>
                  <w:tcBorders>
                    <w:top w:val="single" w:color="000000" w:sz="6" w:space="0"/>
                    <w:left w:val="single" w:color="000000" w:sz="4" w:space="0"/>
                    <w:bottom w:val="single" w:color="000000" w:sz="4" w:space="0"/>
                    <w:right w:val="single" w:color="000000" w:sz="4" w:space="0"/>
                  </w:tcBorders>
                  <w:noWrap w:val="0"/>
                  <w:vAlign w:val="center"/>
                </w:tcPr>
                <w:p w14:paraId="0D1E8C33">
                  <w:pPr>
                    <w:pStyle w:val="58"/>
                    <w:adjustRightInd w:val="0"/>
                    <w:snapToGrid w:val="0"/>
                    <w:jc w:val="center"/>
                    <w:rPr>
                      <w:b/>
                      <w:sz w:val="21"/>
                      <w:szCs w:val="21"/>
                      <w:lang w:eastAsia="zh-CN"/>
                    </w:rPr>
                  </w:pPr>
                  <w:r>
                    <w:rPr>
                      <w:rFonts w:hint="eastAsia"/>
                      <w:b/>
                      <w:sz w:val="21"/>
                      <w:szCs w:val="21"/>
                      <w:lang w:eastAsia="zh-CN"/>
                    </w:rPr>
                    <w:t>计量</w:t>
                  </w:r>
                </w:p>
                <w:p w14:paraId="4B3115B5">
                  <w:pPr>
                    <w:pStyle w:val="58"/>
                    <w:adjustRightInd w:val="0"/>
                    <w:snapToGrid w:val="0"/>
                    <w:jc w:val="center"/>
                    <w:rPr>
                      <w:b/>
                      <w:sz w:val="21"/>
                      <w:szCs w:val="21"/>
                      <w:lang w:eastAsia="zh-CN"/>
                    </w:rPr>
                  </w:pPr>
                  <w:r>
                    <w:rPr>
                      <w:rFonts w:hint="eastAsia"/>
                      <w:b/>
                      <w:sz w:val="21"/>
                      <w:szCs w:val="21"/>
                      <w:lang w:eastAsia="zh-CN"/>
                    </w:rPr>
                    <w:t>单位</w:t>
                  </w:r>
                </w:p>
              </w:tc>
              <w:tc>
                <w:tcPr>
                  <w:tcW w:w="334" w:type="pct"/>
                  <w:tcBorders>
                    <w:top w:val="single" w:color="000000" w:sz="6" w:space="0"/>
                    <w:left w:val="single" w:color="000000" w:sz="4" w:space="0"/>
                    <w:bottom w:val="single" w:color="000000" w:sz="4" w:space="0"/>
                    <w:right w:val="single" w:color="000000" w:sz="6" w:space="0"/>
                  </w:tcBorders>
                  <w:noWrap w:val="0"/>
                  <w:vAlign w:val="center"/>
                </w:tcPr>
                <w:p w14:paraId="0935AB78">
                  <w:pPr>
                    <w:pStyle w:val="58"/>
                    <w:adjustRightInd w:val="0"/>
                    <w:snapToGrid w:val="0"/>
                    <w:jc w:val="center"/>
                    <w:rPr>
                      <w:b/>
                      <w:sz w:val="21"/>
                      <w:szCs w:val="21"/>
                      <w:lang w:eastAsia="zh-CN"/>
                    </w:rPr>
                  </w:pPr>
                  <w:r>
                    <w:rPr>
                      <w:rFonts w:hint="eastAsia"/>
                      <w:b/>
                      <w:sz w:val="21"/>
                      <w:szCs w:val="21"/>
                      <w:lang w:eastAsia="zh-CN"/>
                    </w:rPr>
                    <w:t>设计值</w:t>
                  </w:r>
                </w:p>
              </w:tc>
              <w:tc>
                <w:tcPr>
                  <w:tcW w:w="382" w:type="pct"/>
                  <w:tcBorders>
                    <w:top w:val="single" w:color="000000" w:sz="6" w:space="0"/>
                    <w:left w:val="single" w:color="000000" w:sz="6" w:space="0"/>
                    <w:bottom w:val="single" w:color="000000" w:sz="4" w:space="0"/>
                    <w:right w:val="single" w:color="000000" w:sz="4" w:space="0"/>
                  </w:tcBorders>
                  <w:noWrap w:val="0"/>
                  <w:vAlign w:val="center"/>
                </w:tcPr>
                <w:p w14:paraId="20FE9590">
                  <w:pPr>
                    <w:pStyle w:val="58"/>
                    <w:adjustRightInd w:val="0"/>
                    <w:snapToGrid w:val="0"/>
                    <w:jc w:val="center"/>
                    <w:rPr>
                      <w:b/>
                      <w:sz w:val="21"/>
                      <w:szCs w:val="21"/>
                      <w:lang w:eastAsia="zh-CN"/>
                    </w:rPr>
                  </w:pPr>
                  <w:r>
                    <w:rPr>
                      <w:rFonts w:hint="eastAsia"/>
                      <w:b/>
                      <w:sz w:val="21"/>
                      <w:szCs w:val="21"/>
                      <w:lang w:eastAsia="zh-CN"/>
                    </w:rPr>
                    <w:t>其他设施</w:t>
                  </w:r>
                </w:p>
                <w:p w14:paraId="1E6ACEC7">
                  <w:pPr>
                    <w:pStyle w:val="58"/>
                    <w:adjustRightInd w:val="0"/>
                    <w:snapToGrid w:val="0"/>
                    <w:jc w:val="center"/>
                    <w:rPr>
                      <w:b/>
                      <w:sz w:val="21"/>
                      <w:szCs w:val="21"/>
                      <w:lang w:eastAsia="zh-CN"/>
                    </w:rPr>
                  </w:pPr>
                  <w:r>
                    <w:rPr>
                      <w:rFonts w:hint="eastAsia"/>
                      <w:b/>
                      <w:sz w:val="21"/>
                      <w:szCs w:val="21"/>
                      <w:lang w:eastAsia="zh-CN"/>
                    </w:rPr>
                    <w:t>参数信息</w:t>
                  </w:r>
                </w:p>
              </w:tc>
              <w:tc>
                <w:tcPr>
                  <w:tcW w:w="479" w:type="pct"/>
                  <w:vMerge w:val="continue"/>
                  <w:tcBorders>
                    <w:top w:val="nil"/>
                    <w:left w:val="single" w:color="000000" w:sz="4" w:space="0"/>
                    <w:bottom w:val="single" w:color="000000" w:sz="4" w:space="0"/>
                    <w:right w:val="single" w:color="000000" w:sz="4" w:space="0"/>
                  </w:tcBorders>
                  <w:noWrap w:val="0"/>
                  <w:vAlign w:val="center"/>
                </w:tcPr>
                <w:p w14:paraId="157CB9D3">
                  <w:pPr>
                    <w:autoSpaceDE w:val="0"/>
                    <w:autoSpaceDN w:val="0"/>
                    <w:adjustRightInd w:val="0"/>
                    <w:snapToGrid w:val="0"/>
                    <w:jc w:val="center"/>
                    <w:rPr>
                      <w:rFonts w:ascii="宋体" w:hAnsi="宋体"/>
                      <w:szCs w:val="21"/>
                    </w:rPr>
                  </w:pPr>
                </w:p>
              </w:tc>
              <w:tc>
                <w:tcPr>
                  <w:tcW w:w="343" w:type="pct"/>
                  <w:vMerge w:val="continue"/>
                  <w:tcBorders>
                    <w:top w:val="nil"/>
                    <w:left w:val="single" w:color="000000" w:sz="4" w:space="0"/>
                    <w:bottom w:val="single" w:color="000000" w:sz="4" w:space="0"/>
                  </w:tcBorders>
                  <w:noWrap w:val="0"/>
                  <w:vAlign w:val="center"/>
                </w:tcPr>
                <w:p w14:paraId="75762828">
                  <w:pPr>
                    <w:autoSpaceDE w:val="0"/>
                    <w:autoSpaceDN w:val="0"/>
                    <w:adjustRightInd w:val="0"/>
                    <w:snapToGrid w:val="0"/>
                    <w:jc w:val="center"/>
                    <w:rPr>
                      <w:rFonts w:ascii="宋体" w:hAnsi="宋体"/>
                      <w:szCs w:val="21"/>
                    </w:rPr>
                  </w:pPr>
                </w:p>
              </w:tc>
            </w:tr>
            <w:tr w14:paraId="031E8323">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23" w:hRule="atLeast"/>
              </w:trPr>
              <w:tc>
                <w:tcPr>
                  <w:tcW w:w="127" w:type="pct"/>
                  <w:tcBorders>
                    <w:top w:val="single" w:color="auto" w:sz="4" w:space="0"/>
                    <w:bottom w:val="single" w:color="auto" w:sz="4" w:space="0"/>
                    <w:right w:val="single" w:color="auto" w:sz="4" w:space="0"/>
                  </w:tcBorders>
                  <w:noWrap w:val="0"/>
                  <w:vAlign w:val="center"/>
                </w:tcPr>
                <w:p w14:paraId="58751610">
                  <w:pPr>
                    <w:pStyle w:val="58"/>
                    <w:adjustRightInd w:val="0"/>
                    <w:snapToGrid w:val="0"/>
                    <w:jc w:val="center"/>
                    <w:rPr>
                      <w:sz w:val="21"/>
                      <w:szCs w:val="21"/>
                      <w:lang w:eastAsia="zh-CN"/>
                    </w:rPr>
                  </w:pPr>
                  <w:r>
                    <w:rPr>
                      <w:rFonts w:hint="eastAsia"/>
                      <w:sz w:val="21"/>
                      <w:szCs w:val="21"/>
                      <w:lang w:eastAsia="zh-CN"/>
                    </w:rPr>
                    <w:t>1</w:t>
                  </w:r>
                </w:p>
              </w:tc>
              <w:tc>
                <w:tcPr>
                  <w:tcW w:w="321" w:type="pct"/>
                  <w:vMerge w:val="restart"/>
                  <w:tcBorders>
                    <w:top w:val="single" w:color="000000" w:sz="4" w:space="0"/>
                    <w:left w:val="single" w:color="auto" w:sz="4" w:space="0"/>
                    <w:right w:val="single" w:color="000000" w:sz="4" w:space="0"/>
                  </w:tcBorders>
                  <w:noWrap w:val="0"/>
                  <w:vAlign w:val="center"/>
                </w:tcPr>
                <w:p w14:paraId="742FA28E">
                  <w:pPr>
                    <w:pStyle w:val="58"/>
                    <w:adjustRightInd w:val="0"/>
                    <w:snapToGrid w:val="0"/>
                    <w:jc w:val="center"/>
                    <w:rPr>
                      <w:rFonts w:hint="default"/>
                      <w:sz w:val="21"/>
                      <w:szCs w:val="21"/>
                      <w:lang w:val="en-US" w:eastAsia="zh-CN"/>
                    </w:rPr>
                  </w:pPr>
                  <w:r>
                    <w:rPr>
                      <w:rFonts w:hint="eastAsia"/>
                      <w:sz w:val="21"/>
                      <w:szCs w:val="21"/>
                      <w:lang w:eastAsia="zh-CN"/>
                    </w:rPr>
                    <w:t>SCX00</w:t>
                  </w:r>
                  <w:r>
                    <w:rPr>
                      <w:rFonts w:hint="eastAsia"/>
                      <w:sz w:val="21"/>
                      <w:szCs w:val="21"/>
                      <w:lang w:val="en-US" w:eastAsia="zh-CN"/>
                    </w:rPr>
                    <w:t>1</w:t>
                  </w:r>
                </w:p>
              </w:tc>
              <w:tc>
                <w:tcPr>
                  <w:tcW w:w="542" w:type="pct"/>
                  <w:vMerge w:val="restart"/>
                  <w:tcBorders>
                    <w:top w:val="single" w:color="000000" w:sz="4" w:space="0"/>
                    <w:left w:val="single" w:color="000000" w:sz="4" w:space="0"/>
                    <w:right w:val="single" w:color="000000" w:sz="4" w:space="0"/>
                  </w:tcBorders>
                  <w:noWrap w:val="0"/>
                  <w:vAlign w:val="center"/>
                </w:tcPr>
                <w:p w14:paraId="2F65D6C0">
                  <w:pPr>
                    <w:pStyle w:val="58"/>
                    <w:adjustRightInd w:val="0"/>
                    <w:snapToGrid w:val="0"/>
                    <w:jc w:val="center"/>
                    <w:rPr>
                      <w:sz w:val="21"/>
                      <w:szCs w:val="21"/>
                      <w:lang w:eastAsia="zh-CN"/>
                    </w:rPr>
                  </w:pPr>
                  <w:r>
                    <w:rPr>
                      <w:rFonts w:hint="eastAsia"/>
                      <w:sz w:val="21"/>
                      <w:szCs w:val="21"/>
                      <w:lang w:val="en-US" w:eastAsia="zh-CN"/>
                    </w:rPr>
                    <w:t>拆解</w:t>
                  </w:r>
                  <w:r>
                    <w:rPr>
                      <w:rFonts w:hint="eastAsia"/>
                      <w:sz w:val="21"/>
                      <w:szCs w:val="21"/>
                      <w:lang w:eastAsia="zh-CN"/>
                    </w:rPr>
                    <w:t>单元</w:t>
                  </w:r>
                </w:p>
              </w:tc>
              <w:tc>
                <w:tcPr>
                  <w:tcW w:w="480" w:type="pct"/>
                  <w:vMerge w:val="restart"/>
                  <w:tcBorders>
                    <w:top w:val="single" w:color="000000" w:sz="4" w:space="0"/>
                    <w:left w:val="single" w:color="000000" w:sz="4" w:space="0"/>
                    <w:right w:val="single" w:color="000000" w:sz="4" w:space="0"/>
                  </w:tcBorders>
                  <w:noWrap w:val="0"/>
                  <w:vAlign w:val="center"/>
                </w:tcPr>
                <w:p w14:paraId="79D5B55D">
                  <w:pPr>
                    <w:adjustRightInd w:val="0"/>
                    <w:snapToGrid w:val="0"/>
                    <w:jc w:val="center"/>
                    <w:rPr>
                      <w:rFonts w:hint="eastAsia"/>
                      <w:sz w:val="21"/>
                      <w:szCs w:val="21"/>
                      <w:lang w:val="en-US" w:eastAsia="zh-CN"/>
                    </w:rPr>
                  </w:pPr>
                  <w:r>
                    <w:rPr>
                      <w:rFonts w:hint="eastAsia"/>
                      <w:sz w:val="21"/>
                      <w:szCs w:val="21"/>
                      <w:lang w:val="en-US" w:eastAsia="zh-CN"/>
                    </w:rPr>
                    <w:t>拆解预处理</w:t>
                  </w:r>
                </w:p>
              </w:tc>
              <w:tc>
                <w:tcPr>
                  <w:tcW w:w="750" w:type="pct"/>
                  <w:tcBorders>
                    <w:top w:val="single" w:color="000000" w:sz="4" w:space="0"/>
                    <w:left w:val="single" w:color="000000" w:sz="4" w:space="0"/>
                    <w:bottom w:val="single" w:color="000000" w:sz="4" w:space="0"/>
                    <w:right w:val="single" w:color="000000" w:sz="4" w:space="0"/>
                  </w:tcBorders>
                  <w:noWrap w:val="0"/>
                  <w:vAlign w:val="center"/>
                </w:tcPr>
                <w:p w14:paraId="55B66687">
                  <w:pPr>
                    <w:pStyle w:val="58"/>
                    <w:adjustRightInd w:val="0"/>
                    <w:snapToGrid w:val="0"/>
                    <w:jc w:val="center"/>
                    <w:rPr>
                      <w:rFonts w:hint="default"/>
                      <w:sz w:val="21"/>
                      <w:szCs w:val="21"/>
                      <w:lang w:val="en-US" w:eastAsia="zh-CN"/>
                    </w:rPr>
                  </w:pPr>
                  <w:r>
                    <w:rPr>
                      <w:rFonts w:hint="eastAsia"/>
                      <w:sz w:val="21"/>
                      <w:szCs w:val="21"/>
                      <w:lang w:val="en-US" w:eastAsia="zh-CN"/>
                    </w:rPr>
                    <w:t>小车集尘式油液抽排系统</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DC28069">
                  <w:pPr>
                    <w:pStyle w:val="58"/>
                    <w:adjustRightInd w:val="0"/>
                    <w:snapToGrid w:val="0"/>
                    <w:jc w:val="center"/>
                    <w:rPr>
                      <w:rFonts w:hint="default"/>
                      <w:sz w:val="21"/>
                      <w:szCs w:val="21"/>
                      <w:lang w:val="en-US" w:eastAsia="zh-CN"/>
                    </w:rPr>
                  </w:pPr>
                  <w:r>
                    <w:rPr>
                      <w:rFonts w:hint="eastAsia"/>
                      <w:sz w:val="21"/>
                      <w:szCs w:val="21"/>
                      <w:lang w:val="en-US" w:eastAsia="zh-CN"/>
                    </w:rPr>
                    <w:t>MF0001</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0826A450">
                  <w:pPr>
                    <w:pStyle w:val="58"/>
                    <w:adjustRightInd w:val="0"/>
                    <w:snapToGrid w:val="0"/>
                    <w:jc w:val="center"/>
                    <w:rPr>
                      <w:sz w:val="21"/>
                      <w:szCs w:val="21"/>
                      <w:lang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2F16AFB6">
                  <w:pPr>
                    <w:pStyle w:val="58"/>
                    <w:adjustRightInd w:val="0"/>
                    <w:snapToGrid w:val="0"/>
                    <w:jc w:val="center"/>
                    <w:rPr>
                      <w:sz w:val="21"/>
                      <w:szCs w:val="21"/>
                      <w:lang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526BEC01">
                  <w:pPr>
                    <w:pStyle w:val="58"/>
                    <w:adjustRightInd w:val="0"/>
                    <w:snapToGrid w:val="0"/>
                    <w:jc w:val="center"/>
                    <w:rPr>
                      <w:sz w:val="21"/>
                      <w:szCs w:val="21"/>
                      <w:lang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120DF9B0">
                  <w:pPr>
                    <w:pStyle w:val="58"/>
                    <w:adjustRightInd w:val="0"/>
                    <w:snapToGrid w:val="0"/>
                    <w:jc w:val="center"/>
                    <w:rPr>
                      <w:sz w:val="21"/>
                      <w:szCs w:val="21"/>
                      <w:lang w:eastAsia="zh-CN"/>
                    </w:rPr>
                  </w:pPr>
                  <w:r>
                    <w:rPr>
                      <w:rFonts w:hint="eastAsia"/>
                      <w:sz w:val="21"/>
                      <w:szCs w:val="21"/>
                      <w:lang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4CA6EF13">
                  <w:pPr>
                    <w:pStyle w:val="58"/>
                    <w:adjustRightInd w:val="0"/>
                    <w:snapToGrid w:val="0"/>
                    <w:jc w:val="center"/>
                    <w:rPr>
                      <w:sz w:val="21"/>
                      <w:szCs w:val="21"/>
                      <w:lang w:eastAsia="zh-CN"/>
                    </w:rPr>
                  </w:pPr>
                  <w:r>
                    <w:rPr>
                      <w:rFonts w:hint="eastAsia"/>
                      <w:sz w:val="21"/>
                      <w:szCs w:val="21"/>
                      <w:lang w:val="en-US" w:eastAsia="zh-CN"/>
                    </w:rPr>
                    <w:t>1</w:t>
                  </w:r>
                  <w:r>
                    <w:rPr>
                      <w:rFonts w:hint="eastAsia"/>
                      <w:sz w:val="21"/>
                      <w:szCs w:val="21"/>
                      <w:lang w:eastAsia="zh-CN"/>
                    </w:rPr>
                    <w:t>台</w:t>
                  </w:r>
                </w:p>
              </w:tc>
              <w:tc>
                <w:tcPr>
                  <w:tcW w:w="343" w:type="pct"/>
                  <w:tcBorders>
                    <w:top w:val="single" w:color="000000" w:sz="4" w:space="0"/>
                    <w:left w:val="single" w:color="000000" w:sz="4" w:space="0"/>
                    <w:bottom w:val="single" w:color="000000" w:sz="4" w:space="0"/>
                  </w:tcBorders>
                  <w:noWrap w:val="0"/>
                  <w:vAlign w:val="center"/>
                </w:tcPr>
                <w:p w14:paraId="2E19A4F1">
                  <w:pPr>
                    <w:pStyle w:val="58"/>
                    <w:adjustRightInd w:val="0"/>
                    <w:snapToGrid w:val="0"/>
                    <w:jc w:val="center"/>
                    <w:rPr>
                      <w:sz w:val="21"/>
                      <w:szCs w:val="21"/>
                      <w:lang w:eastAsia="zh-CN"/>
                    </w:rPr>
                  </w:pPr>
                  <w:r>
                    <w:rPr>
                      <w:rFonts w:hint="eastAsia"/>
                      <w:sz w:val="21"/>
                      <w:szCs w:val="21"/>
                      <w:lang w:eastAsia="zh-CN"/>
                    </w:rPr>
                    <w:t>/</w:t>
                  </w:r>
                </w:p>
              </w:tc>
            </w:tr>
            <w:tr w14:paraId="3207D403">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27" w:type="pct"/>
                  <w:tcBorders>
                    <w:top w:val="single" w:color="auto" w:sz="4" w:space="0"/>
                    <w:bottom w:val="single" w:color="auto" w:sz="4" w:space="0"/>
                    <w:right w:val="single" w:color="auto" w:sz="4" w:space="0"/>
                  </w:tcBorders>
                  <w:noWrap w:val="0"/>
                  <w:vAlign w:val="center"/>
                </w:tcPr>
                <w:p w14:paraId="5555C901">
                  <w:pPr>
                    <w:pStyle w:val="58"/>
                    <w:adjustRightInd w:val="0"/>
                    <w:snapToGrid w:val="0"/>
                    <w:jc w:val="center"/>
                    <w:rPr>
                      <w:rFonts w:hint="default"/>
                      <w:sz w:val="21"/>
                      <w:szCs w:val="21"/>
                      <w:lang w:val="en-US" w:eastAsia="zh-CN"/>
                    </w:rPr>
                  </w:pPr>
                  <w:r>
                    <w:rPr>
                      <w:rFonts w:hint="eastAsia"/>
                      <w:sz w:val="21"/>
                      <w:szCs w:val="21"/>
                      <w:lang w:val="en-US" w:eastAsia="zh-CN"/>
                    </w:rPr>
                    <w:t>2</w:t>
                  </w:r>
                </w:p>
              </w:tc>
              <w:tc>
                <w:tcPr>
                  <w:tcW w:w="321" w:type="pct"/>
                  <w:vMerge w:val="continue"/>
                  <w:tcBorders>
                    <w:left w:val="single" w:color="auto" w:sz="4" w:space="0"/>
                    <w:right w:val="single" w:color="000000" w:sz="4" w:space="0"/>
                  </w:tcBorders>
                  <w:noWrap w:val="0"/>
                  <w:vAlign w:val="center"/>
                </w:tcPr>
                <w:p w14:paraId="5B160346">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26749E92">
                  <w:pPr>
                    <w:pStyle w:val="58"/>
                    <w:adjustRightInd w:val="0"/>
                    <w:snapToGrid w:val="0"/>
                    <w:jc w:val="center"/>
                    <w:rPr>
                      <w:rFonts w:hint="eastAsia"/>
                      <w:sz w:val="21"/>
                      <w:szCs w:val="21"/>
                      <w:lang w:val="en-US" w:eastAsia="zh-CN"/>
                    </w:rPr>
                  </w:pPr>
                </w:p>
              </w:tc>
              <w:tc>
                <w:tcPr>
                  <w:tcW w:w="480" w:type="pct"/>
                  <w:vMerge w:val="continue"/>
                  <w:tcBorders>
                    <w:left w:val="single" w:color="000000" w:sz="4" w:space="0"/>
                    <w:right w:val="single" w:color="000000" w:sz="4" w:space="0"/>
                  </w:tcBorders>
                  <w:noWrap w:val="0"/>
                  <w:vAlign w:val="center"/>
                </w:tcPr>
                <w:p w14:paraId="29514F44">
                  <w:pPr>
                    <w:pStyle w:val="58"/>
                    <w:adjustRightInd w:val="0"/>
                    <w:snapToGrid w:val="0"/>
                    <w:jc w:val="center"/>
                    <w:rPr>
                      <w:rFonts w:hint="default"/>
                      <w:sz w:val="21"/>
                      <w:szCs w:val="21"/>
                      <w:lang w:val="en-US" w:eastAsia="zh-CN"/>
                    </w:rPr>
                  </w:pPr>
                </w:p>
              </w:tc>
              <w:tc>
                <w:tcPr>
                  <w:tcW w:w="750" w:type="pct"/>
                  <w:tcBorders>
                    <w:top w:val="single" w:color="000000" w:sz="4" w:space="0"/>
                    <w:left w:val="single" w:color="000000" w:sz="4" w:space="0"/>
                    <w:bottom w:val="single" w:color="000000" w:sz="4" w:space="0"/>
                    <w:right w:val="single" w:color="000000" w:sz="4" w:space="0"/>
                  </w:tcBorders>
                  <w:noWrap w:val="0"/>
                  <w:vAlign w:val="center"/>
                </w:tcPr>
                <w:p w14:paraId="31D5D13D">
                  <w:pPr>
                    <w:pStyle w:val="58"/>
                    <w:adjustRightInd w:val="0"/>
                    <w:snapToGrid w:val="0"/>
                    <w:jc w:val="center"/>
                    <w:rPr>
                      <w:rFonts w:hint="default"/>
                      <w:sz w:val="21"/>
                      <w:szCs w:val="21"/>
                      <w:lang w:val="en-US" w:eastAsia="zh-CN"/>
                    </w:rPr>
                  </w:pPr>
                  <w:r>
                    <w:rPr>
                      <w:rFonts w:hint="eastAsia"/>
                      <w:sz w:val="21"/>
                      <w:szCs w:val="21"/>
                      <w:lang w:val="en-US" w:eastAsia="zh-CN"/>
                    </w:rPr>
                    <w:t>大车油液集中处理机</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7411DE3C">
                  <w:pPr>
                    <w:pStyle w:val="58"/>
                    <w:adjustRightInd w:val="0"/>
                    <w:snapToGrid w:val="0"/>
                    <w:jc w:val="center"/>
                    <w:rPr>
                      <w:rFonts w:hint="default"/>
                      <w:sz w:val="21"/>
                      <w:szCs w:val="21"/>
                      <w:lang w:val="en-US" w:eastAsia="zh-CN"/>
                    </w:rPr>
                  </w:pPr>
                  <w:r>
                    <w:rPr>
                      <w:rFonts w:hint="eastAsia"/>
                      <w:sz w:val="21"/>
                      <w:szCs w:val="21"/>
                      <w:lang w:val="en-US" w:eastAsia="zh-CN"/>
                    </w:rPr>
                    <w:t>MF0002</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6A491655">
                  <w:pPr>
                    <w:pStyle w:val="58"/>
                    <w:adjustRightInd w:val="0"/>
                    <w:snapToGrid w:val="0"/>
                    <w:jc w:val="center"/>
                    <w:rPr>
                      <w:rFonts w:hint="default"/>
                      <w:sz w:val="21"/>
                      <w:szCs w:val="21"/>
                      <w:lang w:val="en-US" w:eastAsia="zh-CN"/>
                    </w:rPr>
                  </w:pPr>
                  <w:r>
                    <w:rPr>
                      <w:rFonts w:hint="eastAsia"/>
                      <w:sz w:val="21"/>
                      <w:szCs w:val="21"/>
                      <w:lang w:val="en-US"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5A819989">
                  <w:pPr>
                    <w:pStyle w:val="58"/>
                    <w:adjustRightInd w:val="0"/>
                    <w:snapToGrid w:val="0"/>
                    <w:jc w:val="center"/>
                    <w:rPr>
                      <w:rFonts w:hint="default"/>
                      <w:sz w:val="21"/>
                      <w:szCs w:val="21"/>
                      <w:lang w:val="en-US" w:eastAsia="zh-CN"/>
                    </w:rPr>
                  </w:pPr>
                  <w:r>
                    <w:rPr>
                      <w:rFonts w:hint="eastAsia"/>
                      <w:sz w:val="21"/>
                      <w:szCs w:val="21"/>
                      <w:lang w:val="en-US"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79F5883C">
                  <w:pPr>
                    <w:pStyle w:val="58"/>
                    <w:adjustRightInd w:val="0"/>
                    <w:snapToGrid w:val="0"/>
                    <w:jc w:val="center"/>
                    <w:rPr>
                      <w:rFonts w:hint="default"/>
                      <w:sz w:val="21"/>
                      <w:szCs w:val="21"/>
                      <w:lang w:val="en-US" w:eastAsia="zh-CN"/>
                    </w:rPr>
                  </w:pPr>
                  <w:r>
                    <w:rPr>
                      <w:rFonts w:hint="eastAsia"/>
                      <w:sz w:val="21"/>
                      <w:szCs w:val="21"/>
                      <w:lang w:val="en-US"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5C5CAB66">
                  <w:pPr>
                    <w:pStyle w:val="58"/>
                    <w:adjustRightInd w:val="0"/>
                    <w:snapToGrid w:val="0"/>
                    <w:jc w:val="center"/>
                    <w:rPr>
                      <w:rFonts w:hint="default"/>
                      <w:sz w:val="21"/>
                      <w:szCs w:val="21"/>
                      <w:lang w:val="en-US" w:eastAsia="zh-CN"/>
                    </w:rPr>
                  </w:pPr>
                  <w:r>
                    <w:rPr>
                      <w:rFonts w:hint="eastAsia"/>
                      <w:sz w:val="21"/>
                      <w:szCs w:val="21"/>
                      <w:lang w:val="en-US"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5A50FD10">
                  <w:pPr>
                    <w:pStyle w:val="58"/>
                    <w:adjustRightInd w:val="0"/>
                    <w:snapToGrid w:val="0"/>
                    <w:jc w:val="center"/>
                    <w:rPr>
                      <w:rFonts w:hint="default"/>
                      <w:sz w:val="21"/>
                      <w:szCs w:val="21"/>
                      <w:lang w:val="en-US" w:eastAsia="zh-CN"/>
                    </w:rPr>
                  </w:pPr>
                  <w:r>
                    <w:rPr>
                      <w:rFonts w:hint="eastAsia"/>
                      <w:sz w:val="21"/>
                      <w:szCs w:val="21"/>
                      <w:lang w:val="en-US" w:eastAsia="zh-CN"/>
                    </w:rPr>
                    <w:t>1台</w:t>
                  </w:r>
                </w:p>
              </w:tc>
              <w:tc>
                <w:tcPr>
                  <w:tcW w:w="343" w:type="pct"/>
                  <w:tcBorders>
                    <w:top w:val="single" w:color="000000" w:sz="4" w:space="0"/>
                    <w:left w:val="single" w:color="000000" w:sz="4" w:space="0"/>
                    <w:bottom w:val="single" w:color="000000" w:sz="4" w:space="0"/>
                  </w:tcBorders>
                  <w:noWrap w:val="0"/>
                  <w:vAlign w:val="center"/>
                </w:tcPr>
                <w:p w14:paraId="7F8351FC">
                  <w:pPr>
                    <w:adjustRightInd w:val="0"/>
                    <w:snapToGrid w:val="0"/>
                    <w:jc w:val="center"/>
                    <w:rPr>
                      <w:rFonts w:hint="eastAsia"/>
                      <w:sz w:val="21"/>
                      <w:szCs w:val="21"/>
                      <w:lang w:eastAsia="zh-CN"/>
                    </w:rPr>
                  </w:pPr>
                  <w:r>
                    <w:rPr>
                      <w:rFonts w:hint="eastAsia"/>
                      <w:sz w:val="21"/>
                      <w:szCs w:val="21"/>
                      <w:lang w:eastAsia="zh-CN"/>
                    </w:rPr>
                    <w:t>/</w:t>
                  </w:r>
                </w:p>
              </w:tc>
            </w:tr>
            <w:tr w14:paraId="12A3FA76">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27" w:type="pct"/>
                  <w:tcBorders>
                    <w:top w:val="single" w:color="auto" w:sz="4" w:space="0"/>
                    <w:bottom w:val="single" w:color="auto" w:sz="4" w:space="0"/>
                    <w:right w:val="single" w:color="auto" w:sz="4" w:space="0"/>
                  </w:tcBorders>
                  <w:noWrap w:val="0"/>
                  <w:vAlign w:val="center"/>
                </w:tcPr>
                <w:p w14:paraId="1E327814">
                  <w:pPr>
                    <w:pStyle w:val="58"/>
                    <w:adjustRightInd w:val="0"/>
                    <w:snapToGrid w:val="0"/>
                    <w:jc w:val="center"/>
                    <w:rPr>
                      <w:rFonts w:hint="default"/>
                      <w:sz w:val="21"/>
                      <w:szCs w:val="21"/>
                      <w:lang w:val="en-US" w:eastAsia="zh-CN"/>
                    </w:rPr>
                  </w:pPr>
                  <w:r>
                    <w:rPr>
                      <w:rFonts w:hint="eastAsia"/>
                      <w:sz w:val="21"/>
                      <w:szCs w:val="21"/>
                      <w:lang w:val="en-US" w:eastAsia="zh-CN"/>
                    </w:rPr>
                    <w:t>3</w:t>
                  </w:r>
                </w:p>
              </w:tc>
              <w:tc>
                <w:tcPr>
                  <w:tcW w:w="321" w:type="pct"/>
                  <w:vMerge w:val="continue"/>
                  <w:tcBorders>
                    <w:left w:val="single" w:color="auto" w:sz="4" w:space="0"/>
                    <w:right w:val="single" w:color="000000" w:sz="4" w:space="0"/>
                  </w:tcBorders>
                  <w:noWrap w:val="0"/>
                  <w:vAlign w:val="center"/>
                </w:tcPr>
                <w:p w14:paraId="2F6622A0">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41E92470">
                  <w:pPr>
                    <w:pStyle w:val="58"/>
                    <w:adjustRightInd w:val="0"/>
                    <w:snapToGrid w:val="0"/>
                    <w:jc w:val="center"/>
                    <w:rPr>
                      <w:rFonts w:hint="eastAsia"/>
                      <w:sz w:val="21"/>
                      <w:szCs w:val="21"/>
                      <w:lang w:val="en-US" w:eastAsia="zh-CN"/>
                    </w:rPr>
                  </w:pPr>
                </w:p>
              </w:tc>
              <w:tc>
                <w:tcPr>
                  <w:tcW w:w="480" w:type="pct"/>
                  <w:vMerge w:val="continue"/>
                  <w:tcBorders>
                    <w:left w:val="single" w:color="000000" w:sz="4" w:space="0"/>
                    <w:right w:val="single" w:color="000000" w:sz="4" w:space="0"/>
                  </w:tcBorders>
                  <w:noWrap w:val="0"/>
                  <w:vAlign w:val="center"/>
                </w:tcPr>
                <w:p w14:paraId="4A7D7337">
                  <w:pPr>
                    <w:adjustRightInd w:val="0"/>
                    <w:snapToGrid w:val="0"/>
                    <w:jc w:val="center"/>
                    <w:rPr>
                      <w:rFonts w:hint="eastAsia"/>
                      <w:sz w:val="21"/>
                      <w:szCs w:val="21"/>
                      <w:lang w:val="en-US" w:eastAsia="zh-CN"/>
                    </w:rPr>
                  </w:pPr>
                </w:p>
              </w:tc>
              <w:tc>
                <w:tcPr>
                  <w:tcW w:w="750" w:type="pct"/>
                  <w:tcBorders>
                    <w:top w:val="single" w:color="000000" w:sz="4" w:space="0"/>
                    <w:left w:val="single" w:color="000000" w:sz="4" w:space="0"/>
                    <w:bottom w:val="single" w:color="000000" w:sz="4" w:space="0"/>
                    <w:right w:val="single" w:color="000000" w:sz="4" w:space="0"/>
                  </w:tcBorders>
                  <w:noWrap w:val="0"/>
                  <w:vAlign w:val="center"/>
                </w:tcPr>
                <w:p w14:paraId="4229A133">
                  <w:pPr>
                    <w:pStyle w:val="58"/>
                    <w:adjustRightInd w:val="0"/>
                    <w:snapToGrid w:val="0"/>
                    <w:jc w:val="center"/>
                    <w:rPr>
                      <w:rFonts w:hint="default"/>
                      <w:sz w:val="21"/>
                      <w:szCs w:val="21"/>
                      <w:lang w:val="en-US" w:eastAsia="zh-CN"/>
                    </w:rPr>
                  </w:pPr>
                  <w:r>
                    <w:rPr>
                      <w:rFonts w:hint="eastAsia"/>
                      <w:sz w:val="21"/>
                      <w:szCs w:val="21"/>
                      <w:lang w:val="en-US" w:eastAsia="zh-CN"/>
                    </w:rPr>
                    <w:t>预处理工作台</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BC6818D">
                  <w:pPr>
                    <w:pStyle w:val="58"/>
                    <w:adjustRightInd w:val="0"/>
                    <w:snapToGrid w:val="0"/>
                    <w:jc w:val="center"/>
                    <w:rPr>
                      <w:rFonts w:hint="default"/>
                      <w:sz w:val="21"/>
                      <w:szCs w:val="21"/>
                      <w:lang w:val="en-US" w:eastAsia="zh-CN"/>
                    </w:rPr>
                  </w:pPr>
                  <w:r>
                    <w:rPr>
                      <w:rFonts w:hint="eastAsia"/>
                      <w:sz w:val="21"/>
                      <w:szCs w:val="21"/>
                      <w:lang w:val="en-US" w:eastAsia="zh-CN"/>
                    </w:rPr>
                    <w:t>MF0003</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29A9CBE6">
                  <w:pPr>
                    <w:pStyle w:val="58"/>
                    <w:adjustRightInd w:val="0"/>
                    <w:snapToGrid w:val="0"/>
                    <w:jc w:val="center"/>
                    <w:rPr>
                      <w:rFonts w:hint="eastAsia"/>
                      <w:sz w:val="21"/>
                      <w:szCs w:val="21"/>
                      <w:lang w:val="en-US"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50C7508E">
                  <w:pPr>
                    <w:pStyle w:val="58"/>
                    <w:adjustRightInd w:val="0"/>
                    <w:snapToGrid w:val="0"/>
                    <w:jc w:val="center"/>
                    <w:rPr>
                      <w:rFonts w:hint="eastAsia"/>
                      <w:sz w:val="21"/>
                      <w:szCs w:val="21"/>
                      <w:lang w:val="en-US"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3F0A195C">
                  <w:pPr>
                    <w:pStyle w:val="58"/>
                    <w:adjustRightInd w:val="0"/>
                    <w:snapToGrid w:val="0"/>
                    <w:jc w:val="center"/>
                    <w:rPr>
                      <w:rFonts w:hint="eastAsia"/>
                      <w:sz w:val="21"/>
                      <w:szCs w:val="21"/>
                      <w:lang w:val="en-US"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09E77F5A">
                  <w:pPr>
                    <w:pStyle w:val="58"/>
                    <w:adjustRightInd w:val="0"/>
                    <w:snapToGrid w:val="0"/>
                    <w:jc w:val="center"/>
                    <w:rPr>
                      <w:rFonts w:hint="eastAsia"/>
                      <w:sz w:val="21"/>
                      <w:szCs w:val="21"/>
                      <w:lang w:val="en-US" w:eastAsia="zh-CN"/>
                    </w:rPr>
                  </w:pPr>
                  <w:r>
                    <w:rPr>
                      <w:rFonts w:hint="eastAsia"/>
                      <w:sz w:val="21"/>
                      <w:szCs w:val="21"/>
                      <w:lang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4D387766">
                  <w:pPr>
                    <w:adjustRightInd w:val="0"/>
                    <w:snapToGrid w:val="0"/>
                    <w:jc w:val="center"/>
                    <w:rPr>
                      <w:rFonts w:hint="eastAsia"/>
                      <w:sz w:val="21"/>
                      <w:szCs w:val="21"/>
                      <w:lang w:val="en-US" w:eastAsia="zh-CN"/>
                    </w:rPr>
                  </w:pPr>
                  <w:r>
                    <w:rPr>
                      <w:rFonts w:hint="eastAsia"/>
                      <w:sz w:val="21"/>
                      <w:szCs w:val="21"/>
                      <w:lang w:val="en-US" w:eastAsia="zh-CN"/>
                    </w:rPr>
                    <w:t>1台</w:t>
                  </w:r>
                </w:p>
              </w:tc>
              <w:tc>
                <w:tcPr>
                  <w:tcW w:w="343" w:type="pct"/>
                  <w:tcBorders>
                    <w:top w:val="single" w:color="000000" w:sz="4" w:space="0"/>
                    <w:left w:val="single" w:color="000000" w:sz="4" w:space="0"/>
                    <w:bottom w:val="single" w:color="000000" w:sz="4" w:space="0"/>
                  </w:tcBorders>
                  <w:noWrap w:val="0"/>
                  <w:vAlign w:val="center"/>
                </w:tcPr>
                <w:p w14:paraId="76D5133A">
                  <w:pPr>
                    <w:adjustRightInd w:val="0"/>
                    <w:snapToGrid w:val="0"/>
                    <w:jc w:val="center"/>
                    <w:rPr>
                      <w:rFonts w:hint="eastAsia"/>
                      <w:sz w:val="21"/>
                      <w:szCs w:val="21"/>
                      <w:lang w:eastAsia="zh-CN"/>
                    </w:rPr>
                  </w:pPr>
                  <w:r>
                    <w:rPr>
                      <w:rFonts w:hint="eastAsia"/>
                      <w:sz w:val="21"/>
                      <w:szCs w:val="21"/>
                      <w:lang w:eastAsia="zh-CN"/>
                    </w:rPr>
                    <w:t>/</w:t>
                  </w:r>
                </w:p>
              </w:tc>
            </w:tr>
            <w:tr w14:paraId="142B1BCB">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27" w:type="pct"/>
                  <w:tcBorders>
                    <w:top w:val="single" w:color="auto" w:sz="4" w:space="0"/>
                    <w:bottom w:val="single" w:color="auto" w:sz="4" w:space="0"/>
                    <w:right w:val="single" w:color="auto" w:sz="4" w:space="0"/>
                  </w:tcBorders>
                  <w:noWrap w:val="0"/>
                  <w:vAlign w:val="center"/>
                </w:tcPr>
                <w:p w14:paraId="6F90B887">
                  <w:pPr>
                    <w:pStyle w:val="58"/>
                    <w:adjustRightInd w:val="0"/>
                    <w:snapToGrid w:val="0"/>
                    <w:jc w:val="center"/>
                    <w:rPr>
                      <w:rFonts w:hint="default"/>
                      <w:sz w:val="21"/>
                      <w:szCs w:val="21"/>
                      <w:lang w:val="en-US" w:eastAsia="zh-CN"/>
                    </w:rPr>
                  </w:pPr>
                  <w:r>
                    <w:rPr>
                      <w:rFonts w:hint="eastAsia"/>
                      <w:sz w:val="21"/>
                      <w:szCs w:val="21"/>
                      <w:lang w:val="en-US" w:eastAsia="zh-CN"/>
                    </w:rPr>
                    <w:t>4</w:t>
                  </w:r>
                </w:p>
              </w:tc>
              <w:tc>
                <w:tcPr>
                  <w:tcW w:w="321" w:type="pct"/>
                  <w:vMerge w:val="continue"/>
                  <w:tcBorders>
                    <w:left w:val="single" w:color="auto" w:sz="4" w:space="0"/>
                    <w:right w:val="single" w:color="000000" w:sz="4" w:space="0"/>
                  </w:tcBorders>
                  <w:noWrap w:val="0"/>
                  <w:vAlign w:val="center"/>
                </w:tcPr>
                <w:p w14:paraId="2C712448">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38385E77">
                  <w:pPr>
                    <w:pStyle w:val="58"/>
                    <w:adjustRightInd w:val="0"/>
                    <w:snapToGrid w:val="0"/>
                    <w:jc w:val="center"/>
                    <w:rPr>
                      <w:rFonts w:hint="eastAsia"/>
                      <w:sz w:val="21"/>
                      <w:szCs w:val="21"/>
                      <w:lang w:val="en-US" w:eastAsia="zh-CN"/>
                    </w:rPr>
                  </w:pPr>
                </w:p>
              </w:tc>
              <w:tc>
                <w:tcPr>
                  <w:tcW w:w="480" w:type="pct"/>
                  <w:vMerge w:val="continue"/>
                  <w:tcBorders>
                    <w:left w:val="single" w:color="000000" w:sz="4" w:space="0"/>
                    <w:right w:val="single" w:color="000000" w:sz="4" w:space="0"/>
                  </w:tcBorders>
                  <w:noWrap w:val="0"/>
                  <w:vAlign w:val="center"/>
                </w:tcPr>
                <w:p w14:paraId="547D3DDB">
                  <w:pPr>
                    <w:adjustRightInd w:val="0"/>
                    <w:snapToGrid w:val="0"/>
                    <w:jc w:val="center"/>
                    <w:rPr>
                      <w:rFonts w:hint="eastAsia"/>
                      <w:sz w:val="21"/>
                      <w:szCs w:val="21"/>
                      <w:lang w:val="en-US" w:eastAsia="zh-CN"/>
                    </w:rPr>
                  </w:pPr>
                </w:p>
              </w:tc>
              <w:tc>
                <w:tcPr>
                  <w:tcW w:w="750" w:type="pct"/>
                  <w:tcBorders>
                    <w:top w:val="single" w:color="000000" w:sz="4" w:space="0"/>
                    <w:left w:val="single" w:color="000000" w:sz="4" w:space="0"/>
                    <w:bottom w:val="single" w:color="000000" w:sz="4" w:space="0"/>
                    <w:right w:val="single" w:color="000000" w:sz="4" w:space="0"/>
                  </w:tcBorders>
                  <w:noWrap w:val="0"/>
                  <w:vAlign w:val="center"/>
                </w:tcPr>
                <w:p w14:paraId="1E637FE2">
                  <w:pPr>
                    <w:pStyle w:val="58"/>
                    <w:adjustRightInd w:val="0"/>
                    <w:snapToGrid w:val="0"/>
                    <w:jc w:val="center"/>
                    <w:rPr>
                      <w:rFonts w:hint="default"/>
                      <w:sz w:val="21"/>
                      <w:szCs w:val="21"/>
                      <w:lang w:val="en-US" w:eastAsia="zh-CN"/>
                    </w:rPr>
                  </w:pPr>
                  <w:r>
                    <w:rPr>
                      <w:rFonts w:hint="eastAsia"/>
                      <w:sz w:val="21"/>
                      <w:szCs w:val="21"/>
                      <w:lang w:val="en-US" w:eastAsia="zh-CN"/>
                    </w:rPr>
                    <w:t>冷媒回收机</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7E9FEB94">
                  <w:pPr>
                    <w:pStyle w:val="58"/>
                    <w:adjustRightInd w:val="0"/>
                    <w:snapToGrid w:val="0"/>
                    <w:jc w:val="center"/>
                    <w:rPr>
                      <w:rFonts w:hint="default"/>
                      <w:sz w:val="21"/>
                      <w:szCs w:val="21"/>
                      <w:lang w:val="en-US" w:eastAsia="zh-CN"/>
                    </w:rPr>
                  </w:pPr>
                  <w:r>
                    <w:rPr>
                      <w:rFonts w:hint="eastAsia"/>
                      <w:sz w:val="21"/>
                      <w:szCs w:val="21"/>
                      <w:lang w:val="en-US" w:eastAsia="zh-CN"/>
                    </w:rPr>
                    <w:t>MF0004</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47BD75C0">
                  <w:pPr>
                    <w:pStyle w:val="58"/>
                    <w:adjustRightInd w:val="0"/>
                    <w:snapToGrid w:val="0"/>
                    <w:jc w:val="center"/>
                    <w:rPr>
                      <w:rFonts w:hint="eastAsia"/>
                      <w:sz w:val="21"/>
                      <w:szCs w:val="21"/>
                      <w:lang w:val="en-US"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12E8B8A0">
                  <w:pPr>
                    <w:pStyle w:val="58"/>
                    <w:adjustRightInd w:val="0"/>
                    <w:snapToGrid w:val="0"/>
                    <w:jc w:val="center"/>
                    <w:rPr>
                      <w:rFonts w:hint="eastAsia"/>
                      <w:sz w:val="21"/>
                      <w:szCs w:val="21"/>
                      <w:lang w:val="en-US"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50CAD7AE">
                  <w:pPr>
                    <w:pStyle w:val="58"/>
                    <w:adjustRightInd w:val="0"/>
                    <w:snapToGrid w:val="0"/>
                    <w:jc w:val="center"/>
                    <w:rPr>
                      <w:rFonts w:hint="eastAsia"/>
                      <w:sz w:val="21"/>
                      <w:szCs w:val="21"/>
                      <w:lang w:val="en-US"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7B5E300D">
                  <w:pPr>
                    <w:pStyle w:val="58"/>
                    <w:adjustRightInd w:val="0"/>
                    <w:snapToGrid w:val="0"/>
                    <w:jc w:val="center"/>
                    <w:rPr>
                      <w:rFonts w:hint="eastAsia"/>
                      <w:sz w:val="21"/>
                      <w:szCs w:val="21"/>
                      <w:lang w:val="en-US" w:eastAsia="zh-CN"/>
                    </w:rPr>
                  </w:pPr>
                  <w:r>
                    <w:rPr>
                      <w:rFonts w:hint="eastAsia"/>
                      <w:sz w:val="21"/>
                      <w:szCs w:val="21"/>
                      <w:lang w:val="en-US"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44F24326">
                  <w:pPr>
                    <w:adjustRightInd w:val="0"/>
                    <w:snapToGrid w:val="0"/>
                    <w:jc w:val="center"/>
                    <w:rPr>
                      <w:rFonts w:hint="eastAsia"/>
                      <w:sz w:val="21"/>
                      <w:szCs w:val="21"/>
                      <w:lang w:val="en-US" w:eastAsia="zh-CN"/>
                    </w:rPr>
                  </w:pPr>
                  <w:r>
                    <w:rPr>
                      <w:rFonts w:hint="eastAsia"/>
                      <w:sz w:val="21"/>
                      <w:szCs w:val="21"/>
                      <w:lang w:val="en-US" w:eastAsia="zh-CN"/>
                    </w:rPr>
                    <w:t>1台</w:t>
                  </w:r>
                </w:p>
              </w:tc>
              <w:tc>
                <w:tcPr>
                  <w:tcW w:w="343" w:type="pct"/>
                  <w:tcBorders>
                    <w:top w:val="single" w:color="000000" w:sz="4" w:space="0"/>
                    <w:left w:val="single" w:color="000000" w:sz="4" w:space="0"/>
                    <w:bottom w:val="single" w:color="000000" w:sz="4" w:space="0"/>
                  </w:tcBorders>
                  <w:noWrap w:val="0"/>
                  <w:vAlign w:val="center"/>
                </w:tcPr>
                <w:p w14:paraId="1EB8F335">
                  <w:pPr>
                    <w:adjustRightInd w:val="0"/>
                    <w:snapToGrid w:val="0"/>
                    <w:jc w:val="center"/>
                    <w:rPr>
                      <w:rFonts w:hint="eastAsia"/>
                      <w:sz w:val="21"/>
                      <w:szCs w:val="21"/>
                      <w:lang w:eastAsia="zh-CN"/>
                    </w:rPr>
                  </w:pPr>
                  <w:r>
                    <w:rPr>
                      <w:rFonts w:hint="eastAsia"/>
                      <w:sz w:val="21"/>
                      <w:szCs w:val="21"/>
                      <w:lang w:eastAsia="zh-CN"/>
                    </w:rPr>
                    <w:t>/</w:t>
                  </w:r>
                </w:p>
              </w:tc>
            </w:tr>
            <w:tr w14:paraId="3585EB60">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27" w:type="pct"/>
                  <w:tcBorders>
                    <w:top w:val="single" w:color="auto" w:sz="4" w:space="0"/>
                    <w:bottom w:val="single" w:color="auto" w:sz="4" w:space="0"/>
                    <w:right w:val="single" w:color="auto" w:sz="4" w:space="0"/>
                  </w:tcBorders>
                  <w:noWrap w:val="0"/>
                  <w:vAlign w:val="center"/>
                </w:tcPr>
                <w:p w14:paraId="30C62983">
                  <w:pPr>
                    <w:pStyle w:val="58"/>
                    <w:adjustRightInd w:val="0"/>
                    <w:snapToGrid w:val="0"/>
                    <w:jc w:val="center"/>
                    <w:rPr>
                      <w:rFonts w:hint="default"/>
                      <w:sz w:val="21"/>
                      <w:szCs w:val="21"/>
                      <w:lang w:val="en-US" w:eastAsia="zh-CN"/>
                    </w:rPr>
                  </w:pPr>
                  <w:r>
                    <w:rPr>
                      <w:rFonts w:hint="eastAsia"/>
                      <w:sz w:val="21"/>
                      <w:szCs w:val="21"/>
                      <w:lang w:val="en-US" w:eastAsia="zh-CN"/>
                    </w:rPr>
                    <w:t>5</w:t>
                  </w:r>
                </w:p>
              </w:tc>
              <w:tc>
                <w:tcPr>
                  <w:tcW w:w="321" w:type="pct"/>
                  <w:vMerge w:val="continue"/>
                  <w:tcBorders>
                    <w:left w:val="single" w:color="auto" w:sz="4" w:space="0"/>
                    <w:right w:val="single" w:color="000000" w:sz="4" w:space="0"/>
                  </w:tcBorders>
                  <w:noWrap w:val="0"/>
                  <w:vAlign w:val="center"/>
                </w:tcPr>
                <w:p w14:paraId="01DDE26B">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2DD967F4">
                  <w:pPr>
                    <w:pStyle w:val="58"/>
                    <w:adjustRightInd w:val="0"/>
                    <w:snapToGrid w:val="0"/>
                    <w:jc w:val="center"/>
                    <w:rPr>
                      <w:rFonts w:hint="eastAsia"/>
                      <w:sz w:val="21"/>
                      <w:szCs w:val="21"/>
                      <w:lang w:val="en-US" w:eastAsia="zh-CN"/>
                    </w:rPr>
                  </w:pPr>
                </w:p>
              </w:tc>
              <w:tc>
                <w:tcPr>
                  <w:tcW w:w="480" w:type="pct"/>
                  <w:vMerge w:val="continue"/>
                  <w:tcBorders>
                    <w:left w:val="single" w:color="000000" w:sz="4" w:space="0"/>
                    <w:bottom w:val="single" w:color="auto" w:sz="4" w:space="0"/>
                    <w:right w:val="single" w:color="000000" w:sz="4" w:space="0"/>
                  </w:tcBorders>
                  <w:noWrap w:val="0"/>
                  <w:vAlign w:val="center"/>
                </w:tcPr>
                <w:p w14:paraId="47F5A72E">
                  <w:pPr>
                    <w:adjustRightInd w:val="0"/>
                    <w:snapToGrid w:val="0"/>
                    <w:jc w:val="center"/>
                    <w:rPr>
                      <w:rFonts w:hint="eastAsia"/>
                      <w:sz w:val="21"/>
                      <w:szCs w:val="21"/>
                      <w:lang w:val="en-US" w:eastAsia="zh-CN"/>
                    </w:rPr>
                  </w:pPr>
                </w:p>
              </w:tc>
              <w:tc>
                <w:tcPr>
                  <w:tcW w:w="750" w:type="pct"/>
                  <w:tcBorders>
                    <w:top w:val="single" w:color="000000" w:sz="4" w:space="0"/>
                    <w:left w:val="single" w:color="000000" w:sz="4" w:space="0"/>
                    <w:bottom w:val="single" w:color="000000" w:sz="4" w:space="0"/>
                    <w:right w:val="single" w:color="000000" w:sz="4" w:space="0"/>
                  </w:tcBorders>
                  <w:noWrap w:val="0"/>
                  <w:vAlign w:val="center"/>
                </w:tcPr>
                <w:p w14:paraId="0FAEDCDA">
                  <w:pPr>
                    <w:pStyle w:val="58"/>
                    <w:adjustRightInd w:val="0"/>
                    <w:snapToGrid w:val="0"/>
                    <w:jc w:val="center"/>
                    <w:rPr>
                      <w:rFonts w:hint="default"/>
                      <w:sz w:val="21"/>
                      <w:szCs w:val="21"/>
                      <w:lang w:val="en-US" w:eastAsia="zh-CN"/>
                    </w:rPr>
                  </w:pPr>
                  <w:r>
                    <w:rPr>
                      <w:rFonts w:hint="eastAsia"/>
                      <w:sz w:val="21"/>
                      <w:szCs w:val="21"/>
                      <w:lang w:val="en-US" w:eastAsia="zh-CN"/>
                    </w:rPr>
                    <w:t>移动式四柱举升机</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5C14ECC">
                  <w:pPr>
                    <w:pStyle w:val="58"/>
                    <w:adjustRightInd w:val="0"/>
                    <w:snapToGrid w:val="0"/>
                    <w:jc w:val="center"/>
                    <w:rPr>
                      <w:rFonts w:hint="default"/>
                      <w:sz w:val="21"/>
                      <w:szCs w:val="21"/>
                      <w:lang w:val="en-US" w:eastAsia="zh-CN"/>
                    </w:rPr>
                  </w:pPr>
                  <w:r>
                    <w:rPr>
                      <w:rFonts w:hint="eastAsia"/>
                      <w:sz w:val="21"/>
                      <w:szCs w:val="21"/>
                      <w:lang w:val="en-US" w:eastAsia="zh-CN"/>
                    </w:rPr>
                    <w:t>MF0005</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4F78181F">
                  <w:pPr>
                    <w:pStyle w:val="58"/>
                    <w:adjustRightInd w:val="0"/>
                    <w:snapToGrid w:val="0"/>
                    <w:jc w:val="center"/>
                    <w:rPr>
                      <w:rFonts w:hint="eastAsia"/>
                      <w:sz w:val="21"/>
                      <w:szCs w:val="21"/>
                      <w:lang w:val="en-US"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59E62CDB">
                  <w:pPr>
                    <w:pStyle w:val="58"/>
                    <w:adjustRightInd w:val="0"/>
                    <w:snapToGrid w:val="0"/>
                    <w:jc w:val="center"/>
                    <w:rPr>
                      <w:rFonts w:hint="eastAsia"/>
                      <w:sz w:val="21"/>
                      <w:szCs w:val="21"/>
                      <w:lang w:val="en-US"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629AD552">
                  <w:pPr>
                    <w:pStyle w:val="58"/>
                    <w:adjustRightInd w:val="0"/>
                    <w:snapToGrid w:val="0"/>
                    <w:jc w:val="center"/>
                    <w:rPr>
                      <w:rFonts w:hint="eastAsia"/>
                      <w:sz w:val="21"/>
                      <w:szCs w:val="21"/>
                      <w:lang w:val="en-US"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7E04A92B">
                  <w:pPr>
                    <w:pStyle w:val="58"/>
                    <w:adjustRightInd w:val="0"/>
                    <w:snapToGrid w:val="0"/>
                    <w:jc w:val="center"/>
                    <w:rPr>
                      <w:rFonts w:hint="eastAsia"/>
                      <w:sz w:val="21"/>
                      <w:szCs w:val="21"/>
                      <w:lang w:val="en-US" w:eastAsia="zh-CN"/>
                    </w:rPr>
                  </w:pPr>
                  <w:r>
                    <w:rPr>
                      <w:rFonts w:hint="eastAsia"/>
                      <w:sz w:val="21"/>
                      <w:szCs w:val="21"/>
                      <w:lang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6E612B42">
                  <w:pPr>
                    <w:adjustRightInd w:val="0"/>
                    <w:snapToGrid w:val="0"/>
                    <w:jc w:val="center"/>
                    <w:rPr>
                      <w:rFonts w:hint="eastAsia"/>
                      <w:sz w:val="21"/>
                      <w:szCs w:val="21"/>
                      <w:lang w:val="en-US" w:eastAsia="zh-CN"/>
                    </w:rPr>
                  </w:pPr>
                  <w:r>
                    <w:rPr>
                      <w:rFonts w:hint="eastAsia"/>
                      <w:sz w:val="21"/>
                      <w:szCs w:val="21"/>
                      <w:lang w:val="en-US" w:eastAsia="zh-CN"/>
                    </w:rPr>
                    <w:t>1台</w:t>
                  </w:r>
                </w:p>
              </w:tc>
              <w:tc>
                <w:tcPr>
                  <w:tcW w:w="343" w:type="pct"/>
                  <w:tcBorders>
                    <w:top w:val="single" w:color="000000" w:sz="4" w:space="0"/>
                    <w:left w:val="single" w:color="000000" w:sz="4" w:space="0"/>
                    <w:bottom w:val="single" w:color="000000" w:sz="4" w:space="0"/>
                  </w:tcBorders>
                  <w:noWrap w:val="0"/>
                  <w:vAlign w:val="center"/>
                </w:tcPr>
                <w:p w14:paraId="22AFA315">
                  <w:pPr>
                    <w:adjustRightInd w:val="0"/>
                    <w:snapToGrid w:val="0"/>
                    <w:jc w:val="center"/>
                    <w:rPr>
                      <w:rFonts w:hint="eastAsia"/>
                      <w:sz w:val="21"/>
                      <w:szCs w:val="21"/>
                      <w:lang w:eastAsia="zh-CN"/>
                    </w:rPr>
                  </w:pPr>
                  <w:r>
                    <w:rPr>
                      <w:rFonts w:hint="eastAsia"/>
                      <w:sz w:val="21"/>
                      <w:szCs w:val="21"/>
                      <w:lang w:eastAsia="zh-CN"/>
                    </w:rPr>
                    <w:t>/</w:t>
                  </w:r>
                </w:p>
              </w:tc>
            </w:tr>
            <w:tr w14:paraId="41749B25">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27" w:type="pct"/>
                  <w:tcBorders>
                    <w:top w:val="single" w:color="auto" w:sz="4" w:space="0"/>
                    <w:bottom w:val="single" w:color="auto" w:sz="4" w:space="0"/>
                    <w:right w:val="single" w:color="auto" w:sz="4" w:space="0"/>
                  </w:tcBorders>
                  <w:noWrap w:val="0"/>
                  <w:vAlign w:val="center"/>
                </w:tcPr>
                <w:p w14:paraId="30A39BD1">
                  <w:pPr>
                    <w:pStyle w:val="58"/>
                    <w:adjustRightInd w:val="0"/>
                    <w:snapToGrid w:val="0"/>
                    <w:jc w:val="center"/>
                    <w:rPr>
                      <w:rFonts w:hint="default"/>
                      <w:sz w:val="21"/>
                      <w:szCs w:val="21"/>
                      <w:lang w:val="en-US" w:eastAsia="zh-CN"/>
                    </w:rPr>
                  </w:pPr>
                  <w:r>
                    <w:rPr>
                      <w:rFonts w:hint="eastAsia"/>
                      <w:sz w:val="21"/>
                      <w:szCs w:val="21"/>
                      <w:lang w:val="en-US" w:eastAsia="zh-CN"/>
                    </w:rPr>
                    <w:t>6</w:t>
                  </w:r>
                </w:p>
              </w:tc>
              <w:tc>
                <w:tcPr>
                  <w:tcW w:w="321" w:type="pct"/>
                  <w:vMerge w:val="continue"/>
                  <w:tcBorders>
                    <w:left w:val="single" w:color="auto" w:sz="4" w:space="0"/>
                    <w:right w:val="single" w:color="000000" w:sz="4" w:space="0"/>
                  </w:tcBorders>
                  <w:noWrap w:val="0"/>
                  <w:vAlign w:val="center"/>
                </w:tcPr>
                <w:p w14:paraId="1825B3D6">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0D9D40BF">
                  <w:pPr>
                    <w:pStyle w:val="58"/>
                    <w:adjustRightInd w:val="0"/>
                    <w:snapToGrid w:val="0"/>
                    <w:jc w:val="center"/>
                    <w:rPr>
                      <w:rFonts w:hint="default"/>
                      <w:sz w:val="21"/>
                      <w:szCs w:val="21"/>
                      <w:lang w:val="en-US" w:eastAsia="zh-CN"/>
                    </w:rPr>
                  </w:pPr>
                </w:p>
              </w:tc>
              <w:tc>
                <w:tcPr>
                  <w:tcW w:w="480" w:type="pct"/>
                  <w:vMerge w:val="restart"/>
                  <w:tcBorders>
                    <w:top w:val="single" w:color="auto" w:sz="4" w:space="0"/>
                    <w:left w:val="single" w:color="auto" w:sz="4" w:space="0"/>
                    <w:bottom w:val="single" w:color="auto" w:sz="4" w:space="0"/>
                    <w:right w:val="single" w:color="auto" w:sz="4" w:space="0"/>
                  </w:tcBorders>
                  <w:noWrap w:val="0"/>
                  <w:vAlign w:val="center"/>
                </w:tcPr>
                <w:p w14:paraId="6728386B">
                  <w:pPr>
                    <w:pStyle w:val="58"/>
                    <w:adjustRightInd w:val="0"/>
                    <w:snapToGrid w:val="0"/>
                    <w:jc w:val="center"/>
                    <w:rPr>
                      <w:rFonts w:hint="default"/>
                      <w:sz w:val="21"/>
                      <w:szCs w:val="21"/>
                      <w:lang w:val="en-US" w:eastAsia="zh-CN"/>
                    </w:rPr>
                  </w:pPr>
                  <w:r>
                    <w:rPr>
                      <w:rFonts w:hint="eastAsia"/>
                      <w:sz w:val="21"/>
                      <w:szCs w:val="21"/>
                      <w:lang w:val="en-US" w:eastAsia="zh-CN"/>
                    </w:rPr>
                    <w:t>拆解</w:t>
                  </w:r>
                </w:p>
              </w:tc>
              <w:tc>
                <w:tcPr>
                  <w:tcW w:w="750" w:type="pct"/>
                  <w:tcBorders>
                    <w:top w:val="single" w:color="000000" w:sz="4" w:space="0"/>
                    <w:left w:val="single" w:color="auto" w:sz="4" w:space="0"/>
                    <w:bottom w:val="single" w:color="000000" w:sz="4" w:space="0"/>
                    <w:right w:val="single" w:color="000000" w:sz="4" w:space="0"/>
                  </w:tcBorders>
                  <w:noWrap w:val="0"/>
                  <w:vAlign w:val="center"/>
                </w:tcPr>
                <w:p w14:paraId="6BC518B7">
                  <w:pPr>
                    <w:pStyle w:val="58"/>
                    <w:adjustRightInd w:val="0"/>
                    <w:snapToGrid w:val="0"/>
                    <w:jc w:val="center"/>
                    <w:rPr>
                      <w:rFonts w:hint="default"/>
                      <w:sz w:val="21"/>
                      <w:szCs w:val="21"/>
                      <w:lang w:val="en-US" w:eastAsia="zh-CN"/>
                    </w:rPr>
                  </w:pPr>
                  <w:r>
                    <w:rPr>
                      <w:rFonts w:hint="eastAsia"/>
                      <w:sz w:val="21"/>
                      <w:szCs w:val="21"/>
                      <w:lang w:val="en-US" w:eastAsia="zh-CN"/>
                    </w:rPr>
                    <w:t>固定式多功能拆解机械手</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45D53E05">
                  <w:pPr>
                    <w:pStyle w:val="58"/>
                    <w:adjustRightInd w:val="0"/>
                    <w:snapToGrid w:val="0"/>
                    <w:jc w:val="center"/>
                    <w:rPr>
                      <w:rFonts w:hint="default"/>
                      <w:sz w:val="21"/>
                      <w:szCs w:val="21"/>
                      <w:lang w:val="en-US" w:eastAsia="zh-CN"/>
                    </w:rPr>
                  </w:pPr>
                  <w:r>
                    <w:rPr>
                      <w:rFonts w:hint="eastAsia"/>
                      <w:sz w:val="21"/>
                      <w:szCs w:val="21"/>
                      <w:lang w:val="en-US" w:eastAsia="zh-CN"/>
                    </w:rPr>
                    <w:t>MF0006</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5B79AA81">
                  <w:pPr>
                    <w:pStyle w:val="58"/>
                    <w:adjustRightInd w:val="0"/>
                    <w:snapToGrid w:val="0"/>
                    <w:jc w:val="center"/>
                    <w:rPr>
                      <w:rFonts w:hint="default"/>
                      <w:sz w:val="21"/>
                      <w:szCs w:val="21"/>
                      <w:lang w:val="en-US"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6A93BBC5">
                  <w:pPr>
                    <w:pStyle w:val="58"/>
                    <w:adjustRightInd w:val="0"/>
                    <w:snapToGrid w:val="0"/>
                    <w:jc w:val="center"/>
                    <w:rPr>
                      <w:rFonts w:hint="eastAsia"/>
                      <w:sz w:val="21"/>
                      <w:szCs w:val="21"/>
                      <w:lang w:val="en-US"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3DD4ABC8">
                  <w:pPr>
                    <w:pStyle w:val="58"/>
                    <w:adjustRightInd w:val="0"/>
                    <w:snapToGrid w:val="0"/>
                    <w:jc w:val="center"/>
                    <w:rPr>
                      <w:rFonts w:hint="eastAsia"/>
                      <w:sz w:val="21"/>
                      <w:szCs w:val="21"/>
                      <w:lang w:val="en-US"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79C7CDD0">
                  <w:pPr>
                    <w:pStyle w:val="58"/>
                    <w:adjustRightInd w:val="0"/>
                    <w:snapToGrid w:val="0"/>
                    <w:jc w:val="center"/>
                    <w:rPr>
                      <w:rFonts w:hint="eastAsia"/>
                      <w:sz w:val="21"/>
                      <w:szCs w:val="21"/>
                      <w:lang w:val="en-US" w:eastAsia="zh-CN"/>
                    </w:rPr>
                  </w:pPr>
                  <w:r>
                    <w:rPr>
                      <w:rFonts w:hint="eastAsia"/>
                      <w:sz w:val="21"/>
                      <w:szCs w:val="21"/>
                      <w:lang w:val="en-US"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7778106D">
                  <w:pPr>
                    <w:adjustRightInd w:val="0"/>
                    <w:snapToGrid w:val="0"/>
                    <w:jc w:val="center"/>
                    <w:rPr>
                      <w:rFonts w:hint="default"/>
                      <w:sz w:val="21"/>
                      <w:szCs w:val="21"/>
                      <w:lang w:val="en-US" w:eastAsia="zh-CN"/>
                    </w:rPr>
                  </w:pPr>
                  <w:r>
                    <w:rPr>
                      <w:rFonts w:hint="eastAsia"/>
                      <w:sz w:val="21"/>
                      <w:szCs w:val="21"/>
                      <w:lang w:val="en-US" w:eastAsia="zh-CN"/>
                    </w:rPr>
                    <w:t>1台</w:t>
                  </w:r>
                </w:p>
              </w:tc>
              <w:tc>
                <w:tcPr>
                  <w:tcW w:w="343" w:type="pct"/>
                  <w:tcBorders>
                    <w:top w:val="single" w:color="000000" w:sz="4" w:space="0"/>
                    <w:left w:val="single" w:color="000000" w:sz="4" w:space="0"/>
                    <w:bottom w:val="single" w:color="000000" w:sz="4" w:space="0"/>
                  </w:tcBorders>
                  <w:noWrap w:val="0"/>
                  <w:vAlign w:val="center"/>
                </w:tcPr>
                <w:p w14:paraId="3ABECA41">
                  <w:pPr>
                    <w:adjustRightInd w:val="0"/>
                    <w:snapToGrid w:val="0"/>
                    <w:jc w:val="center"/>
                    <w:rPr>
                      <w:rFonts w:hint="eastAsia"/>
                      <w:sz w:val="21"/>
                      <w:szCs w:val="21"/>
                      <w:lang w:eastAsia="zh-CN"/>
                    </w:rPr>
                  </w:pPr>
                  <w:r>
                    <w:rPr>
                      <w:rFonts w:hint="eastAsia"/>
                      <w:sz w:val="21"/>
                      <w:szCs w:val="21"/>
                      <w:lang w:eastAsia="zh-CN"/>
                    </w:rPr>
                    <w:t>/</w:t>
                  </w:r>
                </w:p>
              </w:tc>
            </w:tr>
            <w:tr w14:paraId="74F35528">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27" w:type="pct"/>
                  <w:tcBorders>
                    <w:top w:val="single" w:color="auto" w:sz="4" w:space="0"/>
                    <w:bottom w:val="single" w:color="auto" w:sz="4" w:space="0"/>
                    <w:right w:val="single" w:color="auto" w:sz="4" w:space="0"/>
                  </w:tcBorders>
                  <w:noWrap w:val="0"/>
                  <w:vAlign w:val="center"/>
                </w:tcPr>
                <w:p w14:paraId="22452077">
                  <w:pPr>
                    <w:pStyle w:val="58"/>
                    <w:adjustRightInd w:val="0"/>
                    <w:snapToGrid w:val="0"/>
                    <w:jc w:val="center"/>
                    <w:rPr>
                      <w:rFonts w:hint="default"/>
                      <w:sz w:val="21"/>
                      <w:szCs w:val="21"/>
                      <w:lang w:val="en-US" w:eastAsia="zh-CN"/>
                    </w:rPr>
                  </w:pPr>
                  <w:r>
                    <w:rPr>
                      <w:rFonts w:hint="eastAsia"/>
                      <w:sz w:val="21"/>
                      <w:szCs w:val="21"/>
                      <w:lang w:val="en-US" w:eastAsia="zh-CN"/>
                    </w:rPr>
                    <w:t>7</w:t>
                  </w:r>
                </w:p>
              </w:tc>
              <w:tc>
                <w:tcPr>
                  <w:tcW w:w="321" w:type="pct"/>
                  <w:vMerge w:val="continue"/>
                  <w:tcBorders>
                    <w:left w:val="single" w:color="auto" w:sz="4" w:space="0"/>
                    <w:right w:val="single" w:color="000000" w:sz="4" w:space="0"/>
                  </w:tcBorders>
                  <w:noWrap w:val="0"/>
                  <w:vAlign w:val="center"/>
                </w:tcPr>
                <w:p w14:paraId="45AC8B4E">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370AA0EB">
                  <w:pPr>
                    <w:pStyle w:val="58"/>
                    <w:adjustRightInd w:val="0"/>
                    <w:snapToGrid w:val="0"/>
                    <w:jc w:val="center"/>
                    <w:rPr>
                      <w:rFonts w:hint="eastAsia"/>
                      <w:sz w:val="21"/>
                      <w:szCs w:val="21"/>
                      <w:lang w:val="en-US" w:eastAsia="zh-CN"/>
                    </w:rPr>
                  </w:pPr>
                </w:p>
              </w:tc>
              <w:tc>
                <w:tcPr>
                  <w:tcW w:w="480" w:type="pct"/>
                  <w:vMerge w:val="continue"/>
                  <w:tcBorders>
                    <w:top w:val="single" w:color="auto" w:sz="4" w:space="0"/>
                    <w:left w:val="single" w:color="auto" w:sz="4" w:space="0"/>
                    <w:bottom w:val="single" w:color="auto" w:sz="4" w:space="0"/>
                    <w:right w:val="single" w:color="auto" w:sz="4" w:space="0"/>
                  </w:tcBorders>
                  <w:noWrap w:val="0"/>
                  <w:vAlign w:val="center"/>
                </w:tcPr>
                <w:p w14:paraId="251B431D">
                  <w:pPr>
                    <w:pStyle w:val="58"/>
                    <w:adjustRightInd w:val="0"/>
                    <w:snapToGrid w:val="0"/>
                    <w:jc w:val="center"/>
                    <w:rPr>
                      <w:rFonts w:hint="eastAsia"/>
                      <w:sz w:val="21"/>
                      <w:szCs w:val="21"/>
                      <w:lang w:val="en-US" w:eastAsia="zh-CN"/>
                    </w:rPr>
                  </w:pPr>
                </w:p>
              </w:tc>
              <w:tc>
                <w:tcPr>
                  <w:tcW w:w="750" w:type="pct"/>
                  <w:tcBorders>
                    <w:top w:val="single" w:color="000000" w:sz="4" w:space="0"/>
                    <w:left w:val="single" w:color="auto" w:sz="4" w:space="0"/>
                    <w:bottom w:val="single" w:color="000000" w:sz="4" w:space="0"/>
                    <w:right w:val="single" w:color="000000" w:sz="4" w:space="0"/>
                  </w:tcBorders>
                  <w:noWrap w:val="0"/>
                  <w:vAlign w:val="center"/>
                </w:tcPr>
                <w:p w14:paraId="131677CA">
                  <w:pPr>
                    <w:pStyle w:val="58"/>
                    <w:adjustRightInd w:val="0"/>
                    <w:snapToGrid w:val="0"/>
                    <w:jc w:val="center"/>
                    <w:rPr>
                      <w:rFonts w:hint="default"/>
                      <w:sz w:val="21"/>
                      <w:szCs w:val="21"/>
                      <w:lang w:val="en-US" w:eastAsia="zh-CN"/>
                    </w:rPr>
                  </w:pPr>
                  <w:r>
                    <w:rPr>
                      <w:rFonts w:hint="eastAsia"/>
                      <w:sz w:val="21"/>
                      <w:szCs w:val="21"/>
                      <w:lang w:val="en-US" w:eastAsia="zh-CN"/>
                    </w:rPr>
                    <w:t>汽车举升翻转机</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79069458">
                  <w:pPr>
                    <w:pStyle w:val="58"/>
                    <w:adjustRightInd w:val="0"/>
                    <w:snapToGrid w:val="0"/>
                    <w:jc w:val="center"/>
                    <w:rPr>
                      <w:rFonts w:hint="default"/>
                      <w:sz w:val="21"/>
                      <w:szCs w:val="21"/>
                      <w:lang w:val="en-US" w:eastAsia="zh-CN"/>
                    </w:rPr>
                  </w:pPr>
                  <w:r>
                    <w:rPr>
                      <w:rFonts w:hint="eastAsia"/>
                      <w:sz w:val="21"/>
                      <w:szCs w:val="21"/>
                      <w:lang w:val="en-US" w:eastAsia="zh-CN"/>
                    </w:rPr>
                    <w:t>MF0007</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1EC00FE5">
                  <w:pPr>
                    <w:pStyle w:val="58"/>
                    <w:adjustRightInd w:val="0"/>
                    <w:snapToGrid w:val="0"/>
                    <w:jc w:val="center"/>
                    <w:rPr>
                      <w:rFonts w:hint="default"/>
                      <w:sz w:val="21"/>
                      <w:szCs w:val="21"/>
                      <w:lang w:val="en-US"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5AE2AD20">
                  <w:pPr>
                    <w:pStyle w:val="58"/>
                    <w:adjustRightInd w:val="0"/>
                    <w:snapToGrid w:val="0"/>
                    <w:jc w:val="center"/>
                    <w:rPr>
                      <w:rFonts w:hint="default"/>
                      <w:sz w:val="21"/>
                      <w:szCs w:val="21"/>
                      <w:lang w:val="en-US"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20EF8D06">
                  <w:pPr>
                    <w:pStyle w:val="58"/>
                    <w:adjustRightInd w:val="0"/>
                    <w:snapToGrid w:val="0"/>
                    <w:jc w:val="center"/>
                    <w:rPr>
                      <w:rFonts w:hint="default"/>
                      <w:sz w:val="21"/>
                      <w:szCs w:val="21"/>
                      <w:lang w:val="en-US"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433F7B0C">
                  <w:pPr>
                    <w:pStyle w:val="58"/>
                    <w:adjustRightInd w:val="0"/>
                    <w:snapToGrid w:val="0"/>
                    <w:jc w:val="center"/>
                    <w:rPr>
                      <w:rFonts w:hint="default"/>
                      <w:sz w:val="21"/>
                      <w:szCs w:val="21"/>
                      <w:lang w:val="en-US" w:eastAsia="zh-CN"/>
                    </w:rPr>
                  </w:pPr>
                  <w:r>
                    <w:rPr>
                      <w:rFonts w:hint="eastAsia"/>
                      <w:sz w:val="21"/>
                      <w:szCs w:val="21"/>
                      <w:lang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06DF3A4F">
                  <w:pPr>
                    <w:adjustRightInd w:val="0"/>
                    <w:snapToGrid w:val="0"/>
                    <w:jc w:val="center"/>
                    <w:rPr>
                      <w:rFonts w:hint="default"/>
                      <w:sz w:val="21"/>
                      <w:szCs w:val="21"/>
                      <w:lang w:val="en-US" w:eastAsia="zh-CN"/>
                    </w:rPr>
                  </w:pPr>
                  <w:r>
                    <w:rPr>
                      <w:rFonts w:hint="eastAsia"/>
                      <w:sz w:val="21"/>
                      <w:szCs w:val="21"/>
                      <w:lang w:val="en-US" w:eastAsia="zh-CN"/>
                    </w:rPr>
                    <w:t>1台</w:t>
                  </w:r>
                </w:p>
              </w:tc>
              <w:tc>
                <w:tcPr>
                  <w:tcW w:w="343" w:type="pct"/>
                  <w:tcBorders>
                    <w:top w:val="single" w:color="000000" w:sz="4" w:space="0"/>
                    <w:left w:val="single" w:color="000000" w:sz="4" w:space="0"/>
                    <w:bottom w:val="single" w:color="000000" w:sz="4" w:space="0"/>
                  </w:tcBorders>
                  <w:noWrap w:val="0"/>
                  <w:vAlign w:val="center"/>
                </w:tcPr>
                <w:p w14:paraId="354A0EF5">
                  <w:pPr>
                    <w:adjustRightInd w:val="0"/>
                    <w:snapToGrid w:val="0"/>
                    <w:jc w:val="center"/>
                    <w:rPr>
                      <w:rFonts w:hint="eastAsia"/>
                      <w:sz w:val="21"/>
                      <w:szCs w:val="21"/>
                      <w:lang w:eastAsia="zh-CN"/>
                    </w:rPr>
                  </w:pPr>
                  <w:r>
                    <w:rPr>
                      <w:rFonts w:hint="eastAsia"/>
                      <w:sz w:val="21"/>
                      <w:szCs w:val="21"/>
                      <w:lang w:eastAsia="zh-CN"/>
                    </w:rPr>
                    <w:t>/</w:t>
                  </w:r>
                </w:p>
              </w:tc>
            </w:tr>
            <w:tr w14:paraId="167B9F24">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27" w:type="pct"/>
                  <w:tcBorders>
                    <w:top w:val="single" w:color="auto" w:sz="4" w:space="0"/>
                    <w:bottom w:val="single" w:color="auto" w:sz="4" w:space="0"/>
                    <w:right w:val="single" w:color="auto" w:sz="4" w:space="0"/>
                  </w:tcBorders>
                  <w:noWrap w:val="0"/>
                  <w:vAlign w:val="center"/>
                </w:tcPr>
                <w:p w14:paraId="40535A2C">
                  <w:pPr>
                    <w:pStyle w:val="58"/>
                    <w:adjustRightInd w:val="0"/>
                    <w:snapToGrid w:val="0"/>
                    <w:jc w:val="center"/>
                    <w:rPr>
                      <w:rFonts w:hint="default"/>
                      <w:sz w:val="21"/>
                      <w:szCs w:val="21"/>
                      <w:lang w:val="en-US" w:eastAsia="zh-CN"/>
                    </w:rPr>
                  </w:pPr>
                  <w:r>
                    <w:rPr>
                      <w:rFonts w:hint="eastAsia"/>
                      <w:sz w:val="21"/>
                      <w:szCs w:val="21"/>
                      <w:lang w:val="en-US" w:eastAsia="zh-CN"/>
                    </w:rPr>
                    <w:t>8</w:t>
                  </w:r>
                </w:p>
              </w:tc>
              <w:tc>
                <w:tcPr>
                  <w:tcW w:w="321" w:type="pct"/>
                  <w:vMerge w:val="continue"/>
                  <w:tcBorders>
                    <w:left w:val="single" w:color="auto" w:sz="4" w:space="0"/>
                    <w:right w:val="single" w:color="000000" w:sz="4" w:space="0"/>
                  </w:tcBorders>
                  <w:noWrap w:val="0"/>
                  <w:vAlign w:val="center"/>
                </w:tcPr>
                <w:p w14:paraId="465DB9AB">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1353F983">
                  <w:pPr>
                    <w:pStyle w:val="58"/>
                    <w:adjustRightInd w:val="0"/>
                    <w:snapToGrid w:val="0"/>
                    <w:jc w:val="center"/>
                    <w:rPr>
                      <w:rFonts w:hint="eastAsia"/>
                      <w:sz w:val="21"/>
                      <w:szCs w:val="21"/>
                      <w:lang w:val="en-US" w:eastAsia="zh-CN"/>
                    </w:rPr>
                  </w:pPr>
                </w:p>
              </w:tc>
              <w:tc>
                <w:tcPr>
                  <w:tcW w:w="480" w:type="pct"/>
                  <w:vMerge w:val="continue"/>
                  <w:tcBorders>
                    <w:top w:val="single" w:color="auto" w:sz="4" w:space="0"/>
                    <w:left w:val="single" w:color="auto" w:sz="4" w:space="0"/>
                    <w:bottom w:val="single" w:color="auto" w:sz="4" w:space="0"/>
                    <w:right w:val="single" w:color="auto" w:sz="4" w:space="0"/>
                  </w:tcBorders>
                  <w:noWrap w:val="0"/>
                  <w:vAlign w:val="center"/>
                </w:tcPr>
                <w:p w14:paraId="4BA4986A">
                  <w:pPr>
                    <w:pStyle w:val="58"/>
                    <w:adjustRightInd w:val="0"/>
                    <w:snapToGrid w:val="0"/>
                    <w:jc w:val="center"/>
                    <w:rPr>
                      <w:rFonts w:hint="eastAsia"/>
                      <w:sz w:val="21"/>
                      <w:szCs w:val="21"/>
                      <w:lang w:val="en-US" w:eastAsia="zh-CN"/>
                    </w:rPr>
                  </w:pPr>
                </w:p>
              </w:tc>
              <w:tc>
                <w:tcPr>
                  <w:tcW w:w="750" w:type="pct"/>
                  <w:tcBorders>
                    <w:top w:val="single" w:color="000000" w:sz="4" w:space="0"/>
                    <w:left w:val="single" w:color="auto" w:sz="4" w:space="0"/>
                    <w:bottom w:val="single" w:color="000000" w:sz="4" w:space="0"/>
                    <w:right w:val="single" w:color="000000" w:sz="4" w:space="0"/>
                  </w:tcBorders>
                  <w:noWrap w:val="0"/>
                  <w:vAlign w:val="center"/>
                </w:tcPr>
                <w:p w14:paraId="0F88AA27">
                  <w:pPr>
                    <w:pStyle w:val="58"/>
                    <w:adjustRightInd w:val="0"/>
                    <w:snapToGrid w:val="0"/>
                    <w:jc w:val="center"/>
                    <w:rPr>
                      <w:rFonts w:hint="default"/>
                      <w:sz w:val="21"/>
                      <w:szCs w:val="21"/>
                      <w:lang w:val="en-US" w:eastAsia="zh-CN"/>
                    </w:rPr>
                  </w:pPr>
                  <w:r>
                    <w:rPr>
                      <w:rFonts w:hint="eastAsia"/>
                      <w:sz w:val="21"/>
                      <w:szCs w:val="21"/>
                      <w:lang w:val="en-US" w:eastAsia="zh-CN"/>
                    </w:rPr>
                    <w:t>液压剪</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3B9FF7C">
                  <w:pPr>
                    <w:pStyle w:val="58"/>
                    <w:adjustRightInd w:val="0"/>
                    <w:snapToGrid w:val="0"/>
                    <w:jc w:val="center"/>
                    <w:rPr>
                      <w:rFonts w:hint="default"/>
                      <w:sz w:val="21"/>
                      <w:szCs w:val="21"/>
                      <w:lang w:val="en-US" w:eastAsia="zh-CN"/>
                    </w:rPr>
                  </w:pPr>
                  <w:r>
                    <w:rPr>
                      <w:rFonts w:hint="eastAsia"/>
                      <w:sz w:val="21"/>
                      <w:szCs w:val="21"/>
                      <w:lang w:val="en-US" w:eastAsia="zh-CN"/>
                    </w:rPr>
                    <w:t>MF0008</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14D27D1C">
                  <w:pPr>
                    <w:pStyle w:val="58"/>
                    <w:adjustRightInd w:val="0"/>
                    <w:snapToGrid w:val="0"/>
                    <w:jc w:val="center"/>
                    <w:rPr>
                      <w:rFonts w:hint="eastAsia"/>
                      <w:sz w:val="21"/>
                      <w:szCs w:val="21"/>
                      <w:lang w:val="en-US"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7DB12EA9">
                  <w:pPr>
                    <w:pStyle w:val="58"/>
                    <w:adjustRightInd w:val="0"/>
                    <w:snapToGrid w:val="0"/>
                    <w:jc w:val="center"/>
                    <w:rPr>
                      <w:rFonts w:hint="eastAsia"/>
                      <w:sz w:val="21"/>
                      <w:szCs w:val="21"/>
                      <w:lang w:val="en-US"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6B0DD2BB">
                  <w:pPr>
                    <w:pStyle w:val="58"/>
                    <w:adjustRightInd w:val="0"/>
                    <w:snapToGrid w:val="0"/>
                    <w:jc w:val="center"/>
                    <w:rPr>
                      <w:rFonts w:hint="eastAsia"/>
                      <w:sz w:val="21"/>
                      <w:szCs w:val="21"/>
                      <w:lang w:val="en-US"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370FED5E">
                  <w:pPr>
                    <w:pStyle w:val="58"/>
                    <w:adjustRightInd w:val="0"/>
                    <w:snapToGrid w:val="0"/>
                    <w:jc w:val="center"/>
                    <w:rPr>
                      <w:rFonts w:hint="eastAsia"/>
                      <w:sz w:val="21"/>
                      <w:szCs w:val="21"/>
                      <w:lang w:val="en-US" w:eastAsia="zh-CN"/>
                    </w:rPr>
                  </w:pPr>
                  <w:r>
                    <w:rPr>
                      <w:rFonts w:hint="eastAsia"/>
                      <w:sz w:val="21"/>
                      <w:szCs w:val="21"/>
                      <w:lang w:val="en-US"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205D6B23">
                  <w:pPr>
                    <w:adjustRightInd w:val="0"/>
                    <w:snapToGrid w:val="0"/>
                    <w:jc w:val="center"/>
                    <w:rPr>
                      <w:rFonts w:hint="eastAsia"/>
                      <w:sz w:val="21"/>
                      <w:szCs w:val="21"/>
                      <w:lang w:val="en-US" w:eastAsia="zh-CN"/>
                    </w:rPr>
                  </w:pPr>
                  <w:r>
                    <w:rPr>
                      <w:rFonts w:hint="eastAsia"/>
                      <w:sz w:val="21"/>
                      <w:szCs w:val="21"/>
                      <w:lang w:val="en-US" w:eastAsia="zh-CN"/>
                    </w:rPr>
                    <w:t>1台</w:t>
                  </w:r>
                </w:p>
              </w:tc>
              <w:tc>
                <w:tcPr>
                  <w:tcW w:w="343" w:type="pct"/>
                  <w:tcBorders>
                    <w:top w:val="single" w:color="000000" w:sz="4" w:space="0"/>
                    <w:left w:val="single" w:color="000000" w:sz="4" w:space="0"/>
                    <w:bottom w:val="single" w:color="000000" w:sz="4" w:space="0"/>
                  </w:tcBorders>
                  <w:noWrap w:val="0"/>
                  <w:vAlign w:val="center"/>
                </w:tcPr>
                <w:p w14:paraId="51B975D6">
                  <w:pPr>
                    <w:adjustRightInd w:val="0"/>
                    <w:snapToGrid w:val="0"/>
                    <w:jc w:val="center"/>
                    <w:rPr>
                      <w:rFonts w:hint="eastAsia"/>
                      <w:sz w:val="21"/>
                      <w:szCs w:val="21"/>
                      <w:lang w:eastAsia="zh-CN"/>
                    </w:rPr>
                  </w:pPr>
                  <w:r>
                    <w:rPr>
                      <w:rFonts w:hint="eastAsia"/>
                      <w:sz w:val="21"/>
                      <w:szCs w:val="21"/>
                      <w:lang w:eastAsia="zh-CN"/>
                    </w:rPr>
                    <w:t>/</w:t>
                  </w:r>
                </w:p>
              </w:tc>
            </w:tr>
            <w:tr w14:paraId="1D3E28D1">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27" w:type="pct"/>
                  <w:tcBorders>
                    <w:top w:val="single" w:color="auto" w:sz="4" w:space="0"/>
                    <w:bottom w:val="single" w:color="auto" w:sz="4" w:space="0"/>
                    <w:right w:val="single" w:color="auto" w:sz="4" w:space="0"/>
                  </w:tcBorders>
                  <w:noWrap w:val="0"/>
                  <w:vAlign w:val="center"/>
                </w:tcPr>
                <w:p w14:paraId="34D8ED1F">
                  <w:pPr>
                    <w:pStyle w:val="58"/>
                    <w:adjustRightInd w:val="0"/>
                    <w:snapToGrid w:val="0"/>
                    <w:jc w:val="center"/>
                    <w:rPr>
                      <w:rFonts w:hint="default"/>
                      <w:sz w:val="21"/>
                      <w:szCs w:val="21"/>
                      <w:lang w:val="en-US" w:eastAsia="zh-CN"/>
                    </w:rPr>
                  </w:pPr>
                  <w:r>
                    <w:rPr>
                      <w:rFonts w:hint="eastAsia"/>
                      <w:sz w:val="21"/>
                      <w:szCs w:val="21"/>
                      <w:lang w:val="en-US" w:eastAsia="zh-CN"/>
                    </w:rPr>
                    <w:t>9</w:t>
                  </w:r>
                </w:p>
              </w:tc>
              <w:tc>
                <w:tcPr>
                  <w:tcW w:w="321" w:type="pct"/>
                  <w:vMerge w:val="continue"/>
                  <w:tcBorders>
                    <w:left w:val="single" w:color="auto" w:sz="4" w:space="0"/>
                    <w:right w:val="single" w:color="000000" w:sz="4" w:space="0"/>
                  </w:tcBorders>
                  <w:noWrap w:val="0"/>
                  <w:vAlign w:val="center"/>
                </w:tcPr>
                <w:p w14:paraId="2720FAB6">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10114151">
                  <w:pPr>
                    <w:pStyle w:val="58"/>
                    <w:adjustRightInd w:val="0"/>
                    <w:snapToGrid w:val="0"/>
                    <w:jc w:val="center"/>
                    <w:rPr>
                      <w:rFonts w:hint="eastAsia"/>
                      <w:sz w:val="21"/>
                      <w:szCs w:val="21"/>
                      <w:lang w:val="en-US" w:eastAsia="zh-CN"/>
                    </w:rPr>
                  </w:pPr>
                </w:p>
              </w:tc>
              <w:tc>
                <w:tcPr>
                  <w:tcW w:w="480" w:type="pct"/>
                  <w:vMerge w:val="continue"/>
                  <w:tcBorders>
                    <w:top w:val="single" w:color="auto" w:sz="4" w:space="0"/>
                    <w:left w:val="single" w:color="auto" w:sz="4" w:space="0"/>
                    <w:bottom w:val="single" w:color="auto" w:sz="4" w:space="0"/>
                    <w:right w:val="single" w:color="auto" w:sz="4" w:space="0"/>
                  </w:tcBorders>
                  <w:noWrap w:val="0"/>
                  <w:vAlign w:val="center"/>
                </w:tcPr>
                <w:p w14:paraId="0E6EA65F">
                  <w:pPr>
                    <w:pStyle w:val="58"/>
                    <w:adjustRightInd w:val="0"/>
                    <w:snapToGrid w:val="0"/>
                    <w:jc w:val="center"/>
                    <w:rPr>
                      <w:rFonts w:hint="eastAsia"/>
                      <w:sz w:val="21"/>
                      <w:szCs w:val="21"/>
                      <w:lang w:val="en-US" w:eastAsia="zh-CN"/>
                    </w:rPr>
                  </w:pPr>
                </w:p>
              </w:tc>
              <w:tc>
                <w:tcPr>
                  <w:tcW w:w="750" w:type="pct"/>
                  <w:tcBorders>
                    <w:top w:val="single" w:color="000000" w:sz="4" w:space="0"/>
                    <w:left w:val="single" w:color="auto" w:sz="4" w:space="0"/>
                    <w:bottom w:val="single" w:color="000000" w:sz="4" w:space="0"/>
                    <w:right w:val="single" w:color="000000" w:sz="4" w:space="0"/>
                  </w:tcBorders>
                  <w:noWrap w:val="0"/>
                  <w:vAlign w:val="center"/>
                </w:tcPr>
                <w:p w14:paraId="07402AFD">
                  <w:pPr>
                    <w:pStyle w:val="58"/>
                    <w:adjustRightInd w:val="0"/>
                    <w:snapToGrid w:val="0"/>
                    <w:jc w:val="center"/>
                    <w:rPr>
                      <w:rFonts w:hint="default"/>
                      <w:sz w:val="21"/>
                      <w:szCs w:val="21"/>
                      <w:lang w:val="en-US" w:eastAsia="zh-CN"/>
                    </w:rPr>
                  </w:pPr>
                  <w:r>
                    <w:rPr>
                      <w:rFonts w:hint="eastAsia"/>
                      <w:sz w:val="21"/>
                      <w:szCs w:val="21"/>
                      <w:lang w:val="en-US" w:eastAsia="zh-CN"/>
                    </w:rPr>
                    <w:t>发动机拆解平台</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7634063">
                  <w:pPr>
                    <w:pStyle w:val="58"/>
                    <w:adjustRightInd w:val="0"/>
                    <w:snapToGrid w:val="0"/>
                    <w:jc w:val="center"/>
                    <w:rPr>
                      <w:rFonts w:hint="default"/>
                      <w:sz w:val="21"/>
                      <w:szCs w:val="21"/>
                      <w:lang w:val="en-US" w:eastAsia="zh-CN"/>
                    </w:rPr>
                  </w:pPr>
                  <w:r>
                    <w:rPr>
                      <w:rFonts w:hint="eastAsia"/>
                      <w:sz w:val="21"/>
                      <w:szCs w:val="21"/>
                      <w:lang w:val="en-US" w:eastAsia="zh-CN"/>
                    </w:rPr>
                    <w:t>MF0009</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1401EE51">
                  <w:pPr>
                    <w:pStyle w:val="58"/>
                    <w:adjustRightInd w:val="0"/>
                    <w:snapToGrid w:val="0"/>
                    <w:jc w:val="center"/>
                    <w:rPr>
                      <w:rFonts w:hint="eastAsia"/>
                      <w:sz w:val="21"/>
                      <w:szCs w:val="21"/>
                      <w:lang w:val="en-US"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3DF85359">
                  <w:pPr>
                    <w:pStyle w:val="58"/>
                    <w:adjustRightInd w:val="0"/>
                    <w:snapToGrid w:val="0"/>
                    <w:jc w:val="center"/>
                    <w:rPr>
                      <w:rFonts w:hint="eastAsia"/>
                      <w:sz w:val="21"/>
                      <w:szCs w:val="21"/>
                      <w:lang w:val="en-US"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6E7A0D58">
                  <w:pPr>
                    <w:pStyle w:val="58"/>
                    <w:adjustRightInd w:val="0"/>
                    <w:snapToGrid w:val="0"/>
                    <w:jc w:val="center"/>
                    <w:rPr>
                      <w:rFonts w:hint="eastAsia"/>
                      <w:sz w:val="21"/>
                      <w:szCs w:val="21"/>
                      <w:lang w:val="en-US"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3018BE53">
                  <w:pPr>
                    <w:pStyle w:val="58"/>
                    <w:adjustRightInd w:val="0"/>
                    <w:snapToGrid w:val="0"/>
                    <w:jc w:val="center"/>
                    <w:rPr>
                      <w:rFonts w:hint="eastAsia"/>
                      <w:sz w:val="21"/>
                      <w:szCs w:val="21"/>
                      <w:lang w:val="en-US" w:eastAsia="zh-CN"/>
                    </w:rPr>
                  </w:pPr>
                  <w:r>
                    <w:rPr>
                      <w:rFonts w:hint="eastAsia"/>
                      <w:sz w:val="21"/>
                      <w:szCs w:val="21"/>
                      <w:lang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1392CBE5">
                  <w:pPr>
                    <w:adjustRightInd w:val="0"/>
                    <w:snapToGrid w:val="0"/>
                    <w:jc w:val="center"/>
                    <w:rPr>
                      <w:rFonts w:hint="eastAsia"/>
                      <w:sz w:val="21"/>
                      <w:szCs w:val="21"/>
                      <w:lang w:val="en-US" w:eastAsia="zh-CN"/>
                    </w:rPr>
                  </w:pPr>
                  <w:r>
                    <w:rPr>
                      <w:rFonts w:hint="eastAsia"/>
                      <w:sz w:val="21"/>
                      <w:szCs w:val="21"/>
                      <w:lang w:val="en-US" w:eastAsia="zh-CN"/>
                    </w:rPr>
                    <w:t>1台</w:t>
                  </w:r>
                </w:p>
              </w:tc>
              <w:tc>
                <w:tcPr>
                  <w:tcW w:w="343" w:type="pct"/>
                  <w:tcBorders>
                    <w:top w:val="single" w:color="000000" w:sz="4" w:space="0"/>
                    <w:left w:val="single" w:color="000000" w:sz="4" w:space="0"/>
                    <w:bottom w:val="single" w:color="000000" w:sz="4" w:space="0"/>
                  </w:tcBorders>
                  <w:noWrap w:val="0"/>
                  <w:vAlign w:val="center"/>
                </w:tcPr>
                <w:p w14:paraId="57246115">
                  <w:pPr>
                    <w:adjustRightInd w:val="0"/>
                    <w:snapToGrid w:val="0"/>
                    <w:jc w:val="center"/>
                    <w:rPr>
                      <w:rFonts w:hint="eastAsia"/>
                      <w:sz w:val="21"/>
                      <w:szCs w:val="21"/>
                      <w:lang w:eastAsia="zh-CN"/>
                    </w:rPr>
                  </w:pPr>
                  <w:r>
                    <w:rPr>
                      <w:rFonts w:hint="eastAsia"/>
                      <w:sz w:val="21"/>
                      <w:szCs w:val="21"/>
                      <w:lang w:eastAsia="zh-CN"/>
                    </w:rPr>
                    <w:t>/</w:t>
                  </w:r>
                </w:p>
              </w:tc>
            </w:tr>
            <w:tr w14:paraId="1420E91B">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27" w:type="pct"/>
                  <w:tcBorders>
                    <w:top w:val="single" w:color="auto" w:sz="4" w:space="0"/>
                    <w:bottom w:val="single" w:color="auto" w:sz="4" w:space="0"/>
                    <w:right w:val="single" w:color="auto" w:sz="4" w:space="0"/>
                  </w:tcBorders>
                  <w:noWrap w:val="0"/>
                  <w:vAlign w:val="center"/>
                </w:tcPr>
                <w:p w14:paraId="4B8CA784">
                  <w:pPr>
                    <w:pStyle w:val="58"/>
                    <w:adjustRightInd w:val="0"/>
                    <w:snapToGrid w:val="0"/>
                    <w:jc w:val="center"/>
                    <w:rPr>
                      <w:rFonts w:hint="default"/>
                      <w:sz w:val="21"/>
                      <w:szCs w:val="21"/>
                      <w:lang w:val="en-US" w:eastAsia="zh-CN"/>
                    </w:rPr>
                  </w:pPr>
                  <w:r>
                    <w:rPr>
                      <w:rFonts w:hint="eastAsia"/>
                      <w:sz w:val="21"/>
                      <w:szCs w:val="21"/>
                      <w:lang w:val="en-US" w:eastAsia="zh-CN"/>
                    </w:rPr>
                    <w:t>10</w:t>
                  </w:r>
                </w:p>
              </w:tc>
              <w:tc>
                <w:tcPr>
                  <w:tcW w:w="321" w:type="pct"/>
                  <w:vMerge w:val="continue"/>
                  <w:tcBorders>
                    <w:left w:val="single" w:color="auto" w:sz="4" w:space="0"/>
                    <w:right w:val="single" w:color="000000" w:sz="4" w:space="0"/>
                  </w:tcBorders>
                  <w:noWrap w:val="0"/>
                  <w:vAlign w:val="center"/>
                </w:tcPr>
                <w:p w14:paraId="2DDCD27D">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1B084F91">
                  <w:pPr>
                    <w:pStyle w:val="58"/>
                    <w:adjustRightInd w:val="0"/>
                    <w:snapToGrid w:val="0"/>
                    <w:jc w:val="center"/>
                    <w:rPr>
                      <w:rFonts w:hint="eastAsia"/>
                      <w:sz w:val="21"/>
                      <w:szCs w:val="21"/>
                      <w:lang w:val="en-US" w:eastAsia="zh-CN"/>
                    </w:rPr>
                  </w:pPr>
                </w:p>
              </w:tc>
              <w:tc>
                <w:tcPr>
                  <w:tcW w:w="480" w:type="pct"/>
                  <w:vMerge w:val="continue"/>
                  <w:tcBorders>
                    <w:top w:val="single" w:color="auto" w:sz="4" w:space="0"/>
                    <w:left w:val="single" w:color="auto" w:sz="4" w:space="0"/>
                    <w:bottom w:val="single" w:color="auto" w:sz="4" w:space="0"/>
                    <w:right w:val="single" w:color="auto" w:sz="4" w:space="0"/>
                  </w:tcBorders>
                  <w:noWrap w:val="0"/>
                  <w:vAlign w:val="center"/>
                </w:tcPr>
                <w:p w14:paraId="0C2F2702">
                  <w:pPr>
                    <w:pStyle w:val="58"/>
                    <w:adjustRightInd w:val="0"/>
                    <w:snapToGrid w:val="0"/>
                    <w:jc w:val="center"/>
                    <w:rPr>
                      <w:rFonts w:hint="eastAsia"/>
                      <w:sz w:val="21"/>
                      <w:szCs w:val="21"/>
                      <w:lang w:val="en-US" w:eastAsia="zh-CN"/>
                    </w:rPr>
                  </w:pPr>
                </w:p>
              </w:tc>
              <w:tc>
                <w:tcPr>
                  <w:tcW w:w="750" w:type="pct"/>
                  <w:tcBorders>
                    <w:top w:val="single" w:color="000000" w:sz="4" w:space="0"/>
                    <w:left w:val="single" w:color="auto" w:sz="4" w:space="0"/>
                    <w:bottom w:val="single" w:color="000000" w:sz="4" w:space="0"/>
                    <w:right w:val="single" w:color="000000" w:sz="4" w:space="0"/>
                  </w:tcBorders>
                  <w:noWrap w:val="0"/>
                  <w:vAlign w:val="center"/>
                </w:tcPr>
                <w:p w14:paraId="0B725B0F">
                  <w:pPr>
                    <w:pStyle w:val="58"/>
                    <w:adjustRightInd w:val="0"/>
                    <w:snapToGrid w:val="0"/>
                    <w:jc w:val="center"/>
                    <w:rPr>
                      <w:rFonts w:hint="default"/>
                      <w:sz w:val="21"/>
                      <w:szCs w:val="21"/>
                      <w:lang w:val="en-US" w:eastAsia="zh-CN"/>
                    </w:rPr>
                  </w:pPr>
                  <w:r>
                    <w:rPr>
                      <w:rFonts w:hint="eastAsia"/>
                      <w:sz w:val="21"/>
                      <w:szCs w:val="21"/>
                      <w:lang w:val="en-US" w:eastAsia="zh-CN"/>
                    </w:rPr>
                    <w:t>后桥拆解支架</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402E3FD">
                  <w:pPr>
                    <w:pStyle w:val="58"/>
                    <w:adjustRightInd w:val="0"/>
                    <w:snapToGrid w:val="0"/>
                    <w:jc w:val="center"/>
                    <w:rPr>
                      <w:rFonts w:hint="default"/>
                      <w:sz w:val="21"/>
                      <w:szCs w:val="21"/>
                      <w:lang w:val="en-US" w:eastAsia="zh-CN"/>
                    </w:rPr>
                  </w:pPr>
                  <w:r>
                    <w:rPr>
                      <w:rFonts w:hint="eastAsia"/>
                      <w:sz w:val="21"/>
                      <w:szCs w:val="21"/>
                      <w:lang w:val="en-US" w:eastAsia="zh-CN"/>
                    </w:rPr>
                    <w:t>MF0010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46EAB5C5">
                  <w:pPr>
                    <w:pStyle w:val="58"/>
                    <w:adjustRightInd w:val="0"/>
                    <w:snapToGrid w:val="0"/>
                    <w:jc w:val="center"/>
                    <w:rPr>
                      <w:rFonts w:hint="eastAsia"/>
                      <w:sz w:val="21"/>
                      <w:szCs w:val="21"/>
                      <w:lang w:val="en-US"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1CE8DF29">
                  <w:pPr>
                    <w:pStyle w:val="58"/>
                    <w:adjustRightInd w:val="0"/>
                    <w:snapToGrid w:val="0"/>
                    <w:jc w:val="center"/>
                    <w:rPr>
                      <w:rFonts w:hint="eastAsia"/>
                      <w:sz w:val="21"/>
                      <w:szCs w:val="21"/>
                      <w:lang w:val="en-US"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0146A12B">
                  <w:pPr>
                    <w:pStyle w:val="58"/>
                    <w:adjustRightInd w:val="0"/>
                    <w:snapToGrid w:val="0"/>
                    <w:jc w:val="center"/>
                    <w:rPr>
                      <w:rFonts w:hint="eastAsia"/>
                      <w:sz w:val="21"/>
                      <w:szCs w:val="21"/>
                      <w:lang w:val="en-US"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4F0CA810">
                  <w:pPr>
                    <w:pStyle w:val="58"/>
                    <w:adjustRightInd w:val="0"/>
                    <w:snapToGrid w:val="0"/>
                    <w:jc w:val="center"/>
                    <w:rPr>
                      <w:rFonts w:hint="eastAsia"/>
                      <w:sz w:val="21"/>
                      <w:szCs w:val="21"/>
                      <w:lang w:val="en-US" w:eastAsia="zh-CN"/>
                    </w:rPr>
                  </w:pPr>
                  <w:r>
                    <w:rPr>
                      <w:rFonts w:hint="eastAsia"/>
                      <w:sz w:val="21"/>
                      <w:szCs w:val="21"/>
                      <w:lang w:val="en-US"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029AEA79">
                  <w:pPr>
                    <w:adjustRightInd w:val="0"/>
                    <w:snapToGrid w:val="0"/>
                    <w:jc w:val="center"/>
                    <w:rPr>
                      <w:rFonts w:hint="eastAsia"/>
                      <w:sz w:val="21"/>
                      <w:szCs w:val="21"/>
                      <w:lang w:val="en-US" w:eastAsia="zh-CN"/>
                    </w:rPr>
                  </w:pPr>
                  <w:r>
                    <w:rPr>
                      <w:rFonts w:hint="eastAsia"/>
                      <w:sz w:val="21"/>
                      <w:szCs w:val="21"/>
                      <w:lang w:val="en-US" w:eastAsia="zh-CN"/>
                    </w:rPr>
                    <w:t>1台</w:t>
                  </w:r>
                </w:p>
              </w:tc>
              <w:tc>
                <w:tcPr>
                  <w:tcW w:w="343" w:type="pct"/>
                  <w:tcBorders>
                    <w:top w:val="single" w:color="000000" w:sz="4" w:space="0"/>
                    <w:left w:val="single" w:color="000000" w:sz="4" w:space="0"/>
                    <w:bottom w:val="single" w:color="000000" w:sz="4" w:space="0"/>
                  </w:tcBorders>
                  <w:noWrap w:val="0"/>
                  <w:vAlign w:val="center"/>
                </w:tcPr>
                <w:p w14:paraId="429F643A">
                  <w:pPr>
                    <w:adjustRightInd w:val="0"/>
                    <w:snapToGrid w:val="0"/>
                    <w:jc w:val="center"/>
                    <w:rPr>
                      <w:rFonts w:hint="eastAsia"/>
                      <w:sz w:val="21"/>
                      <w:szCs w:val="21"/>
                      <w:lang w:eastAsia="zh-CN"/>
                    </w:rPr>
                  </w:pPr>
                  <w:r>
                    <w:rPr>
                      <w:rFonts w:hint="eastAsia"/>
                      <w:sz w:val="21"/>
                      <w:szCs w:val="21"/>
                      <w:lang w:eastAsia="zh-CN"/>
                    </w:rPr>
                    <w:t>/</w:t>
                  </w:r>
                </w:p>
              </w:tc>
            </w:tr>
            <w:tr w14:paraId="6A71467B">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27" w:type="pct"/>
                  <w:tcBorders>
                    <w:top w:val="single" w:color="auto" w:sz="4" w:space="0"/>
                    <w:bottom w:val="single" w:color="auto" w:sz="4" w:space="0"/>
                    <w:right w:val="single" w:color="auto" w:sz="4" w:space="0"/>
                  </w:tcBorders>
                  <w:noWrap w:val="0"/>
                  <w:vAlign w:val="center"/>
                </w:tcPr>
                <w:p w14:paraId="38661F0F">
                  <w:pPr>
                    <w:pStyle w:val="58"/>
                    <w:adjustRightInd w:val="0"/>
                    <w:snapToGrid w:val="0"/>
                    <w:jc w:val="center"/>
                    <w:rPr>
                      <w:rFonts w:hint="default"/>
                      <w:sz w:val="21"/>
                      <w:szCs w:val="21"/>
                      <w:lang w:val="en-US" w:eastAsia="zh-CN"/>
                    </w:rPr>
                  </w:pPr>
                  <w:r>
                    <w:rPr>
                      <w:rFonts w:hint="eastAsia"/>
                      <w:sz w:val="21"/>
                      <w:szCs w:val="21"/>
                      <w:lang w:val="en-US" w:eastAsia="zh-CN"/>
                    </w:rPr>
                    <w:t>11</w:t>
                  </w:r>
                </w:p>
              </w:tc>
              <w:tc>
                <w:tcPr>
                  <w:tcW w:w="321" w:type="pct"/>
                  <w:vMerge w:val="continue"/>
                  <w:tcBorders>
                    <w:left w:val="single" w:color="auto" w:sz="4" w:space="0"/>
                    <w:right w:val="single" w:color="000000" w:sz="4" w:space="0"/>
                  </w:tcBorders>
                  <w:noWrap w:val="0"/>
                  <w:vAlign w:val="center"/>
                </w:tcPr>
                <w:p w14:paraId="18B747FD">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46143B7F">
                  <w:pPr>
                    <w:pStyle w:val="58"/>
                    <w:adjustRightInd w:val="0"/>
                    <w:snapToGrid w:val="0"/>
                    <w:jc w:val="center"/>
                    <w:rPr>
                      <w:rFonts w:hint="eastAsia"/>
                      <w:sz w:val="21"/>
                      <w:szCs w:val="21"/>
                      <w:lang w:val="en-US" w:eastAsia="zh-CN"/>
                    </w:rPr>
                  </w:pPr>
                </w:p>
              </w:tc>
              <w:tc>
                <w:tcPr>
                  <w:tcW w:w="480" w:type="pct"/>
                  <w:vMerge w:val="continue"/>
                  <w:tcBorders>
                    <w:top w:val="single" w:color="auto" w:sz="4" w:space="0"/>
                    <w:left w:val="single" w:color="auto" w:sz="4" w:space="0"/>
                    <w:bottom w:val="single" w:color="auto" w:sz="4" w:space="0"/>
                    <w:right w:val="single" w:color="auto" w:sz="4" w:space="0"/>
                  </w:tcBorders>
                  <w:noWrap w:val="0"/>
                  <w:vAlign w:val="center"/>
                </w:tcPr>
                <w:p w14:paraId="48862E05">
                  <w:pPr>
                    <w:pStyle w:val="58"/>
                    <w:adjustRightInd w:val="0"/>
                    <w:snapToGrid w:val="0"/>
                    <w:jc w:val="center"/>
                    <w:rPr>
                      <w:rFonts w:hint="eastAsia"/>
                      <w:sz w:val="21"/>
                      <w:szCs w:val="21"/>
                      <w:lang w:val="en-US" w:eastAsia="zh-CN"/>
                    </w:rPr>
                  </w:pPr>
                </w:p>
              </w:tc>
              <w:tc>
                <w:tcPr>
                  <w:tcW w:w="750" w:type="pct"/>
                  <w:tcBorders>
                    <w:top w:val="single" w:color="000000" w:sz="4" w:space="0"/>
                    <w:left w:val="single" w:color="auto" w:sz="4" w:space="0"/>
                    <w:bottom w:val="single" w:color="000000" w:sz="4" w:space="0"/>
                    <w:right w:val="single" w:color="000000" w:sz="4" w:space="0"/>
                  </w:tcBorders>
                  <w:noWrap w:val="0"/>
                  <w:vAlign w:val="center"/>
                </w:tcPr>
                <w:p w14:paraId="46A0F64E">
                  <w:pPr>
                    <w:pStyle w:val="58"/>
                    <w:adjustRightInd w:val="0"/>
                    <w:snapToGrid w:val="0"/>
                    <w:jc w:val="center"/>
                    <w:rPr>
                      <w:rFonts w:hint="default"/>
                      <w:sz w:val="21"/>
                      <w:szCs w:val="21"/>
                      <w:lang w:val="en-US" w:eastAsia="zh-CN"/>
                    </w:rPr>
                  </w:pPr>
                  <w:r>
                    <w:rPr>
                      <w:rFonts w:hint="eastAsia"/>
                      <w:sz w:val="21"/>
                      <w:szCs w:val="21"/>
                      <w:lang w:val="en-US" w:eastAsia="zh-CN"/>
                    </w:rPr>
                    <w:t>车门专用物料箱</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05404FA">
                  <w:pPr>
                    <w:pStyle w:val="58"/>
                    <w:adjustRightInd w:val="0"/>
                    <w:snapToGrid w:val="0"/>
                    <w:jc w:val="center"/>
                    <w:rPr>
                      <w:rFonts w:hint="default"/>
                      <w:sz w:val="21"/>
                      <w:szCs w:val="21"/>
                      <w:lang w:val="en-US" w:eastAsia="zh-CN"/>
                    </w:rPr>
                  </w:pPr>
                  <w:r>
                    <w:rPr>
                      <w:rFonts w:hint="eastAsia"/>
                      <w:sz w:val="21"/>
                      <w:szCs w:val="21"/>
                      <w:lang w:val="en-US" w:eastAsia="zh-CN"/>
                    </w:rPr>
                    <w:t>MF0011</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6CE27BB4">
                  <w:pPr>
                    <w:pStyle w:val="58"/>
                    <w:adjustRightInd w:val="0"/>
                    <w:snapToGrid w:val="0"/>
                    <w:jc w:val="center"/>
                    <w:rPr>
                      <w:rFonts w:hint="eastAsia"/>
                      <w:sz w:val="21"/>
                      <w:szCs w:val="21"/>
                      <w:lang w:val="en-US"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1D07109B">
                  <w:pPr>
                    <w:pStyle w:val="58"/>
                    <w:adjustRightInd w:val="0"/>
                    <w:snapToGrid w:val="0"/>
                    <w:jc w:val="center"/>
                    <w:rPr>
                      <w:rFonts w:hint="eastAsia"/>
                      <w:sz w:val="21"/>
                      <w:szCs w:val="21"/>
                      <w:lang w:val="en-US"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6A7EB62F">
                  <w:pPr>
                    <w:pStyle w:val="58"/>
                    <w:adjustRightInd w:val="0"/>
                    <w:snapToGrid w:val="0"/>
                    <w:jc w:val="center"/>
                    <w:rPr>
                      <w:rFonts w:hint="eastAsia"/>
                      <w:sz w:val="21"/>
                      <w:szCs w:val="21"/>
                      <w:lang w:val="en-US"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5F104786">
                  <w:pPr>
                    <w:pStyle w:val="58"/>
                    <w:adjustRightInd w:val="0"/>
                    <w:snapToGrid w:val="0"/>
                    <w:jc w:val="center"/>
                    <w:rPr>
                      <w:rFonts w:hint="eastAsia"/>
                      <w:sz w:val="21"/>
                      <w:szCs w:val="21"/>
                      <w:lang w:val="en-US" w:eastAsia="zh-CN"/>
                    </w:rPr>
                  </w:pPr>
                  <w:r>
                    <w:rPr>
                      <w:rFonts w:hint="eastAsia"/>
                      <w:sz w:val="21"/>
                      <w:szCs w:val="21"/>
                      <w:lang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19469F1C">
                  <w:pPr>
                    <w:adjustRightInd w:val="0"/>
                    <w:snapToGrid w:val="0"/>
                    <w:jc w:val="center"/>
                    <w:rPr>
                      <w:rFonts w:hint="eastAsia"/>
                      <w:sz w:val="21"/>
                      <w:szCs w:val="21"/>
                      <w:lang w:val="en-US" w:eastAsia="zh-CN"/>
                    </w:rPr>
                  </w:pPr>
                  <w:r>
                    <w:rPr>
                      <w:rFonts w:hint="eastAsia"/>
                      <w:sz w:val="21"/>
                      <w:szCs w:val="21"/>
                      <w:lang w:val="en-US" w:eastAsia="zh-CN"/>
                    </w:rPr>
                    <w:t>1台</w:t>
                  </w:r>
                </w:p>
              </w:tc>
              <w:tc>
                <w:tcPr>
                  <w:tcW w:w="343" w:type="pct"/>
                  <w:tcBorders>
                    <w:top w:val="single" w:color="000000" w:sz="4" w:space="0"/>
                    <w:left w:val="single" w:color="000000" w:sz="4" w:space="0"/>
                    <w:bottom w:val="single" w:color="000000" w:sz="4" w:space="0"/>
                  </w:tcBorders>
                  <w:noWrap w:val="0"/>
                  <w:vAlign w:val="center"/>
                </w:tcPr>
                <w:p w14:paraId="4FC9BCE6">
                  <w:pPr>
                    <w:adjustRightInd w:val="0"/>
                    <w:snapToGrid w:val="0"/>
                    <w:jc w:val="center"/>
                    <w:rPr>
                      <w:rFonts w:hint="eastAsia"/>
                      <w:sz w:val="21"/>
                      <w:szCs w:val="21"/>
                      <w:lang w:eastAsia="zh-CN"/>
                    </w:rPr>
                  </w:pPr>
                  <w:r>
                    <w:rPr>
                      <w:rFonts w:hint="eastAsia"/>
                      <w:sz w:val="21"/>
                      <w:szCs w:val="21"/>
                      <w:lang w:eastAsia="zh-CN"/>
                    </w:rPr>
                    <w:t>/</w:t>
                  </w:r>
                </w:p>
              </w:tc>
            </w:tr>
            <w:tr w14:paraId="729BB603">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27" w:type="pct"/>
                  <w:tcBorders>
                    <w:top w:val="single" w:color="auto" w:sz="4" w:space="0"/>
                    <w:bottom w:val="single" w:color="auto" w:sz="4" w:space="0"/>
                    <w:right w:val="single" w:color="auto" w:sz="4" w:space="0"/>
                  </w:tcBorders>
                  <w:noWrap w:val="0"/>
                  <w:vAlign w:val="center"/>
                </w:tcPr>
                <w:p w14:paraId="692E97E0">
                  <w:pPr>
                    <w:pStyle w:val="58"/>
                    <w:adjustRightInd w:val="0"/>
                    <w:snapToGrid w:val="0"/>
                    <w:jc w:val="center"/>
                    <w:rPr>
                      <w:rFonts w:hint="default"/>
                      <w:sz w:val="21"/>
                      <w:szCs w:val="21"/>
                      <w:lang w:val="en-US" w:eastAsia="zh-CN"/>
                    </w:rPr>
                  </w:pPr>
                  <w:r>
                    <w:rPr>
                      <w:rFonts w:hint="eastAsia"/>
                      <w:sz w:val="21"/>
                      <w:szCs w:val="21"/>
                      <w:lang w:val="en-US" w:eastAsia="zh-CN"/>
                    </w:rPr>
                    <w:t>12</w:t>
                  </w:r>
                </w:p>
              </w:tc>
              <w:tc>
                <w:tcPr>
                  <w:tcW w:w="321" w:type="pct"/>
                  <w:vMerge w:val="continue"/>
                  <w:tcBorders>
                    <w:left w:val="single" w:color="auto" w:sz="4" w:space="0"/>
                    <w:right w:val="single" w:color="000000" w:sz="4" w:space="0"/>
                  </w:tcBorders>
                  <w:noWrap w:val="0"/>
                  <w:vAlign w:val="center"/>
                </w:tcPr>
                <w:p w14:paraId="7A85ED82">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5AC60547">
                  <w:pPr>
                    <w:pStyle w:val="58"/>
                    <w:adjustRightInd w:val="0"/>
                    <w:snapToGrid w:val="0"/>
                    <w:jc w:val="center"/>
                    <w:rPr>
                      <w:rFonts w:hint="eastAsia"/>
                      <w:sz w:val="21"/>
                      <w:szCs w:val="21"/>
                      <w:lang w:val="en-US" w:eastAsia="zh-CN"/>
                    </w:rPr>
                  </w:pPr>
                </w:p>
              </w:tc>
              <w:tc>
                <w:tcPr>
                  <w:tcW w:w="480" w:type="pct"/>
                  <w:vMerge w:val="continue"/>
                  <w:tcBorders>
                    <w:top w:val="single" w:color="auto" w:sz="4" w:space="0"/>
                    <w:left w:val="single" w:color="auto" w:sz="4" w:space="0"/>
                    <w:bottom w:val="single" w:color="auto" w:sz="4" w:space="0"/>
                    <w:right w:val="single" w:color="auto" w:sz="4" w:space="0"/>
                  </w:tcBorders>
                  <w:noWrap w:val="0"/>
                  <w:vAlign w:val="center"/>
                </w:tcPr>
                <w:p w14:paraId="164110F1">
                  <w:pPr>
                    <w:pStyle w:val="58"/>
                    <w:adjustRightInd w:val="0"/>
                    <w:snapToGrid w:val="0"/>
                    <w:jc w:val="center"/>
                    <w:rPr>
                      <w:rFonts w:hint="eastAsia"/>
                      <w:sz w:val="21"/>
                      <w:szCs w:val="21"/>
                      <w:lang w:val="en-US" w:eastAsia="zh-CN"/>
                    </w:rPr>
                  </w:pPr>
                </w:p>
              </w:tc>
              <w:tc>
                <w:tcPr>
                  <w:tcW w:w="750" w:type="pct"/>
                  <w:tcBorders>
                    <w:top w:val="single" w:color="000000" w:sz="4" w:space="0"/>
                    <w:left w:val="single" w:color="auto" w:sz="4" w:space="0"/>
                    <w:bottom w:val="single" w:color="000000" w:sz="4" w:space="0"/>
                    <w:right w:val="single" w:color="000000" w:sz="4" w:space="0"/>
                  </w:tcBorders>
                  <w:noWrap w:val="0"/>
                  <w:vAlign w:val="center"/>
                </w:tcPr>
                <w:p w14:paraId="05F8C6B5">
                  <w:pPr>
                    <w:pStyle w:val="58"/>
                    <w:adjustRightInd w:val="0"/>
                    <w:snapToGrid w:val="0"/>
                    <w:jc w:val="center"/>
                    <w:rPr>
                      <w:rFonts w:hint="default"/>
                      <w:sz w:val="21"/>
                      <w:szCs w:val="21"/>
                      <w:lang w:val="en-US" w:eastAsia="zh-CN"/>
                    </w:rPr>
                  </w:pPr>
                  <w:r>
                    <w:rPr>
                      <w:rFonts w:hint="eastAsia"/>
                      <w:sz w:val="21"/>
                      <w:szCs w:val="21"/>
                      <w:lang w:val="en-US" w:eastAsia="zh-CN"/>
                    </w:rPr>
                    <w:t>发动机转运托盘</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A8C3C28">
                  <w:pPr>
                    <w:pStyle w:val="58"/>
                    <w:adjustRightInd w:val="0"/>
                    <w:snapToGrid w:val="0"/>
                    <w:jc w:val="center"/>
                    <w:rPr>
                      <w:rFonts w:hint="default"/>
                      <w:sz w:val="21"/>
                      <w:szCs w:val="21"/>
                      <w:lang w:val="en-US" w:eastAsia="zh-CN"/>
                    </w:rPr>
                  </w:pPr>
                  <w:r>
                    <w:rPr>
                      <w:rFonts w:hint="eastAsia"/>
                      <w:sz w:val="21"/>
                      <w:szCs w:val="21"/>
                      <w:lang w:val="en-US" w:eastAsia="zh-CN"/>
                    </w:rPr>
                    <w:t>MF0012~MF0013</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38BF5439">
                  <w:pPr>
                    <w:pStyle w:val="58"/>
                    <w:adjustRightInd w:val="0"/>
                    <w:snapToGrid w:val="0"/>
                    <w:jc w:val="center"/>
                    <w:rPr>
                      <w:rFonts w:hint="eastAsia"/>
                      <w:sz w:val="21"/>
                      <w:szCs w:val="21"/>
                      <w:lang w:val="en-US"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66F26B34">
                  <w:pPr>
                    <w:pStyle w:val="58"/>
                    <w:adjustRightInd w:val="0"/>
                    <w:snapToGrid w:val="0"/>
                    <w:jc w:val="center"/>
                    <w:rPr>
                      <w:rFonts w:hint="eastAsia"/>
                      <w:sz w:val="21"/>
                      <w:szCs w:val="21"/>
                      <w:lang w:val="en-US"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7F4A642A">
                  <w:pPr>
                    <w:pStyle w:val="58"/>
                    <w:adjustRightInd w:val="0"/>
                    <w:snapToGrid w:val="0"/>
                    <w:jc w:val="center"/>
                    <w:rPr>
                      <w:rFonts w:hint="eastAsia"/>
                      <w:sz w:val="21"/>
                      <w:szCs w:val="21"/>
                      <w:lang w:val="en-US"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0E501162">
                  <w:pPr>
                    <w:pStyle w:val="58"/>
                    <w:adjustRightInd w:val="0"/>
                    <w:snapToGrid w:val="0"/>
                    <w:jc w:val="center"/>
                    <w:rPr>
                      <w:rFonts w:hint="eastAsia"/>
                      <w:sz w:val="21"/>
                      <w:szCs w:val="21"/>
                      <w:lang w:val="en-US" w:eastAsia="zh-CN"/>
                    </w:rPr>
                  </w:pPr>
                  <w:r>
                    <w:rPr>
                      <w:rFonts w:hint="eastAsia"/>
                      <w:sz w:val="21"/>
                      <w:szCs w:val="21"/>
                      <w:lang w:val="en-US"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7ABBF50B">
                  <w:pPr>
                    <w:pStyle w:val="58"/>
                    <w:adjustRightInd w:val="0"/>
                    <w:snapToGrid w:val="0"/>
                    <w:jc w:val="center"/>
                    <w:rPr>
                      <w:rFonts w:hint="default"/>
                      <w:sz w:val="21"/>
                      <w:szCs w:val="21"/>
                      <w:lang w:val="en-US" w:eastAsia="zh-CN"/>
                    </w:rPr>
                  </w:pPr>
                  <w:r>
                    <w:rPr>
                      <w:rFonts w:hint="eastAsia"/>
                      <w:sz w:val="21"/>
                      <w:szCs w:val="21"/>
                      <w:lang w:val="en-US" w:eastAsia="zh-CN"/>
                    </w:rPr>
                    <w:t>2台</w:t>
                  </w:r>
                </w:p>
              </w:tc>
              <w:tc>
                <w:tcPr>
                  <w:tcW w:w="343" w:type="pct"/>
                  <w:tcBorders>
                    <w:top w:val="single" w:color="000000" w:sz="4" w:space="0"/>
                    <w:left w:val="single" w:color="000000" w:sz="4" w:space="0"/>
                    <w:bottom w:val="single" w:color="000000" w:sz="4" w:space="0"/>
                  </w:tcBorders>
                  <w:noWrap w:val="0"/>
                  <w:vAlign w:val="center"/>
                </w:tcPr>
                <w:p w14:paraId="0ACFAE06">
                  <w:pPr>
                    <w:adjustRightInd w:val="0"/>
                    <w:snapToGrid w:val="0"/>
                    <w:jc w:val="center"/>
                    <w:rPr>
                      <w:rFonts w:hint="eastAsia"/>
                      <w:sz w:val="21"/>
                      <w:szCs w:val="21"/>
                      <w:lang w:eastAsia="zh-CN"/>
                    </w:rPr>
                  </w:pPr>
                  <w:r>
                    <w:rPr>
                      <w:rFonts w:hint="eastAsia"/>
                      <w:sz w:val="21"/>
                      <w:szCs w:val="21"/>
                      <w:lang w:eastAsia="zh-CN"/>
                    </w:rPr>
                    <w:t>/</w:t>
                  </w:r>
                </w:p>
              </w:tc>
            </w:tr>
            <w:tr w14:paraId="0EBD09EC">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27" w:type="pct"/>
                  <w:tcBorders>
                    <w:top w:val="single" w:color="auto" w:sz="4" w:space="0"/>
                    <w:bottom w:val="single" w:color="auto" w:sz="4" w:space="0"/>
                    <w:right w:val="single" w:color="auto" w:sz="4" w:space="0"/>
                  </w:tcBorders>
                  <w:noWrap w:val="0"/>
                  <w:vAlign w:val="center"/>
                </w:tcPr>
                <w:p w14:paraId="1BF0B646">
                  <w:pPr>
                    <w:pStyle w:val="58"/>
                    <w:adjustRightInd w:val="0"/>
                    <w:snapToGrid w:val="0"/>
                    <w:jc w:val="center"/>
                    <w:rPr>
                      <w:rFonts w:hint="default"/>
                      <w:sz w:val="21"/>
                      <w:szCs w:val="21"/>
                      <w:lang w:val="en-US" w:eastAsia="zh-CN"/>
                    </w:rPr>
                  </w:pPr>
                  <w:r>
                    <w:rPr>
                      <w:rFonts w:hint="eastAsia"/>
                      <w:sz w:val="21"/>
                      <w:szCs w:val="21"/>
                      <w:lang w:val="en-US" w:eastAsia="zh-CN"/>
                    </w:rPr>
                    <w:t>13</w:t>
                  </w:r>
                </w:p>
              </w:tc>
              <w:tc>
                <w:tcPr>
                  <w:tcW w:w="321" w:type="pct"/>
                  <w:vMerge w:val="continue"/>
                  <w:tcBorders>
                    <w:left w:val="single" w:color="auto" w:sz="4" w:space="0"/>
                    <w:right w:val="single" w:color="000000" w:sz="4" w:space="0"/>
                  </w:tcBorders>
                  <w:noWrap w:val="0"/>
                  <w:vAlign w:val="center"/>
                </w:tcPr>
                <w:p w14:paraId="760A2ED8">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029B4D18">
                  <w:pPr>
                    <w:pStyle w:val="58"/>
                    <w:adjustRightInd w:val="0"/>
                    <w:snapToGrid w:val="0"/>
                    <w:jc w:val="center"/>
                    <w:rPr>
                      <w:rFonts w:hint="eastAsia"/>
                      <w:sz w:val="21"/>
                      <w:szCs w:val="21"/>
                      <w:lang w:val="en-US" w:eastAsia="zh-CN"/>
                    </w:rPr>
                  </w:pPr>
                </w:p>
              </w:tc>
              <w:tc>
                <w:tcPr>
                  <w:tcW w:w="480" w:type="pct"/>
                  <w:vMerge w:val="continue"/>
                  <w:tcBorders>
                    <w:top w:val="single" w:color="auto" w:sz="4" w:space="0"/>
                    <w:left w:val="single" w:color="auto" w:sz="4" w:space="0"/>
                    <w:bottom w:val="single" w:color="auto" w:sz="4" w:space="0"/>
                    <w:right w:val="single" w:color="auto" w:sz="4" w:space="0"/>
                  </w:tcBorders>
                  <w:noWrap w:val="0"/>
                  <w:vAlign w:val="center"/>
                </w:tcPr>
                <w:p w14:paraId="6EC2008B">
                  <w:pPr>
                    <w:pStyle w:val="58"/>
                    <w:adjustRightInd w:val="0"/>
                    <w:snapToGrid w:val="0"/>
                    <w:jc w:val="center"/>
                    <w:rPr>
                      <w:rFonts w:hint="eastAsia"/>
                      <w:sz w:val="21"/>
                      <w:szCs w:val="21"/>
                      <w:lang w:val="en-US" w:eastAsia="zh-CN"/>
                    </w:rPr>
                  </w:pPr>
                </w:p>
              </w:tc>
              <w:tc>
                <w:tcPr>
                  <w:tcW w:w="750" w:type="pct"/>
                  <w:tcBorders>
                    <w:top w:val="single" w:color="000000" w:sz="4" w:space="0"/>
                    <w:left w:val="single" w:color="auto" w:sz="4" w:space="0"/>
                    <w:bottom w:val="single" w:color="000000" w:sz="4" w:space="0"/>
                    <w:right w:val="single" w:color="000000" w:sz="4" w:space="0"/>
                  </w:tcBorders>
                  <w:noWrap w:val="0"/>
                  <w:vAlign w:val="center"/>
                </w:tcPr>
                <w:p w14:paraId="1E0A75E1">
                  <w:pPr>
                    <w:pStyle w:val="58"/>
                    <w:adjustRightInd w:val="0"/>
                    <w:snapToGrid w:val="0"/>
                    <w:jc w:val="center"/>
                    <w:rPr>
                      <w:rFonts w:hint="default"/>
                      <w:sz w:val="21"/>
                      <w:szCs w:val="21"/>
                      <w:lang w:val="en-US" w:eastAsia="zh-CN"/>
                    </w:rPr>
                  </w:pPr>
                  <w:r>
                    <w:rPr>
                      <w:rFonts w:hint="eastAsia"/>
                      <w:sz w:val="21"/>
                      <w:szCs w:val="21"/>
                      <w:lang w:val="en-US" w:eastAsia="zh-CN"/>
                    </w:rPr>
                    <w:t>电瓶存放箱</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B172CE8">
                  <w:pPr>
                    <w:pStyle w:val="58"/>
                    <w:adjustRightInd w:val="0"/>
                    <w:snapToGrid w:val="0"/>
                    <w:jc w:val="center"/>
                    <w:rPr>
                      <w:rFonts w:hint="default"/>
                      <w:sz w:val="21"/>
                      <w:szCs w:val="21"/>
                      <w:lang w:val="en-US" w:eastAsia="zh-CN"/>
                    </w:rPr>
                  </w:pPr>
                  <w:r>
                    <w:rPr>
                      <w:rFonts w:hint="eastAsia"/>
                      <w:sz w:val="21"/>
                      <w:szCs w:val="21"/>
                      <w:lang w:val="en-US" w:eastAsia="zh-CN"/>
                    </w:rPr>
                    <w:t>MF0014~MF0029</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1B30DA97">
                  <w:pPr>
                    <w:pStyle w:val="58"/>
                    <w:adjustRightInd w:val="0"/>
                    <w:snapToGrid w:val="0"/>
                    <w:jc w:val="center"/>
                    <w:rPr>
                      <w:rFonts w:hint="eastAsia"/>
                      <w:sz w:val="21"/>
                      <w:szCs w:val="21"/>
                      <w:lang w:val="en-US"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785F662E">
                  <w:pPr>
                    <w:pStyle w:val="58"/>
                    <w:adjustRightInd w:val="0"/>
                    <w:snapToGrid w:val="0"/>
                    <w:jc w:val="center"/>
                    <w:rPr>
                      <w:rFonts w:hint="eastAsia"/>
                      <w:sz w:val="21"/>
                      <w:szCs w:val="21"/>
                      <w:lang w:val="en-US"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789CBCDC">
                  <w:pPr>
                    <w:pStyle w:val="58"/>
                    <w:adjustRightInd w:val="0"/>
                    <w:snapToGrid w:val="0"/>
                    <w:jc w:val="center"/>
                    <w:rPr>
                      <w:rFonts w:hint="eastAsia"/>
                      <w:sz w:val="21"/>
                      <w:szCs w:val="21"/>
                      <w:lang w:val="en-US"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0243B6DB">
                  <w:pPr>
                    <w:pStyle w:val="58"/>
                    <w:adjustRightInd w:val="0"/>
                    <w:snapToGrid w:val="0"/>
                    <w:jc w:val="center"/>
                    <w:rPr>
                      <w:rFonts w:hint="eastAsia"/>
                      <w:sz w:val="21"/>
                      <w:szCs w:val="21"/>
                      <w:lang w:val="en-US" w:eastAsia="zh-CN"/>
                    </w:rPr>
                  </w:pPr>
                  <w:r>
                    <w:rPr>
                      <w:rFonts w:hint="eastAsia"/>
                      <w:sz w:val="21"/>
                      <w:szCs w:val="21"/>
                      <w:lang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5A15AA7E">
                  <w:pPr>
                    <w:pStyle w:val="58"/>
                    <w:adjustRightInd w:val="0"/>
                    <w:snapToGrid w:val="0"/>
                    <w:jc w:val="center"/>
                    <w:rPr>
                      <w:rFonts w:hint="default"/>
                      <w:sz w:val="21"/>
                      <w:szCs w:val="21"/>
                      <w:lang w:val="en-US" w:eastAsia="zh-CN"/>
                    </w:rPr>
                  </w:pPr>
                  <w:r>
                    <w:rPr>
                      <w:rFonts w:hint="eastAsia"/>
                      <w:sz w:val="21"/>
                      <w:szCs w:val="21"/>
                      <w:lang w:val="en-US" w:eastAsia="zh-CN"/>
                    </w:rPr>
                    <w:t>16台</w:t>
                  </w:r>
                </w:p>
              </w:tc>
              <w:tc>
                <w:tcPr>
                  <w:tcW w:w="343" w:type="pct"/>
                  <w:tcBorders>
                    <w:top w:val="single" w:color="000000" w:sz="4" w:space="0"/>
                    <w:left w:val="single" w:color="000000" w:sz="4" w:space="0"/>
                    <w:bottom w:val="single" w:color="000000" w:sz="4" w:space="0"/>
                  </w:tcBorders>
                  <w:noWrap w:val="0"/>
                  <w:vAlign w:val="center"/>
                </w:tcPr>
                <w:p w14:paraId="0463FC92">
                  <w:pPr>
                    <w:adjustRightInd w:val="0"/>
                    <w:snapToGrid w:val="0"/>
                    <w:jc w:val="center"/>
                    <w:rPr>
                      <w:rFonts w:hint="eastAsia"/>
                      <w:sz w:val="21"/>
                      <w:szCs w:val="21"/>
                      <w:lang w:eastAsia="zh-CN"/>
                    </w:rPr>
                  </w:pPr>
                  <w:r>
                    <w:rPr>
                      <w:rFonts w:hint="eastAsia"/>
                      <w:sz w:val="21"/>
                      <w:szCs w:val="21"/>
                      <w:lang w:eastAsia="zh-CN"/>
                    </w:rPr>
                    <w:t>/</w:t>
                  </w:r>
                </w:p>
              </w:tc>
            </w:tr>
            <w:tr w14:paraId="5A24C0A1">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27" w:type="pct"/>
                  <w:tcBorders>
                    <w:top w:val="single" w:color="auto" w:sz="4" w:space="0"/>
                    <w:bottom w:val="single" w:color="auto" w:sz="4" w:space="0"/>
                    <w:right w:val="single" w:color="auto" w:sz="4" w:space="0"/>
                  </w:tcBorders>
                  <w:noWrap w:val="0"/>
                  <w:vAlign w:val="center"/>
                </w:tcPr>
                <w:p w14:paraId="405186B7">
                  <w:pPr>
                    <w:pStyle w:val="58"/>
                    <w:adjustRightInd w:val="0"/>
                    <w:snapToGrid w:val="0"/>
                    <w:jc w:val="center"/>
                    <w:rPr>
                      <w:rFonts w:hint="default"/>
                      <w:sz w:val="21"/>
                      <w:szCs w:val="21"/>
                      <w:lang w:val="en-US" w:eastAsia="zh-CN"/>
                    </w:rPr>
                  </w:pPr>
                  <w:r>
                    <w:rPr>
                      <w:rFonts w:hint="eastAsia"/>
                      <w:sz w:val="21"/>
                      <w:szCs w:val="21"/>
                      <w:lang w:val="en-US" w:eastAsia="zh-CN"/>
                    </w:rPr>
                    <w:t>14</w:t>
                  </w:r>
                </w:p>
              </w:tc>
              <w:tc>
                <w:tcPr>
                  <w:tcW w:w="321" w:type="pct"/>
                  <w:vMerge w:val="continue"/>
                  <w:tcBorders>
                    <w:left w:val="single" w:color="auto" w:sz="4" w:space="0"/>
                    <w:right w:val="single" w:color="000000" w:sz="4" w:space="0"/>
                  </w:tcBorders>
                  <w:noWrap w:val="0"/>
                  <w:vAlign w:val="center"/>
                </w:tcPr>
                <w:p w14:paraId="7A5D0B43">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5943731E">
                  <w:pPr>
                    <w:pStyle w:val="58"/>
                    <w:adjustRightInd w:val="0"/>
                    <w:snapToGrid w:val="0"/>
                    <w:jc w:val="center"/>
                    <w:rPr>
                      <w:rFonts w:hint="eastAsia"/>
                      <w:sz w:val="21"/>
                      <w:szCs w:val="21"/>
                      <w:lang w:val="en-US" w:eastAsia="zh-CN"/>
                    </w:rPr>
                  </w:pPr>
                </w:p>
              </w:tc>
              <w:tc>
                <w:tcPr>
                  <w:tcW w:w="480" w:type="pct"/>
                  <w:vMerge w:val="continue"/>
                  <w:tcBorders>
                    <w:top w:val="single" w:color="auto" w:sz="4" w:space="0"/>
                    <w:left w:val="single" w:color="auto" w:sz="4" w:space="0"/>
                    <w:bottom w:val="single" w:color="auto" w:sz="4" w:space="0"/>
                    <w:right w:val="single" w:color="auto" w:sz="4" w:space="0"/>
                  </w:tcBorders>
                  <w:noWrap w:val="0"/>
                  <w:vAlign w:val="center"/>
                </w:tcPr>
                <w:p w14:paraId="43A22720">
                  <w:pPr>
                    <w:pStyle w:val="58"/>
                    <w:adjustRightInd w:val="0"/>
                    <w:snapToGrid w:val="0"/>
                    <w:jc w:val="center"/>
                    <w:rPr>
                      <w:rFonts w:hint="eastAsia"/>
                      <w:sz w:val="21"/>
                      <w:szCs w:val="21"/>
                      <w:lang w:val="en-US" w:eastAsia="zh-CN"/>
                    </w:rPr>
                  </w:pPr>
                </w:p>
              </w:tc>
              <w:tc>
                <w:tcPr>
                  <w:tcW w:w="750" w:type="pct"/>
                  <w:tcBorders>
                    <w:top w:val="single" w:color="000000" w:sz="4" w:space="0"/>
                    <w:left w:val="single" w:color="auto" w:sz="4" w:space="0"/>
                    <w:bottom w:val="single" w:color="000000" w:sz="4" w:space="0"/>
                    <w:right w:val="single" w:color="000000" w:sz="4" w:space="0"/>
                  </w:tcBorders>
                  <w:noWrap w:val="0"/>
                  <w:vAlign w:val="center"/>
                </w:tcPr>
                <w:p w14:paraId="59EFE867">
                  <w:pPr>
                    <w:pStyle w:val="58"/>
                    <w:adjustRightInd w:val="0"/>
                    <w:snapToGrid w:val="0"/>
                    <w:jc w:val="center"/>
                    <w:rPr>
                      <w:rFonts w:hint="default"/>
                      <w:sz w:val="21"/>
                      <w:szCs w:val="21"/>
                      <w:lang w:val="en-US" w:eastAsia="zh-CN"/>
                    </w:rPr>
                  </w:pPr>
                  <w:r>
                    <w:rPr>
                      <w:rFonts w:hint="eastAsia"/>
                      <w:sz w:val="21"/>
                      <w:szCs w:val="21"/>
                      <w:lang w:val="en-US" w:eastAsia="zh-CN"/>
                    </w:rPr>
                    <w:t>绝缘检测设备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28CF746">
                  <w:pPr>
                    <w:pStyle w:val="58"/>
                    <w:adjustRightInd w:val="0"/>
                    <w:snapToGrid w:val="0"/>
                    <w:jc w:val="center"/>
                    <w:rPr>
                      <w:rFonts w:hint="default"/>
                      <w:sz w:val="21"/>
                      <w:szCs w:val="21"/>
                      <w:lang w:val="en-US" w:eastAsia="zh-CN"/>
                    </w:rPr>
                  </w:pPr>
                  <w:r>
                    <w:rPr>
                      <w:rFonts w:hint="eastAsia"/>
                      <w:sz w:val="21"/>
                      <w:szCs w:val="21"/>
                      <w:lang w:val="en-US" w:eastAsia="zh-CN"/>
                    </w:rPr>
                    <w:t>MF0030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780A0AB6">
                  <w:pPr>
                    <w:pStyle w:val="58"/>
                    <w:adjustRightInd w:val="0"/>
                    <w:snapToGrid w:val="0"/>
                    <w:jc w:val="center"/>
                    <w:rPr>
                      <w:rFonts w:hint="eastAsia"/>
                      <w:sz w:val="21"/>
                      <w:szCs w:val="21"/>
                      <w:lang w:val="en-US"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78E0BA96">
                  <w:pPr>
                    <w:pStyle w:val="58"/>
                    <w:adjustRightInd w:val="0"/>
                    <w:snapToGrid w:val="0"/>
                    <w:jc w:val="center"/>
                    <w:rPr>
                      <w:rFonts w:hint="eastAsia"/>
                      <w:sz w:val="21"/>
                      <w:szCs w:val="21"/>
                      <w:lang w:val="en-US"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110F5737">
                  <w:pPr>
                    <w:pStyle w:val="58"/>
                    <w:adjustRightInd w:val="0"/>
                    <w:snapToGrid w:val="0"/>
                    <w:jc w:val="center"/>
                    <w:rPr>
                      <w:rFonts w:hint="eastAsia"/>
                      <w:sz w:val="21"/>
                      <w:szCs w:val="21"/>
                      <w:lang w:val="en-US"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0EDF7A4D">
                  <w:pPr>
                    <w:pStyle w:val="58"/>
                    <w:adjustRightInd w:val="0"/>
                    <w:snapToGrid w:val="0"/>
                    <w:jc w:val="center"/>
                    <w:rPr>
                      <w:rFonts w:hint="eastAsia"/>
                      <w:sz w:val="21"/>
                      <w:szCs w:val="21"/>
                      <w:lang w:val="en-US" w:eastAsia="zh-CN"/>
                    </w:rPr>
                  </w:pPr>
                  <w:r>
                    <w:rPr>
                      <w:rFonts w:hint="eastAsia"/>
                      <w:sz w:val="21"/>
                      <w:szCs w:val="21"/>
                      <w:lang w:val="en-US"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51A741B9">
                  <w:pPr>
                    <w:adjustRightInd w:val="0"/>
                    <w:snapToGrid w:val="0"/>
                    <w:jc w:val="center"/>
                    <w:rPr>
                      <w:rFonts w:hint="eastAsia"/>
                      <w:sz w:val="21"/>
                      <w:szCs w:val="21"/>
                      <w:lang w:val="en-US" w:eastAsia="zh-CN"/>
                    </w:rPr>
                  </w:pPr>
                  <w:r>
                    <w:rPr>
                      <w:rFonts w:hint="eastAsia"/>
                      <w:sz w:val="21"/>
                      <w:szCs w:val="21"/>
                      <w:lang w:val="en-US" w:eastAsia="zh-CN"/>
                    </w:rPr>
                    <w:t>1台</w:t>
                  </w:r>
                </w:p>
              </w:tc>
              <w:tc>
                <w:tcPr>
                  <w:tcW w:w="343" w:type="pct"/>
                  <w:tcBorders>
                    <w:top w:val="single" w:color="000000" w:sz="4" w:space="0"/>
                    <w:left w:val="single" w:color="000000" w:sz="4" w:space="0"/>
                    <w:bottom w:val="single" w:color="000000" w:sz="4" w:space="0"/>
                  </w:tcBorders>
                  <w:noWrap w:val="0"/>
                  <w:vAlign w:val="center"/>
                </w:tcPr>
                <w:p w14:paraId="1812B708">
                  <w:pPr>
                    <w:adjustRightInd w:val="0"/>
                    <w:snapToGrid w:val="0"/>
                    <w:jc w:val="center"/>
                    <w:rPr>
                      <w:rFonts w:hint="eastAsia"/>
                      <w:sz w:val="21"/>
                      <w:szCs w:val="21"/>
                      <w:lang w:eastAsia="zh-CN"/>
                    </w:rPr>
                  </w:pPr>
                  <w:r>
                    <w:rPr>
                      <w:rFonts w:hint="eastAsia"/>
                      <w:sz w:val="21"/>
                      <w:szCs w:val="21"/>
                      <w:lang w:eastAsia="zh-CN"/>
                    </w:rPr>
                    <w:t>/</w:t>
                  </w:r>
                </w:p>
              </w:tc>
            </w:tr>
            <w:tr w14:paraId="4A2D378B">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27" w:type="pct"/>
                  <w:tcBorders>
                    <w:top w:val="single" w:color="auto" w:sz="4" w:space="0"/>
                    <w:bottom w:val="single" w:color="auto" w:sz="4" w:space="0"/>
                    <w:right w:val="single" w:color="auto" w:sz="4" w:space="0"/>
                  </w:tcBorders>
                  <w:noWrap w:val="0"/>
                  <w:vAlign w:val="center"/>
                </w:tcPr>
                <w:p w14:paraId="562E51D8">
                  <w:pPr>
                    <w:pStyle w:val="58"/>
                    <w:adjustRightInd w:val="0"/>
                    <w:snapToGrid w:val="0"/>
                    <w:jc w:val="center"/>
                    <w:rPr>
                      <w:rFonts w:hint="default"/>
                      <w:sz w:val="21"/>
                      <w:szCs w:val="21"/>
                      <w:lang w:val="en-US" w:eastAsia="zh-CN"/>
                    </w:rPr>
                  </w:pPr>
                  <w:r>
                    <w:rPr>
                      <w:rFonts w:hint="eastAsia"/>
                      <w:sz w:val="21"/>
                      <w:szCs w:val="21"/>
                      <w:lang w:val="en-US" w:eastAsia="zh-CN"/>
                    </w:rPr>
                    <w:t>15</w:t>
                  </w:r>
                </w:p>
              </w:tc>
              <w:tc>
                <w:tcPr>
                  <w:tcW w:w="321" w:type="pct"/>
                  <w:vMerge w:val="continue"/>
                  <w:tcBorders>
                    <w:left w:val="single" w:color="auto" w:sz="4" w:space="0"/>
                    <w:right w:val="single" w:color="000000" w:sz="4" w:space="0"/>
                  </w:tcBorders>
                  <w:noWrap w:val="0"/>
                  <w:vAlign w:val="center"/>
                </w:tcPr>
                <w:p w14:paraId="350F0893">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7126467C">
                  <w:pPr>
                    <w:pStyle w:val="58"/>
                    <w:adjustRightInd w:val="0"/>
                    <w:snapToGrid w:val="0"/>
                    <w:jc w:val="center"/>
                    <w:rPr>
                      <w:rFonts w:hint="eastAsia"/>
                      <w:sz w:val="21"/>
                      <w:szCs w:val="21"/>
                      <w:lang w:val="en-US" w:eastAsia="zh-CN"/>
                    </w:rPr>
                  </w:pPr>
                </w:p>
              </w:tc>
              <w:tc>
                <w:tcPr>
                  <w:tcW w:w="480" w:type="pct"/>
                  <w:vMerge w:val="continue"/>
                  <w:tcBorders>
                    <w:top w:val="single" w:color="auto" w:sz="4" w:space="0"/>
                    <w:left w:val="single" w:color="auto" w:sz="4" w:space="0"/>
                    <w:bottom w:val="single" w:color="auto" w:sz="4" w:space="0"/>
                    <w:right w:val="single" w:color="auto" w:sz="4" w:space="0"/>
                  </w:tcBorders>
                  <w:noWrap w:val="0"/>
                  <w:vAlign w:val="center"/>
                </w:tcPr>
                <w:p w14:paraId="5EAE9B00">
                  <w:pPr>
                    <w:pStyle w:val="58"/>
                    <w:adjustRightInd w:val="0"/>
                    <w:snapToGrid w:val="0"/>
                    <w:jc w:val="center"/>
                    <w:rPr>
                      <w:rFonts w:hint="eastAsia"/>
                      <w:sz w:val="21"/>
                      <w:szCs w:val="21"/>
                      <w:lang w:val="en-US" w:eastAsia="zh-CN"/>
                    </w:rPr>
                  </w:pPr>
                </w:p>
              </w:tc>
              <w:tc>
                <w:tcPr>
                  <w:tcW w:w="750" w:type="pct"/>
                  <w:tcBorders>
                    <w:top w:val="single" w:color="000000" w:sz="4" w:space="0"/>
                    <w:left w:val="single" w:color="auto" w:sz="4" w:space="0"/>
                    <w:bottom w:val="single" w:color="000000" w:sz="4" w:space="0"/>
                    <w:right w:val="single" w:color="000000" w:sz="4" w:space="0"/>
                  </w:tcBorders>
                  <w:noWrap w:val="0"/>
                  <w:vAlign w:val="center"/>
                </w:tcPr>
                <w:p w14:paraId="4DBF3F41">
                  <w:pPr>
                    <w:pStyle w:val="58"/>
                    <w:adjustRightInd w:val="0"/>
                    <w:snapToGrid w:val="0"/>
                    <w:jc w:val="center"/>
                    <w:rPr>
                      <w:rFonts w:hint="default"/>
                      <w:sz w:val="21"/>
                      <w:szCs w:val="21"/>
                      <w:lang w:val="en-US" w:eastAsia="zh-CN"/>
                    </w:rPr>
                  </w:pPr>
                  <w:r>
                    <w:rPr>
                      <w:rFonts w:hint="eastAsia"/>
                      <w:sz w:val="21"/>
                      <w:szCs w:val="21"/>
                      <w:lang w:val="en-US" w:eastAsia="zh-CN"/>
                    </w:rPr>
                    <w:t>动力蓄电池断电设备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3C4FDDE">
                  <w:pPr>
                    <w:pStyle w:val="58"/>
                    <w:adjustRightInd w:val="0"/>
                    <w:snapToGrid w:val="0"/>
                    <w:jc w:val="center"/>
                    <w:rPr>
                      <w:rFonts w:hint="default"/>
                      <w:sz w:val="21"/>
                      <w:szCs w:val="21"/>
                      <w:lang w:val="en-US" w:eastAsia="zh-CN"/>
                    </w:rPr>
                  </w:pPr>
                  <w:r>
                    <w:rPr>
                      <w:rFonts w:hint="eastAsia"/>
                      <w:sz w:val="21"/>
                      <w:szCs w:val="21"/>
                      <w:lang w:val="en-US" w:eastAsia="zh-CN"/>
                    </w:rPr>
                    <w:t>MF0031</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14F72EBF">
                  <w:pPr>
                    <w:pStyle w:val="58"/>
                    <w:adjustRightInd w:val="0"/>
                    <w:snapToGrid w:val="0"/>
                    <w:jc w:val="center"/>
                    <w:rPr>
                      <w:rFonts w:hint="eastAsia"/>
                      <w:sz w:val="21"/>
                      <w:szCs w:val="21"/>
                      <w:lang w:val="en-US"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02B4BB7C">
                  <w:pPr>
                    <w:pStyle w:val="58"/>
                    <w:adjustRightInd w:val="0"/>
                    <w:snapToGrid w:val="0"/>
                    <w:jc w:val="center"/>
                    <w:rPr>
                      <w:rFonts w:hint="eastAsia"/>
                      <w:sz w:val="21"/>
                      <w:szCs w:val="21"/>
                      <w:lang w:val="en-US"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7FF58570">
                  <w:pPr>
                    <w:pStyle w:val="58"/>
                    <w:adjustRightInd w:val="0"/>
                    <w:snapToGrid w:val="0"/>
                    <w:jc w:val="center"/>
                    <w:rPr>
                      <w:rFonts w:hint="eastAsia"/>
                      <w:sz w:val="21"/>
                      <w:szCs w:val="21"/>
                      <w:lang w:val="en-US"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28F29024">
                  <w:pPr>
                    <w:pStyle w:val="58"/>
                    <w:adjustRightInd w:val="0"/>
                    <w:snapToGrid w:val="0"/>
                    <w:jc w:val="center"/>
                    <w:rPr>
                      <w:rFonts w:hint="eastAsia"/>
                      <w:sz w:val="21"/>
                      <w:szCs w:val="21"/>
                      <w:lang w:val="en-US" w:eastAsia="zh-CN"/>
                    </w:rPr>
                  </w:pPr>
                  <w:r>
                    <w:rPr>
                      <w:rFonts w:hint="eastAsia"/>
                      <w:sz w:val="21"/>
                      <w:szCs w:val="21"/>
                      <w:lang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6980599F">
                  <w:pPr>
                    <w:adjustRightInd w:val="0"/>
                    <w:snapToGrid w:val="0"/>
                    <w:jc w:val="center"/>
                    <w:rPr>
                      <w:rFonts w:hint="eastAsia"/>
                      <w:sz w:val="21"/>
                      <w:szCs w:val="21"/>
                      <w:lang w:val="en-US" w:eastAsia="zh-CN"/>
                    </w:rPr>
                  </w:pPr>
                  <w:r>
                    <w:rPr>
                      <w:rFonts w:hint="eastAsia"/>
                      <w:sz w:val="21"/>
                      <w:szCs w:val="21"/>
                      <w:lang w:val="en-US" w:eastAsia="zh-CN"/>
                    </w:rPr>
                    <w:t>1台</w:t>
                  </w:r>
                </w:p>
              </w:tc>
              <w:tc>
                <w:tcPr>
                  <w:tcW w:w="343" w:type="pct"/>
                  <w:tcBorders>
                    <w:top w:val="single" w:color="000000" w:sz="4" w:space="0"/>
                    <w:left w:val="single" w:color="000000" w:sz="4" w:space="0"/>
                    <w:bottom w:val="single" w:color="000000" w:sz="4" w:space="0"/>
                  </w:tcBorders>
                  <w:noWrap w:val="0"/>
                  <w:vAlign w:val="center"/>
                </w:tcPr>
                <w:p w14:paraId="25275433">
                  <w:pPr>
                    <w:adjustRightInd w:val="0"/>
                    <w:snapToGrid w:val="0"/>
                    <w:jc w:val="center"/>
                    <w:rPr>
                      <w:rFonts w:hint="eastAsia"/>
                      <w:sz w:val="21"/>
                      <w:szCs w:val="21"/>
                      <w:lang w:eastAsia="zh-CN"/>
                    </w:rPr>
                  </w:pPr>
                  <w:r>
                    <w:rPr>
                      <w:rFonts w:hint="eastAsia"/>
                      <w:sz w:val="21"/>
                      <w:szCs w:val="21"/>
                      <w:lang w:eastAsia="zh-CN"/>
                    </w:rPr>
                    <w:t>/</w:t>
                  </w:r>
                </w:p>
              </w:tc>
            </w:tr>
            <w:tr w14:paraId="18411165">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27" w:type="pct"/>
                  <w:tcBorders>
                    <w:top w:val="single" w:color="auto" w:sz="4" w:space="0"/>
                    <w:bottom w:val="single" w:color="auto" w:sz="4" w:space="0"/>
                    <w:right w:val="single" w:color="auto" w:sz="4" w:space="0"/>
                  </w:tcBorders>
                  <w:noWrap w:val="0"/>
                  <w:vAlign w:val="center"/>
                </w:tcPr>
                <w:p w14:paraId="2C963458">
                  <w:pPr>
                    <w:pStyle w:val="58"/>
                    <w:adjustRightInd w:val="0"/>
                    <w:snapToGrid w:val="0"/>
                    <w:jc w:val="center"/>
                    <w:rPr>
                      <w:rFonts w:hint="default"/>
                      <w:sz w:val="21"/>
                      <w:szCs w:val="21"/>
                      <w:lang w:val="en-US" w:eastAsia="zh-CN"/>
                    </w:rPr>
                  </w:pPr>
                  <w:r>
                    <w:rPr>
                      <w:rFonts w:hint="eastAsia"/>
                      <w:sz w:val="21"/>
                      <w:szCs w:val="21"/>
                      <w:lang w:val="en-US" w:eastAsia="zh-CN"/>
                    </w:rPr>
                    <w:t>16</w:t>
                  </w:r>
                </w:p>
              </w:tc>
              <w:tc>
                <w:tcPr>
                  <w:tcW w:w="321" w:type="pct"/>
                  <w:vMerge w:val="continue"/>
                  <w:tcBorders>
                    <w:left w:val="single" w:color="auto" w:sz="4" w:space="0"/>
                    <w:right w:val="single" w:color="000000" w:sz="4" w:space="0"/>
                  </w:tcBorders>
                  <w:noWrap w:val="0"/>
                  <w:vAlign w:val="center"/>
                </w:tcPr>
                <w:p w14:paraId="2EA86F87">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7884264C">
                  <w:pPr>
                    <w:pStyle w:val="58"/>
                    <w:adjustRightInd w:val="0"/>
                    <w:snapToGrid w:val="0"/>
                    <w:jc w:val="center"/>
                    <w:rPr>
                      <w:rFonts w:hint="eastAsia"/>
                      <w:sz w:val="21"/>
                      <w:szCs w:val="21"/>
                      <w:lang w:val="en-US" w:eastAsia="zh-CN"/>
                    </w:rPr>
                  </w:pPr>
                </w:p>
              </w:tc>
              <w:tc>
                <w:tcPr>
                  <w:tcW w:w="480" w:type="pct"/>
                  <w:vMerge w:val="continue"/>
                  <w:tcBorders>
                    <w:top w:val="single" w:color="auto" w:sz="4" w:space="0"/>
                    <w:left w:val="single" w:color="auto" w:sz="4" w:space="0"/>
                    <w:bottom w:val="single" w:color="auto" w:sz="4" w:space="0"/>
                    <w:right w:val="single" w:color="auto" w:sz="4" w:space="0"/>
                  </w:tcBorders>
                  <w:noWrap w:val="0"/>
                  <w:vAlign w:val="center"/>
                </w:tcPr>
                <w:p w14:paraId="763234B1">
                  <w:pPr>
                    <w:pStyle w:val="58"/>
                    <w:adjustRightInd w:val="0"/>
                    <w:snapToGrid w:val="0"/>
                    <w:jc w:val="center"/>
                    <w:rPr>
                      <w:rFonts w:hint="eastAsia"/>
                      <w:sz w:val="21"/>
                      <w:szCs w:val="21"/>
                      <w:lang w:val="en-US" w:eastAsia="zh-CN"/>
                    </w:rPr>
                  </w:pPr>
                </w:p>
              </w:tc>
              <w:tc>
                <w:tcPr>
                  <w:tcW w:w="750" w:type="pct"/>
                  <w:tcBorders>
                    <w:top w:val="single" w:color="000000" w:sz="4" w:space="0"/>
                    <w:left w:val="single" w:color="auto" w:sz="4" w:space="0"/>
                    <w:bottom w:val="single" w:color="000000" w:sz="4" w:space="0"/>
                    <w:right w:val="single" w:color="000000" w:sz="4" w:space="0"/>
                  </w:tcBorders>
                  <w:noWrap w:val="0"/>
                  <w:vAlign w:val="center"/>
                </w:tcPr>
                <w:p w14:paraId="14F36D1E">
                  <w:pPr>
                    <w:pStyle w:val="58"/>
                    <w:adjustRightInd w:val="0"/>
                    <w:snapToGrid w:val="0"/>
                    <w:jc w:val="center"/>
                    <w:rPr>
                      <w:rFonts w:hint="default"/>
                      <w:sz w:val="21"/>
                      <w:szCs w:val="21"/>
                      <w:lang w:val="en-US" w:eastAsia="zh-CN"/>
                    </w:rPr>
                  </w:pPr>
                  <w:r>
                    <w:rPr>
                      <w:rFonts w:hint="eastAsia"/>
                      <w:sz w:val="21"/>
                      <w:szCs w:val="21"/>
                      <w:lang w:val="en-US" w:eastAsia="zh-CN"/>
                    </w:rPr>
                    <w:t>防静电废液、制冷剂抽排设备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539E7904">
                  <w:pPr>
                    <w:pStyle w:val="58"/>
                    <w:adjustRightInd w:val="0"/>
                    <w:snapToGrid w:val="0"/>
                    <w:jc w:val="center"/>
                    <w:rPr>
                      <w:rFonts w:hint="default"/>
                      <w:sz w:val="21"/>
                      <w:szCs w:val="21"/>
                      <w:lang w:val="en-US" w:eastAsia="zh-CN"/>
                    </w:rPr>
                  </w:pPr>
                  <w:r>
                    <w:rPr>
                      <w:rFonts w:hint="eastAsia"/>
                      <w:sz w:val="21"/>
                      <w:szCs w:val="21"/>
                      <w:lang w:val="en-US" w:eastAsia="zh-CN"/>
                    </w:rPr>
                    <w:t>MF0032</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185A9097">
                  <w:pPr>
                    <w:pStyle w:val="58"/>
                    <w:adjustRightInd w:val="0"/>
                    <w:snapToGrid w:val="0"/>
                    <w:jc w:val="center"/>
                    <w:rPr>
                      <w:rFonts w:hint="eastAsia"/>
                      <w:sz w:val="21"/>
                      <w:szCs w:val="21"/>
                      <w:lang w:val="en-US"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7DAF2D45">
                  <w:pPr>
                    <w:pStyle w:val="58"/>
                    <w:adjustRightInd w:val="0"/>
                    <w:snapToGrid w:val="0"/>
                    <w:jc w:val="center"/>
                    <w:rPr>
                      <w:rFonts w:hint="eastAsia"/>
                      <w:sz w:val="21"/>
                      <w:szCs w:val="21"/>
                      <w:lang w:val="en-US"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257B8714">
                  <w:pPr>
                    <w:pStyle w:val="58"/>
                    <w:adjustRightInd w:val="0"/>
                    <w:snapToGrid w:val="0"/>
                    <w:jc w:val="center"/>
                    <w:rPr>
                      <w:rFonts w:hint="eastAsia"/>
                      <w:sz w:val="21"/>
                      <w:szCs w:val="21"/>
                      <w:lang w:val="en-US"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0619F700">
                  <w:pPr>
                    <w:pStyle w:val="58"/>
                    <w:adjustRightInd w:val="0"/>
                    <w:snapToGrid w:val="0"/>
                    <w:jc w:val="center"/>
                    <w:rPr>
                      <w:rFonts w:hint="eastAsia"/>
                      <w:sz w:val="21"/>
                      <w:szCs w:val="21"/>
                      <w:lang w:val="en-US" w:eastAsia="zh-CN"/>
                    </w:rPr>
                  </w:pPr>
                  <w:r>
                    <w:rPr>
                      <w:rFonts w:hint="eastAsia"/>
                      <w:sz w:val="21"/>
                      <w:szCs w:val="21"/>
                      <w:lang w:val="en-US"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00048BD5">
                  <w:pPr>
                    <w:adjustRightInd w:val="0"/>
                    <w:snapToGrid w:val="0"/>
                    <w:jc w:val="center"/>
                    <w:rPr>
                      <w:rFonts w:hint="eastAsia"/>
                      <w:sz w:val="21"/>
                      <w:szCs w:val="21"/>
                      <w:lang w:val="en-US" w:eastAsia="zh-CN"/>
                    </w:rPr>
                  </w:pPr>
                  <w:r>
                    <w:rPr>
                      <w:rFonts w:hint="eastAsia"/>
                      <w:sz w:val="21"/>
                      <w:szCs w:val="21"/>
                      <w:lang w:val="en-US" w:eastAsia="zh-CN"/>
                    </w:rPr>
                    <w:t>1台</w:t>
                  </w:r>
                </w:p>
              </w:tc>
              <w:tc>
                <w:tcPr>
                  <w:tcW w:w="343" w:type="pct"/>
                  <w:tcBorders>
                    <w:top w:val="single" w:color="000000" w:sz="4" w:space="0"/>
                    <w:left w:val="single" w:color="000000" w:sz="4" w:space="0"/>
                    <w:bottom w:val="single" w:color="000000" w:sz="4" w:space="0"/>
                  </w:tcBorders>
                  <w:noWrap w:val="0"/>
                  <w:vAlign w:val="center"/>
                </w:tcPr>
                <w:p w14:paraId="64F310F6">
                  <w:pPr>
                    <w:adjustRightInd w:val="0"/>
                    <w:snapToGrid w:val="0"/>
                    <w:jc w:val="center"/>
                    <w:rPr>
                      <w:rFonts w:hint="eastAsia"/>
                      <w:sz w:val="21"/>
                      <w:szCs w:val="21"/>
                      <w:lang w:eastAsia="zh-CN"/>
                    </w:rPr>
                  </w:pPr>
                  <w:r>
                    <w:rPr>
                      <w:rFonts w:hint="eastAsia"/>
                      <w:sz w:val="21"/>
                      <w:szCs w:val="21"/>
                      <w:lang w:eastAsia="zh-CN"/>
                    </w:rPr>
                    <w:t>/</w:t>
                  </w:r>
                </w:p>
              </w:tc>
            </w:tr>
            <w:tr w14:paraId="77257433">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27" w:type="pct"/>
                  <w:tcBorders>
                    <w:top w:val="single" w:color="auto" w:sz="4" w:space="0"/>
                    <w:bottom w:val="single" w:color="auto" w:sz="4" w:space="0"/>
                    <w:right w:val="single" w:color="auto" w:sz="4" w:space="0"/>
                  </w:tcBorders>
                  <w:noWrap w:val="0"/>
                  <w:vAlign w:val="center"/>
                </w:tcPr>
                <w:p w14:paraId="165790A0">
                  <w:pPr>
                    <w:pStyle w:val="58"/>
                    <w:adjustRightInd w:val="0"/>
                    <w:snapToGrid w:val="0"/>
                    <w:jc w:val="center"/>
                    <w:rPr>
                      <w:rFonts w:hint="default"/>
                      <w:sz w:val="21"/>
                      <w:szCs w:val="21"/>
                      <w:lang w:val="en-US" w:eastAsia="zh-CN"/>
                    </w:rPr>
                  </w:pPr>
                  <w:r>
                    <w:rPr>
                      <w:rFonts w:hint="eastAsia"/>
                      <w:sz w:val="21"/>
                      <w:szCs w:val="21"/>
                      <w:lang w:val="en-US" w:eastAsia="zh-CN"/>
                    </w:rPr>
                    <w:t>17</w:t>
                  </w:r>
                </w:p>
              </w:tc>
              <w:tc>
                <w:tcPr>
                  <w:tcW w:w="321" w:type="pct"/>
                  <w:vMerge w:val="continue"/>
                  <w:tcBorders>
                    <w:left w:val="single" w:color="auto" w:sz="4" w:space="0"/>
                    <w:right w:val="single" w:color="000000" w:sz="4" w:space="0"/>
                  </w:tcBorders>
                  <w:noWrap w:val="0"/>
                  <w:vAlign w:val="center"/>
                </w:tcPr>
                <w:p w14:paraId="5A569624">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4C499D4D">
                  <w:pPr>
                    <w:pStyle w:val="58"/>
                    <w:adjustRightInd w:val="0"/>
                    <w:snapToGrid w:val="0"/>
                    <w:jc w:val="center"/>
                    <w:rPr>
                      <w:rFonts w:hint="eastAsia"/>
                      <w:sz w:val="21"/>
                      <w:szCs w:val="21"/>
                      <w:lang w:val="en-US" w:eastAsia="zh-CN"/>
                    </w:rPr>
                  </w:pPr>
                </w:p>
              </w:tc>
              <w:tc>
                <w:tcPr>
                  <w:tcW w:w="480" w:type="pct"/>
                  <w:vMerge w:val="continue"/>
                  <w:tcBorders>
                    <w:top w:val="single" w:color="auto" w:sz="4" w:space="0"/>
                    <w:left w:val="single" w:color="auto" w:sz="4" w:space="0"/>
                    <w:bottom w:val="single" w:color="auto" w:sz="4" w:space="0"/>
                    <w:right w:val="single" w:color="auto" w:sz="4" w:space="0"/>
                  </w:tcBorders>
                  <w:noWrap w:val="0"/>
                  <w:vAlign w:val="center"/>
                </w:tcPr>
                <w:p w14:paraId="7C8D4E66">
                  <w:pPr>
                    <w:pStyle w:val="58"/>
                    <w:adjustRightInd w:val="0"/>
                    <w:snapToGrid w:val="0"/>
                    <w:jc w:val="center"/>
                    <w:rPr>
                      <w:rFonts w:hint="eastAsia"/>
                      <w:sz w:val="21"/>
                      <w:szCs w:val="21"/>
                      <w:lang w:val="en-US" w:eastAsia="zh-CN"/>
                    </w:rPr>
                  </w:pPr>
                </w:p>
              </w:tc>
              <w:tc>
                <w:tcPr>
                  <w:tcW w:w="750" w:type="pct"/>
                  <w:tcBorders>
                    <w:top w:val="single" w:color="000000" w:sz="4" w:space="0"/>
                    <w:left w:val="single" w:color="auto" w:sz="4" w:space="0"/>
                    <w:bottom w:val="single" w:color="000000" w:sz="4" w:space="0"/>
                    <w:right w:val="single" w:color="000000" w:sz="4" w:space="0"/>
                  </w:tcBorders>
                  <w:noWrap w:val="0"/>
                  <w:vAlign w:val="center"/>
                </w:tcPr>
                <w:p w14:paraId="29330E64">
                  <w:pPr>
                    <w:pStyle w:val="58"/>
                    <w:adjustRightInd w:val="0"/>
                    <w:snapToGrid w:val="0"/>
                    <w:jc w:val="center"/>
                    <w:rPr>
                      <w:rFonts w:hint="default"/>
                      <w:sz w:val="21"/>
                      <w:szCs w:val="21"/>
                      <w:lang w:val="en-US" w:eastAsia="zh-CN"/>
                    </w:rPr>
                  </w:pPr>
                  <w:r>
                    <w:rPr>
                      <w:rFonts w:hint="eastAsia"/>
                      <w:sz w:val="21"/>
                      <w:szCs w:val="21"/>
                      <w:lang w:val="en-US" w:eastAsia="zh-CN"/>
                    </w:rPr>
                    <w:t>绝缘气动工具</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56106DC">
                  <w:pPr>
                    <w:pStyle w:val="58"/>
                    <w:adjustRightInd w:val="0"/>
                    <w:snapToGrid w:val="0"/>
                    <w:jc w:val="center"/>
                    <w:rPr>
                      <w:rFonts w:hint="default"/>
                      <w:sz w:val="21"/>
                      <w:szCs w:val="21"/>
                      <w:lang w:val="en-US" w:eastAsia="zh-CN"/>
                    </w:rPr>
                  </w:pPr>
                  <w:r>
                    <w:rPr>
                      <w:rFonts w:hint="eastAsia"/>
                      <w:sz w:val="21"/>
                      <w:szCs w:val="21"/>
                      <w:lang w:val="en-US" w:eastAsia="zh-CN"/>
                    </w:rPr>
                    <w:t>MF0033</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358AB832">
                  <w:pPr>
                    <w:pStyle w:val="58"/>
                    <w:adjustRightInd w:val="0"/>
                    <w:snapToGrid w:val="0"/>
                    <w:jc w:val="center"/>
                    <w:rPr>
                      <w:rFonts w:hint="eastAsia"/>
                      <w:sz w:val="21"/>
                      <w:szCs w:val="21"/>
                      <w:lang w:val="en-US"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264B32AA">
                  <w:pPr>
                    <w:pStyle w:val="58"/>
                    <w:adjustRightInd w:val="0"/>
                    <w:snapToGrid w:val="0"/>
                    <w:jc w:val="center"/>
                    <w:rPr>
                      <w:rFonts w:hint="eastAsia"/>
                      <w:sz w:val="21"/>
                      <w:szCs w:val="21"/>
                      <w:lang w:val="en-US"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7703D9D1">
                  <w:pPr>
                    <w:pStyle w:val="58"/>
                    <w:adjustRightInd w:val="0"/>
                    <w:snapToGrid w:val="0"/>
                    <w:jc w:val="center"/>
                    <w:rPr>
                      <w:rFonts w:hint="eastAsia"/>
                      <w:sz w:val="21"/>
                      <w:szCs w:val="21"/>
                      <w:lang w:val="en-US"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7231274D">
                  <w:pPr>
                    <w:pStyle w:val="58"/>
                    <w:adjustRightInd w:val="0"/>
                    <w:snapToGrid w:val="0"/>
                    <w:jc w:val="center"/>
                    <w:rPr>
                      <w:rFonts w:hint="eastAsia"/>
                      <w:sz w:val="21"/>
                      <w:szCs w:val="21"/>
                      <w:lang w:val="en-US" w:eastAsia="zh-CN"/>
                    </w:rPr>
                  </w:pPr>
                  <w:r>
                    <w:rPr>
                      <w:rFonts w:hint="eastAsia"/>
                      <w:sz w:val="21"/>
                      <w:szCs w:val="21"/>
                      <w:lang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39E907DE">
                  <w:pPr>
                    <w:adjustRightInd w:val="0"/>
                    <w:snapToGrid w:val="0"/>
                    <w:jc w:val="center"/>
                    <w:rPr>
                      <w:rFonts w:hint="eastAsia"/>
                      <w:sz w:val="21"/>
                      <w:szCs w:val="21"/>
                      <w:lang w:val="en-US" w:eastAsia="zh-CN"/>
                    </w:rPr>
                  </w:pPr>
                  <w:r>
                    <w:rPr>
                      <w:rFonts w:hint="eastAsia"/>
                      <w:sz w:val="21"/>
                      <w:szCs w:val="21"/>
                      <w:lang w:val="en-US" w:eastAsia="zh-CN"/>
                    </w:rPr>
                    <w:t>1台</w:t>
                  </w:r>
                </w:p>
              </w:tc>
              <w:tc>
                <w:tcPr>
                  <w:tcW w:w="343" w:type="pct"/>
                  <w:tcBorders>
                    <w:top w:val="single" w:color="000000" w:sz="4" w:space="0"/>
                    <w:left w:val="single" w:color="000000" w:sz="4" w:space="0"/>
                    <w:bottom w:val="single" w:color="000000" w:sz="4" w:space="0"/>
                  </w:tcBorders>
                  <w:noWrap w:val="0"/>
                  <w:vAlign w:val="center"/>
                </w:tcPr>
                <w:p w14:paraId="4D46973A">
                  <w:pPr>
                    <w:adjustRightInd w:val="0"/>
                    <w:snapToGrid w:val="0"/>
                    <w:jc w:val="center"/>
                    <w:rPr>
                      <w:rFonts w:hint="eastAsia"/>
                      <w:sz w:val="21"/>
                      <w:szCs w:val="21"/>
                      <w:lang w:eastAsia="zh-CN"/>
                    </w:rPr>
                  </w:pPr>
                  <w:r>
                    <w:rPr>
                      <w:rFonts w:hint="eastAsia"/>
                      <w:sz w:val="21"/>
                      <w:szCs w:val="21"/>
                      <w:lang w:eastAsia="zh-CN"/>
                    </w:rPr>
                    <w:t>/</w:t>
                  </w:r>
                </w:p>
              </w:tc>
            </w:tr>
            <w:tr w14:paraId="0F18B128">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27" w:type="pct"/>
                  <w:tcBorders>
                    <w:top w:val="single" w:color="auto" w:sz="4" w:space="0"/>
                    <w:bottom w:val="single" w:color="auto" w:sz="4" w:space="0"/>
                    <w:right w:val="single" w:color="auto" w:sz="4" w:space="0"/>
                  </w:tcBorders>
                  <w:noWrap w:val="0"/>
                  <w:vAlign w:val="center"/>
                </w:tcPr>
                <w:p w14:paraId="538469B9">
                  <w:pPr>
                    <w:pStyle w:val="58"/>
                    <w:adjustRightInd w:val="0"/>
                    <w:snapToGrid w:val="0"/>
                    <w:jc w:val="center"/>
                    <w:rPr>
                      <w:rFonts w:hint="default"/>
                      <w:sz w:val="21"/>
                      <w:szCs w:val="21"/>
                      <w:lang w:val="en-US" w:eastAsia="zh-CN"/>
                    </w:rPr>
                  </w:pPr>
                  <w:r>
                    <w:rPr>
                      <w:rFonts w:hint="eastAsia"/>
                      <w:sz w:val="21"/>
                      <w:szCs w:val="21"/>
                      <w:lang w:val="en-US" w:eastAsia="zh-CN"/>
                    </w:rPr>
                    <w:t>18</w:t>
                  </w:r>
                </w:p>
              </w:tc>
              <w:tc>
                <w:tcPr>
                  <w:tcW w:w="321" w:type="pct"/>
                  <w:vMerge w:val="continue"/>
                  <w:tcBorders>
                    <w:left w:val="single" w:color="auto" w:sz="4" w:space="0"/>
                    <w:right w:val="single" w:color="000000" w:sz="4" w:space="0"/>
                  </w:tcBorders>
                  <w:noWrap w:val="0"/>
                  <w:vAlign w:val="center"/>
                </w:tcPr>
                <w:p w14:paraId="1489F0E0">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5F7A2F4B">
                  <w:pPr>
                    <w:pStyle w:val="58"/>
                    <w:adjustRightInd w:val="0"/>
                    <w:snapToGrid w:val="0"/>
                    <w:jc w:val="center"/>
                    <w:rPr>
                      <w:rFonts w:hint="eastAsia"/>
                      <w:sz w:val="21"/>
                      <w:szCs w:val="21"/>
                      <w:lang w:val="en-US" w:eastAsia="zh-CN"/>
                    </w:rPr>
                  </w:pPr>
                </w:p>
              </w:tc>
              <w:tc>
                <w:tcPr>
                  <w:tcW w:w="480" w:type="pct"/>
                  <w:vMerge w:val="continue"/>
                  <w:tcBorders>
                    <w:top w:val="single" w:color="auto" w:sz="4" w:space="0"/>
                    <w:left w:val="single" w:color="auto" w:sz="4" w:space="0"/>
                    <w:bottom w:val="single" w:color="auto" w:sz="4" w:space="0"/>
                    <w:right w:val="single" w:color="auto" w:sz="4" w:space="0"/>
                  </w:tcBorders>
                  <w:noWrap w:val="0"/>
                  <w:vAlign w:val="center"/>
                </w:tcPr>
                <w:p w14:paraId="51C939F0">
                  <w:pPr>
                    <w:pStyle w:val="58"/>
                    <w:adjustRightInd w:val="0"/>
                    <w:snapToGrid w:val="0"/>
                    <w:jc w:val="center"/>
                    <w:rPr>
                      <w:rFonts w:hint="eastAsia"/>
                      <w:sz w:val="21"/>
                      <w:szCs w:val="21"/>
                      <w:lang w:val="en-US" w:eastAsia="zh-CN"/>
                    </w:rPr>
                  </w:pPr>
                </w:p>
              </w:tc>
              <w:tc>
                <w:tcPr>
                  <w:tcW w:w="750" w:type="pct"/>
                  <w:tcBorders>
                    <w:top w:val="single" w:color="000000" w:sz="4" w:space="0"/>
                    <w:left w:val="single" w:color="auto" w:sz="4" w:space="0"/>
                    <w:bottom w:val="single" w:color="000000" w:sz="4" w:space="0"/>
                    <w:right w:val="single" w:color="000000" w:sz="4" w:space="0"/>
                  </w:tcBorders>
                  <w:noWrap w:val="0"/>
                  <w:vAlign w:val="center"/>
                </w:tcPr>
                <w:p w14:paraId="16519DEE">
                  <w:pPr>
                    <w:pStyle w:val="58"/>
                    <w:adjustRightInd w:val="0"/>
                    <w:snapToGrid w:val="0"/>
                    <w:jc w:val="center"/>
                    <w:rPr>
                      <w:rFonts w:hint="default"/>
                      <w:sz w:val="21"/>
                      <w:szCs w:val="21"/>
                      <w:lang w:val="en-US" w:eastAsia="zh-CN"/>
                    </w:rPr>
                  </w:pPr>
                  <w:r>
                    <w:rPr>
                      <w:rFonts w:hint="eastAsia"/>
                      <w:sz w:val="21"/>
                      <w:szCs w:val="21"/>
                      <w:lang w:val="en-US" w:eastAsia="zh-CN"/>
                    </w:rPr>
                    <w:t>放电设施设备</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E2F14F6">
                  <w:pPr>
                    <w:pStyle w:val="58"/>
                    <w:adjustRightInd w:val="0"/>
                    <w:snapToGrid w:val="0"/>
                    <w:jc w:val="center"/>
                    <w:rPr>
                      <w:rFonts w:hint="default"/>
                      <w:sz w:val="21"/>
                      <w:szCs w:val="21"/>
                      <w:lang w:val="en-US" w:eastAsia="zh-CN"/>
                    </w:rPr>
                  </w:pPr>
                  <w:r>
                    <w:rPr>
                      <w:rFonts w:hint="eastAsia"/>
                      <w:sz w:val="21"/>
                      <w:szCs w:val="21"/>
                      <w:lang w:val="en-US" w:eastAsia="zh-CN"/>
                    </w:rPr>
                    <w:t>MF0034</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0CCF1A7A">
                  <w:pPr>
                    <w:pStyle w:val="58"/>
                    <w:adjustRightInd w:val="0"/>
                    <w:snapToGrid w:val="0"/>
                    <w:jc w:val="center"/>
                    <w:rPr>
                      <w:rFonts w:hint="eastAsia"/>
                      <w:sz w:val="21"/>
                      <w:szCs w:val="21"/>
                      <w:lang w:val="en-US"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5542DAB7">
                  <w:pPr>
                    <w:pStyle w:val="58"/>
                    <w:adjustRightInd w:val="0"/>
                    <w:snapToGrid w:val="0"/>
                    <w:jc w:val="center"/>
                    <w:rPr>
                      <w:rFonts w:hint="eastAsia"/>
                      <w:sz w:val="21"/>
                      <w:szCs w:val="21"/>
                      <w:lang w:val="en-US"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4B14F681">
                  <w:pPr>
                    <w:pStyle w:val="58"/>
                    <w:adjustRightInd w:val="0"/>
                    <w:snapToGrid w:val="0"/>
                    <w:jc w:val="center"/>
                    <w:rPr>
                      <w:rFonts w:hint="eastAsia"/>
                      <w:sz w:val="21"/>
                      <w:szCs w:val="21"/>
                      <w:lang w:val="en-US"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23E70B21">
                  <w:pPr>
                    <w:pStyle w:val="58"/>
                    <w:adjustRightInd w:val="0"/>
                    <w:snapToGrid w:val="0"/>
                    <w:jc w:val="center"/>
                    <w:rPr>
                      <w:rFonts w:hint="eastAsia"/>
                      <w:sz w:val="21"/>
                      <w:szCs w:val="21"/>
                      <w:lang w:val="en-US" w:eastAsia="zh-CN"/>
                    </w:rPr>
                  </w:pPr>
                  <w:r>
                    <w:rPr>
                      <w:rFonts w:hint="eastAsia"/>
                      <w:sz w:val="21"/>
                      <w:szCs w:val="21"/>
                      <w:lang w:val="en-US"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74A917CA">
                  <w:pPr>
                    <w:adjustRightInd w:val="0"/>
                    <w:snapToGrid w:val="0"/>
                    <w:jc w:val="center"/>
                    <w:rPr>
                      <w:rFonts w:hint="eastAsia"/>
                      <w:sz w:val="21"/>
                      <w:szCs w:val="21"/>
                      <w:lang w:val="en-US" w:eastAsia="zh-CN"/>
                    </w:rPr>
                  </w:pPr>
                  <w:r>
                    <w:rPr>
                      <w:rFonts w:hint="eastAsia"/>
                      <w:sz w:val="21"/>
                      <w:szCs w:val="21"/>
                      <w:lang w:val="en-US" w:eastAsia="zh-CN"/>
                    </w:rPr>
                    <w:t>1台</w:t>
                  </w:r>
                </w:p>
              </w:tc>
              <w:tc>
                <w:tcPr>
                  <w:tcW w:w="343" w:type="pct"/>
                  <w:tcBorders>
                    <w:top w:val="single" w:color="000000" w:sz="4" w:space="0"/>
                    <w:left w:val="single" w:color="000000" w:sz="4" w:space="0"/>
                    <w:bottom w:val="single" w:color="000000" w:sz="4" w:space="0"/>
                  </w:tcBorders>
                  <w:noWrap w:val="0"/>
                  <w:vAlign w:val="center"/>
                </w:tcPr>
                <w:p w14:paraId="3FD1CD7C">
                  <w:pPr>
                    <w:adjustRightInd w:val="0"/>
                    <w:snapToGrid w:val="0"/>
                    <w:jc w:val="center"/>
                    <w:rPr>
                      <w:rFonts w:hint="eastAsia"/>
                      <w:sz w:val="21"/>
                      <w:szCs w:val="21"/>
                      <w:lang w:eastAsia="zh-CN"/>
                    </w:rPr>
                  </w:pPr>
                  <w:r>
                    <w:rPr>
                      <w:rFonts w:hint="eastAsia"/>
                      <w:sz w:val="21"/>
                      <w:szCs w:val="21"/>
                      <w:lang w:eastAsia="zh-CN"/>
                    </w:rPr>
                    <w:t>/</w:t>
                  </w:r>
                </w:p>
              </w:tc>
            </w:tr>
            <w:tr w14:paraId="00746C14">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27" w:type="pct"/>
                  <w:tcBorders>
                    <w:top w:val="single" w:color="auto" w:sz="4" w:space="0"/>
                    <w:bottom w:val="single" w:color="auto" w:sz="4" w:space="0"/>
                    <w:right w:val="single" w:color="auto" w:sz="4" w:space="0"/>
                  </w:tcBorders>
                  <w:noWrap w:val="0"/>
                  <w:vAlign w:val="center"/>
                </w:tcPr>
                <w:p w14:paraId="7F71A49A">
                  <w:pPr>
                    <w:pStyle w:val="58"/>
                    <w:adjustRightInd w:val="0"/>
                    <w:snapToGrid w:val="0"/>
                    <w:jc w:val="center"/>
                    <w:rPr>
                      <w:rFonts w:hint="default"/>
                      <w:sz w:val="21"/>
                      <w:szCs w:val="21"/>
                      <w:lang w:val="en-US" w:eastAsia="zh-CN"/>
                    </w:rPr>
                  </w:pPr>
                  <w:r>
                    <w:rPr>
                      <w:rFonts w:hint="eastAsia"/>
                      <w:sz w:val="21"/>
                      <w:szCs w:val="21"/>
                      <w:lang w:val="en-US" w:eastAsia="zh-CN"/>
                    </w:rPr>
                    <w:t>19</w:t>
                  </w:r>
                </w:p>
              </w:tc>
              <w:tc>
                <w:tcPr>
                  <w:tcW w:w="321" w:type="pct"/>
                  <w:vMerge w:val="continue"/>
                  <w:tcBorders>
                    <w:left w:val="single" w:color="auto" w:sz="4" w:space="0"/>
                    <w:right w:val="single" w:color="000000" w:sz="4" w:space="0"/>
                  </w:tcBorders>
                  <w:noWrap w:val="0"/>
                  <w:vAlign w:val="center"/>
                </w:tcPr>
                <w:p w14:paraId="2B87C3FB">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60E720EA">
                  <w:pPr>
                    <w:pStyle w:val="58"/>
                    <w:adjustRightInd w:val="0"/>
                    <w:snapToGrid w:val="0"/>
                    <w:jc w:val="center"/>
                    <w:rPr>
                      <w:rFonts w:hint="eastAsia"/>
                      <w:sz w:val="21"/>
                      <w:szCs w:val="21"/>
                      <w:lang w:val="en-US" w:eastAsia="zh-CN"/>
                    </w:rPr>
                  </w:pPr>
                </w:p>
              </w:tc>
              <w:tc>
                <w:tcPr>
                  <w:tcW w:w="480" w:type="pct"/>
                  <w:vMerge w:val="continue"/>
                  <w:tcBorders>
                    <w:top w:val="single" w:color="auto" w:sz="4" w:space="0"/>
                    <w:left w:val="single" w:color="auto" w:sz="4" w:space="0"/>
                    <w:bottom w:val="single" w:color="auto" w:sz="4" w:space="0"/>
                    <w:right w:val="single" w:color="auto" w:sz="4" w:space="0"/>
                  </w:tcBorders>
                  <w:noWrap w:val="0"/>
                  <w:vAlign w:val="center"/>
                </w:tcPr>
                <w:p w14:paraId="1044A04E">
                  <w:pPr>
                    <w:pStyle w:val="58"/>
                    <w:adjustRightInd w:val="0"/>
                    <w:snapToGrid w:val="0"/>
                    <w:jc w:val="center"/>
                    <w:rPr>
                      <w:rFonts w:hint="eastAsia"/>
                      <w:sz w:val="21"/>
                      <w:szCs w:val="21"/>
                      <w:lang w:val="en-US" w:eastAsia="zh-CN"/>
                    </w:rPr>
                  </w:pPr>
                </w:p>
              </w:tc>
              <w:tc>
                <w:tcPr>
                  <w:tcW w:w="750" w:type="pct"/>
                  <w:tcBorders>
                    <w:top w:val="single" w:color="000000" w:sz="4" w:space="0"/>
                    <w:left w:val="single" w:color="auto" w:sz="4" w:space="0"/>
                    <w:bottom w:val="single" w:color="000000" w:sz="4" w:space="0"/>
                    <w:right w:val="single" w:color="000000" w:sz="4" w:space="0"/>
                  </w:tcBorders>
                  <w:noWrap w:val="0"/>
                  <w:vAlign w:val="center"/>
                </w:tcPr>
                <w:p w14:paraId="5A67B353">
                  <w:pPr>
                    <w:pStyle w:val="58"/>
                    <w:adjustRightInd w:val="0"/>
                    <w:snapToGrid w:val="0"/>
                    <w:jc w:val="center"/>
                    <w:rPr>
                      <w:rFonts w:hint="default"/>
                      <w:sz w:val="21"/>
                      <w:szCs w:val="21"/>
                      <w:lang w:val="en-US" w:eastAsia="zh-CN"/>
                    </w:rPr>
                  </w:pPr>
                  <w:r>
                    <w:rPr>
                      <w:rFonts w:hint="eastAsia"/>
                      <w:sz w:val="21"/>
                      <w:szCs w:val="21"/>
                      <w:lang w:val="en-US" w:eastAsia="zh-CN"/>
                    </w:rPr>
                    <w:t>安全气囊引爆装置</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7D912056">
                  <w:pPr>
                    <w:pStyle w:val="58"/>
                    <w:adjustRightInd w:val="0"/>
                    <w:snapToGrid w:val="0"/>
                    <w:jc w:val="center"/>
                    <w:rPr>
                      <w:rFonts w:hint="default"/>
                      <w:sz w:val="21"/>
                      <w:szCs w:val="21"/>
                      <w:lang w:val="en-US" w:eastAsia="zh-CN"/>
                    </w:rPr>
                  </w:pPr>
                  <w:r>
                    <w:rPr>
                      <w:rFonts w:hint="eastAsia"/>
                      <w:sz w:val="21"/>
                      <w:szCs w:val="21"/>
                      <w:lang w:val="en-US" w:eastAsia="zh-CN"/>
                    </w:rPr>
                    <w:t>MF0035</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0778D36A">
                  <w:pPr>
                    <w:pStyle w:val="58"/>
                    <w:adjustRightInd w:val="0"/>
                    <w:snapToGrid w:val="0"/>
                    <w:jc w:val="center"/>
                    <w:rPr>
                      <w:rFonts w:hint="eastAsia"/>
                      <w:sz w:val="21"/>
                      <w:szCs w:val="21"/>
                      <w:lang w:val="en-US"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1CF831F5">
                  <w:pPr>
                    <w:pStyle w:val="58"/>
                    <w:adjustRightInd w:val="0"/>
                    <w:snapToGrid w:val="0"/>
                    <w:jc w:val="center"/>
                    <w:rPr>
                      <w:rFonts w:hint="eastAsia"/>
                      <w:sz w:val="21"/>
                      <w:szCs w:val="21"/>
                      <w:lang w:val="en-US"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2E4BC365">
                  <w:pPr>
                    <w:pStyle w:val="58"/>
                    <w:adjustRightInd w:val="0"/>
                    <w:snapToGrid w:val="0"/>
                    <w:jc w:val="center"/>
                    <w:rPr>
                      <w:rFonts w:hint="eastAsia"/>
                      <w:sz w:val="21"/>
                      <w:szCs w:val="21"/>
                      <w:lang w:val="en-US"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0C2E4331">
                  <w:pPr>
                    <w:pStyle w:val="58"/>
                    <w:adjustRightInd w:val="0"/>
                    <w:snapToGrid w:val="0"/>
                    <w:jc w:val="center"/>
                    <w:rPr>
                      <w:rFonts w:hint="eastAsia"/>
                      <w:sz w:val="21"/>
                      <w:szCs w:val="21"/>
                      <w:lang w:val="en-US" w:eastAsia="zh-CN"/>
                    </w:rPr>
                  </w:pPr>
                  <w:r>
                    <w:rPr>
                      <w:rFonts w:hint="eastAsia"/>
                      <w:sz w:val="21"/>
                      <w:szCs w:val="21"/>
                      <w:lang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1799F69D">
                  <w:pPr>
                    <w:adjustRightInd w:val="0"/>
                    <w:snapToGrid w:val="0"/>
                    <w:jc w:val="center"/>
                    <w:rPr>
                      <w:rFonts w:hint="eastAsia"/>
                      <w:sz w:val="21"/>
                      <w:szCs w:val="21"/>
                      <w:lang w:val="en-US" w:eastAsia="zh-CN"/>
                    </w:rPr>
                  </w:pPr>
                  <w:r>
                    <w:rPr>
                      <w:rFonts w:hint="eastAsia"/>
                      <w:sz w:val="21"/>
                      <w:szCs w:val="21"/>
                      <w:lang w:val="en-US" w:eastAsia="zh-CN"/>
                    </w:rPr>
                    <w:t>1台</w:t>
                  </w:r>
                </w:p>
              </w:tc>
              <w:tc>
                <w:tcPr>
                  <w:tcW w:w="343" w:type="pct"/>
                  <w:tcBorders>
                    <w:top w:val="single" w:color="000000" w:sz="4" w:space="0"/>
                    <w:left w:val="single" w:color="000000" w:sz="4" w:space="0"/>
                    <w:bottom w:val="single" w:color="000000" w:sz="4" w:space="0"/>
                  </w:tcBorders>
                  <w:noWrap w:val="0"/>
                  <w:vAlign w:val="center"/>
                </w:tcPr>
                <w:p w14:paraId="4D20B100">
                  <w:pPr>
                    <w:adjustRightInd w:val="0"/>
                    <w:snapToGrid w:val="0"/>
                    <w:jc w:val="center"/>
                    <w:rPr>
                      <w:rFonts w:hint="eastAsia"/>
                      <w:sz w:val="21"/>
                      <w:szCs w:val="21"/>
                      <w:lang w:eastAsia="zh-CN"/>
                    </w:rPr>
                  </w:pPr>
                  <w:r>
                    <w:rPr>
                      <w:rFonts w:hint="eastAsia"/>
                      <w:sz w:val="21"/>
                      <w:szCs w:val="21"/>
                      <w:lang w:eastAsia="zh-CN"/>
                    </w:rPr>
                    <w:t>/</w:t>
                  </w:r>
                </w:p>
              </w:tc>
            </w:tr>
            <w:tr w14:paraId="233B85F3">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27" w:type="pct"/>
                  <w:tcBorders>
                    <w:top w:val="single" w:color="auto" w:sz="4" w:space="0"/>
                    <w:bottom w:val="single" w:color="auto" w:sz="4" w:space="0"/>
                    <w:right w:val="single" w:color="auto" w:sz="4" w:space="0"/>
                  </w:tcBorders>
                  <w:noWrap w:val="0"/>
                  <w:vAlign w:val="center"/>
                </w:tcPr>
                <w:p w14:paraId="19E0AEB6">
                  <w:pPr>
                    <w:pStyle w:val="58"/>
                    <w:adjustRightInd w:val="0"/>
                    <w:snapToGrid w:val="0"/>
                    <w:jc w:val="center"/>
                    <w:rPr>
                      <w:rFonts w:hint="default"/>
                      <w:sz w:val="21"/>
                      <w:szCs w:val="21"/>
                      <w:lang w:val="en-US" w:eastAsia="zh-CN"/>
                    </w:rPr>
                  </w:pPr>
                  <w:r>
                    <w:rPr>
                      <w:rFonts w:hint="eastAsia"/>
                      <w:sz w:val="21"/>
                      <w:szCs w:val="21"/>
                      <w:lang w:val="en-US" w:eastAsia="zh-CN"/>
                    </w:rPr>
                    <w:t>20</w:t>
                  </w:r>
                </w:p>
              </w:tc>
              <w:tc>
                <w:tcPr>
                  <w:tcW w:w="321" w:type="pct"/>
                  <w:vMerge w:val="continue"/>
                  <w:tcBorders>
                    <w:left w:val="single" w:color="auto" w:sz="4" w:space="0"/>
                    <w:right w:val="single" w:color="000000" w:sz="4" w:space="0"/>
                  </w:tcBorders>
                  <w:noWrap w:val="0"/>
                  <w:vAlign w:val="center"/>
                </w:tcPr>
                <w:p w14:paraId="1EE2FF3F">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3551F8D3">
                  <w:pPr>
                    <w:pStyle w:val="58"/>
                    <w:adjustRightInd w:val="0"/>
                    <w:snapToGrid w:val="0"/>
                    <w:jc w:val="center"/>
                    <w:rPr>
                      <w:rFonts w:hint="eastAsia"/>
                      <w:sz w:val="21"/>
                      <w:szCs w:val="21"/>
                      <w:lang w:val="en-US" w:eastAsia="zh-CN"/>
                    </w:rPr>
                  </w:pPr>
                </w:p>
              </w:tc>
              <w:tc>
                <w:tcPr>
                  <w:tcW w:w="480" w:type="pct"/>
                  <w:tcBorders>
                    <w:top w:val="single" w:color="auto" w:sz="4" w:space="0"/>
                    <w:left w:val="single" w:color="auto" w:sz="4" w:space="0"/>
                    <w:bottom w:val="single" w:color="auto" w:sz="4" w:space="0"/>
                    <w:right w:val="single" w:color="000000" w:sz="4" w:space="0"/>
                  </w:tcBorders>
                  <w:noWrap w:val="0"/>
                  <w:vAlign w:val="center"/>
                </w:tcPr>
                <w:p w14:paraId="35834B63">
                  <w:pPr>
                    <w:pStyle w:val="58"/>
                    <w:adjustRightInd w:val="0"/>
                    <w:snapToGrid w:val="0"/>
                    <w:jc w:val="center"/>
                    <w:rPr>
                      <w:rFonts w:hint="default"/>
                      <w:sz w:val="21"/>
                      <w:szCs w:val="21"/>
                      <w:lang w:val="en-US" w:eastAsia="zh-CN"/>
                    </w:rPr>
                  </w:pPr>
                  <w:r>
                    <w:rPr>
                      <w:rFonts w:hint="eastAsia"/>
                      <w:sz w:val="21"/>
                      <w:szCs w:val="21"/>
                      <w:lang w:val="en-US" w:eastAsia="zh-CN"/>
                    </w:rPr>
                    <w:t>切割</w:t>
                  </w:r>
                </w:p>
              </w:tc>
              <w:tc>
                <w:tcPr>
                  <w:tcW w:w="750" w:type="pct"/>
                  <w:tcBorders>
                    <w:top w:val="single" w:color="000000" w:sz="4" w:space="0"/>
                    <w:left w:val="single" w:color="000000" w:sz="4" w:space="0"/>
                    <w:bottom w:val="single" w:color="000000" w:sz="4" w:space="0"/>
                    <w:right w:val="single" w:color="000000" w:sz="4" w:space="0"/>
                  </w:tcBorders>
                  <w:noWrap w:val="0"/>
                  <w:vAlign w:val="center"/>
                </w:tcPr>
                <w:p w14:paraId="658EDD04">
                  <w:pPr>
                    <w:pStyle w:val="58"/>
                    <w:adjustRightInd w:val="0"/>
                    <w:snapToGrid w:val="0"/>
                    <w:jc w:val="center"/>
                    <w:rPr>
                      <w:rFonts w:hint="default"/>
                      <w:sz w:val="21"/>
                      <w:szCs w:val="21"/>
                      <w:lang w:val="en-US" w:eastAsia="zh-CN"/>
                    </w:rPr>
                  </w:pPr>
                  <w:r>
                    <w:rPr>
                      <w:rFonts w:hint="eastAsia"/>
                      <w:sz w:val="21"/>
                      <w:szCs w:val="21"/>
                      <w:lang w:val="en-US" w:eastAsia="zh-CN"/>
                    </w:rPr>
                    <w:t>等离子切割机</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9DD8807">
                  <w:pPr>
                    <w:pStyle w:val="58"/>
                    <w:adjustRightInd w:val="0"/>
                    <w:snapToGrid w:val="0"/>
                    <w:jc w:val="center"/>
                    <w:rPr>
                      <w:rFonts w:hint="default"/>
                      <w:sz w:val="21"/>
                      <w:szCs w:val="21"/>
                      <w:lang w:val="en-US" w:eastAsia="zh-CN"/>
                    </w:rPr>
                  </w:pPr>
                  <w:r>
                    <w:rPr>
                      <w:rFonts w:hint="eastAsia"/>
                      <w:sz w:val="21"/>
                      <w:szCs w:val="21"/>
                      <w:lang w:val="en-US" w:eastAsia="zh-CN"/>
                    </w:rPr>
                    <w:t>MF0036</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285F3017">
                  <w:pPr>
                    <w:pStyle w:val="58"/>
                    <w:adjustRightInd w:val="0"/>
                    <w:snapToGrid w:val="0"/>
                    <w:jc w:val="center"/>
                    <w:rPr>
                      <w:rFonts w:hint="eastAsia"/>
                      <w:sz w:val="21"/>
                      <w:szCs w:val="21"/>
                      <w:lang w:val="en-US"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2C03B8AC">
                  <w:pPr>
                    <w:pStyle w:val="58"/>
                    <w:adjustRightInd w:val="0"/>
                    <w:snapToGrid w:val="0"/>
                    <w:jc w:val="center"/>
                    <w:rPr>
                      <w:rFonts w:hint="eastAsia"/>
                      <w:sz w:val="21"/>
                      <w:szCs w:val="21"/>
                      <w:lang w:val="en-US"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1AEB293E">
                  <w:pPr>
                    <w:pStyle w:val="58"/>
                    <w:adjustRightInd w:val="0"/>
                    <w:snapToGrid w:val="0"/>
                    <w:jc w:val="center"/>
                    <w:rPr>
                      <w:rFonts w:hint="eastAsia"/>
                      <w:sz w:val="21"/>
                      <w:szCs w:val="21"/>
                      <w:lang w:val="en-US"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1CFD2654">
                  <w:pPr>
                    <w:pStyle w:val="58"/>
                    <w:adjustRightInd w:val="0"/>
                    <w:snapToGrid w:val="0"/>
                    <w:jc w:val="center"/>
                    <w:rPr>
                      <w:rFonts w:hint="eastAsia"/>
                      <w:sz w:val="21"/>
                      <w:szCs w:val="21"/>
                      <w:lang w:val="en-US" w:eastAsia="zh-CN"/>
                    </w:rPr>
                  </w:pPr>
                  <w:r>
                    <w:rPr>
                      <w:rFonts w:hint="eastAsia"/>
                      <w:sz w:val="21"/>
                      <w:szCs w:val="21"/>
                      <w:lang w:val="en-US"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35A762E3">
                  <w:pPr>
                    <w:adjustRightInd w:val="0"/>
                    <w:snapToGrid w:val="0"/>
                    <w:jc w:val="center"/>
                    <w:rPr>
                      <w:rFonts w:hint="eastAsia"/>
                      <w:sz w:val="21"/>
                      <w:szCs w:val="21"/>
                      <w:lang w:val="en-US" w:eastAsia="zh-CN"/>
                    </w:rPr>
                  </w:pPr>
                  <w:r>
                    <w:rPr>
                      <w:rFonts w:hint="eastAsia"/>
                      <w:sz w:val="21"/>
                      <w:szCs w:val="21"/>
                      <w:lang w:val="en-US" w:eastAsia="zh-CN"/>
                    </w:rPr>
                    <w:t>1台</w:t>
                  </w:r>
                </w:p>
              </w:tc>
              <w:tc>
                <w:tcPr>
                  <w:tcW w:w="343" w:type="pct"/>
                  <w:tcBorders>
                    <w:top w:val="single" w:color="000000" w:sz="4" w:space="0"/>
                    <w:left w:val="single" w:color="000000" w:sz="4" w:space="0"/>
                    <w:bottom w:val="single" w:color="000000" w:sz="4" w:space="0"/>
                  </w:tcBorders>
                  <w:noWrap w:val="0"/>
                  <w:vAlign w:val="center"/>
                </w:tcPr>
                <w:p w14:paraId="7DC9334B">
                  <w:pPr>
                    <w:adjustRightInd w:val="0"/>
                    <w:snapToGrid w:val="0"/>
                    <w:jc w:val="center"/>
                    <w:rPr>
                      <w:rFonts w:hint="eastAsia"/>
                      <w:sz w:val="21"/>
                      <w:szCs w:val="21"/>
                      <w:lang w:eastAsia="zh-CN"/>
                    </w:rPr>
                  </w:pPr>
                  <w:r>
                    <w:rPr>
                      <w:rFonts w:hint="eastAsia"/>
                      <w:sz w:val="21"/>
                      <w:szCs w:val="21"/>
                      <w:lang w:eastAsia="zh-CN"/>
                    </w:rPr>
                    <w:t>/</w:t>
                  </w:r>
                </w:p>
              </w:tc>
            </w:tr>
            <w:tr w14:paraId="1B9B0AE1">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27" w:type="pct"/>
                  <w:tcBorders>
                    <w:top w:val="single" w:color="auto" w:sz="4" w:space="0"/>
                    <w:bottom w:val="single" w:color="auto" w:sz="4" w:space="0"/>
                    <w:right w:val="single" w:color="auto" w:sz="4" w:space="0"/>
                  </w:tcBorders>
                  <w:noWrap w:val="0"/>
                  <w:vAlign w:val="center"/>
                </w:tcPr>
                <w:p w14:paraId="66336C84">
                  <w:pPr>
                    <w:pStyle w:val="58"/>
                    <w:adjustRightInd w:val="0"/>
                    <w:snapToGrid w:val="0"/>
                    <w:jc w:val="center"/>
                    <w:rPr>
                      <w:rFonts w:hint="default"/>
                      <w:sz w:val="21"/>
                      <w:szCs w:val="21"/>
                      <w:lang w:val="en-US" w:eastAsia="zh-CN"/>
                    </w:rPr>
                  </w:pPr>
                  <w:r>
                    <w:rPr>
                      <w:rFonts w:hint="eastAsia"/>
                      <w:sz w:val="21"/>
                      <w:szCs w:val="21"/>
                      <w:lang w:val="en-US" w:eastAsia="zh-CN"/>
                    </w:rPr>
                    <w:t>21</w:t>
                  </w:r>
                </w:p>
              </w:tc>
              <w:tc>
                <w:tcPr>
                  <w:tcW w:w="321" w:type="pct"/>
                  <w:vMerge w:val="continue"/>
                  <w:tcBorders>
                    <w:left w:val="single" w:color="auto" w:sz="4" w:space="0"/>
                    <w:right w:val="single" w:color="000000" w:sz="4" w:space="0"/>
                  </w:tcBorders>
                  <w:noWrap w:val="0"/>
                  <w:vAlign w:val="center"/>
                </w:tcPr>
                <w:p w14:paraId="5F265AAF">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2F8C829E">
                  <w:pPr>
                    <w:pStyle w:val="58"/>
                    <w:adjustRightInd w:val="0"/>
                    <w:snapToGrid w:val="0"/>
                    <w:jc w:val="center"/>
                    <w:rPr>
                      <w:rFonts w:hint="eastAsia"/>
                      <w:sz w:val="21"/>
                      <w:szCs w:val="21"/>
                      <w:lang w:val="en-US" w:eastAsia="zh-CN"/>
                    </w:rPr>
                  </w:pPr>
                </w:p>
              </w:tc>
              <w:tc>
                <w:tcPr>
                  <w:tcW w:w="480" w:type="pct"/>
                  <w:vMerge w:val="restart"/>
                  <w:tcBorders>
                    <w:top w:val="single" w:color="auto" w:sz="4" w:space="0"/>
                    <w:left w:val="single" w:color="auto" w:sz="4" w:space="0"/>
                    <w:bottom w:val="single" w:color="auto" w:sz="4" w:space="0"/>
                    <w:right w:val="single" w:color="auto" w:sz="4" w:space="0"/>
                  </w:tcBorders>
                  <w:noWrap w:val="0"/>
                  <w:vAlign w:val="center"/>
                </w:tcPr>
                <w:p w14:paraId="4714EAE1">
                  <w:pPr>
                    <w:pStyle w:val="58"/>
                    <w:adjustRightInd w:val="0"/>
                    <w:snapToGrid w:val="0"/>
                    <w:jc w:val="center"/>
                    <w:rPr>
                      <w:rFonts w:hint="default"/>
                      <w:sz w:val="21"/>
                      <w:szCs w:val="21"/>
                      <w:lang w:val="en-US" w:eastAsia="zh-CN"/>
                    </w:rPr>
                  </w:pPr>
                  <w:r>
                    <w:rPr>
                      <w:rFonts w:hint="eastAsia"/>
                      <w:sz w:val="21"/>
                      <w:szCs w:val="21"/>
                      <w:lang w:val="en-US" w:eastAsia="zh-CN"/>
                    </w:rPr>
                    <w:t>打包</w:t>
                  </w:r>
                </w:p>
              </w:tc>
              <w:tc>
                <w:tcPr>
                  <w:tcW w:w="750" w:type="pct"/>
                  <w:tcBorders>
                    <w:top w:val="single" w:color="000000" w:sz="4" w:space="0"/>
                    <w:left w:val="single" w:color="auto" w:sz="4" w:space="0"/>
                    <w:bottom w:val="single" w:color="000000" w:sz="4" w:space="0"/>
                    <w:right w:val="single" w:color="000000" w:sz="4" w:space="0"/>
                  </w:tcBorders>
                  <w:noWrap w:val="0"/>
                  <w:vAlign w:val="center"/>
                </w:tcPr>
                <w:p w14:paraId="6B5AE8B7">
                  <w:pPr>
                    <w:pStyle w:val="58"/>
                    <w:adjustRightInd w:val="0"/>
                    <w:snapToGrid w:val="0"/>
                    <w:jc w:val="center"/>
                    <w:rPr>
                      <w:rFonts w:hint="default"/>
                      <w:sz w:val="21"/>
                      <w:szCs w:val="21"/>
                      <w:lang w:val="en-US" w:eastAsia="zh-CN"/>
                    </w:rPr>
                  </w:pPr>
                  <w:r>
                    <w:rPr>
                      <w:rFonts w:hint="eastAsia"/>
                      <w:sz w:val="21"/>
                      <w:szCs w:val="21"/>
                      <w:lang w:val="en-US" w:eastAsia="zh-CN"/>
                    </w:rPr>
                    <w:t>鳄鱼式剪断机</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1DA217F">
                  <w:pPr>
                    <w:pStyle w:val="58"/>
                    <w:adjustRightInd w:val="0"/>
                    <w:snapToGrid w:val="0"/>
                    <w:jc w:val="center"/>
                    <w:rPr>
                      <w:rFonts w:hint="default"/>
                      <w:sz w:val="21"/>
                      <w:szCs w:val="21"/>
                      <w:lang w:val="en-US" w:eastAsia="zh-CN"/>
                    </w:rPr>
                  </w:pPr>
                  <w:r>
                    <w:rPr>
                      <w:rFonts w:hint="eastAsia"/>
                      <w:sz w:val="21"/>
                      <w:szCs w:val="21"/>
                      <w:lang w:val="en-US" w:eastAsia="zh-CN"/>
                    </w:rPr>
                    <w:t>MF0037</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3EA3248C">
                  <w:pPr>
                    <w:pStyle w:val="58"/>
                    <w:adjustRightInd w:val="0"/>
                    <w:snapToGrid w:val="0"/>
                    <w:jc w:val="center"/>
                    <w:rPr>
                      <w:rFonts w:hint="eastAsia"/>
                      <w:sz w:val="21"/>
                      <w:szCs w:val="21"/>
                      <w:lang w:val="en-US"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06FC0301">
                  <w:pPr>
                    <w:pStyle w:val="58"/>
                    <w:adjustRightInd w:val="0"/>
                    <w:snapToGrid w:val="0"/>
                    <w:jc w:val="center"/>
                    <w:rPr>
                      <w:rFonts w:hint="eastAsia"/>
                      <w:sz w:val="21"/>
                      <w:szCs w:val="21"/>
                      <w:lang w:val="en-US"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28845D4E">
                  <w:pPr>
                    <w:pStyle w:val="58"/>
                    <w:adjustRightInd w:val="0"/>
                    <w:snapToGrid w:val="0"/>
                    <w:jc w:val="center"/>
                    <w:rPr>
                      <w:rFonts w:hint="eastAsia"/>
                      <w:sz w:val="21"/>
                      <w:szCs w:val="21"/>
                      <w:lang w:val="en-US"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48DBE4F2">
                  <w:pPr>
                    <w:pStyle w:val="58"/>
                    <w:adjustRightInd w:val="0"/>
                    <w:snapToGrid w:val="0"/>
                    <w:jc w:val="center"/>
                    <w:rPr>
                      <w:rFonts w:hint="eastAsia"/>
                      <w:sz w:val="21"/>
                      <w:szCs w:val="21"/>
                      <w:lang w:val="en-US" w:eastAsia="zh-CN"/>
                    </w:rPr>
                  </w:pPr>
                  <w:r>
                    <w:rPr>
                      <w:rFonts w:hint="eastAsia"/>
                      <w:sz w:val="21"/>
                      <w:szCs w:val="21"/>
                      <w:lang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0E9409E3">
                  <w:pPr>
                    <w:adjustRightInd w:val="0"/>
                    <w:snapToGrid w:val="0"/>
                    <w:jc w:val="center"/>
                    <w:rPr>
                      <w:rFonts w:hint="eastAsia"/>
                      <w:sz w:val="21"/>
                      <w:szCs w:val="21"/>
                      <w:lang w:val="en-US" w:eastAsia="zh-CN"/>
                    </w:rPr>
                  </w:pPr>
                  <w:r>
                    <w:rPr>
                      <w:rFonts w:hint="eastAsia"/>
                      <w:sz w:val="21"/>
                      <w:szCs w:val="21"/>
                      <w:lang w:val="en-US" w:eastAsia="zh-CN"/>
                    </w:rPr>
                    <w:t>1台</w:t>
                  </w:r>
                </w:p>
              </w:tc>
              <w:tc>
                <w:tcPr>
                  <w:tcW w:w="343" w:type="pct"/>
                  <w:tcBorders>
                    <w:top w:val="single" w:color="000000" w:sz="4" w:space="0"/>
                    <w:left w:val="single" w:color="000000" w:sz="4" w:space="0"/>
                    <w:bottom w:val="single" w:color="000000" w:sz="4" w:space="0"/>
                  </w:tcBorders>
                  <w:noWrap w:val="0"/>
                  <w:vAlign w:val="center"/>
                </w:tcPr>
                <w:p w14:paraId="0A22A9DD">
                  <w:pPr>
                    <w:adjustRightInd w:val="0"/>
                    <w:snapToGrid w:val="0"/>
                    <w:jc w:val="center"/>
                    <w:rPr>
                      <w:rFonts w:hint="eastAsia"/>
                      <w:sz w:val="21"/>
                      <w:szCs w:val="21"/>
                      <w:lang w:eastAsia="zh-CN"/>
                    </w:rPr>
                  </w:pPr>
                  <w:r>
                    <w:rPr>
                      <w:rFonts w:hint="eastAsia"/>
                      <w:sz w:val="21"/>
                      <w:szCs w:val="21"/>
                      <w:lang w:eastAsia="zh-CN"/>
                    </w:rPr>
                    <w:t>/</w:t>
                  </w:r>
                </w:p>
              </w:tc>
            </w:tr>
            <w:tr w14:paraId="32D5CAFB">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27" w:type="pct"/>
                  <w:tcBorders>
                    <w:top w:val="single" w:color="auto" w:sz="4" w:space="0"/>
                    <w:bottom w:val="single" w:color="auto" w:sz="4" w:space="0"/>
                    <w:right w:val="single" w:color="auto" w:sz="4" w:space="0"/>
                  </w:tcBorders>
                  <w:noWrap w:val="0"/>
                  <w:vAlign w:val="center"/>
                </w:tcPr>
                <w:p w14:paraId="0E30B320">
                  <w:pPr>
                    <w:pStyle w:val="58"/>
                    <w:adjustRightInd w:val="0"/>
                    <w:snapToGrid w:val="0"/>
                    <w:jc w:val="center"/>
                    <w:rPr>
                      <w:rFonts w:hint="default"/>
                      <w:sz w:val="21"/>
                      <w:szCs w:val="21"/>
                      <w:lang w:val="en-US" w:eastAsia="zh-CN"/>
                    </w:rPr>
                  </w:pPr>
                  <w:r>
                    <w:rPr>
                      <w:rFonts w:hint="eastAsia"/>
                      <w:sz w:val="21"/>
                      <w:szCs w:val="21"/>
                      <w:lang w:val="en-US" w:eastAsia="zh-CN"/>
                    </w:rPr>
                    <w:t>22</w:t>
                  </w:r>
                </w:p>
              </w:tc>
              <w:tc>
                <w:tcPr>
                  <w:tcW w:w="321" w:type="pct"/>
                  <w:vMerge w:val="continue"/>
                  <w:tcBorders>
                    <w:left w:val="single" w:color="auto" w:sz="4" w:space="0"/>
                    <w:right w:val="single" w:color="000000" w:sz="4" w:space="0"/>
                  </w:tcBorders>
                  <w:noWrap w:val="0"/>
                  <w:vAlign w:val="center"/>
                </w:tcPr>
                <w:p w14:paraId="72BBEBFA">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3E71EA3D">
                  <w:pPr>
                    <w:pStyle w:val="58"/>
                    <w:adjustRightInd w:val="0"/>
                    <w:snapToGrid w:val="0"/>
                    <w:jc w:val="center"/>
                    <w:rPr>
                      <w:rFonts w:hint="eastAsia"/>
                      <w:sz w:val="21"/>
                      <w:szCs w:val="21"/>
                      <w:lang w:val="en-US" w:eastAsia="zh-CN"/>
                    </w:rPr>
                  </w:pPr>
                </w:p>
              </w:tc>
              <w:tc>
                <w:tcPr>
                  <w:tcW w:w="480" w:type="pct"/>
                  <w:vMerge w:val="continue"/>
                  <w:tcBorders>
                    <w:top w:val="single" w:color="auto" w:sz="4" w:space="0"/>
                    <w:left w:val="single" w:color="auto" w:sz="4" w:space="0"/>
                    <w:bottom w:val="single" w:color="auto" w:sz="4" w:space="0"/>
                    <w:right w:val="single" w:color="auto" w:sz="4" w:space="0"/>
                  </w:tcBorders>
                  <w:noWrap w:val="0"/>
                  <w:vAlign w:val="center"/>
                </w:tcPr>
                <w:p w14:paraId="3C454AD1">
                  <w:pPr>
                    <w:pStyle w:val="58"/>
                    <w:adjustRightInd w:val="0"/>
                    <w:snapToGrid w:val="0"/>
                    <w:jc w:val="center"/>
                    <w:rPr>
                      <w:rFonts w:hint="eastAsia"/>
                      <w:sz w:val="21"/>
                      <w:szCs w:val="21"/>
                      <w:lang w:val="en-US" w:eastAsia="zh-CN"/>
                    </w:rPr>
                  </w:pPr>
                </w:p>
              </w:tc>
              <w:tc>
                <w:tcPr>
                  <w:tcW w:w="750" w:type="pct"/>
                  <w:tcBorders>
                    <w:top w:val="single" w:color="000000" w:sz="4" w:space="0"/>
                    <w:left w:val="single" w:color="auto" w:sz="4" w:space="0"/>
                    <w:bottom w:val="single" w:color="000000" w:sz="4" w:space="0"/>
                    <w:right w:val="single" w:color="000000" w:sz="4" w:space="0"/>
                  </w:tcBorders>
                  <w:noWrap w:val="0"/>
                  <w:vAlign w:val="center"/>
                </w:tcPr>
                <w:p w14:paraId="5E2EDDFD">
                  <w:pPr>
                    <w:pStyle w:val="58"/>
                    <w:adjustRightInd w:val="0"/>
                    <w:snapToGrid w:val="0"/>
                    <w:jc w:val="center"/>
                    <w:rPr>
                      <w:rFonts w:hint="default"/>
                      <w:sz w:val="21"/>
                      <w:szCs w:val="21"/>
                      <w:lang w:val="en-US" w:eastAsia="zh-CN"/>
                    </w:rPr>
                  </w:pPr>
                  <w:r>
                    <w:rPr>
                      <w:rFonts w:hint="eastAsia"/>
                      <w:sz w:val="21"/>
                      <w:szCs w:val="21"/>
                      <w:lang w:val="en-US" w:eastAsia="zh-CN"/>
                    </w:rPr>
                    <w:t>液压金属打包机</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C610A9D">
                  <w:pPr>
                    <w:pStyle w:val="58"/>
                    <w:adjustRightInd w:val="0"/>
                    <w:snapToGrid w:val="0"/>
                    <w:jc w:val="center"/>
                    <w:rPr>
                      <w:rFonts w:hint="default"/>
                      <w:sz w:val="21"/>
                      <w:szCs w:val="21"/>
                      <w:lang w:val="en-US" w:eastAsia="zh-CN"/>
                    </w:rPr>
                  </w:pPr>
                  <w:r>
                    <w:rPr>
                      <w:rFonts w:hint="eastAsia"/>
                      <w:sz w:val="21"/>
                      <w:szCs w:val="21"/>
                      <w:lang w:val="en-US" w:eastAsia="zh-CN"/>
                    </w:rPr>
                    <w:t>MF0038</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2126AAC5">
                  <w:pPr>
                    <w:pStyle w:val="58"/>
                    <w:adjustRightInd w:val="0"/>
                    <w:snapToGrid w:val="0"/>
                    <w:jc w:val="center"/>
                    <w:rPr>
                      <w:rFonts w:hint="eastAsia"/>
                      <w:sz w:val="21"/>
                      <w:szCs w:val="21"/>
                      <w:lang w:val="en-US"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5130D240">
                  <w:pPr>
                    <w:pStyle w:val="58"/>
                    <w:adjustRightInd w:val="0"/>
                    <w:snapToGrid w:val="0"/>
                    <w:jc w:val="center"/>
                    <w:rPr>
                      <w:rFonts w:hint="eastAsia"/>
                      <w:sz w:val="21"/>
                      <w:szCs w:val="21"/>
                      <w:lang w:val="en-US"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287DC70D">
                  <w:pPr>
                    <w:pStyle w:val="58"/>
                    <w:adjustRightInd w:val="0"/>
                    <w:snapToGrid w:val="0"/>
                    <w:jc w:val="center"/>
                    <w:rPr>
                      <w:rFonts w:hint="eastAsia"/>
                      <w:sz w:val="21"/>
                      <w:szCs w:val="21"/>
                      <w:lang w:val="en-US"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2BEFCCA1">
                  <w:pPr>
                    <w:pStyle w:val="58"/>
                    <w:adjustRightInd w:val="0"/>
                    <w:snapToGrid w:val="0"/>
                    <w:jc w:val="center"/>
                    <w:rPr>
                      <w:rFonts w:hint="eastAsia"/>
                      <w:sz w:val="21"/>
                      <w:szCs w:val="21"/>
                      <w:lang w:val="en-US" w:eastAsia="zh-CN"/>
                    </w:rPr>
                  </w:pPr>
                  <w:r>
                    <w:rPr>
                      <w:rFonts w:hint="eastAsia"/>
                      <w:sz w:val="21"/>
                      <w:szCs w:val="21"/>
                      <w:lang w:val="en-US"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13C3318E">
                  <w:pPr>
                    <w:adjustRightInd w:val="0"/>
                    <w:snapToGrid w:val="0"/>
                    <w:jc w:val="center"/>
                    <w:rPr>
                      <w:rFonts w:hint="eastAsia"/>
                      <w:sz w:val="21"/>
                      <w:szCs w:val="21"/>
                      <w:lang w:val="en-US" w:eastAsia="zh-CN"/>
                    </w:rPr>
                  </w:pPr>
                  <w:r>
                    <w:rPr>
                      <w:rFonts w:hint="eastAsia"/>
                      <w:sz w:val="21"/>
                      <w:szCs w:val="21"/>
                      <w:lang w:val="en-US" w:eastAsia="zh-CN"/>
                    </w:rPr>
                    <w:t>1台</w:t>
                  </w:r>
                </w:p>
              </w:tc>
              <w:tc>
                <w:tcPr>
                  <w:tcW w:w="343" w:type="pct"/>
                  <w:tcBorders>
                    <w:top w:val="single" w:color="000000" w:sz="4" w:space="0"/>
                    <w:left w:val="single" w:color="000000" w:sz="4" w:space="0"/>
                    <w:bottom w:val="single" w:color="000000" w:sz="4" w:space="0"/>
                  </w:tcBorders>
                  <w:noWrap w:val="0"/>
                  <w:vAlign w:val="center"/>
                </w:tcPr>
                <w:p w14:paraId="14EB03FF">
                  <w:pPr>
                    <w:adjustRightInd w:val="0"/>
                    <w:snapToGrid w:val="0"/>
                    <w:jc w:val="center"/>
                    <w:rPr>
                      <w:rFonts w:hint="eastAsia"/>
                      <w:sz w:val="21"/>
                      <w:szCs w:val="21"/>
                      <w:lang w:eastAsia="zh-CN"/>
                    </w:rPr>
                  </w:pPr>
                  <w:r>
                    <w:rPr>
                      <w:rFonts w:hint="eastAsia"/>
                      <w:sz w:val="21"/>
                      <w:szCs w:val="21"/>
                      <w:lang w:eastAsia="zh-CN"/>
                    </w:rPr>
                    <w:t>/</w:t>
                  </w:r>
                </w:p>
              </w:tc>
            </w:tr>
            <w:tr w14:paraId="129F6DE2">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27" w:type="pct"/>
                  <w:tcBorders>
                    <w:top w:val="single" w:color="auto" w:sz="4" w:space="0"/>
                    <w:bottom w:val="single" w:color="auto" w:sz="4" w:space="0"/>
                    <w:right w:val="single" w:color="auto" w:sz="4" w:space="0"/>
                  </w:tcBorders>
                  <w:noWrap w:val="0"/>
                  <w:vAlign w:val="center"/>
                </w:tcPr>
                <w:p w14:paraId="6332883E">
                  <w:pPr>
                    <w:pStyle w:val="58"/>
                    <w:adjustRightInd w:val="0"/>
                    <w:snapToGrid w:val="0"/>
                    <w:jc w:val="center"/>
                    <w:rPr>
                      <w:rFonts w:hint="default"/>
                      <w:sz w:val="21"/>
                      <w:szCs w:val="21"/>
                      <w:lang w:val="en-US" w:eastAsia="zh-CN"/>
                    </w:rPr>
                  </w:pPr>
                  <w:r>
                    <w:rPr>
                      <w:rFonts w:hint="eastAsia"/>
                      <w:sz w:val="21"/>
                      <w:szCs w:val="21"/>
                      <w:lang w:val="en-US" w:eastAsia="zh-CN"/>
                    </w:rPr>
                    <w:t>23</w:t>
                  </w:r>
                </w:p>
              </w:tc>
              <w:tc>
                <w:tcPr>
                  <w:tcW w:w="321" w:type="pct"/>
                  <w:vMerge w:val="continue"/>
                  <w:tcBorders>
                    <w:left w:val="single" w:color="auto" w:sz="4" w:space="0"/>
                    <w:bottom w:val="single" w:color="auto" w:sz="4" w:space="0"/>
                    <w:right w:val="single" w:color="000000" w:sz="4" w:space="0"/>
                  </w:tcBorders>
                  <w:noWrap w:val="0"/>
                  <w:vAlign w:val="center"/>
                </w:tcPr>
                <w:p w14:paraId="6BCC8D21">
                  <w:pPr>
                    <w:pStyle w:val="58"/>
                    <w:adjustRightInd w:val="0"/>
                    <w:snapToGrid w:val="0"/>
                    <w:jc w:val="center"/>
                    <w:rPr>
                      <w:rFonts w:hint="eastAsia"/>
                      <w:sz w:val="21"/>
                      <w:szCs w:val="21"/>
                      <w:lang w:eastAsia="zh-CN"/>
                    </w:rPr>
                  </w:pPr>
                </w:p>
              </w:tc>
              <w:tc>
                <w:tcPr>
                  <w:tcW w:w="542" w:type="pct"/>
                  <w:vMerge w:val="continue"/>
                  <w:tcBorders>
                    <w:left w:val="single" w:color="000000" w:sz="4" w:space="0"/>
                    <w:bottom w:val="single" w:color="auto" w:sz="4" w:space="0"/>
                    <w:right w:val="single" w:color="000000" w:sz="4" w:space="0"/>
                  </w:tcBorders>
                  <w:noWrap w:val="0"/>
                  <w:vAlign w:val="center"/>
                </w:tcPr>
                <w:p w14:paraId="683314D3">
                  <w:pPr>
                    <w:pStyle w:val="58"/>
                    <w:adjustRightInd w:val="0"/>
                    <w:snapToGrid w:val="0"/>
                    <w:jc w:val="center"/>
                    <w:rPr>
                      <w:rFonts w:hint="eastAsia"/>
                      <w:sz w:val="21"/>
                      <w:szCs w:val="21"/>
                      <w:lang w:val="en-US" w:eastAsia="zh-CN"/>
                    </w:rPr>
                  </w:pPr>
                </w:p>
              </w:tc>
              <w:tc>
                <w:tcPr>
                  <w:tcW w:w="480" w:type="pct"/>
                  <w:tcBorders>
                    <w:top w:val="single" w:color="auto" w:sz="4" w:space="0"/>
                    <w:left w:val="single" w:color="auto" w:sz="4" w:space="0"/>
                    <w:bottom w:val="single" w:color="auto" w:sz="4" w:space="0"/>
                    <w:right w:val="single" w:color="000000" w:sz="4" w:space="0"/>
                  </w:tcBorders>
                  <w:noWrap w:val="0"/>
                  <w:vAlign w:val="center"/>
                </w:tcPr>
                <w:p w14:paraId="0684C2AD">
                  <w:pPr>
                    <w:pStyle w:val="58"/>
                    <w:adjustRightInd w:val="0"/>
                    <w:snapToGrid w:val="0"/>
                    <w:jc w:val="center"/>
                    <w:rPr>
                      <w:rFonts w:hint="default"/>
                      <w:sz w:val="21"/>
                      <w:szCs w:val="21"/>
                      <w:lang w:val="en-US" w:eastAsia="zh-CN"/>
                    </w:rPr>
                  </w:pPr>
                  <w:r>
                    <w:rPr>
                      <w:rFonts w:hint="eastAsia"/>
                      <w:sz w:val="21"/>
                      <w:szCs w:val="21"/>
                      <w:lang w:val="en-US" w:eastAsia="zh-CN"/>
                    </w:rPr>
                    <w:t>废水处理</w:t>
                  </w:r>
                </w:p>
              </w:tc>
              <w:tc>
                <w:tcPr>
                  <w:tcW w:w="750" w:type="pct"/>
                  <w:tcBorders>
                    <w:top w:val="single" w:color="000000" w:sz="4" w:space="0"/>
                    <w:left w:val="single" w:color="000000" w:sz="4" w:space="0"/>
                    <w:bottom w:val="single" w:color="000000" w:sz="4" w:space="0"/>
                    <w:right w:val="single" w:color="000000" w:sz="4" w:space="0"/>
                  </w:tcBorders>
                  <w:noWrap w:val="0"/>
                  <w:vAlign w:val="center"/>
                </w:tcPr>
                <w:p w14:paraId="49A32621">
                  <w:pPr>
                    <w:pStyle w:val="58"/>
                    <w:adjustRightInd w:val="0"/>
                    <w:snapToGrid w:val="0"/>
                    <w:jc w:val="center"/>
                    <w:rPr>
                      <w:rFonts w:hint="default"/>
                      <w:sz w:val="21"/>
                      <w:szCs w:val="21"/>
                      <w:lang w:val="en-US" w:eastAsia="zh-CN"/>
                    </w:rPr>
                  </w:pPr>
                  <w:r>
                    <w:rPr>
                      <w:rFonts w:hint="eastAsia"/>
                      <w:sz w:val="21"/>
                      <w:szCs w:val="21"/>
                      <w:lang w:val="en-US" w:eastAsia="zh-CN"/>
                    </w:rPr>
                    <w:t>污水处理站</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EC29414">
                  <w:pPr>
                    <w:pStyle w:val="58"/>
                    <w:adjustRightInd w:val="0"/>
                    <w:snapToGrid w:val="0"/>
                    <w:jc w:val="center"/>
                    <w:rPr>
                      <w:rFonts w:hint="default"/>
                      <w:sz w:val="21"/>
                      <w:szCs w:val="21"/>
                      <w:lang w:val="en-US" w:eastAsia="zh-CN"/>
                    </w:rPr>
                  </w:pPr>
                  <w:r>
                    <w:rPr>
                      <w:rFonts w:hint="eastAsia"/>
                      <w:sz w:val="21"/>
                      <w:szCs w:val="21"/>
                      <w:lang w:val="en-US" w:eastAsia="zh-CN"/>
                    </w:rPr>
                    <w:t>MF0039</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4115E5E1">
                  <w:pPr>
                    <w:pStyle w:val="58"/>
                    <w:adjustRightInd w:val="0"/>
                    <w:snapToGrid w:val="0"/>
                    <w:jc w:val="center"/>
                    <w:rPr>
                      <w:rFonts w:hint="default"/>
                      <w:sz w:val="21"/>
                      <w:szCs w:val="21"/>
                      <w:lang w:val="en-US" w:eastAsia="zh-CN"/>
                    </w:rPr>
                  </w:pPr>
                  <w:r>
                    <w:rPr>
                      <w:rFonts w:hint="eastAsia"/>
                      <w:sz w:val="21"/>
                      <w:szCs w:val="21"/>
                      <w:lang w:val="en-US" w:eastAsia="zh-CN"/>
                    </w:rPr>
                    <w:t>20m</w:t>
                  </w:r>
                  <w:r>
                    <w:rPr>
                      <w:rFonts w:hint="eastAsia"/>
                      <w:sz w:val="21"/>
                      <w:szCs w:val="21"/>
                      <w:vertAlign w:val="superscript"/>
                      <w:lang w:val="en-US" w:eastAsia="zh-CN"/>
                    </w:rPr>
                    <w:t>3</w:t>
                  </w:r>
                  <w:r>
                    <w:rPr>
                      <w:rFonts w:hint="eastAsia"/>
                      <w:sz w:val="21"/>
                      <w:szCs w:val="21"/>
                      <w:lang w:val="en-US" w:eastAsia="zh-CN"/>
                    </w:rPr>
                    <w:t>/d</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422C528A">
                  <w:pPr>
                    <w:pStyle w:val="58"/>
                    <w:adjustRightInd w:val="0"/>
                    <w:snapToGrid w:val="0"/>
                    <w:jc w:val="center"/>
                    <w:rPr>
                      <w:rFonts w:hint="eastAsia"/>
                      <w:sz w:val="21"/>
                      <w:szCs w:val="21"/>
                      <w:lang w:val="en-US"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4AF8DA36">
                  <w:pPr>
                    <w:pStyle w:val="58"/>
                    <w:adjustRightInd w:val="0"/>
                    <w:snapToGrid w:val="0"/>
                    <w:jc w:val="center"/>
                    <w:rPr>
                      <w:rFonts w:hint="eastAsia"/>
                      <w:sz w:val="21"/>
                      <w:szCs w:val="21"/>
                      <w:lang w:val="en-US"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1B4F99C0">
                  <w:pPr>
                    <w:pStyle w:val="58"/>
                    <w:adjustRightInd w:val="0"/>
                    <w:snapToGrid w:val="0"/>
                    <w:jc w:val="center"/>
                    <w:rPr>
                      <w:rFonts w:hint="eastAsia"/>
                      <w:sz w:val="21"/>
                      <w:szCs w:val="21"/>
                      <w:lang w:val="en-US" w:eastAsia="zh-CN"/>
                    </w:rPr>
                  </w:pPr>
                  <w:r>
                    <w:rPr>
                      <w:rFonts w:hint="eastAsia"/>
                      <w:sz w:val="21"/>
                      <w:szCs w:val="21"/>
                      <w:lang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29B51DD3">
                  <w:pPr>
                    <w:adjustRightInd w:val="0"/>
                    <w:snapToGrid w:val="0"/>
                    <w:jc w:val="center"/>
                    <w:rPr>
                      <w:rFonts w:hint="eastAsia"/>
                      <w:sz w:val="21"/>
                      <w:szCs w:val="21"/>
                      <w:lang w:val="en-US" w:eastAsia="zh-CN"/>
                    </w:rPr>
                  </w:pPr>
                  <w:r>
                    <w:rPr>
                      <w:rFonts w:hint="eastAsia"/>
                      <w:sz w:val="21"/>
                      <w:szCs w:val="21"/>
                      <w:lang w:val="en-US" w:eastAsia="zh-CN"/>
                    </w:rPr>
                    <w:t>1台</w:t>
                  </w:r>
                </w:p>
              </w:tc>
              <w:tc>
                <w:tcPr>
                  <w:tcW w:w="343" w:type="pct"/>
                  <w:tcBorders>
                    <w:top w:val="single" w:color="000000" w:sz="4" w:space="0"/>
                    <w:left w:val="single" w:color="000000" w:sz="4" w:space="0"/>
                    <w:bottom w:val="single" w:color="000000" w:sz="4" w:space="0"/>
                  </w:tcBorders>
                  <w:noWrap w:val="0"/>
                  <w:vAlign w:val="center"/>
                </w:tcPr>
                <w:p w14:paraId="6629C355">
                  <w:pPr>
                    <w:adjustRightInd w:val="0"/>
                    <w:snapToGrid w:val="0"/>
                    <w:jc w:val="center"/>
                    <w:rPr>
                      <w:rFonts w:hint="eastAsia"/>
                      <w:sz w:val="21"/>
                      <w:szCs w:val="21"/>
                      <w:lang w:eastAsia="zh-CN"/>
                    </w:rPr>
                  </w:pPr>
                  <w:r>
                    <w:rPr>
                      <w:rFonts w:hint="eastAsia"/>
                      <w:sz w:val="21"/>
                      <w:szCs w:val="21"/>
                      <w:lang w:eastAsia="zh-CN"/>
                    </w:rPr>
                    <w:t>/</w:t>
                  </w:r>
                </w:p>
              </w:tc>
            </w:tr>
            <w:tr w14:paraId="6806925F">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27" w:type="pct"/>
                  <w:tcBorders>
                    <w:top w:val="single" w:color="000000" w:sz="4" w:space="0"/>
                    <w:bottom w:val="single" w:color="000000" w:sz="4" w:space="0"/>
                    <w:right w:val="single" w:color="000000" w:sz="4" w:space="0"/>
                  </w:tcBorders>
                  <w:noWrap w:val="0"/>
                  <w:vAlign w:val="center"/>
                </w:tcPr>
                <w:p w14:paraId="4E595AEA">
                  <w:pPr>
                    <w:pStyle w:val="58"/>
                    <w:adjustRightInd w:val="0"/>
                    <w:snapToGrid w:val="0"/>
                    <w:jc w:val="center"/>
                    <w:rPr>
                      <w:rFonts w:hint="default"/>
                      <w:sz w:val="21"/>
                      <w:szCs w:val="21"/>
                      <w:lang w:val="en-US" w:eastAsia="zh-CN"/>
                    </w:rPr>
                  </w:pPr>
                  <w:r>
                    <w:rPr>
                      <w:rFonts w:hint="eastAsia"/>
                      <w:sz w:val="21"/>
                      <w:szCs w:val="21"/>
                      <w:lang w:val="en-US" w:eastAsia="zh-CN"/>
                    </w:rPr>
                    <w:t>24</w:t>
                  </w:r>
                </w:p>
              </w:tc>
              <w:tc>
                <w:tcPr>
                  <w:tcW w:w="321" w:type="pct"/>
                  <w:vMerge w:val="restart"/>
                  <w:tcBorders>
                    <w:top w:val="single" w:color="auto" w:sz="4" w:space="0"/>
                    <w:left w:val="single" w:color="auto" w:sz="4" w:space="0"/>
                    <w:right w:val="single" w:color="000000" w:sz="4" w:space="0"/>
                  </w:tcBorders>
                  <w:noWrap w:val="0"/>
                  <w:vAlign w:val="center"/>
                </w:tcPr>
                <w:p w14:paraId="524C020C">
                  <w:pPr>
                    <w:pStyle w:val="58"/>
                    <w:adjustRightInd w:val="0"/>
                    <w:snapToGrid w:val="0"/>
                    <w:jc w:val="center"/>
                    <w:rPr>
                      <w:rFonts w:hint="eastAsia"/>
                      <w:sz w:val="21"/>
                      <w:szCs w:val="21"/>
                      <w:lang w:eastAsia="zh-CN"/>
                    </w:rPr>
                  </w:pPr>
                  <w:r>
                    <w:rPr>
                      <w:rFonts w:hint="eastAsia"/>
                      <w:sz w:val="21"/>
                      <w:szCs w:val="21"/>
                      <w:lang w:eastAsia="zh-CN"/>
                    </w:rPr>
                    <w:t>SCX001</w:t>
                  </w:r>
                </w:p>
              </w:tc>
              <w:tc>
                <w:tcPr>
                  <w:tcW w:w="542" w:type="pct"/>
                  <w:vMerge w:val="restart"/>
                  <w:tcBorders>
                    <w:top w:val="single" w:color="auto" w:sz="4" w:space="0"/>
                    <w:left w:val="single" w:color="000000" w:sz="4" w:space="0"/>
                    <w:right w:val="single" w:color="000000" w:sz="4" w:space="0"/>
                  </w:tcBorders>
                  <w:noWrap w:val="0"/>
                  <w:vAlign w:val="center"/>
                </w:tcPr>
                <w:p w14:paraId="02BBD5CB">
                  <w:pPr>
                    <w:pStyle w:val="58"/>
                    <w:adjustRightInd w:val="0"/>
                    <w:snapToGrid w:val="0"/>
                    <w:jc w:val="center"/>
                    <w:rPr>
                      <w:rFonts w:hint="default"/>
                      <w:sz w:val="21"/>
                      <w:szCs w:val="21"/>
                      <w:lang w:val="en-US" w:eastAsia="zh-CN"/>
                    </w:rPr>
                  </w:pPr>
                  <w:r>
                    <w:rPr>
                      <w:rFonts w:hint="eastAsia"/>
                      <w:sz w:val="21"/>
                      <w:szCs w:val="21"/>
                      <w:lang w:val="en-US" w:eastAsia="zh-CN"/>
                    </w:rPr>
                    <w:t>公用单元</w:t>
                  </w:r>
                </w:p>
              </w:tc>
              <w:tc>
                <w:tcPr>
                  <w:tcW w:w="480" w:type="pct"/>
                  <w:vMerge w:val="restart"/>
                  <w:tcBorders>
                    <w:top w:val="single" w:color="000000" w:sz="4" w:space="0"/>
                    <w:left w:val="single" w:color="000000" w:sz="4" w:space="0"/>
                    <w:right w:val="single" w:color="000000" w:sz="4" w:space="0"/>
                  </w:tcBorders>
                  <w:noWrap w:val="0"/>
                  <w:vAlign w:val="center"/>
                </w:tcPr>
                <w:p w14:paraId="035C8A3F">
                  <w:pPr>
                    <w:pStyle w:val="58"/>
                    <w:adjustRightInd w:val="0"/>
                    <w:snapToGrid w:val="0"/>
                    <w:jc w:val="center"/>
                    <w:rPr>
                      <w:sz w:val="21"/>
                      <w:szCs w:val="21"/>
                      <w:lang w:eastAsia="zh-CN"/>
                    </w:rPr>
                  </w:pPr>
                  <w:r>
                    <w:rPr>
                      <w:rFonts w:hint="eastAsia"/>
                      <w:sz w:val="21"/>
                      <w:szCs w:val="21"/>
                      <w:lang w:eastAsia="zh-CN"/>
                    </w:rPr>
                    <w:t>废气处理</w:t>
                  </w:r>
                </w:p>
              </w:tc>
              <w:tc>
                <w:tcPr>
                  <w:tcW w:w="750" w:type="pct"/>
                  <w:tcBorders>
                    <w:top w:val="single" w:color="000000" w:sz="4" w:space="0"/>
                    <w:left w:val="single" w:color="000000" w:sz="4" w:space="0"/>
                    <w:bottom w:val="single" w:color="000000" w:sz="4" w:space="0"/>
                    <w:right w:val="single" w:color="000000" w:sz="4" w:space="0"/>
                  </w:tcBorders>
                  <w:noWrap w:val="0"/>
                  <w:vAlign w:val="center"/>
                </w:tcPr>
                <w:p w14:paraId="7910133E">
                  <w:pPr>
                    <w:pStyle w:val="58"/>
                    <w:adjustRightInd w:val="0"/>
                    <w:snapToGrid w:val="0"/>
                    <w:jc w:val="center"/>
                    <w:rPr>
                      <w:rFonts w:hint="default"/>
                      <w:sz w:val="21"/>
                      <w:szCs w:val="21"/>
                      <w:lang w:val="en-US" w:eastAsia="zh-CN"/>
                    </w:rPr>
                  </w:pPr>
                  <w:r>
                    <w:rPr>
                      <w:rFonts w:hint="eastAsia"/>
                      <w:sz w:val="21"/>
                      <w:szCs w:val="21"/>
                      <w:lang w:val="en-US" w:eastAsia="zh-CN"/>
                    </w:rPr>
                    <w:t>布袋除尘器</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1CB9601A">
                  <w:pPr>
                    <w:pStyle w:val="58"/>
                    <w:adjustRightInd w:val="0"/>
                    <w:snapToGrid w:val="0"/>
                    <w:jc w:val="center"/>
                    <w:rPr>
                      <w:rFonts w:hint="default"/>
                      <w:sz w:val="21"/>
                      <w:szCs w:val="21"/>
                      <w:lang w:val="en-US" w:eastAsia="zh-CN"/>
                    </w:rPr>
                  </w:pPr>
                  <w:r>
                    <w:rPr>
                      <w:rFonts w:hint="eastAsia"/>
                      <w:sz w:val="21"/>
                      <w:szCs w:val="21"/>
                      <w:lang w:val="en-US" w:eastAsia="zh-CN"/>
                    </w:rPr>
                    <w:t>MF0040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30AC6656">
                  <w:pPr>
                    <w:pStyle w:val="58"/>
                    <w:adjustRightInd w:val="0"/>
                    <w:snapToGrid w:val="0"/>
                    <w:jc w:val="center"/>
                    <w:rPr>
                      <w:rFonts w:hint="eastAsia"/>
                      <w:sz w:val="21"/>
                      <w:szCs w:val="21"/>
                      <w:lang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7FAE2C04">
                  <w:pPr>
                    <w:pStyle w:val="58"/>
                    <w:adjustRightInd w:val="0"/>
                    <w:snapToGrid w:val="0"/>
                    <w:jc w:val="center"/>
                    <w:rPr>
                      <w:rFonts w:hint="eastAsia"/>
                      <w:sz w:val="21"/>
                      <w:szCs w:val="21"/>
                      <w:lang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652F6380">
                  <w:pPr>
                    <w:pStyle w:val="58"/>
                    <w:adjustRightInd w:val="0"/>
                    <w:snapToGrid w:val="0"/>
                    <w:jc w:val="center"/>
                    <w:rPr>
                      <w:rFonts w:hint="eastAsia"/>
                      <w:sz w:val="21"/>
                      <w:szCs w:val="21"/>
                      <w:lang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32649677">
                  <w:pPr>
                    <w:pStyle w:val="58"/>
                    <w:adjustRightInd w:val="0"/>
                    <w:snapToGrid w:val="0"/>
                    <w:jc w:val="center"/>
                    <w:rPr>
                      <w:rFonts w:hint="eastAsia"/>
                      <w:sz w:val="21"/>
                      <w:szCs w:val="21"/>
                      <w:lang w:eastAsia="zh-CN"/>
                    </w:rPr>
                  </w:pPr>
                  <w:r>
                    <w:rPr>
                      <w:rFonts w:hint="eastAsia"/>
                      <w:sz w:val="21"/>
                      <w:szCs w:val="21"/>
                      <w:lang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40641987">
                  <w:pPr>
                    <w:pStyle w:val="58"/>
                    <w:adjustRightInd w:val="0"/>
                    <w:snapToGrid w:val="0"/>
                    <w:jc w:val="center"/>
                    <w:rPr>
                      <w:rFonts w:hint="eastAsia"/>
                      <w:sz w:val="21"/>
                      <w:szCs w:val="21"/>
                      <w:lang w:eastAsia="zh-CN"/>
                    </w:rPr>
                  </w:pPr>
                  <w:r>
                    <w:rPr>
                      <w:rFonts w:hint="eastAsia"/>
                      <w:sz w:val="21"/>
                      <w:szCs w:val="21"/>
                      <w:lang w:val="en-US" w:eastAsia="zh-CN"/>
                    </w:rPr>
                    <w:t>1</w:t>
                  </w:r>
                  <w:r>
                    <w:rPr>
                      <w:rFonts w:hint="eastAsia"/>
                      <w:sz w:val="21"/>
                      <w:szCs w:val="21"/>
                      <w:lang w:eastAsia="zh-CN"/>
                    </w:rPr>
                    <w:t>台</w:t>
                  </w:r>
                </w:p>
              </w:tc>
              <w:tc>
                <w:tcPr>
                  <w:tcW w:w="343" w:type="pct"/>
                  <w:tcBorders>
                    <w:top w:val="single" w:color="000000" w:sz="4" w:space="0"/>
                    <w:left w:val="single" w:color="000000" w:sz="4" w:space="0"/>
                    <w:bottom w:val="single" w:color="000000" w:sz="4" w:space="0"/>
                  </w:tcBorders>
                  <w:noWrap w:val="0"/>
                  <w:vAlign w:val="center"/>
                </w:tcPr>
                <w:p w14:paraId="0E34BB86">
                  <w:pPr>
                    <w:pStyle w:val="58"/>
                    <w:adjustRightInd w:val="0"/>
                    <w:snapToGrid w:val="0"/>
                    <w:jc w:val="center"/>
                    <w:rPr>
                      <w:rFonts w:hint="eastAsia"/>
                      <w:sz w:val="21"/>
                      <w:szCs w:val="21"/>
                      <w:lang w:eastAsia="zh-CN"/>
                    </w:rPr>
                  </w:pPr>
                  <w:r>
                    <w:rPr>
                      <w:rFonts w:hint="eastAsia"/>
                      <w:sz w:val="21"/>
                      <w:szCs w:val="21"/>
                      <w:lang w:eastAsia="zh-CN"/>
                    </w:rPr>
                    <w:t>/</w:t>
                  </w:r>
                </w:p>
              </w:tc>
            </w:tr>
            <w:tr w14:paraId="11324D4F">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27" w:type="pct"/>
                  <w:tcBorders>
                    <w:top w:val="single" w:color="000000" w:sz="4" w:space="0"/>
                    <w:bottom w:val="single" w:color="000000" w:sz="4" w:space="0"/>
                    <w:right w:val="single" w:color="000000" w:sz="4" w:space="0"/>
                  </w:tcBorders>
                  <w:noWrap w:val="0"/>
                  <w:vAlign w:val="center"/>
                </w:tcPr>
                <w:p w14:paraId="48956747">
                  <w:pPr>
                    <w:pStyle w:val="58"/>
                    <w:adjustRightInd w:val="0"/>
                    <w:snapToGrid w:val="0"/>
                    <w:jc w:val="center"/>
                    <w:rPr>
                      <w:rFonts w:hint="default"/>
                      <w:sz w:val="21"/>
                      <w:szCs w:val="21"/>
                      <w:lang w:val="en-US" w:eastAsia="zh-CN"/>
                    </w:rPr>
                  </w:pPr>
                  <w:r>
                    <w:rPr>
                      <w:rFonts w:hint="eastAsia"/>
                      <w:sz w:val="21"/>
                      <w:szCs w:val="21"/>
                      <w:lang w:val="en-US" w:eastAsia="zh-CN"/>
                    </w:rPr>
                    <w:t>25</w:t>
                  </w:r>
                </w:p>
              </w:tc>
              <w:tc>
                <w:tcPr>
                  <w:tcW w:w="321" w:type="pct"/>
                  <w:vMerge w:val="continue"/>
                  <w:tcBorders>
                    <w:left w:val="single" w:color="auto" w:sz="4" w:space="0"/>
                    <w:right w:val="single" w:color="000000" w:sz="4" w:space="0"/>
                  </w:tcBorders>
                  <w:noWrap w:val="0"/>
                  <w:vAlign w:val="center"/>
                </w:tcPr>
                <w:p w14:paraId="0553B7C2">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587F5068">
                  <w:pPr>
                    <w:pStyle w:val="58"/>
                    <w:adjustRightInd w:val="0"/>
                    <w:snapToGrid w:val="0"/>
                    <w:jc w:val="both"/>
                    <w:rPr>
                      <w:rFonts w:hint="eastAsia"/>
                      <w:sz w:val="21"/>
                      <w:szCs w:val="21"/>
                      <w:lang w:eastAsia="zh-CN"/>
                    </w:rPr>
                  </w:pPr>
                </w:p>
              </w:tc>
              <w:tc>
                <w:tcPr>
                  <w:tcW w:w="480" w:type="pct"/>
                  <w:vMerge w:val="continue"/>
                  <w:tcBorders>
                    <w:left w:val="single" w:color="000000" w:sz="4" w:space="0"/>
                    <w:right w:val="single" w:color="000000" w:sz="4" w:space="0"/>
                  </w:tcBorders>
                  <w:noWrap w:val="0"/>
                  <w:vAlign w:val="center"/>
                </w:tcPr>
                <w:p w14:paraId="5BB9439C">
                  <w:pPr>
                    <w:pStyle w:val="58"/>
                    <w:adjustRightInd w:val="0"/>
                    <w:snapToGrid w:val="0"/>
                    <w:jc w:val="center"/>
                    <w:rPr>
                      <w:sz w:val="21"/>
                      <w:szCs w:val="21"/>
                      <w:lang w:eastAsia="zh-CN"/>
                    </w:rPr>
                  </w:pPr>
                </w:p>
              </w:tc>
              <w:tc>
                <w:tcPr>
                  <w:tcW w:w="750" w:type="pct"/>
                  <w:tcBorders>
                    <w:top w:val="single" w:color="000000" w:sz="4" w:space="0"/>
                    <w:left w:val="single" w:color="000000" w:sz="4" w:space="0"/>
                    <w:bottom w:val="single" w:color="000000" w:sz="4" w:space="0"/>
                    <w:right w:val="single" w:color="000000" w:sz="4" w:space="0"/>
                  </w:tcBorders>
                  <w:noWrap w:val="0"/>
                  <w:vAlign w:val="center"/>
                </w:tcPr>
                <w:p w14:paraId="6063A341">
                  <w:pPr>
                    <w:pStyle w:val="58"/>
                    <w:adjustRightInd w:val="0"/>
                    <w:snapToGrid w:val="0"/>
                    <w:jc w:val="center"/>
                    <w:rPr>
                      <w:rFonts w:hint="default"/>
                      <w:sz w:val="21"/>
                      <w:szCs w:val="21"/>
                      <w:lang w:val="en-US" w:eastAsia="zh-CN"/>
                    </w:rPr>
                  </w:pPr>
                  <w:r>
                    <w:rPr>
                      <w:rFonts w:hint="eastAsia"/>
                      <w:sz w:val="21"/>
                      <w:szCs w:val="21"/>
                      <w:lang w:val="en-US" w:eastAsia="zh-CN"/>
                    </w:rPr>
                    <w:t>活性炭吸附装置</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56DB6C56">
                  <w:pPr>
                    <w:pStyle w:val="58"/>
                    <w:adjustRightInd w:val="0"/>
                    <w:snapToGrid w:val="0"/>
                    <w:jc w:val="center"/>
                    <w:rPr>
                      <w:rFonts w:hint="default"/>
                      <w:sz w:val="21"/>
                      <w:szCs w:val="21"/>
                      <w:lang w:val="en-US" w:eastAsia="zh-CN"/>
                    </w:rPr>
                  </w:pPr>
                  <w:r>
                    <w:rPr>
                      <w:rFonts w:hint="eastAsia"/>
                      <w:sz w:val="21"/>
                      <w:szCs w:val="21"/>
                      <w:lang w:val="en-US" w:eastAsia="zh-CN"/>
                    </w:rPr>
                    <w:t>MF0041~MF0042</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77CF5BFC">
                  <w:pPr>
                    <w:pStyle w:val="58"/>
                    <w:adjustRightInd w:val="0"/>
                    <w:snapToGrid w:val="0"/>
                    <w:jc w:val="center"/>
                    <w:rPr>
                      <w:rFonts w:hint="eastAsia"/>
                      <w:sz w:val="21"/>
                      <w:szCs w:val="21"/>
                      <w:lang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2CC7CE62">
                  <w:pPr>
                    <w:pStyle w:val="58"/>
                    <w:adjustRightInd w:val="0"/>
                    <w:snapToGrid w:val="0"/>
                    <w:jc w:val="center"/>
                    <w:rPr>
                      <w:rFonts w:hint="eastAsia"/>
                      <w:sz w:val="21"/>
                      <w:szCs w:val="21"/>
                      <w:lang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1B24B631">
                  <w:pPr>
                    <w:pStyle w:val="58"/>
                    <w:adjustRightInd w:val="0"/>
                    <w:snapToGrid w:val="0"/>
                    <w:jc w:val="center"/>
                    <w:rPr>
                      <w:rFonts w:hint="eastAsia"/>
                      <w:sz w:val="21"/>
                      <w:szCs w:val="21"/>
                      <w:lang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0EE603A7">
                  <w:pPr>
                    <w:pStyle w:val="58"/>
                    <w:adjustRightInd w:val="0"/>
                    <w:snapToGrid w:val="0"/>
                    <w:jc w:val="center"/>
                    <w:rPr>
                      <w:rFonts w:hint="eastAsia"/>
                      <w:sz w:val="21"/>
                      <w:szCs w:val="21"/>
                      <w:lang w:eastAsia="zh-CN"/>
                    </w:rPr>
                  </w:pPr>
                  <w:r>
                    <w:rPr>
                      <w:rFonts w:hint="eastAsia"/>
                      <w:sz w:val="21"/>
                      <w:szCs w:val="21"/>
                      <w:lang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7296E72F">
                  <w:pPr>
                    <w:pStyle w:val="58"/>
                    <w:adjustRightInd w:val="0"/>
                    <w:snapToGrid w:val="0"/>
                    <w:jc w:val="center"/>
                    <w:rPr>
                      <w:rFonts w:hint="eastAsia"/>
                      <w:sz w:val="21"/>
                      <w:szCs w:val="21"/>
                      <w:lang w:eastAsia="zh-CN"/>
                    </w:rPr>
                  </w:pPr>
                  <w:r>
                    <w:rPr>
                      <w:rFonts w:hint="eastAsia"/>
                      <w:sz w:val="21"/>
                      <w:szCs w:val="21"/>
                      <w:lang w:val="en-US" w:eastAsia="zh-CN"/>
                    </w:rPr>
                    <w:t>2</w:t>
                  </w:r>
                  <w:r>
                    <w:rPr>
                      <w:rFonts w:hint="eastAsia"/>
                      <w:sz w:val="21"/>
                      <w:szCs w:val="21"/>
                      <w:lang w:eastAsia="zh-CN"/>
                    </w:rPr>
                    <w:t>台</w:t>
                  </w:r>
                </w:p>
              </w:tc>
              <w:tc>
                <w:tcPr>
                  <w:tcW w:w="343" w:type="pct"/>
                  <w:tcBorders>
                    <w:top w:val="single" w:color="000000" w:sz="4" w:space="0"/>
                    <w:left w:val="single" w:color="000000" w:sz="4" w:space="0"/>
                    <w:bottom w:val="single" w:color="000000" w:sz="4" w:space="0"/>
                  </w:tcBorders>
                  <w:noWrap w:val="0"/>
                  <w:vAlign w:val="center"/>
                </w:tcPr>
                <w:p w14:paraId="00184EB0">
                  <w:pPr>
                    <w:pStyle w:val="58"/>
                    <w:adjustRightInd w:val="0"/>
                    <w:snapToGrid w:val="0"/>
                    <w:jc w:val="center"/>
                    <w:rPr>
                      <w:rFonts w:hint="eastAsia"/>
                      <w:sz w:val="21"/>
                      <w:szCs w:val="21"/>
                      <w:lang w:eastAsia="zh-CN"/>
                    </w:rPr>
                  </w:pPr>
                  <w:r>
                    <w:rPr>
                      <w:rFonts w:hint="eastAsia"/>
                      <w:sz w:val="21"/>
                      <w:szCs w:val="21"/>
                      <w:lang w:eastAsia="zh-CN"/>
                    </w:rPr>
                    <w:t>/</w:t>
                  </w:r>
                </w:p>
              </w:tc>
            </w:tr>
            <w:tr w14:paraId="03FF8D34">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27" w:type="pct"/>
                  <w:tcBorders>
                    <w:top w:val="single" w:color="000000" w:sz="4" w:space="0"/>
                    <w:bottom w:val="single" w:color="000000" w:sz="4" w:space="0"/>
                    <w:right w:val="single" w:color="000000" w:sz="4" w:space="0"/>
                  </w:tcBorders>
                  <w:noWrap w:val="0"/>
                  <w:vAlign w:val="center"/>
                </w:tcPr>
                <w:p w14:paraId="5CA99228">
                  <w:pPr>
                    <w:pStyle w:val="58"/>
                    <w:adjustRightInd w:val="0"/>
                    <w:snapToGrid w:val="0"/>
                    <w:jc w:val="center"/>
                    <w:rPr>
                      <w:rFonts w:hint="default"/>
                      <w:sz w:val="21"/>
                      <w:szCs w:val="21"/>
                      <w:lang w:val="en-US" w:eastAsia="zh-CN"/>
                    </w:rPr>
                  </w:pPr>
                  <w:r>
                    <w:rPr>
                      <w:rFonts w:hint="eastAsia"/>
                      <w:sz w:val="21"/>
                      <w:szCs w:val="21"/>
                      <w:lang w:val="en-US" w:eastAsia="zh-CN"/>
                    </w:rPr>
                    <w:t>26</w:t>
                  </w:r>
                </w:p>
              </w:tc>
              <w:tc>
                <w:tcPr>
                  <w:tcW w:w="321" w:type="pct"/>
                  <w:vMerge w:val="continue"/>
                  <w:tcBorders>
                    <w:left w:val="single" w:color="auto" w:sz="4" w:space="0"/>
                    <w:right w:val="single" w:color="000000" w:sz="4" w:space="0"/>
                  </w:tcBorders>
                  <w:noWrap w:val="0"/>
                  <w:vAlign w:val="center"/>
                </w:tcPr>
                <w:p w14:paraId="09803AA2">
                  <w:pPr>
                    <w:pStyle w:val="58"/>
                    <w:adjustRightInd w:val="0"/>
                    <w:snapToGrid w:val="0"/>
                    <w:jc w:val="center"/>
                    <w:rPr>
                      <w:rFonts w:hint="eastAsia"/>
                      <w:sz w:val="21"/>
                      <w:szCs w:val="21"/>
                      <w:lang w:eastAsia="zh-CN"/>
                    </w:rPr>
                  </w:pPr>
                </w:p>
              </w:tc>
              <w:tc>
                <w:tcPr>
                  <w:tcW w:w="542" w:type="pct"/>
                  <w:vMerge w:val="continue"/>
                  <w:tcBorders>
                    <w:left w:val="single" w:color="000000" w:sz="4" w:space="0"/>
                    <w:right w:val="single" w:color="000000" w:sz="4" w:space="0"/>
                  </w:tcBorders>
                  <w:noWrap w:val="0"/>
                  <w:vAlign w:val="center"/>
                </w:tcPr>
                <w:p w14:paraId="6F6911EA">
                  <w:pPr>
                    <w:pStyle w:val="58"/>
                    <w:adjustRightInd w:val="0"/>
                    <w:snapToGrid w:val="0"/>
                    <w:jc w:val="both"/>
                    <w:rPr>
                      <w:rFonts w:hint="eastAsia"/>
                      <w:sz w:val="21"/>
                      <w:szCs w:val="21"/>
                      <w:lang w:eastAsia="zh-CN"/>
                    </w:rPr>
                  </w:pPr>
                </w:p>
              </w:tc>
              <w:tc>
                <w:tcPr>
                  <w:tcW w:w="480" w:type="pct"/>
                  <w:vMerge w:val="continue"/>
                  <w:tcBorders>
                    <w:left w:val="single" w:color="000000" w:sz="4" w:space="0"/>
                    <w:bottom w:val="single" w:color="auto" w:sz="4" w:space="0"/>
                    <w:right w:val="single" w:color="000000" w:sz="4" w:space="0"/>
                  </w:tcBorders>
                  <w:noWrap w:val="0"/>
                  <w:vAlign w:val="center"/>
                </w:tcPr>
                <w:p w14:paraId="007E55AA">
                  <w:pPr>
                    <w:pStyle w:val="58"/>
                    <w:adjustRightInd w:val="0"/>
                    <w:snapToGrid w:val="0"/>
                    <w:jc w:val="center"/>
                    <w:rPr>
                      <w:sz w:val="21"/>
                      <w:szCs w:val="21"/>
                      <w:lang w:eastAsia="zh-CN"/>
                    </w:rPr>
                  </w:pPr>
                </w:p>
              </w:tc>
              <w:tc>
                <w:tcPr>
                  <w:tcW w:w="750" w:type="pct"/>
                  <w:tcBorders>
                    <w:top w:val="single" w:color="000000" w:sz="4" w:space="0"/>
                    <w:left w:val="single" w:color="000000" w:sz="4" w:space="0"/>
                    <w:bottom w:val="single" w:color="000000" w:sz="4" w:space="0"/>
                    <w:right w:val="single" w:color="000000" w:sz="4" w:space="0"/>
                  </w:tcBorders>
                  <w:noWrap w:val="0"/>
                  <w:vAlign w:val="center"/>
                </w:tcPr>
                <w:p w14:paraId="607B4233">
                  <w:pPr>
                    <w:pStyle w:val="58"/>
                    <w:adjustRightInd w:val="0"/>
                    <w:snapToGrid w:val="0"/>
                    <w:jc w:val="center"/>
                    <w:rPr>
                      <w:rFonts w:hint="default"/>
                      <w:sz w:val="21"/>
                      <w:szCs w:val="21"/>
                      <w:lang w:val="en-US" w:eastAsia="zh-CN"/>
                    </w:rPr>
                  </w:pPr>
                  <w:r>
                    <w:rPr>
                      <w:rFonts w:hint="eastAsia"/>
                      <w:sz w:val="21"/>
                      <w:szCs w:val="21"/>
                      <w:lang w:val="en-US" w:eastAsia="zh-CN"/>
                    </w:rPr>
                    <w:t>风机</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DDA5EA8">
                  <w:pPr>
                    <w:pStyle w:val="58"/>
                    <w:adjustRightInd w:val="0"/>
                    <w:snapToGrid w:val="0"/>
                    <w:jc w:val="center"/>
                    <w:rPr>
                      <w:rFonts w:hint="default"/>
                      <w:sz w:val="21"/>
                      <w:szCs w:val="21"/>
                      <w:lang w:val="en-US" w:eastAsia="zh-CN"/>
                    </w:rPr>
                  </w:pPr>
                  <w:r>
                    <w:rPr>
                      <w:rFonts w:hint="eastAsia"/>
                      <w:sz w:val="21"/>
                      <w:szCs w:val="21"/>
                      <w:lang w:val="en-US" w:eastAsia="zh-CN"/>
                    </w:rPr>
                    <w:t>MF0043~MF0045</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3C4D26F9">
                  <w:pPr>
                    <w:pStyle w:val="58"/>
                    <w:adjustRightInd w:val="0"/>
                    <w:snapToGrid w:val="0"/>
                    <w:jc w:val="center"/>
                    <w:rPr>
                      <w:rFonts w:hint="eastAsia"/>
                      <w:sz w:val="21"/>
                      <w:szCs w:val="21"/>
                      <w:lang w:eastAsia="zh-CN"/>
                    </w:rPr>
                  </w:pPr>
                  <w:r>
                    <w:rPr>
                      <w:rFonts w:hint="eastAsia"/>
                      <w:sz w:val="21"/>
                      <w:szCs w:val="21"/>
                      <w:lang w:eastAsia="zh-CN"/>
                    </w:rPr>
                    <w:t>/</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02D329F0">
                  <w:pPr>
                    <w:pStyle w:val="58"/>
                    <w:adjustRightInd w:val="0"/>
                    <w:snapToGrid w:val="0"/>
                    <w:jc w:val="center"/>
                    <w:rPr>
                      <w:rFonts w:hint="eastAsia"/>
                      <w:sz w:val="21"/>
                      <w:szCs w:val="21"/>
                      <w:lang w:eastAsia="zh-CN"/>
                    </w:rPr>
                  </w:pPr>
                  <w:r>
                    <w:rPr>
                      <w:rFonts w:hint="eastAsia"/>
                      <w:sz w:val="21"/>
                      <w:szCs w:val="21"/>
                      <w:lang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53F0FF93">
                  <w:pPr>
                    <w:pStyle w:val="58"/>
                    <w:adjustRightInd w:val="0"/>
                    <w:snapToGrid w:val="0"/>
                    <w:jc w:val="center"/>
                    <w:rPr>
                      <w:rFonts w:hint="eastAsia"/>
                      <w:sz w:val="21"/>
                      <w:szCs w:val="21"/>
                      <w:lang w:eastAsia="zh-CN"/>
                    </w:rPr>
                  </w:pPr>
                  <w:r>
                    <w:rPr>
                      <w:rFonts w:hint="eastAsia"/>
                      <w:sz w:val="21"/>
                      <w:szCs w:val="21"/>
                      <w:lang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545D71FA">
                  <w:pPr>
                    <w:pStyle w:val="58"/>
                    <w:adjustRightInd w:val="0"/>
                    <w:snapToGrid w:val="0"/>
                    <w:jc w:val="center"/>
                    <w:rPr>
                      <w:rFonts w:hint="eastAsia"/>
                      <w:sz w:val="21"/>
                      <w:szCs w:val="21"/>
                      <w:lang w:eastAsia="zh-CN"/>
                    </w:rPr>
                  </w:pPr>
                  <w:r>
                    <w:rPr>
                      <w:rFonts w:hint="eastAsia"/>
                      <w:sz w:val="21"/>
                      <w:szCs w:val="21"/>
                      <w:lang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49618075">
                  <w:pPr>
                    <w:pStyle w:val="58"/>
                    <w:adjustRightInd w:val="0"/>
                    <w:snapToGrid w:val="0"/>
                    <w:jc w:val="center"/>
                    <w:rPr>
                      <w:rFonts w:hint="eastAsia"/>
                      <w:sz w:val="21"/>
                      <w:szCs w:val="21"/>
                      <w:lang w:eastAsia="zh-CN"/>
                    </w:rPr>
                  </w:pPr>
                  <w:r>
                    <w:rPr>
                      <w:rFonts w:hint="eastAsia"/>
                      <w:sz w:val="21"/>
                      <w:szCs w:val="21"/>
                      <w:lang w:val="en-US" w:eastAsia="zh-CN"/>
                    </w:rPr>
                    <w:t>3</w:t>
                  </w:r>
                  <w:r>
                    <w:rPr>
                      <w:rFonts w:hint="eastAsia"/>
                      <w:sz w:val="21"/>
                      <w:szCs w:val="21"/>
                      <w:lang w:eastAsia="zh-CN"/>
                    </w:rPr>
                    <w:t>台</w:t>
                  </w:r>
                </w:p>
              </w:tc>
              <w:tc>
                <w:tcPr>
                  <w:tcW w:w="343" w:type="pct"/>
                  <w:tcBorders>
                    <w:top w:val="single" w:color="000000" w:sz="4" w:space="0"/>
                    <w:left w:val="single" w:color="000000" w:sz="4" w:space="0"/>
                    <w:bottom w:val="single" w:color="000000" w:sz="4" w:space="0"/>
                  </w:tcBorders>
                  <w:noWrap w:val="0"/>
                  <w:vAlign w:val="center"/>
                </w:tcPr>
                <w:p w14:paraId="00D9D248">
                  <w:pPr>
                    <w:pStyle w:val="58"/>
                    <w:adjustRightInd w:val="0"/>
                    <w:snapToGrid w:val="0"/>
                    <w:jc w:val="center"/>
                    <w:rPr>
                      <w:rFonts w:hint="eastAsia"/>
                      <w:sz w:val="21"/>
                      <w:szCs w:val="21"/>
                      <w:lang w:eastAsia="zh-CN"/>
                    </w:rPr>
                  </w:pPr>
                  <w:r>
                    <w:rPr>
                      <w:rFonts w:hint="eastAsia"/>
                      <w:sz w:val="21"/>
                      <w:szCs w:val="21"/>
                      <w:lang w:eastAsia="zh-CN"/>
                    </w:rPr>
                    <w:t>/</w:t>
                  </w:r>
                </w:p>
              </w:tc>
            </w:tr>
            <w:tr w14:paraId="03D38D7B">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27" w:type="pct"/>
                  <w:tcBorders>
                    <w:top w:val="single" w:color="000000" w:sz="4" w:space="0"/>
                    <w:bottom w:val="single" w:color="000000" w:sz="4" w:space="0"/>
                    <w:right w:val="single" w:color="000000" w:sz="4" w:space="0"/>
                  </w:tcBorders>
                  <w:noWrap w:val="0"/>
                  <w:vAlign w:val="center"/>
                </w:tcPr>
                <w:p w14:paraId="27DB15AC">
                  <w:pPr>
                    <w:pStyle w:val="58"/>
                    <w:adjustRightInd w:val="0"/>
                    <w:snapToGrid w:val="0"/>
                    <w:jc w:val="center"/>
                    <w:rPr>
                      <w:rFonts w:hint="default"/>
                      <w:sz w:val="21"/>
                      <w:szCs w:val="21"/>
                      <w:lang w:val="en-US" w:eastAsia="zh-CN"/>
                    </w:rPr>
                  </w:pPr>
                  <w:r>
                    <w:rPr>
                      <w:rFonts w:hint="eastAsia"/>
                      <w:sz w:val="21"/>
                      <w:szCs w:val="21"/>
                      <w:lang w:val="en-US" w:eastAsia="zh-CN"/>
                    </w:rPr>
                    <w:t>27</w:t>
                  </w:r>
                </w:p>
              </w:tc>
              <w:tc>
                <w:tcPr>
                  <w:tcW w:w="321" w:type="pct"/>
                  <w:vMerge w:val="continue"/>
                  <w:tcBorders>
                    <w:left w:val="single" w:color="auto" w:sz="4" w:space="0"/>
                    <w:bottom w:val="single" w:color="auto" w:sz="4" w:space="0"/>
                    <w:right w:val="single" w:color="000000" w:sz="4" w:space="0"/>
                  </w:tcBorders>
                  <w:noWrap w:val="0"/>
                  <w:vAlign w:val="center"/>
                </w:tcPr>
                <w:p w14:paraId="1B52C240">
                  <w:pPr>
                    <w:pStyle w:val="58"/>
                    <w:adjustRightInd w:val="0"/>
                    <w:snapToGrid w:val="0"/>
                    <w:jc w:val="center"/>
                    <w:rPr>
                      <w:rFonts w:hint="eastAsia"/>
                      <w:sz w:val="21"/>
                      <w:szCs w:val="21"/>
                      <w:lang w:eastAsia="zh-CN"/>
                    </w:rPr>
                  </w:pPr>
                </w:p>
              </w:tc>
              <w:tc>
                <w:tcPr>
                  <w:tcW w:w="542" w:type="pct"/>
                  <w:vMerge w:val="continue"/>
                  <w:tcBorders>
                    <w:left w:val="single" w:color="000000" w:sz="4" w:space="0"/>
                    <w:bottom w:val="single" w:color="auto" w:sz="4" w:space="0"/>
                    <w:right w:val="single" w:color="auto" w:sz="4" w:space="0"/>
                  </w:tcBorders>
                  <w:noWrap w:val="0"/>
                  <w:vAlign w:val="center"/>
                </w:tcPr>
                <w:p w14:paraId="46E3832B">
                  <w:pPr>
                    <w:pStyle w:val="58"/>
                    <w:adjustRightInd w:val="0"/>
                    <w:snapToGrid w:val="0"/>
                    <w:jc w:val="both"/>
                    <w:rPr>
                      <w:rFonts w:hint="eastAsia"/>
                      <w:sz w:val="21"/>
                      <w:szCs w:val="21"/>
                      <w:lang w:eastAsia="zh-CN"/>
                    </w:rPr>
                  </w:pPr>
                </w:p>
              </w:tc>
              <w:tc>
                <w:tcPr>
                  <w:tcW w:w="480" w:type="pct"/>
                  <w:tcBorders>
                    <w:top w:val="single" w:color="auto" w:sz="4" w:space="0"/>
                    <w:left w:val="single" w:color="auto" w:sz="4" w:space="0"/>
                    <w:bottom w:val="single" w:color="auto" w:sz="4" w:space="0"/>
                    <w:right w:val="single" w:color="auto" w:sz="4" w:space="0"/>
                  </w:tcBorders>
                  <w:noWrap w:val="0"/>
                  <w:vAlign w:val="center"/>
                </w:tcPr>
                <w:p w14:paraId="6EFEC90B">
                  <w:pPr>
                    <w:pStyle w:val="58"/>
                    <w:adjustRightInd w:val="0"/>
                    <w:snapToGrid w:val="0"/>
                    <w:jc w:val="center"/>
                    <w:rPr>
                      <w:rFonts w:hint="default"/>
                      <w:sz w:val="21"/>
                      <w:szCs w:val="21"/>
                      <w:lang w:val="en-US" w:eastAsia="zh-CN"/>
                    </w:rPr>
                  </w:pPr>
                  <w:r>
                    <w:rPr>
                      <w:rFonts w:hint="eastAsia"/>
                      <w:sz w:val="21"/>
                      <w:szCs w:val="21"/>
                      <w:lang w:val="en-US" w:eastAsia="zh-CN"/>
                    </w:rPr>
                    <w:t>固废处置</w:t>
                  </w:r>
                </w:p>
              </w:tc>
              <w:tc>
                <w:tcPr>
                  <w:tcW w:w="750" w:type="pct"/>
                  <w:tcBorders>
                    <w:top w:val="single" w:color="000000" w:sz="4" w:space="0"/>
                    <w:left w:val="single" w:color="auto" w:sz="4" w:space="0"/>
                    <w:bottom w:val="single" w:color="000000" w:sz="4" w:space="0"/>
                    <w:right w:val="single" w:color="000000" w:sz="4" w:space="0"/>
                  </w:tcBorders>
                  <w:noWrap w:val="0"/>
                  <w:vAlign w:val="center"/>
                </w:tcPr>
                <w:p w14:paraId="5A95FAFF">
                  <w:pPr>
                    <w:pStyle w:val="58"/>
                    <w:adjustRightInd w:val="0"/>
                    <w:snapToGrid w:val="0"/>
                    <w:jc w:val="center"/>
                    <w:rPr>
                      <w:rFonts w:hint="default"/>
                      <w:sz w:val="21"/>
                      <w:szCs w:val="21"/>
                      <w:lang w:val="en-US" w:eastAsia="zh-CN"/>
                    </w:rPr>
                  </w:pPr>
                  <w:r>
                    <w:rPr>
                      <w:rFonts w:hint="eastAsia"/>
                      <w:sz w:val="21"/>
                      <w:szCs w:val="21"/>
                      <w:lang w:val="en-US" w:eastAsia="zh-CN"/>
                    </w:rPr>
                    <w:t>危废暂存库</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7165B50A">
                  <w:pPr>
                    <w:pStyle w:val="58"/>
                    <w:adjustRightInd w:val="0"/>
                    <w:snapToGrid w:val="0"/>
                    <w:jc w:val="center"/>
                    <w:rPr>
                      <w:rFonts w:hint="default"/>
                      <w:sz w:val="21"/>
                      <w:szCs w:val="21"/>
                      <w:lang w:val="en-US" w:eastAsia="zh-CN"/>
                    </w:rPr>
                  </w:pPr>
                  <w:r>
                    <w:rPr>
                      <w:rFonts w:hint="eastAsia"/>
                      <w:sz w:val="21"/>
                      <w:szCs w:val="21"/>
                      <w:lang w:val="en-US" w:eastAsia="zh-CN"/>
                    </w:rPr>
                    <w:t>MF0046</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42A7C719">
                  <w:pPr>
                    <w:pStyle w:val="58"/>
                    <w:adjustRightInd w:val="0"/>
                    <w:snapToGrid w:val="0"/>
                    <w:jc w:val="center"/>
                    <w:rPr>
                      <w:rFonts w:hint="default"/>
                      <w:sz w:val="21"/>
                      <w:szCs w:val="21"/>
                      <w:lang w:val="en-US" w:eastAsia="zh-CN"/>
                    </w:rPr>
                  </w:pPr>
                  <w:r>
                    <w:rPr>
                      <w:rFonts w:hint="eastAsia"/>
                      <w:sz w:val="21"/>
                      <w:szCs w:val="21"/>
                      <w:lang w:val="en-US" w:eastAsia="zh-CN"/>
                    </w:rPr>
                    <w:t>300m</w:t>
                  </w:r>
                  <w:r>
                    <w:rPr>
                      <w:rFonts w:hint="eastAsia"/>
                      <w:sz w:val="21"/>
                      <w:szCs w:val="21"/>
                      <w:vertAlign w:val="superscript"/>
                      <w:lang w:val="en-US" w:eastAsia="zh-CN"/>
                    </w:rPr>
                    <w:t>2</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24AD213E">
                  <w:pPr>
                    <w:pStyle w:val="58"/>
                    <w:adjustRightInd w:val="0"/>
                    <w:snapToGrid w:val="0"/>
                    <w:jc w:val="center"/>
                    <w:rPr>
                      <w:rFonts w:hint="default"/>
                      <w:sz w:val="21"/>
                      <w:szCs w:val="21"/>
                      <w:lang w:val="en-US" w:eastAsia="zh-CN"/>
                    </w:rPr>
                  </w:pPr>
                  <w:r>
                    <w:rPr>
                      <w:rFonts w:hint="eastAsia"/>
                      <w:sz w:val="21"/>
                      <w:szCs w:val="21"/>
                      <w:lang w:val="en-US" w:eastAsia="zh-CN"/>
                    </w:rPr>
                    <w:t>/</w:t>
                  </w:r>
                </w:p>
              </w:tc>
              <w:tc>
                <w:tcPr>
                  <w:tcW w:w="334" w:type="pct"/>
                  <w:tcBorders>
                    <w:top w:val="single" w:color="000000" w:sz="4" w:space="0"/>
                    <w:left w:val="single" w:color="000000" w:sz="4" w:space="0"/>
                    <w:bottom w:val="single" w:color="000000" w:sz="4" w:space="0"/>
                    <w:right w:val="single" w:color="000000" w:sz="6" w:space="0"/>
                  </w:tcBorders>
                  <w:noWrap w:val="0"/>
                  <w:vAlign w:val="center"/>
                </w:tcPr>
                <w:p w14:paraId="187DBD63">
                  <w:pPr>
                    <w:pStyle w:val="58"/>
                    <w:adjustRightInd w:val="0"/>
                    <w:snapToGrid w:val="0"/>
                    <w:jc w:val="center"/>
                    <w:rPr>
                      <w:rFonts w:hint="default"/>
                      <w:sz w:val="21"/>
                      <w:szCs w:val="21"/>
                      <w:lang w:val="en-US" w:eastAsia="zh-CN"/>
                    </w:rPr>
                  </w:pPr>
                  <w:r>
                    <w:rPr>
                      <w:rFonts w:hint="eastAsia"/>
                      <w:sz w:val="21"/>
                      <w:szCs w:val="21"/>
                      <w:lang w:val="en-US" w:eastAsia="zh-CN"/>
                    </w:rPr>
                    <w:t>/</w:t>
                  </w:r>
                </w:p>
              </w:tc>
              <w:tc>
                <w:tcPr>
                  <w:tcW w:w="382" w:type="pct"/>
                  <w:tcBorders>
                    <w:top w:val="single" w:color="000000" w:sz="4" w:space="0"/>
                    <w:left w:val="single" w:color="000000" w:sz="6" w:space="0"/>
                    <w:bottom w:val="single" w:color="000000" w:sz="4" w:space="0"/>
                    <w:right w:val="single" w:color="000000" w:sz="4" w:space="0"/>
                  </w:tcBorders>
                  <w:noWrap w:val="0"/>
                  <w:vAlign w:val="center"/>
                </w:tcPr>
                <w:p w14:paraId="4F361021">
                  <w:pPr>
                    <w:pStyle w:val="58"/>
                    <w:adjustRightInd w:val="0"/>
                    <w:snapToGrid w:val="0"/>
                    <w:jc w:val="center"/>
                    <w:rPr>
                      <w:rFonts w:hint="default"/>
                      <w:sz w:val="21"/>
                      <w:szCs w:val="21"/>
                      <w:lang w:val="en-US" w:eastAsia="zh-CN"/>
                    </w:rPr>
                  </w:pPr>
                  <w:r>
                    <w:rPr>
                      <w:rFonts w:hint="eastAsia"/>
                      <w:sz w:val="21"/>
                      <w:szCs w:val="21"/>
                      <w:lang w:val="en-US" w:eastAsia="zh-CN"/>
                    </w:rPr>
                    <w:t>/</w:t>
                  </w:r>
                </w:p>
              </w:tc>
              <w:tc>
                <w:tcPr>
                  <w:tcW w:w="479" w:type="pct"/>
                  <w:tcBorders>
                    <w:top w:val="single" w:color="000000" w:sz="4" w:space="0"/>
                    <w:left w:val="single" w:color="000000" w:sz="4" w:space="0"/>
                    <w:bottom w:val="single" w:color="000000" w:sz="4" w:space="0"/>
                    <w:right w:val="single" w:color="000000" w:sz="4" w:space="0"/>
                  </w:tcBorders>
                  <w:noWrap w:val="0"/>
                  <w:vAlign w:val="center"/>
                </w:tcPr>
                <w:p w14:paraId="3ED26D9C">
                  <w:pPr>
                    <w:pStyle w:val="58"/>
                    <w:adjustRightInd w:val="0"/>
                    <w:snapToGrid w:val="0"/>
                    <w:jc w:val="center"/>
                    <w:rPr>
                      <w:rFonts w:hint="default"/>
                      <w:sz w:val="21"/>
                      <w:szCs w:val="21"/>
                      <w:lang w:val="en-US" w:eastAsia="zh-CN"/>
                    </w:rPr>
                  </w:pPr>
                  <w:r>
                    <w:rPr>
                      <w:rFonts w:hint="eastAsia"/>
                      <w:sz w:val="21"/>
                      <w:szCs w:val="21"/>
                      <w:lang w:val="en-US" w:eastAsia="zh-CN"/>
                    </w:rPr>
                    <w:t>1座</w:t>
                  </w:r>
                </w:p>
              </w:tc>
              <w:tc>
                <w:tcPr>
                  <w:tcW w:w="343" w:type="pct"/>
                  <w:tcBorders>
                    <w:top w:val="single" w:color="000000" w:sz="4" w:space="0"/>
                    <w:left w:val="single" w:color="000000" w:sz="4" w:space="0"/>
                    <w:bottom w:val="single" w:color="000000" w:sz="4" w:space="0"/>
                  </w:tcBorders>
                  <w:noWrap w:val="0"/>
                  <w:vAlign w:val="center"/>
                </w:tcPr>
                <w:p w14:paraId="754E8342">
                  <w:pPr>
                    <w:pStyle w:val="58"/>
                    <w:adjustRightInd w:val="0"/>
                    <w:snapToGrid w:val="0"/>
                    <w:jc w:val="center"/>
                    <w:rPr>
                      <w:rFonts w:hint="eastAsia"/>
                      <w:sz w:val="21"/>
                      <w:szCs w:val="21"/>
                      <w:lang w:eastAsia="zh-CN"/>
                    </w:rPr>
                  </w:pPr>
                </w:p>
              </w:tc>
            </w:tr>
          </w:tbl>
          <w:p w14:paraId="4D457FC8">
            <w:pPr>
              <w:spacing w:before="1" w:after="51"/>
              <w:ind w:left="2859" w:right="2729"/>
              <w:jc w:val="center"/>
              <w:rPr>
                <w:rFonts w:ascii="宋体" w:hAnsi="宋体"/>
                <w:b/>
                <w:sz w:val="24"/>
              </w:rPr>
            </w:pPr>
          </w:p>
          <w:p w14:paraId="7EEACE8E">
            <w:pPr>
              <w:spacing w:line="240" w:lineRule="atLeast"/>
              <w:ind w:left="2857" w:right="2727"/>
              <w:jc w:val="center"/>
              <w:rPr>
                <w:rFonts w:ascii="宋体" w:hAnsi="宋体"/>
                <w:b/>
                <w:sz w:val="24"/>
              </w:rPr>
            </w:pPr>
            <w:r>
              <w:rPr>
                <w:b/>
                <w:szCs w:val="21"/>
              </w:rPr>
              <w:t>表4  建设项目废气产排污节点、污染物及污染治理设施信息表</w:t>
            </w:r>
          </w:p>
          <w:tbl>
            <w:tblPr>
              <w:tblStyle w:val="24"/>
              <w:tblW w:w="5000" w:type="pct"/>
              <w:tblInd w:w="10"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308"/>
              <w:gridCol w:w="504"/>
              <w:gridCol w:w="961"/>
              <w:gridCol w:w="886"/>
              <w:gridCol w:w="622"/>
              <w:gridCol w:w="800"/>
              <w:gridCol w:w="569"/>
              <w:gridCol w:w="819"/>
              <w:gridCol w:w="1126"/>
              <w:gridCol w:w="892"/>
              <w:gridCol w:w="473"/>
              <w:gridCol w:w="645"/>
              <w:gridCol w:w="456"/>
              <w:gridCol w:w="595"/>
              <w:gridCol w:w="436"/>
              <w:gridCol w:w="662"/>
              <w:gridCol w:w="632"/>
              <w:gridCol w:w="681"/>
              <w:gridCol w:w="615"/>
              <w:gridCol w:w="510"/>
              <w:gridCol w:w="259"/>
            </w:tblGrid>
            <w:tr w14:paraId="04E74572">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03" w:hRule="atLeast"/>
              </w:trPr>
              <w:tc>
                <w:tcPr>
                  <w:tcW w:w="114" w:type="pct"/>
                  <w:vMerge w:val="restart"/>
                  <w:tcBorders>
                    <w:bottom w:val="single" w:color="000000" w:sz="4" w:space="0"/>
                    <w:right w:val="single" w:color="000000" w:sz="4" w:space="0"/>
                  </w:tcBorders>
                  <w:noWrap w:val="0"/>
                  <w:vAlign w:val="center"/>
                </w:tcPr>
                <w:p w14:paraId="2CDCD630">
                  <w:pPr>
                    <w:pStyle w:val="58"/>
                    <w:adjustRightInd w:val="0"/>
                    <w:snapToGrid w:val="0"/>
                    <w:jc w:val="center"/>
                    <w:rPr>
                      <w:b/>
                      <w:sz w:val="21"/>
                      <w:szCs w:val="21"/>
                    </w:rPr>
                  </w:pPr>
                  <w:r>
                    <w:rPr>
                      <w:rFonts w:hint="eastAsia"/>
                      <w:b/>
                      <w:sz w:val="21"/>
                      <w:szCs w:val="21"/>
                    </w:rPr>
                    <w:t>序号</w:t>
                  </w:r>
                </w:p>
              </w:tc>
              <w:tc>
                <w:tcPr>
                  <w:tcW w:w="187" w:type="pct"/>
                  <w:vMerge w:val="restart"/>
                  <w:tcBorders>
                    <w:left w:val="single" w:color="000000" w:sz="4" w:space="0"/>
                    <w:bottom w:val="single" w:color="000000" w:sz="4" w:space="0"/>
                    <w:right w:val="single" w:color="000000" w:sz="4" w:space="0"/>
                  </w:tcBorders>
                  <w:noWrap w:val="0"/>
                  <w:vAlign w:val="center"/>
                </w:tcPr>
                <w:p w14:paraId="43DAFA68">
                  <w:pPr>
                    <w:pStyle w:val="58"/>
                    <w:adjustRightInd w:val="0"/>
                    <w:snapToGrid w:val="0"/>
                    <w:jc w:val="center"/>
                    <w:rPr>
                      <w:b/>
                      <w:sz w:val="21"/>
                      <w:szCs w:val="21"/>
                      <w:lang w:eastAsia="zh-CN"/>
                    </w:rPr>
                  </w:pPr>
                  <w:r>
                    <w:rPr>
                      <w:rFonts w:hint="eastAsia"/>
                      <w:b/>
                      <w:sz w:val="21"/>
                      <w:szCs w:val="21"/>
                      <w:lang w:eastAsia="zh-CN"/>
                    </w:rPr>
                    <w:t>主要生产单元名称</w:t>
                  </w:r>
                </w:p>
                <w:p w14:paraId="2F536182">
                  <w:pPr>
                    <w:pStyle w:val="58"/>
                    <w:adjustRightInd w:val="0"/>
                    <w:snapToGrid w:val="0"/>
                    <w:jc w:val="center"/>
                    <w:rPr>
                      <w:b/>
                      <w:sz w:val="21"/>
                      <w:szCs w:val="21"/>
                      <w:lang w:eastAsia="zh-CN"/>
                    </w:rPr>
                  </w:pPr>
                  <w:r>
                    <w:rPr>
                      <w:rFonts w:hint="eastAsia"/>
                      <w:b/>
                      <w:sz w:val="21"/>
                      <w:szCs w:val="21"/>
                      <w:lang w:eastAsia="zh-CN"/>
                    </w:rPr>
                    <w:t>（总平图中标识）</w:t>
                  </w:r>
                </w:p>
              </w:tc>
              <w:tc>
                <w:tcPr>
                  <w:tcW w:w="357" w:type="pct"/>
                  <w:vMerge w:val="restart"/>
                  <w:tcBorders>
                    <w:left w:val="single" w:color="000000" w:sz="4" w:space="0"/>
                    <w:bottom w:val="single" w:color="000000" w:sz="4" w:space="0"/>
                    <w:right w:val="single" w:color="000000" w:sz="4" w:space="0"/>
                  </w:tcBorders>
                  <w:noWrap w:val="0"/>
                  <w:vAlign w:val="center"/>
                </w:tcPr>
                <w:p w14:paraId="40A9BF94">
                  <w:pPr>
                    <w:pStyle w:val="58"/>
                    <w:adjustRightInd w:val="0"/>
                    <w:snapToGrid w:val="0"/>
                    <w:jc w:val="center"/>
                    <w:rPr>
                      <w:b/>
                      <w:sz w:val="21"/>
                      <w:szCs w:val="21"/>
                    </w:rPr>
                  </w:pPr>
                  <w:r>
                    <w:rPr>
                      <w:rFonts w:hint="eastAsia"/>
                      <w:b/>
                      <w:sz w:val="21"/>
                      <w:szCs w:val="21"/>
                    </w:rPr>
                    <w:t>生产设施编号</w:t>
                  </w:r>
                </w:p>
              </w:tc>
              <w:tc>
                <w:tcPr>
                  <w:tcW w:w="329" w:type="pct"/>
                  <w:vMerge w:val="restart"/>
                  <w:tcBorders>
                    <w:left w:val="single" w:color="000000" w:sz="4" w:space="0"/>
                    <w:bottom w:val="single" w:color="000000" w:sz="4" w:space="0"/>
                    <w:right w:val="single" w:color="000000" w:sz="4" w:space="0"/>
                  </w:tcBorders>
                  <w:noWrap w:val="0"/>
                  <w:vAlign w:val="center"/>
                </w:tcPr>
                <w:p w14:paraId="4D6D0968">
                  <w:pPr>
                    <w:pStyle w:val="58"/>
                    <w:adjustRightInd w:val="0"/>
                    <w:snapToGrid w:val="0"/>
                    <w:jc w:val="center"/>
                    <w:rPr>
                      <w:b/>
                      <w:sz w:val="21"/>
                      <w:szCs w:val="21"/>
                    </w:rPr>
                  </w:pPr>
                  <w:r>
                    <w:rPr>
                      <w:rFonts w:hint="eastAsia"/>
                      <w:b/>
                      <w:sz w:val="21"/>
                      <w:szCs w:val="21"/>
                    </w:rPr>
                    <w:t>生产设施名称</w:t>
                  </w:r>
                </w:p>
              </w:tc>
              <w:tc>
                <w:tcPr>
                  <w:tcW w:w="231" w:type="pct"/>
                  <w:vMerge w:val="restart"/>
                  <w:tcBorders>
                    <w:left w:val="single" w:color="000000" w:sz="4" w:space="0"/>
                    <w:bottom w:val="single" w:color="000000" w:sz="4" w:space="0"/>
                    <w:right w:val="single" w:color="000000" w:sz="4" w:space="0"/>
                  </w:tcBorders>
                  <w:noWrap w:val="0"/>
                  <w:vAlign w:val="center"/>
                </w:tcPr>
                <w:p w14:paraId="250FAE7A">
                  <w:pPr>
                    <w:pStyle w:val="58"/>
                    <w:adjustRightInd w:val="0"/>
                    <w:snapToGrid w:val="0"/>
                    <w:jc w:val="center"/>
                    <w:rPr>
                      <w:b/>
                      <w:sz w:val="21"/>
                      <w:szCs w:val="21"/>
                      <w:lang w:eastAsia="zh-CN"/>
                    </w:rPr>
                  </w:pPr>
                  <w:r>
                    <w:rPr>
                      <w:rFonts w:hint="eastAsia"/>
                      <w:b/>
                      <w:sz w:val="21"/>
                      <w:szCs w:val="21"/>
                      <w:lang w:eastAsia="zh-CN"/>
                    </w:rPr>
                    <w:t>对应产污环节名称</w:t>
                  </w:r>
                </w:p>
                <w:p w14:paraId="46AE4557">
                  <w:pPr>
                    <w:pStyle w:val="58"/>
                    <w:adjustRightInd w:val="0"/>
                    <w:snapToGrid w:val="0"/>
                    <w:jc w:val="center"/>
                    <w:rPr>
                      <w:b/>
                      <w:sz w:val="21"/>
                      <w:szCs w:val="21"/>
                      <w:lang w:eastAsia="zh-CN"/>
                    </w:rPr>
                  </w:pPr>
                  <w:r>
                    <w:rPr>
                      <w:rFonts w:hint="eastAsia"/>
                      <w:b/>
                      <w:sz w:val="21"/>
                      <w:szCs w:val="21"/>
                      <w:lang w:eastAsia="zh-CN"/>
                    </w:rPr>
                    <w:t>（工艺流程图中标识）</w:t>
                  </w:r>
                </w:p>
              </w:tc>
              <w:tc>
                <w:tcPr>
                  <w:tcW w:w="297" w:type="pct"/>
                  <w:vMerge w:val="restart"/>
                  <w:tcBorders>
                    <w:left w:val="single" w:color="000000" w:sz="4" w:space="0"/>
                    <w:bottom w:val="single" w:color="000000" w:sz="4" w:space="0"/>
                    <w:right w:val="single" w:color="000000" w:sz="6" w:space="0"/>
                  </w:tcBorders>
                  <w:noWrap w:val="0"/>
                  <w:vAlign w:val="center"/>
                </w:tcPr>
                <w:p w14:paraId="131A648A">
                  <w:pPr>
                    <w:pStyle w:val="58"/>
                    <w:adjustRightInd w:val="0"/>
                    <w:snapToGrid w:val="0"/>
                    <w:jc w:val="center"/>
                    <w:rPr>
                      <w:b/>
                      <w:sz w:val="21"/>
                      <w:szCs w:val="21"/>
                    </w:rPr>
                  </w:pPr>
                  <w:r>
                    <w:rPr>
                      <w:rFonts w:hint="eastAsia"/>
                      <w:b/>
                      <w:sz w:val="21"/>
                      <w:szCs w:val="21"/>
                    </w:rPr>
                    <w:t>污染物种类</w:t>
                  </w:r>
                </w:p>
              </w:tc>
              <w:tc>
                <w:tcPr>
                  <w:tcW w:w="211" w:type="pct"/>
                  <w:vMerge w:val="restart"/>
                  <w:tcBorders>
                    <w:left w:val="single" w:color="000000" w:sz="6" w:space="0"/>
                    <w:bottom w:val="single" w:color="000000" w:sz="4" w:space="0"/>
                    <w:right w:val="single" w:color="000000" w:sz="4" w:space="0"/>
                  </w:tcBorders>
                  <w:noWrap w:val="0"/>
                  <w:vAlign w:val="center"/>
                </w:tcPr>
                <w:p w14:paraId="43F2BED0">
                  <w:pPr>
                    <w:pStyle w:val="58"/>
                    <w:adjustRightInd w:val="0"/>
                    <w:snapToGrid w:val="0"/>
                    <w:jc w:val="center"/>
                    <w:rPr>
                      <w:b/>
                      <w:sz w:val="21"/>
                      <w:szCs w:val="21"/>
                    </w:rPr>
                  </w:pPr>
                  <w:r>
                    <w:rPr>
                      <w:rFonts w:hint="eastAsia"/>
                      <w:b/>
                      <w:sz w:val="21"/>
                      <w:szCs w:val="21"/>
                    </w:rPr>
                    <w:t>排放形式</w:t>
                  </w:r>
                </w:p>
              </w:tc>
              <w:tc>
                <w:tcPr>
                  <w:tcW w:w="2268" w:type="pct"/>
                  <w:gridSpan w:val="9"/>
                  <w:tcBorders>
                    <w:left w:val="single" w:color="000000" w:sz="4" w:space="0"/>
                    <w:bottom w:val="single" w:color="000000" w:sz="6" w:space="0"/>
                    <w:right w:val="single" w:color="000000" w:sz="4" w:space="0"/>
                  </w:tcBorders>
                  <w:noWrap w:val="0"/>
                  <w:vAlign w:val="center"/>
                </w:tcPr>
                <w:p w14:paraId="35A99F4F">
                  <w:pPr>
                    <w:pStyle w:val="58"/>
                    <w:adjustRightInd w:val="0"/>
                    <w:snapToGrid w:val="0"/>
                    <w:jc w:val="center"/>
                    <w:rPr>
                      <w:b/>
                      <w:sz w:val="21"/>
                      <w:szCs w:val="21"/>
                    </w:rPr>
                  </w:pPr>
                  <w:r>
                    <w:rPr>
                      <w:rFonts w:hint="eastAsia"/>
                      <w:b/>
                      <w:sz w:val="21"/>
                      <w:szCs w:val="21"/>
                    </w:rPr>
                    <w:t>设施参数</w:t>
                  </w:r>
                </w:p>
              </w:tc>
              <w:tc>
                <w:tcPr>
                  <w:tcW w:w="234" w:type="pct"/>
                  <w:vMerge w:val="restart"/>
                  <w:tcBorders>
                    <w:left w:val="single" w:color="000000" w:sz="4" w:space="0"/>
                    <w:bottom w:val="single" w:color="000000" w:sz="4" w:space="0"/>
                    <w:right w:val="single" w:color="000000" w:sz="6" w:space="0"/>
                  </w:tcBorders>
                  <w:noWrap w:val="0"/>
                  <w:vAlign w:val="center"/>
                </w:tcPr>
                <w:p w14:paraId="05B9F158">
                  <w:pPr>
                    <w:pStyle w:val="58"/>
                    <w:adjustRightInd w:val="0"/>
                    <w:snapToGrid w:val="0"/>
                    <w:jc w:val="center"/>
                    <w:rPr>
                      <w:b/>
                      <w:sz w:val="21"/>
                      <w:szCs w:val="21"/>
                    </w:rPr>
                  </w:pPr>
                  <w:r>
                    <w:rPr>
                      <w:rFonts w:hint="eastAsia"/>
                      <w:b/>
                      <w:sz w:val="21"/>
                      <w:szCs w:val="21"/>
                    </w:rPr>
                    <w:t>有组织排放口编号</w:t>
                  </w:r>
                </w:p>
              </w:tc>
              <w:tc>
                <w:tcPr>
                  <w:tcW w:w="253" w:type="pct"/>
                  <w:vMerge w:val="restart"/>
                  <w:tcBorders>
                    <w:left w:val="single" w:color="000000" w:sz="6" w:space="0"/>
                    <w:bottom w:val="single" w:color="000000" w:sz="4" w:space="0"/>
                    <w:right w:val="single" w:color="000000" w:sz="6" w:space="0"/>
                  </w:tcBorders>
                  <w:noWrap w:val="0"/>
                  <w:vAlign w:val="center"/>
                </w:tcPr>
                <w:p w14:paraId="27DD6A11">
                  <w:pPr>
                    <w:pStyle w:val="58"/>
                    <w:adjustRightInd w:val="0"/>
                    <w:snapToGrid w:val="0"/>
                    <w:jc w:val="center"/>
                    <w:rPr>
                      <w:b/>
                      <w:sz w:val="21"/>
                      <w:szCs w:val="21"/>
                    </w:rPr>
                  </w:pPr>
                  <w:r>
                    <w:rPr>
                      <w:rFonts w:hint="eastAsia"/>
                      <w:b/>
                      <w:sz w:val="21"/>
                      <w:szCs w:val="21"/>
                    </w:rPr>
                    <w:t>有组织排放口名称</w:t>
                  </w:r>
                </w:p>
              </w:tc>
              <w:tc>
                <w:tcPr>
                  <w:tcW w:w="228" w:type="pct"/>
                  <w:vMerge w:val="restart"/>
                  <w:tcBorders>
                    <w:left w:val="single" w:color="000000" w:sz="6" w:space="0"/>
                    <w:bottom w:val="single" w:color="000000" w:sz="4" w:space="0"/>
                    <w:right w:val="single" w:color="000000" w:sz="6" w:space="0"/>
                  </w:tcBorders>
                  <w:noWrap w:val="0"/>
                  <w:vAlign w:val="center"/>
                </w:tcPr>
                <w:p w14:paraId="7D16BCA3">
                  <w:pPr>
                    <w:pStyle w:val="58"/>
                    <w:adjustRightInd w:val="0"/>
                    <w:snapToGrid w:val="0"/>
                    <w:jc w:val="center"/>
                    <w:rPr>
                      <w:b/>
                      <w:sz w:val="21"/>
                      <w:szCs w:val="21"/>
                      <w:lang w:eastAsia="zh-CN"/>
                    </w:rPr>
                  </w:pPr>
                  <w:r>
                    <w:rPr>
                      <w:rFonts w:hint="eastAsia"/>
                      <w:b/>
                      <w:sz w:val="21"/>
                      <w:szCs w:val="21"/>
                      <w:lang w:eastAsia="zh-CN"/>
                    </w:rPr>
                    <w:t>排放口设置是否符合要求</w:t>
                  </w:r>
                </w:p>
              </w:tc>
              <w:tc>
                <w:tcPr>
                  <w:tcW w:w="189" w:type="pct"/>
                  <w:vMerge w:val="restart"/>
                  <w:tcBorders>
                    <w:left w:val="single" w:color="000000" w:sz="6" w:space="0"/>
                    <w:bottom w:val="single" w:color="000000" w:sz="4" w:space="0"/>
                    <w:right w:val="single" w:color="000000" w:sz="4" w:space="0"/>
                  </w:tcBorders>
                  <w:noWrap w:val="0"/>
                  <w:vAlign w:val="center"/>
                </w:tcPr>
                <w:p w14:paraId="0806ED5F">
                  <w:pPr>
                    <w:pStyle w:val="58"/>
                    <w:adjustRightInd w:val="0"/>
                    <w:snapToGrid w:val="0"/>
                    <w:jc w:val="center"/>
                    <w:rPr>
                      <w:b/>
                      <w:sz w:val="21"/>
                      <w:szCs w:val="21"/>
                    </w:rPr>
                  </w:pPr>
                  <w:r>
                    <w:rPr>
                      <w:rFonts w:hint="eastAsia"/>
                      <w:b/>
                      <w:sz w:val="21"/>
                      <w:szCs w:val="21"/>
                    </w:rPr>
                    <w:t>排放口类型</w:t>
                  </w:r>
                </w:p>
              </w:tc>
              <w:tc>
                <w:tcPr>
                  <w:tcW w:w="96" w:type="pct"/>
                  <w:vMerge w:val="restart"/>
                  <w:tcBorders>
                    <w:left w:val="single" w:color="000000" w:sz="4" w:space="0"/>
                    <w:bottom w:val="single" w:color="000000" w:sz="4" w:space="0"/>
                  </w:tcBorders>
                  <w:noWrap w:val="0"/>
                  <w:vAlign w:val="center"/>
                </w:tcPr>
                <w:p w14:paraId="1DA08684">
                  <w:pPr>
                    <w:pStyle w:val="58"/>
                    <w:adjustRightInd w:val="0"/>
                    <w:snapToGrid w:val="0"/>
                    <w:jc w:val="center"/>
                    <w:rPr>
                      <w:b/>
                      <w:sz w:val="21"/>
                      <w:szCs w:val="21"/>
                    </w:rPr>
                  </w:pPr>
                  <w:r>
                    <w:rPr>
                      <w:rFonts w:hint="eastAsia"/>
                      <w:b/>
                      <w:sz w:val="21"/>
                      <w:szCs w:val="21"/>
                    </w:rPr>
                    <w:t>其他信息</w:t>
                  </w:r>
                </w:p>
              </w:tc>
            </w:tr>
            <w:tr w14:paraId="5BAC91B0">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166" w:hRule="atLeast"/>
              </w:trPr>
              <w:tc>
                <w:tcPr>
                  <w:tcW w:w="114" w:type="pct"/>
                  <w:vMerge w:val="continue"/>
                  <w:tcBorders>
                    <w:top w:val="nil"/>
                    <w:bottom w:val="single" w:color="000000" w:sz="4" w:space="0"/>
                    <w:right w:val="single" w:color="000000" w:sz="4" w:space="0"/>
                  </w:tcBorders>
                  <w:noWrap w:val="0"/>
                  <w:vAlign w:val="center"/>
                </w:tcPr>
                <w:p w14:paraId="08853175">
                  <w:pPr>
                    <w:autoSpaceDE w:val="0"/>
                    <w:autoSpaceDN w:val="0"/>
                    <w:adjustRightInd w:val="0"/>
                    <w:snapToGrid w:val="0"/>
                    <w:jc w:val="center"/>
                    <w:rPr>
                      <w:rFonts w:ascii="宋体" w:hAnsi="宋体"/>
                      <w:szCs w:val="21"/>
                    </w:rPr>
                  </w:pPr>
                </w:p>
              </w:tc>
              <w:tc>
                <w:tcPr>
                  <w:tcW w:w="187" w:type="pct"/>
                  <w:vMerge w:val="continue"/>
                  <w:tcBorders>
                    <w:top w:val="nil"/>
                    <w:left w:val="single" w:color="000000" w:sz="4" w:space="0"/>
                    <w:bottom w:val="single" w:color="000000" w:sz="4" w:space="0"/>
                    <w:right w:val="single" w:color="000000" w:sz="4" w:space="0"/>
                  </w:tcBorders>
                  <w:noWrap w:val="0"/>
                  <w:vAlign w:val="center"/>
                </w:tcPr>
                <w:p w14:paraId="4E4F3A97">
                  <w:pPr>
                    <w:autoSpaceDE w:val="0"/>
                    <w:autoSpaceDN w:val="0"/>
                    <w:adjustRightInd w:val="0"/>
                    <w:snapToGrid w:val="0"/>
                    <w:jc w:val="center"/>
                    <w:rPr>
                      <w:rFonts w:ascii="宋体" w:hAnsi="宋体"/>
                      <w:szCs w:val="21"/>
                    </w:rPr>
                  </w:pPr>
                </w:p>
              </w:tc>
              <w:tc>
                <w:tcPr>
                  <w:tcW w:w="357" w:type="pct"/>
                  <w:vMerge w:val="continue"/>
                  <w:tcBorders>
                    <w:top w:val="nil"/>
                    <w:left w:val="single" w:color="000000" w:sz="4" w:space="0"/>
                    <w:bottom w:val="single" w:color="000000" w:sz="4" w:space="0"/>
                    <w:right w:val="single" w:color="000000" w:sz="4" w:space="0"/>
                  </w:tcBorders>
                  <w:noWrap w:val="0"/>
                  <w:vAlign w:val="center"/>
                </w:tcPr>
                <w:p w14:paraId="79BB3E57">
                  <w:pPr>
                    <w:autoSpaceDE w:val="0"/>
                    <w:autoSpaceDN w:val="0"/>
                    <w:adjustRightInd w:val="0"/>
                    <w:snapToGrid w:val="0"/>
                    <w:jc w:val="center"/>
                    <w:rPr>
                      <w:rFonts w:ascii="宋体" w:hAnsi="宋体"/>
                      <w:szCs w:val="21"/>
                    </w:rPr>
                  </w:pPr>
                </w:p>
              </w:tc>
              <w:tc>
                <w:tcPr>
                  <w:tcW w:w="329" w:type="pct"/>
                  <w:vMerge w:val="continue"/>
                  <w:tcBorders>
                    <w:top w:val="nil"/>
                    <w:left w:val="single" w:color="000000" w:sz="4" w:space="0"/>
                    <w:bottom w:val="single" w:color="000000" w:sz="4" w:space="0"/>
                    <w:right w:val="single" w:color="000000" w:sz="4" w:space="0"/>
                  </w:tcBorders>
                  <w:noWrap w:val="0"/>
                  <w:vAlign w:val="center"/>
                </w:tcPr>
                <w:p w14:paraId="7DE02934">
                  <w:pPr>
                    <w:autoSpaceDE w:val="0"/>
                    <w:autoSpaceDN w:val="0"/>
                    <w:adjustRightInd w:val="0"/>
                    <w:snapToGrid w:val="0"/>
                    <w:jc w:val="center"/>
                    <w:rPr>
                      <w:rFonts w:ascii="宋体" w:hAnsi="宋体"/>
                      <w:szCs w:val="21"/>
                    </w:rPr>
                  </w:pPr>
                </w:p>
              </w:tc>
              <w:tc>
                <w:tcPr>
                  <w:tcW w:w="231" w:type="pct"/>
                  <w:vMerge w:val="continue"/>
                  <w:tcBorders>
                    <w:top w:val="nil"/>
                    <w:left w:val="single" w:color="000000" w:sz="4" w:space="0"/>
                    <w:bottom w:val="single" w:color="000000" w:sz="4" w:space="0"/>
                    <w:right w:val="single" w:color="000000" w:sz="4" w:space="0"/>
                  </w:tcBorders>
                  <w:noWrap w:val="0"/>
                  <w:vAlign w:val="center"/>
                </w:tcPr>
                <w:p w14:paraId="2928D685">
                  <w:pPr>
                    <w:autoSpaceDE w:val="0"/>
                    <w:autoSpaceDN w:val="0"/>
                    <w:adjustRightInd w:val="0"/>
                    <w:snapToGrid w:val="0"/>
                    <w:jc w:val="center"/>
                    <w:rPr>
                      <w:rFonts w:ascii="宋体" w:hAnsi="宋体"/>
                      <w:szCs w:val="21"/>
                    </w:rPr>
                  </w:pPr>
                </w:p>
              </w:tc>
              <w:tc>
                <w:tcPr>
                  <w:tcW w:w="297" w:type="pct"/>
                  <w:vMerge w:val="continue"/>
                  <w:tcBorders>
                    <w:top w:val="nil"/>
                    <w:left w:val="single" w:color="000000" w:sz="4" w:space="0"/>
                    <w:bottom w:val="single" w:color="auto" w:sz="4" w:space="0"/>
                    <w:right w:val="single" w:color="000000" w:sz="6" w:space="0"/>
                  </w:tcBorders>
                  <w:noWrap w:val="0"/>
                  <w:vAlign w:val="center"/>
                </w:tcPr>
                <w:p w14:paraId="6694226C">
                  <w:pPr>
                    <w:autoSpaceDE w:val="0"/>
                    <w:autoSpaceDN w:val="0"/>
                    <w:adjustRightInd w:val="0"/>
                    <w:snapToGrid w:val="0"/>
                    <w:jc w:val="center"/>
                    <w:rPr>
                      <w:rFonts w:ascii="宋体" w:hAnsi="宋体"/>
                      <w:szCs w:val="21"/>
                    </w:rPr>
                  </w:pPr>
                </w:p>
              </w:tc>
              <w:tc>
                <w:tcPr>
                  <w:tcW w:w="211" w:type="pct"/>
                  <w:vMerge w:val="continue"/>
                  <w:tcBorders>
                    <w:top w:val="nil"/>
                    <w:left w:val="single" w:color="000000" w:sz="6" w:space="0"/>
                    <w:bottom w:val="single" w:color="auto" w:sz="4" w:space="0"/>
                    <w:right w:val="single" w:color="000000" w:sz="4" w:space="0"/>
                  </w:tcBorders>
                  <w:noWrap w:val="0"/>
                  <w:vAlign w:val="center"/>
                </w:tcPr>
                <w:p w14:paraId="66C0B0CE">
                  <w:pPr>
                    <w:autoSpaceDE w:val="0"/>
                    <w:autoSpaceDN w:val="0"/>
                    <w:adjustRightInd w:val="0"/>
                    <w:snapToGrid w:val="0"/>
                    <w:jc w:val="center"/>
                    <w:rPr>
                      <w:rFonts w:ascii="宋体" w:hAnsi="宋体"/>
                      <w:szCs w:val="21"/>
                    </w:rPr>
                  </w:pPr>
                </w:p>
              </w:tc>
              <w:tc>
                <w:tcPr>
                  <w:tcW w:w="304" w:type="pct"/>
                  <w:tcBorders>
                    <w:top w:val="single" w:color="000000" w:sz="6" w:space="0"/>
                    <w:left w:val="single" w:color="000000" w:sz="4" w:space="0"/>
                    <w:bottom w:val="single" w:color="auto" w:sz="4" w:space="0"/>
                    <w:right w:val="single" w:color="000000" w:sz="4" w:space="0"/>
                  </w:tcBorders>
                  <w:noWrap w:val="0"/>
                  <w:vAlign w:val="center"/>
                </w:tcPr>
                <w:p w14:paraId="4A757C65">
                  <w:pPr>
                    <w:pStyle w:val="58"/>
                    <w:adjustRightInd w:val="0"/>
                    <w:snapToGrid w:val="0"/>
                    <w:jc w:val="center"/>
                    <w:rPr>
                      <w:b/>
                      <w:sz w:val="21"/>
                      <w:szCs w:val="21"/>
                    </w:rPr>
                  </w:pPr>
                  <w:r>
                    <w:rPr>
                      <w:rFonts w:hint="eastAsia"/>
                      <w:b/>
                      <w:sz w:val="21"/>
                      <w:szCs w:val="21"/>
                    </w:rPr>
                    <w:t>污染治理设施编号</w:t>
                  </w:r>
                </w:p>
              </w:tc>
              <w:tc>
                <w:tcPr>
                  <w:tcW w:w="418" w:type="pct"/>
                  <w:tcBorders>
                    <w:top w:val="single" w:color="000000" w:sz="6" w:space="0"/>
                    <w:left w:val="single" w:color="000000" w:sz="4" w:space="0"/>
                    <w:bottom w:val="single" w:color="auto" w:sz="4" w:space="0"/>
                    <w:right w:val="single" w:color="000000" w:sz="4" w:space="0"/>
                  </w:tcBorders>
                  <w:noWrap w:val="0"/>
                  <w:vAlign w:val="center"/>
                </w:tcPr>
                <w:p w14:paraId="4A429521">
                  <w:pPr>
                    <w:pStyle w:val="58"/>
                    <w:adjustRightInd w:val="0"/>
                    <w:snapToGrid w:val="0"/>
                    <w:jc w:val="center"/>
                    <w:rPr>
                      <w:b/>
                      <w:sz w:val="21"/>
                      <w:szCs w:val="21"/>
                    </w:rPr>
                  </w:pPr>
                  <w:r>
                    <w:rPr>
                      <w:rFonts w:hint="eastAsia"/>
                      <w:b/>
                      <w:sz w:val="21"/>
                      <w:szCs w:val="21"/>
                    </w:rPr>
                    <w:t>污染治理设施名称</w:t>
                  </w:r>
                </w:p>
              </w:tc>
              <w:tc>
                <w:tcPr>
                  <w:tcW w:w="331" w:type="pct"/>
                  <w:tcBorders>
                    <w:top w:val="single" w:color="000000" w:sz="6" w:space="0"/>
                    <w:left w:val="single" w:color="000000" w:sz="4" w:space="0"/>
                    <w:bottom w:val="single" w:color="auto" w:sz="4" w:space="0"/>
                    <w:right w:val="single" w:color="000000" w:sz="6" w:space="0"/>
                  </w:tcBorders>
                  <w:noWrap w:val="0"/>
                  <w:vAlign w:val="center"/>
                </w:tcPr>
                <w:p w14:paraId="0FA180E3">
                  <w:pPr>
                    <w:pStyle w:val="58"/>
                    <w:adjustRightInd w:val="0"/>
                    <w:snapToGrid w:val="0"/>
                    <w:jc w:val="center"/>
                    <w:rPr>
                      <w:b/>
                      <w:sz w:val="21"/>
                      <w:szCs w:val="21"/>
                    </w:rPr>
                  </w:pPr>
                  <w:r>
                    <w:rPr>
                      <w:rFonts w:hint="eastAsia"/>
                      <w:b/>
                      <w:sz w:val="21"/>
                      <w:szCs w:val="21"/>
                    </w:rPr>
                    <w:t>污染治理设施工艺</w:t>
                  </w:r>
                </w:p>
              </w:tc>
              <w:tc>
                <w:tcPr>
                  <w:tcW w:w="175" w:type="pct"/>
                  <w:tcBorders>
                    <w:top w:val="single" w:color="000000" w:sz="6" w:space="0"/>
                    <w:left w:val="single" w:color="000000" w:sz="6" w:space="0"/>
                    <w:bottom w:val="single" w:color="auto" w:sz="4" w:space="0"/>
                    <w:right w:val="single" w:color="000000" w:sz="6" w:space="0"/>
                  </w:tcBorders>
                  <w:noWrap w:val="0"/>
                  <w:vAlign w:val="center"/>
                </w:tcPr>
                <w:p w14:paraId="5F20EA03">
                  <w:pPr>
                    <w:pStyle w:val="58"/>
                    <w:adjustRightInd w:val="0"/>
                    <w:snapToGrid w:val="0"/>
                    <w:jc w:val="center"/>
                    <w:rPr>
                      <w:b/>
                      <w:sz w:val="21"/>
                      <w:szCs w:val="21"/>
                    </w:rPr>
                  </w:pPr>
                  <w:r>
                    <w:rPr>
                      <w:rFonts w:hint="eastAsia"/>
                      <w:b/>
                      <w:sz w:val="21"/>
                      <w:szCs w:val="21"/>
                    </w:rPr>
                    <w:t>参数名称</w:t>
                  </w:r>
                </w:p>
              </w:tc>
              <w:tc>
                <w:tcPr>
                  <w:tcW w:w="239" w:type="pct"/>
                  <w:tcBorders>
                    <w:top w:val="single" w:color="000000" w:sz="6" w:space="0"/>
                    <w:left w:val="single" w:color="000000" w:sz="6" w:space="0"/>
                    <w:bottom w:val="single" w:color="auto" w:sz="4" w:space="0"/>
                    <w:right w:val="single" w:color="000000" w:sz="6" w:space="0"/>
                  </w:tcBorders>
                  <w:noWrap w:val="0"/>
                  <w:vAlign w:val="center"/>
                </w:tcPr>
                <w:p w14:paraId="1D0ADCE1">
                  <w:pPr>
                    <w:pStyle w:val="58"/>
                    <w:adjustRightInd w:val="0"/>
                    <w:snapToGrid w:val="0"/>
                    <w:jc w:val="center"/>
                    <w:rPr>
                      <w:b/>
                      <w:sz w:val="21"/>
                      <w:szCs w:val="21"/>
                    </w:rPr>
                  </w:pPr>
                  <w:r>
                    <w:rPr>
                      <w:rFonts w:hint="eastAsia"/>
                      <w:b/>
                      <w:sz w:val="21"/>
                      <w:szCs w:val="21"/>
                    </w:rPr>
                    <w:t>设计值</w:t>
                  </w:r>
                </w:p>
              </w:tc>
              <w:tc>
                <w:tcPr>
                  <w:tcW w:w="169" w:type="pct"/>
                  <w:tcBorders>
                    <w:top w:val="single" w:color="000000" w:sz="6" w:space="0"/>
                    <w:left w:val="single" w:color="000000" w:sz="6" w:space="0"/>
                    <w:bottom w:val="single" w:color="auto" w:sz="4" w:space="0"/>
                    <w:right w:val="single" w:color="000000" w:sz="6" w:space="0"/>
                  </w:tcBorders>
                  <w:noWrap w:val="0"/>
                  <w:vAlign w:val="center"/>
                </w:tcPr>
                <w:p w14:paraId="1415BB4D">
                  <w:pPr>
                    <w:pStyle w:val="58"/>
                    <w:adjustRightInd w:val="0"/>
                    <w:snapToGrid w:val="0"/>
                    <w:jc w:val="center"/>
                    <w:rPr>
                      <w:b/>
                      <w:sz w:val="21"/>
                      <w:szCs w:val="21"/>
                    </w:rPr>
                  </w:pPr>
                  <w:r>
                    <w:rPr>
                      <w:rFonts w:hint="eastAsia"/>
                      <w:b/>
                      <w:sz w:val="21"/>
                      <w:szCs w:val="21"/>
                    </w:rPr>
                    <w:t>计量单位</w:t>
                  </w:r>
                </w:p>
              </w:tc>
              <w:tc>
                <w:tcPr>
                  <w:tcW w:w="221" w:type="pct"/>
                  <w:tcBorders>
                    <w:top w:val="single" w:color="000000" w:sz="6" w:space="0"/>
                    <w:left w:val="single" w:color="000000" w:sz="6" w:space="0"/>
                    <w:bottom w:val="single" w:color="auto" w:sz="4" w:space="0"/>
                    <w:right w:val="single" w:color="000000" w:sz="6" w:space="0"/>
                  </w:tcBorders>
                  <w:noWrap w:val="0"/>
                  <w:vAlign w:val="center"/>
                </w:tcPr>
                <w:p w14:paraId="77103CDF">
                  <w:pPr>
                    <w:pStyle w:val="58"/>
                    <w:adjustRightInd w:val="0"/>
                    <w:snapToGrid w:val="0"/>
                    <w:jc w:val="center"/>
                    <w:rPr>
                      <w:b/>
                      <w:sz w:val="21"/>
                      <w:szCs w:val="21"/>
                      <w:lang w:eastAsia="zh-CN"/>
                    </w:rPr>
                  </w:pPr>
                  <w:r>
                    <w:rPr>
                      <w:rFonts w:hint="eastAsia"/>
                      <w:b/>
                      <w:sz w:val="21"/>
                      <w:szCs w:val="21"/>
                      <w:lang w:eastAsia="zh-CN"/>
                    </w:rPr>
                    <w:t>其他污染治理设施参数信息</w:t>
                  </w:r>
                </w:p>
              </w:tc>
              <w:tc>
                <w:tcPr>
                  <w:tcW w:w="162" w:type="pct"/>
                  <w:tcBorders>
                    <w:top w:val="single" w:color="000000" w:sz="6" w:space="0"/>
                    <w:left w:val="single" w:color="000000" w:sz="6" w:space="0"/>
                    <w:bottom w:val="single" w:color="auto" w:sz="4" w:space="0"/>
                    <w:right w:val="single" w:color="000000" w:sz="6" w:space="0"/>
                  </w:tcBorders>
                  <w:noWrap w:val="0"/>
                  <w:vAlign w:val="center"/>
                </w:tcPr>
                <w:p w14:paraId="011F99DB">
                  <w:pPr>
                    <w:pStyle w:val="58"/>
                    <w:adjustRightInd w:val="0"/>
                    <w:snapToGrid w:val="0"/>
                    <w:jc w:val="center"/>
                    <w:rPr>
                      <w:b/>
                      <w:sz w:val="21"/>
                      <w:szCs w:val="21"/>
                    </w:rPr>
                  </w:pPr>
                  <w:r>
                    <w:rPr>
                      <w:rFonts w:hint="eastAsia"/>
                      <w:b/>
                      <w:sz w:val="21"/>
                      <w:szCs w:val="21"/>
                    </w:rPr>
                    <w:t>是否为可行技术</w:t>
                  </w:r>
                </w:p>
              </w:tc>
              <w:tc>
                <w:tcPr>
                  <w:tcW w:w="246" w:type="pct"/>
                  <w:tcBorders>
                    <w:top w:val="single" w:color="000000" w:sz="6" w:space="0"/>
                    <w:left w:val="single" w:color="000000" w:sz="6" w:space="0"/>
                    <w:bottom w:val="single" w:color="auto" w:sz="4" w:space="0"/>
                    <w:right w:val="single" w:color="000000" w:sz="4" w:space="0"/>
                  </w:tcBorders>
                  <w:noWrap w:val="0"/>
                  <w:vAlign w:val="center"/>
                </w:tcPr>
                <w:p w14:paraId="0E8AE7D5">
                  <w:pPr>
                    <w:pStyle w:val="58"/>
                    <w:adjustRightInd w:val="0"/>
                    <w:snapToGrid w:val="0"/>
                    <w:jc w:val="center"/>
                    <w:rPr>
                      <w:b/>
                      <w:sz w:val="21"/>
                      <w:szCs w:val="21"/>
                      <w:lang w:eastAsia="zh-CN"/>
                    </w:rPr>
                  </w:pPr>
                  <w:r>
                    <w:rPr>
                      <w:rFonts w:hint="eastAsia"/>
                      <w:b/>
                      <w:sz w:val="21"/>
                      <w:szCs w:val="21"/>
                      <w:lang w:eastAsia="zh-CN"/>
                    </w:rPr>
                    <w:t>污染治理设施其他信息</w:t>
                  </w:r>
                </w:p>
              </w:tc>
              <w:tc>
                <w:tcPr>
                  <w:tcW w:w="234" w:type="pct"/>
                  <w:vMerge w:val="continue"/>
                  <w:tcBorders>
                    <w:top w:val="nil"/>
                    <w:left w:val="single" w:color="000000" w:sz="4" w:space="0"/>
                    <w:bottom w:val="single" w:color="auto" w:sz="4" w:space="0"/>
                    <w:right w:val="single" w:color="000000" w:sz="6" w:space="0"/>
                  </w:tcBorders>
                  <w:noWrap w:val="0"/>
                  <w:vAlign w:val="center"/>
                </w:tcPr>
                <w:p w14:paraId="3DBDD6BA">
                  <w:pPr>
                    <w:autoSpaceDE w:val="0"/>
                    <w:autoSpaceDN w:val="0"/>
                    <w:adjustRightInd w:val="0"/>
                    <w:snapToGrid w:val="0"/>
                    <w:jc w:val="center"/>
                    <w:rPr>
                      <w:rFonts w:ascii="宋体" w:hAnsi="宋体"/>
                      <w:szCs w:val="21"/>
                    </w:rPr>
                  </w:pPr>
                </w:p>
              </w:tc>
              <w:tc>
                <w:tcPr>
                  <w:tcW w:w="253" w:type="pct"/>
                  <w:vMerge w:val="continue"/>
                  <w:tcBorders>
                    <w:top w:val="nil"/>
                    <w:left w:val="single" w:color="000000" w:sz="6" w:space="0"/>
                    <w:bottom w:val="single" w:color="auto" w:sz="4" w:space="0"/>
                    <w:right w:val="single" w:color="000000" w:sz="6" w:space="0"/>
                  </w:tcBorders>
                  <w:noWrap w:val="0"/>
                  <w:vAlign w:val="center"/>
                </w:tcPr>
                <w:p w14:paraId="7763AAC0">
                  <w:pPr>
                    <w:autoSpaceDE w:val="0"/>
                    <w:autoSpaceDN w:val="0"/>
                    <w:adjustRightInd w:val="0"/>
                    <w:snapToGrid w:val="0"/>
                    <w:jc w:val="center"/>
                    <w:rPr>
                      <w:rFonts w:ascii="宋体" w:hAnsi="宋体"/>
                      <w:szCs w:val="21"/>
                    </w:rPr>
                  </w:pPr>
                </w:p>
              </w:tc>
              <w:tc>
                <w:tcPr>
                  <w:tcW w:w="228" w:type="pct"/>
                  <w:vMerge w:val="continue"/>
                  <w:tcBorders>
                    <w:top w:val="nil"/>
                    <w:left w:val="single" w:color="000000" w:sz="6" w:space="0"/>
                    <w:bottom w:val="single" w:color="auto" w:sz="4" w:space="0"/>
                    <w:right w:val="single" w:color="000000" w:sz="6" w:space="0"/>
                  </w:tcBorders>
                  <w:noWrap w:val="0"/>
                  <w:vAlign w:val="center"/>
                </w:tcPr>
                <w:p w14:paraId="03D513FE">
                  <w:pPr>
                    <w:autoSpaceDE w:val="0"/>
                    <w:autoSpaceDN w:val="0"/>
                    <w:adjustRightInd w:val="0"/>
                    <w:snapToGrid w:val="0"/>
                    <w:jc w:val="center"/>
                    <w:rPr>
                      <w:rFonts w:ascii="宋体" w:hAnsi="宋体"/>
                      <w:szCs w:val="21"/>
                    </w:rPr>
                  </w:pPr>
                </w:p>
              </w:tc>
              <w:tc>
                <w:tcPr>
                  <w:tcW w:w="189" w:type="pct"/>
                  <w:vMerge w:val="continue"/>
                  <w:tcBorders>
                    <w:top w:val="nil"/>
                    <w:left w:val="single" w:color="000000" w:sz="6" w:space="0"/>
                    <w:bottom w:val="single" w:color="auto" w:sz="4" w:space="0"/>
                    <w:right w:val="single" w:color="000000" w:sz="4" w:space="0"/>
                  </w:tcBorders>
                  <w:noWrap w:val="0"/>
                  <w:vAlign w:val="center"/>
                </w:tcPr>
                <w:p w14:paraId="731AAF0D">
                  <w:pPr>
                    <w:autoSpaceDE w:val="0"/>
                    <w:autoSpaceDN w:val="0"/>
                    <w:adjustRightInd w:val="0"/>
                    <w:snapToGrid w:val="0"/>
                    <w:jc w:val="center"/>
                    <w:rPr>
                      <w:rFonts w:ascii="宋体" w:hAnsi="宋体"/>
                      <w:szCs w:val="21"/>
                    </w:rPr>
                  </w:pPr>
                </w:p>
              </w:tc>
              <w:tc>
                <w:tcPr>
                  <w:tcW w:w="96" w:type="pct"/>
                  <w:vMerge w:val="continue"/>
                  <w:tcBorders>
                    <w:top w:val="nil"/>
                    <w:left w:val="single" w:color="000000" w:sz="4" w:space="0"/>
                    <w:bottom w:val="single" w:color="auto" w:sz="4" w:space="0"/>
                  </w:tcBorders>
                  <w:noWrap w:val="0"/>
                  <w:vAlign w:val="center"/>
                </w:tcPr>
                <w:p w14:paraId="40E5DFA4">
                  <w:pPr>
                    <w:autoSpaceDE w:val="0"/>
                    <w:autoSpaceDN w:val="0"/>
                    <w:adjustRightInd w:val="0"/>
                    <w:snapToGrid w:val="0"/>
                    <w:jc w:val="center"/>
                    <w:rPr>
                      <w:rFonts w:ascii="宋体" w:hAnsi="宋体"/>
                      <w:szCs w:val="21"/>
                    </w:rPr>
                  </w:pPr>
                </w:p>
              </w:tc>
            </w:tr>
            <w:tr w14:paraId="4AB6FF71">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90" w:hRule="atLeast"/>
              </w:trPr>
              <w:tc>
                <w:tcPr>
                  <w:tcW w:w="114" w:type="pct"/>
                  <w:vMerge w:val="restart"/>
                  <w:tcBorders>
                    <w:top w:val="single" w:color="000000" w:sz="4" w:space="0"/>
                    <w:right w:val="single" w:color="000000" w:sz="4" w:space="0"/>
                  </w:tcBorders>
                  <w:noWrap w:val="0"/>
                  <w:vAlign w:val="center"/>
                </w:tcPr>
                <w:p w14:paraId="7BEB3A4D">
                  <w:pPr>
                    <w:pStyle w:val="58"/>
                    <w:adjustRightInd w:val="0"/>
                    <w:snapToGrid w:val="0"/>
                    <w:jc w:val="center"/>
                    <w:rPr>
                      <w:sz w:val="21"/>
                      <w:szCs w:val="21"/>
                      <w:lang w:eastAsia="zh-CN"/>
                    </w:rPr>
                  </w:pPr>
                  <w:r>
                    <w:rPr>
                      <w:rFonts w:hint="eastAsia"/>
                      <w:sz w:val="21"/>
                      <w:szCs w:val="21"/>
                      <w:lang w:eastAsia="zh-CN"/>
                    </w:rPr>
                    <w:t>1</w:t>
                  </w:r>
                </w:p>
              </w:tc>
              <w:tc>
                <w:tcPr>
                  <w:tcW w:w="187" w:type="pct"/>
                  <w:vMerge w:val="restart"/>
                  <w:tcBorders>
                    <w:top w:val="single" w:color="000000" w:sz="4" w:space="0"/>
                    <w:left w:val="single" w:color="000000" w:sz="4" w:space="0"/>
                    <w:right w:val="single" w:color="000000" w:sz="4" w:space="0"/>
                  </w:tcBorders>
                  <w:noWrap w:val="0"/>
                  <w:vAlign w:val="center"/>
                </w:tcPr>
                <w:p w14:paraId="521BFEE6">
                  <w:pPr>
                    <w:pStyle w:val="58"/>
                    <w:adjustRightInd w:val="0"/>
                    <w:snapToGrid w:val="0"/>
                    <w:jc w:val="center"/>
                    <w:rPr>
                      <w:sz w:val="21"/>
                      <w:szCs w:val="21"/>
                      <w:lang w:eastAsia="zh-CN"/>
                    </w:rPr>
                  </w:pPr>
                  <w:r>
                    <w:rPr>
                      <w:rFonts w:hint="eastAsia"/>
                      <w:sz w:val="21"/>
                      <w:szCs w:val="21"/>
                      <w:lang w:val="en-US" w:eastAsia="zh-CN"/>
                    </w:rPr>
                    <w:t>拆解预</w:t>
                  </w:r>
                  <w:r>
                    <w:rPr>
                      <w:rFonts w:hint="eastAsia"/>
                      <w:sz w:val="21"/>
                      <w:szCs w:val="21"/>
                      <w:lang w:eastAsia="zh-CN"/>
                    </w:rPr>
                    <w:t>单元</w:t>
                  </w:r>
                </w:p>
              </w:tc>
              <w:tc>
                <w:tcPr>
                  <w:tcW w:w="357" w:type="pct"/>
                  <w:tcBorders>
                    <w:top w:val="single" w:color="000000" w:sz="4" w:space="0"/>
                    <w:left w:val="single" w:color="000000" w:sz="4" w:space="0"/>
                    <w:bottom w:val="single" w:color="000000" w:sz="4" w:space="0"/>
                    <w:right w:val="single" w:color="000000" w:sz="4" w:space="0"/>
                  </w:tcBorders>
                  <w:noWrap w:val="0"/>
                  <w:vAlign w:val="center"/>
                </w:tcPr>
                <w:p w14:paraId="3BABDEF0">
                  <w:pPr>
                    <w:pStyle w:val="58"/>
                    <w:adjustRightInd w:val="0"/>
                    <w:snapToGrid w:val="0"/>
                    <w:jc w:val="center"/>
                    <w:rPr>
                      <w:rFonts w:hint="default"/>
                      <w:sz w:val="21"/>
                      <w:szCs w:val="21"/>
                      <w:lang w:val="en-US" w:eastAsia="zh-CN"/>
                    </w:rPr>
                  </w:pPr>
                  <w:r>
                    <w:rPr>
                      <w:rFonts w:hint="eastAsia"/>
                      <w:sz w:val="21"/>
                      <w:szCs w:val="21"/>
                      <w:lang w:val="en-US" w:eastAsia="zh-CN"/>
                    </w:rPr>
                    <w:t>MF0001</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2751C4C3">
                  <w:pPr>
                    <w:pStyle w:val="58"/>
                    <w:adjustRightInd w:val="0"/>
                    <w:snapToGrid w:val="0"/>
                    <w:jc w:val="center"/>
                    <w:rPr>
                      <w:rFonts w:hint="default"/>
                      <w:sz w:val="21"/>
                      <w:szCs w:val="21"/>
                      <w:lang w:val="en-US" w:eastAsia="zh-CN"/>
                    </w:rPr>
                  </w:pPr>
                  <w:r>
                    <w:rPr>
                      <w:rFonts w:hint="eastAsia"/>
                      <w:sz w:val="21"/>
                      <w:szCs w:val="21"/>
                      <w:lang w:val="en-US" w:eastAsia="zh-CN"/>
                    </w:rPr>
                    <w:t>小车集尘式油液抽排系统</w:t>
                  </w:r>
                </w:p>
              </w:tc>
              <w:tc>
                <w:tcPr>
                  <w:tcW w:w="231" w:type="pct"/>
                  <w:vMerge w:val="restart"/>
                  <w:tcBorders>
                    <w:top w:val="single" w:color="000000" w:sz="4" w:space="0"/>
                    <w:left w:val="single" w:color="000000" w:sz="4" w:space="0"/>
                    <w:right w:val="single" w:color="auto" w:sz="4" w:space="0"/>
                  </w:tcBorders>
                  <w:noWrap w:val="0"/>
                  <w:vAlign w:val="center"/>
                </w:tcPr>
                <w:p w14:paraId="54155B69">
                  <w:pPr>
                    <w:pStyle w:val="58"/>
                    <w:adjustRightInd w:val="0"/>
                    <w:snapToGrid w:val="0"/>
                    <w:jc w:val="center"/>
                    <w:rPr>
                      <w:rFonts w:hint="default"/>
                      <w:sz w:val="21"/>
                      <w:szCs w:val="21"/>
                      <w:lang w:val="en-US" w:eastAsia="zh-CN"/>
                    </w:rPr>
                  </w:pPr>
                  <w:r>
                    <w:rPr>
                      <w:rFonts w:hint="eastAsia"/>
                      <w:sz w:val="21"/>
                      <w:szCs w:val="21"/>
                      <w:lang w:val="en-US" w:eastAsia="zh-CN"/>
                    </w:rPr>
                    <w:t>废油抽取</w:t>
                  </w:r>
                </w:p>
              </w:tc>
              <w:tc>
                <w:tcPr>
                  <w:tcW w:w="297" w:type="pct"/>
                  <w:vMerge w:val="restart"/>
                  <w:tcBorders>
                    <w:top w:val="single" w:color="auto" w:sz="4" w:space="0"/>
                    <w:left w:val="single" w:color="auto" w:sz="4" w:space="0"/>
                    <w:bottom w:val="single" w:color="auto" w:sz="4" w:space="0"/>
                    <w:right w:val="single" w:color="auto" w:sz="4" w:space="0"/>
                  </w:tcBorders>
                  <w:noWrap w:val="0"/>
                  <w:vAlign w:val="center"/>
                </w:tcPr>
                <w:p w14:paraId="18F68523">
                  <w:pPr>
                    <w:pStyle w:val="58"/>
                    <w:adjustRightInd w:val="0"/>
                    <w:snapToGrid w:val="0"/>
                    <w:jc w:val="center"/>
                    <w:rPr>
                      <w:rFonts w:hint="default"/>
                      <w:sz w:val="21"/>
                      <w:szCs w:val="21"/>
                      <w:lang w:val="en-US" w:eastAsia="zh-CN"/>
                    </w:rPr>
                  </w:pPr>
                  <w:r>
                    <w:rPr>
                      <w:rFonts w:hint="eastAsia"/>
                      <w:sz w:val="21"/>
                      <w:szCs w:val="21"/>
                      <w:lang w:val="en-US" w:eastAsia="zh-CN"/>
                    </w:rPr>
                    <w:t>非甲烷总烃</w:t>
                  </w:r>
                </w:p>
              </w:tc>
              <w:tc>
                <w:tcPr>
                  <w:tcW w:w="211" w:type="pct"/>
                  <w:vMerge w:val="restart"/>
                  <w:tcBorders>
                    <w:top w:val="single" w:color="auto" w:sz="4" w:space="0"/>
                    <w:left w:val="single" w:color="auto" w:sz="4" w:space="0"/>
                    <w:bottom w:val="single" w:color="auto" w:sz="4" w:space="0"/>
                    <w:right w:val="single" w:color="auto" w:sz="4" w:space="0"/>
                  </w:tcBorders>
                  <w:noWrap w:val="0"/>
                  <w:vAlign w:val="center"/>
                </w:tcPr>
                <w:p w14:paraId="42B18E43">
                  <w:pPr>
                    <w:pStyle w:val="58"/>
                    <w:adjustRightInd w:val="0"/>
                    <w:snapToGrid w:val="0"/>
                    <w:jc w:val="center"/>
                    <w:rPr>
                      <w:sz w:val="21"/>
                      <w:szCs w:val="21"/>
                      <w:lang w:eastAsia="zh-CN"/>
                    </w:rPr>
                  </w:pPr>
                  <w:r>
                    <w:rPr>
                      <w:rFonts w:hint="eastAsia"/>
                      <w:sz w:val="21"/>
                      <w:szCs w:val="21"/>
                      <w:lang w:val="en-US" w:eastAsia="zh-CN"/>
                    </w:rPr>
                    <w:t>有</w:t>
                  </w:r>
                  <w:r>
                    <w:rPr>
                      <w:rFonts w:hint="eastAsia"/>
                      <w:sz w:val="21"/>
                      <w:szCs w:val="21"/>
                      <w:lang w:eastAsia="zh-CN"/>
                    </w:rPr>
                    <w:t>组织</w:t>
                  </w:r>
                </w:p>
              </w:tc>
              <w:tc>
                <w:tcPr>
                  <w:tcW w:w="304" w:type="pct"/>
                  <w:vMerge w:val="restart"/>
                  <w:tcBorders>
                    <w:top w:val="single" w:color="auto" w:sz="4" w:space="0"/>
                    <w:left w:val="single" w:color="auto" w:sz="4" w:space="0"/>
                    <w:bottom w:val="single" w:color="auto" w:sz="4" w:space="0"/>
                    <w:right w:val="single" w:color="auto" w:sz="4" w:space="0"/>
                  </w:tcBorders>
                  <w:noWrap w:val="0"/>
                  <w:vAlign w:val="center"/>
                </w:tcPr>
                <w:p w14:paraId="1F3F02B6">
                  <w:pPr>
                    <w:pStyle w:val="58"/>
                    <w:adjustRightInd w:val="0"/>
                    <w:snapToGrid w:val="0"/>
                    <w:jc w:val="center"/>
                    <w:rPr>
                      <w:rFonts w:hint="default"/>
                      <w:sz w:val="21"/>
                      <w:szCs w:val="21"/>
                      <w:lang w:val="en-US" w:eastAsia="zh-CN"/>
                    </w:rPr>
                  </w:pPr>
                  <w:r>
                    <w:rPr>
                      <w:rFonts w:hint="eastAsia"/>
                      <w:sz w:val="21"/>
                      <w:szCs w:val="21"/>
                      <w:lang w:val="en-US" w:eastAsia="zh-CN"/>
                    </w:rPr>
                    <w:t>TA001</w:t>
                  </w:r>
                </w:p>
              </w:tc>
              <w:tc>
                <w:tcPr>
                  <w:tcW w:w="418" w:type="pct"/>
                  <w:vMerge w:val="restart"/>
                  <w:tcBorders>
                    <w:top w:val="single" w:color="auto" w:sz="4" w:space="0"/>
                    <w:left w:val="single" w:color="auto" w:sz="4" w:space="0"/>
                    <w:bottom w:val="single" w:color="auto" w:sz="4" w:space="0"/>
                    <w:right w:val="single" w:color="auto" w:sz="4" w:space="0"/>
                  </w:tcBorders>
                  <w:noWrap w:val="0"/>
                  <w:vAlign w:val="center"/>
                </w:tcPr>
                <w:p w14:paraId="1D0FE97D">
                  <w:pPr>
                    <w:pStyle w:val="58"/>
                    <w:adjustRightInd w:val="0"/>
                    <w:snapToGrid w:val="0"/>
                    <w:jc w:val="center"/>
                    <w:rPr>
                      <w:rFonts w:hint="default"/>
                      <w:sz w:val="21"/>
                      <w:szCs w:val="21"/>
                      <w:lang w:val="en-US" w:eastAsia="zh-CN"/>
                    </w:rPr>
                  </w:pPr>
                  <w:r>
                    <w:rPr>
                      <w:rFonts w:hint="eastAsia"/>
                      <w:sz w:val="21"/>
                      <w:szCs w:val="21"/>
                      <w:lang w:val="en-US" w:eastAsia="zh-CN"/>
                    </w:rPr>
                    <w:t>二级活性炭吸附装置</w:t>
                  </w:r>
                </w:p>
              </w:tc>
              <w:tc>
                <w:tcPr>
                  <w:tcW w:w="331" w:type="pct"/>
                  <w:vMerge w:val="restart"/>
                  <w:tcBorders>
                    <w:top w:val="single" w:color="auto" w:sz="4" w:space="0"/>
                    <w:left w:val="single" w:color="auto" w:sz="4" w:space="0"/>
                    <w:bottom w:val="single" w:color="auto" w:sz="4" w:space="0"/>
                    <w:right w:val="single" w:color="auto" w:sz="4" w:space="0"/>
                  </w:tcBorders>
                  <w:noWrap w:val="0"/>
                  <w:vAlign w:val="center"/>
                </w:tcPr>
                <w:p w14:paraId="1A6A21E6">
                  <w:pPr>
                    <w:pStyle w:val="58"/>
                    <w:adjustRightInd w:val="0"/>
                    <w:snapToGrid w:val="0"/>
                    <w:jc w:val="center"/>
                    <w:rPr>
                      <w:rFonts w:hint="default"/>
                      <w:sz w:val="21"/>
                      <w:szCs w:val="21"/>
                      <w:lang w:val="en-US" w:eastAsia="zh-CN"/>
                    </w:rPr>
                  </w:pPr>
                  <w:r>
                    <w:rPr>
                      <w:rFonts w:hint="eastAsia"/>
                      <w:sz w:val="21"/>
                      <w:szCs w:val="21"/>
                      <w:lang w:val="en-US" w:eastAsia="zh-CN"/>
                    </w:rPr>
                    <w:t>吸附法</w:t>
                  </w:r>
                </w:p>
              </w:tc>
              <w:tc>
                <w:tcPr>
                  <w:tcW w:w="175" w:type="pct"/>
                  <w:vMerge w:val="restart"/>
                  <w:tcBorders>
                    <w:top w:val="single" w:color="auto" w:sz="4" w:space="0"/>
                    <w:left w:val="single" w:color="auto" w:sz="4" w:space="0"/>
                    <w:bottom w:val="single" w:color="auto" w:sz="4" w:space="0"/>
                    <w:right w:val="single" w:color="auto" w:sz="4" w:space="0"/>
                  </w:tcBorders>
                  <w:noWrap w:val="0"/>
                  <w:vAlign w:val="center"/>
                </w:tcPr>
                <w:p w14:paraId="0395FC65">
                  <w:pPr>
                    <w:pStyle w:val="58"/>
                    <w:adjustRightInd w:val="0"/>
                    <w:snapToGrid w:val="0"/>
                    <w:jc w:val="center"/>
                    <w:rPr>
                      <w:rFonts w:hint="default"/>
                      <w:sz w:val="21"/>
                      <w:szCs w:val="21"/>
                      <w:lang w:val="en-US" w:eastAsia="zh-CN"/>
                    </w:rPr>
                  </w:pPr>
                  <w:r>
                    <w:rPr>
                      <w:rFonts w:hint="eastAsia"/>
                      <w:sz w:val="21"/>
                      <w:szCs w:val="21"/>
                      <w:lang w:val="en-US" w:eastAsia="zh-CN"/>
                    </w:rPr>
                    <w:t>风量</w:t>
                  </w:r>
                </w:p>
              </w:tc>
              <w:tc>
                <w:tcPr>
                  <w:tcW w:w="239" w:type="pct"/>
                  <w:vMerge w:val="restart"/>
                  <w:tcBorders>
                    <w:top w:val="single" w:color="auto" w:sz="4" w:space="0"/>
                    <w:left w:val="single" w:color="auto" w:sz="4" w:space="0"/>
                    <w:bottom w:val="single" w:color="auto" w:sz="4" w:space="0"/>
                    <w:right w:val="single" w:color="auto" w:sz="4" w:space="0"/>
                  </w:tcBorders>
                  <w:noWrap w:val="0"/>
                  <w:vAlign w:val="center"/>
                </w:tcPr>
                <w:p w14:paraId="75C33847">
                  <w:pPr>
                    <w:pStyle w:val="58"/>
                    <w:adjustRightInd w:val="0"/>
                    <w:snapToGrid w:val="0"/>
                    <w:jc w:val="center"/>
                    <w:rPr>
                      <w:rFonts w:hint="default"/>
                      <w:sz w:val="21"/>
                      <w:szCs w:val="21"/>
                      <w:lang w:val="en-US" w:eastAsia="zh-CN"/>
                    </w:rPr>
                  </w:pPr>
                  <w:r>
                    <w:rPr>
                      <w:rFonts w:hint="eastAsia"/>
                      <w:sz w:val="21"/>
                      <w:szCs w:val="21"/>
                      <w:lang w:val="en-US" w:eastAsia="zh-CN"/>
                    </w:rPr>
                    <w:t>7000</w:t>
                  </w:r>
                </w:p>
              </w:tc>
              <w:tc>
                <w:tcPr>
                  <w:tcW w:w="169" w:type="pct"/>
                  <w:vMerge w:val="restart"/>
                  <w:tcBorders>
                    <w:top w:val="single" w:color="auto" w:sz="4" w:space="0"/>
                    <w:left w:val="single" w:color="auto" w:sz="4" w:space="0"/>
                    <w:bottom w:val="single" w:color="auto" w:sz="4" w:space="0"/>
                    <w:right w:val="single" w:color="auto" w:sz="4" w:space="0"/>
                  </w:tcBorders>
                  <w:noWrap w:val="0"/>
                  <w:vAlign w:val="center"/>
                </w:tcPr>
                <w:p w14:paraId="56E106CE">
                  <w:pPr>
                    <w:pStyle w:val="58"/>
                    <w:adjustRightInd w:val="0"/>
                    <w:snapToGrid w:val="0"/>
                    <w:jc w:val="center"/>
                    <w:rPr>
                      <w:rFonts w:hint="default"/>
                      <w:sz w:val="21"/>
                      <w:szCs w:val="21"/>
                      <w:lang w:val="en-US" w:eastAsia="zh-CN"/>
                    </w:rPr>
                  </w:pPr>
                  <w:r>
                    <w:rPr>
                      <w:rFonts w:hint="eastAsia"/>
                      <w:sz w:val="21"/>
                      <w:szCs w:val="21"/>
                      <w:lang w:eastAsia="zh-CN"/>
                    </w:rPr>
                    <w:t>m</w:t>
                  </w:r>
                  <w:r>
                    <w:rPr>
                      <w:rFonts w:hint="eastAsia"/>
                      <w:sz w:val="21"/>
                      <w:szCs w:val="21"/>
                      <w:vertAlign w:val="superscript"/>
                      <w:lang w:eastAsia="zh-CN"/>
                    </w:rPr>
                    <w:t>3</w:t>
                  </w:r>
                  <w:r>
                    <w:rPr>
                      <w:rFonts w:hint="eastAsia"/>
                      <w:sz w:val="21"/>
                      <w:szCs w:val="21"/>
                      <w:lang w:eastAsia="zh-CN"/>
                    </w:rPr>
                    <w:t>/</w:t>
                  </w:r>
                  <w:r>
                    <w:rPr>
                      <w:rFonts w:hint="eastAsia"/>
                      <w:sz w:val="21"/>
                      <w:szCs w:val="21"/>
                      <w:lang w:val="en-US" w:eastAsia="zh-CN"/>
                    </w:rPr>
                    <w:t>h</w:t>
                  </w:r>
                </w:p>
              </w:tc>
              <w:tc>
                <w:tcPr>
                  <w:tcW w:w="221" w:type="pct"/>
                  <w:vMerge w:val="restart"/>
                  <w:tcBorders>
                    <w:top w:val="single" w:color="auto" w:sz="4" w:space="0"/>
                    <w:left w:val="single" w:color="auto" w:sz="4" w:space="0"/>
                    <w:bottom w:val="single" w:color="auto" w:sz="4" w:space="0"/>
                    <w:right w:val="single" w:color="auto" w:sz="4" w:space="0"/>
                  </w:tcBorders>
                  <w:noWrap w:val="0"/>
                  <w:vAlign w:val="center"/>
                </w:tcPr>
                <w:p w14:paraId="6EDA4F8E">
                  <w:pPr>
                    <w:pStyle w:val="58"/>
                    <w:adjustRightInd w:val="0"/>
                    <w:snapToGrid w:val="0"/>
                    <w:jc w:val="center"/>
                    <w:rPr>
                      <w:sz w:val="21"/>
                      <w:szCs w:val="21"/>
                      <w:lang w:eastAsia="zh-CN"/>
                    </w:rPr>
                  </w:pPr>
                  <w:r>
                    <w:rPr>
                      <w:rFonts w:hint="eastAsia"/>
                      <w:sz w:val="21"/>
                      <w:szCs w:val="21"/>
                      <w:lang w:eastAsia="zh-CN"/>
                    </w:rPr>
                    <w:t>/</w:t>
                  </w:r>
                </w:p>
              </w:tc>
              <w:tc>
                <w:tcPr>
                  <w:tcW w:w="162" w:type="pct"/>
                  <w:vMerge w:val="restart"/>
                  <w:tcBorders>
                    <w:top w:val="single" w:color="auto" w:sz="4" w:space="0"/>
                    <w:left w:val="single" w:color="auto" w:sz="4" w:space="0"/>
                    <w:bottom w:val="single" w:color="auto" w:sz="4" w:space="0"/>
                    <w:right w:val="single" w:color="auto" w:sz="4" w:space="0"/>
                  </w:tcBorders>
                  <w:noWrap w:val="0"/>
                  <w:vAlign w:val="center"/>
                </w:tcPr>
                <w:p w14:paraId="14699AD2">
                  <w:pPr>
                    <w:pStyle w:val="58"/>
                    <w:adjustRightInd w:val="0"/>
                    <w:snapToGrid w:val="0"/>
                    <w:jc w:val="center"/>
                    <w:rPr>
                      <w:sz w:val="21"/>
                      <w:szCs w:val="21"/>
                      <w:lang w:eastAsia="zh-CN"/>
                    </w:rPr>
                  </w:pPr>
                  <w:r>
                    <w:rPr>
                      <w:rFonts w:hint="eastAsia"/>
                      <w:sz w:val="21"/>
                      <w:szCs w:val="21"/>
                      <w:lang w:eastAsia="zh-CN"/>
                    </w:rPr>
                    <w:t>是</w:t>
                  </w:r>
                </w:p>
              </w:tc>
              <w:tc>
                <w:tcPr>
                  <w:tcW w:w="246" w:type="pct"/>
                  <w:vMerge w:val="restart"/>
                  <w:tcBorders>
                    <w:top w:val="single" w:color="auto" w:sz="4" w:space="0"/>
                    <w:left w:val="single" w:color="auto" w:sz="4" w:space="0"/>
                    <w:bottom w:val="single" w:color="auto" w:sz="4" w:space="0"/>
                    <w:right w:val="single" w:color="auto" w:sz="4" w:space="0"/>
                  </w:tcBorders>
                  <w:noWrap w:val="0"/>
                  <w:vAlign w:val="center"/>
                </w:tcPr>
                <w:p w14:paraId="5AA22D31">
                  <w:pPr>
                    <w:pStyle w:val="58"/>
                    <w:adjustRightInd w:val="0"/>
                    <w:snapToGrid w:val="0"/>
                    <w:jc w:val="center"/>
                    <w:rPr>
                      <w:sz w:val="21"/>
                      <w:szCs w:val="21"/>
                      <w:lang w:eastAsia="zh-CN"/>
                    </w:rPr>
                  </w:pPr>
                  <w:r>
                    <w:rPr>
                      <w:rFonts w:hint="eastAsia"/>
                      <w:sz w:val="21"/>
                      <w:szCs w:val="21"/>
                      <w:lang w:eastAsia="zh-CN"/>
                    </w:rPr>
                    <w:t>/</w:t>
                  </w:r>
                </w:p>
              </w:tc>
              <w:tc>
                <w:tcPr>
                  <w:tcW w:w="234" w:type="pct"/>
                  <w:vMerge w:val="restart"/>
                  <w:tcBorders>
                    <w:top w:val="single" w:color="auto" w:sz="4" w:space="0"/>
                    <w:left w:val="single" w:color="auto" w:sz="4" w:space="0"/>
                    <w:bottom w:val="single" w:color="auto" w:sz="4" w:space="0"/>
                    <w:right w:val="single" w:color="auto" w:sz="4" w:space="0"/>
                  </w:tcBorders>
                  <w:noWrap w:val="0"/>
                  <w:vAlign w:val="center"/>
                </w:tcPr>
                <w:p w14:paraId="7459B9DF">
                  <w:pPr>
                    <w:pStyle w:val="58"/>
                    <w:adjustRightInd w:val="0"/>
                    <w:snapToGrid w:val="0"/>
                    <w:jc w:val="center"/>
                    <w:rPr>
                      <w:rFonts w:hint="default"/>
                      <w:sz w:val="21"/>
                      <w:szCs w:val="21"/>
                      <w:lang w:val="en-US" w:eastAsia="zh-CN"/>
                    </w:rPr>
                  </w:pPr>
                  <w:r>
                    <w:rPr>
                      <w:rFonts w:hint="eastAsia"/>
                      <w:sz w:val="21"/>
                      <w:szCs w:val="21"/>
                      <w:lang w:val="en-US" w:eastAsia="zh-CN"/>
                    </w:rPr>
                    <w:t>DA001</w:t>
                  </w:r>
                </w:p>
              </w:tc>
              <w:tc>
                <w:tcPr>
                  <w:tcW w:w="253" w:type="pct"/>
                  <w:vMerge w:val="restart"/>
                  <w:tcBorders>
                    <w:top w:val="single" w:color="auto" w:sz="4" w:space="0"/>
                    <w:left w:val="single" w:color="auto" w:sz="4" w:space="0"/>
                    <w:bottom w:val="single" w:color="auto" w:sz="4" w:space="0"/>
                    <w:right w:val="single" w:color="auto" w:sz="4" w:space="0"/>
                  </w:tcBorders>
                  <w:noWrap w:val="0"/>
                  <w:vAlign w:val="center"/>
                </w:tcPr>
                <w:p w14:paraId="5F50ABDC">
                  <w:pPr>
                    <w:pStyle w:val="58"/>
                    <w:adjustRightInd w:val="0"/>
                    <w:snapToGrid w:val="0"/>
                    <w:jc w:val="center"/>
                    <w:rPr>
                      <w:rFonts w:hint="default"/>
                      <w:sz w:val="21"/>
                      <w:szCs w:val="21"/>
                      <w:lang w:val="en-US" w:eastAsia="zh-CN"/>
                    </w:rPr>
                  </w:pPr>
                  <w:r>
                    <w:rPr>
                      <w:rFonts w:hint="eastAsia"/>
                      <w:bCs/>
                      <w:sz w:val="21"/>
                      <w:szCs w:val="21"/>
                      <w:lang w:val="en-US" w:eastAsia="zh-CN"/>
                    </w:rPr>
                    <w:t>废油抽取工段废气排放口</w:t>
                  </w:r>
                </w:p>
              </w:tc>
              <w:tc>
                <w:tcPr>
                  <w:tcW w:w="228" w:type="pct"/>
                  <w:vMerge w:val="restart"/>
                  <w:tcBorders>
                    <w:top w:val="single" w:color="auto" w:sz="4" w:space="0"/>
                    <w:left w:val="single" w:color="auto" w:sz="4" w:space="0"/>
                    <w:bottom w:val="single" w:color="auto" w:sz="4" w:space="0"/>
                    <w:right w:val="single" w:color="auto" w:sz="4" w:space="0"/>
                  </w:tcBorders>
                  <w:noWrap w:val="0"/>
                  <w:vAlign w:val="center"/>
                </w:tcPr>
                <w:p w14:paraId="096AD8D9">
                  <w:pPr>
                    <w:pStyle w:val="58"/>
                    <w:adjustRightInd w:val="0"/>
                    <w:snapToGrid w:val="0"/>
                    <w:jc w:val="center"/>
                    <w:rPr>
                      <w:sz w:val="21"/>
                      <w:szCs w:val="21"/>
                      <w:lang w:eastAsia="zh-CN"/>
                    </w:rPr>
                  </w:pPr>
                  <w:r>
                    <w:rPr>
                      <w:rFonts w:hint="eastAsia"/>
                      <w:sz w:val="21"/>
                      <w:szCs w:val="21"/>
                      <w:lang w:eastAsia="zh-CN"/>
                    </w:rPr>
                    <w:t>是</w:t>
                  </w:r>
                </w:p>
              </w:tc>
              <w:tc>
                <w:tcPr>
                  <w:tcW w:w="189" w:type="pct"/>
                  <w:vMerge w:val="restart"/>
                  <w:tcBorders>
                    <w:top w:val="single" w:color="auto" w:sz="4" w:space="0"/>
                    <w:left w:val="single" w:color="auto" w:sz="4" w:space="0"/>
                    <w:bottom w:val="single" w:color="auto" w:sz="4" w:space="0"/>
                    <w:right w:val="single" w:color="auto" w:sz="4" w:space="0"/>
                  </w:tcBorders>
                  <w:noWrap w:val="0"/>
                  <w:vAlign w:val="center"/>
                </w:tcPr>
                <w:p w14:paraId="25E2F423">
                  <w:pPr>
                    <w:pStyle w:val="58"/>
                    <w:adjustRightInd w:val="0"/>
                    <w:snapToGrid w:val="0"/>
                    <w:jc w:val="center"/>
                    <w:rPr>
                      <w:sz w:val="21"/>
                      <w:szCs w:val="21"/>
                      <w:lang w:eastAsia="zh-CN"/>
                    </w:rPr>
                  </w:pPr>
                  <w:r>
                    <w:rPr>
                      <w:rFonts w:hint="eastAsia"/>
                      <w:sz w:val="21"/>
                      <w:szCs w:val="21"/>
                      <w:lang w:eastAsia="zh-CN"/>
                    </w:rPr>
                    <w:t>一般排放口</w:t>
                  </w:r>
                </w:p>
              </w:tc>
              <w:tc>
                <w:tcPr>
                  <w:tcW w:w="96" w:type="pct"/>
                  <w:vMerge w:val="restart"/>
                  <w:tcBorders>
                    <w:top w:val="single" w:color="auto" w:sz="4" w:space="0"/>
                    <w:left w:val="single" w:color="auto" w:sz="4" w:space="0"/>
                    <w:bottom w:val="single" w:color="auto" w:sz="4" w:space="0"/>
                  </w:tcBorders>
                  <w:noWrap w:val="0"/>
                  <w:vAlign w:val="center"/>
                </w:tcPr>
                <w:p w14:paraId="008E7BD4">
                  <w:pPr>
                    <w:pStyle w:val="58"/>
                    <w:adjustRightInd w:val="0"/>
                    <w:snapToGrid w:val="0"/>
                    <w:jc w:val="center"/>
                    <w:rPr>
                      <w:sz w:val="21"/>
                      <w:szCs w:val="21"/>
                      <w:lang w:eastAsia="zh-CN"/>
                    </w:rPr>
                  </w:pPr>
                  <w:r>
                    <w:rPr>
                      <w:rFonts w:hint="eastAsia"/>
                      <w:sz w:val="21"/>
                      <w:szCs w:val="21"/>
                      <w:lang w:eastAsia="zh-CN"/>
                    </w:rPr>
                    <w:t>/</w:t>
                  </w:r>
                </w:p>
              </w:tc>
            </w:tr>
            <w:tr w14:paraId="778482B2">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90" w:hRule="atLeast"/>
              </w:trPr>
              <w:tc>
                <w:tcPr>
                  <w:tcW w:w="114" w:type="pct"/>
                  <w:vMerge w:val="continue"/>
                  <w:tcBorders>
                    <w:bottom w:val="single" w:color="auto" w:sz="4" w:space="0"/>
                    <w:right w:val="single" w:color="000000" w:sz="4" w:space="0"/>
                  </w:tcBorders>
                  <w:noWrap w:val="0"/>
                  <w:vAlign w:val="center"/>
                </w:tcPr>
                <w:p w14:paraId="0D4D809D">
                  <w:pPr>
                    <w:pStyle w:val="58"/>
                    <w:adjustRightInd w:val="0"/>
                    <w:snapToGrid w:val="0"/>
                    <w:jc w:val="center"/>
                    <w:rPr>
                      <w:rFonts w:hint="default"/>
                      <w:sz w:val="21"/>
                      <w:szCs w:val="21"/>
                      <w:lang w:val="en-US" w:eastAsia="zh-CN"/>
                    </w:rPr>
                  </w:pPr>
                </w:p>
              </w:tc>
              <w:tc>
                <w:tcPr>
                  <w:tcW w:w="187" w:type="pct"/>
                  <w:vMerge w:val="continue"/>
                  <w:tcBorders>
                    <w:left w:val="single" w:color="000000" w:sz="4" w:space="0"/>
                    <w:bottom w:val="single" w:color="auto" w:sz="4" w:space="0"/>
                    <w:right w:val="single" w:color="000000" w:sz="4" w:space="0"/>
                  </w:tcBorders>
                  <w:noWrap w:val="0"/>
                  <w:vAlign w:val="center"/>
                </w:tcPr>
                <w:p w14:paraId="0D582E81">
                  <w:pPr>
                    <w:pStyle w:val="58"/>
                    <w:adjustRightInd w:val="0"/>
                    <w:snapToGrid w:val="0"/>
                    <w:jc w:val="center"/>
                    <w:rPr>
                      <w:rFonts w:hint="eastAsia"/>
                      <w:sz w:val="21"/>
                      <w:szCs w:val="21"/>
                      <w:lang w:val="en-US" w:eastAsia="zh-CN"/>
                    </w:rPr>
                  </w:pPr>
                </w:p>
              </w:tc>
              <w:tc>
                <w:tcPr>
                  <w:tcW w:w="357" w:type="pct"/>
                  <w:tcBorders>
                    <w:top w:val="single" w:color="000000" w:sz="4" w:space="0"/>
                    <w:left w:val="single" w:color="000000" w:sz="4" w:space="0"/>
                    <w:bottom w:val="single" w:color="000000" w:sz="4" w:space="0"/>
                    <w:right w:val="single" w:color="000000" w:sz="4" w:space="0"/>
                  </w:tcBorders>
                  <w:noWrap w:val="0"/>
                  <w:vAlign w:val="center"/>
                </w:tcPr>
                <w:p w14:paraId="5479B111">
                  <w:pPr>
                    <w:pStyle w:val="58"/>
                    <w:adjustRightInd w:val="0"/>
                    <w:snapToGrid w:val="0"/>
                    <w:jc w:val="center"/>
                    <w:rPr>
                      <w:rFonts w:hint="default"/>
                      <w:sz w:val="21"/>
                      <w:szCs w:val="21"/>
                      <w:lang w:val="en-US" w:eastAsia="zh-CN"/>
                    </w:rPr>
                  </w:pPr>
                  <w:r>
                    <w:rPr>
                      <w:rFonts w:hint="eastAsia"/>
                      <w:sz w:val="21"/>
                      <w:szCs w:val="21"/>
                      <w:lang w:val="en-US" w:eastAsia="zh-CN"/>
                    </w:rPr>
                    <w:t>MF0002</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1C55DA16">
                  <w:pPr>
                    <w:pStyle w:val="58"/>
                    <w:adjustRightInd w:val="0"/>
                    <w:snapToGrid w:val="0"/>
                    <w:jc w:val="center"/>
                    <w:rPr>
                      <w:rFonts w:hint="default"/>
                      <w:sz w:val="21"/>
                      <w:szCs w:val="21"/>
                      <w:lang w:val="en-US" w:eastAsia="zh-CN"/>
                    </w:rPr>
                  </w:pPr>
                  <w:r>
                    <w:rPr>
                      <w:rFonts w:hint="eastAsia"/>
                      <w:sz w:val="21"/>
                      <w:szCs w:val="21"/>
                      <w:lang w:val="en-US" w:eastAsia="zh-CN"/>
                    </w:rPr>
                    <w:t>大车油液集中处理机</w:t>
                  </w:r>
                </w:p>
              </w:tc>
              <w:tc>
                <w:tcPr>
                  <w:tcW w:w="231" w:type="pct"/>
                  <w:vMerge w:val="continue"/>
                  <w:tcBorders>
                    <w:left w:val="single" w:color="000000" w:sz="4" w:space="0"/>
                    <w:bottom w:val="single" w:color="auto" w:sz="4" w:space="0"/>
                    <w:right w:val="single" w:color="auto" w:sz="4" w:space="0"/>
                  </w:tcBorders>
                  <w:noWrap w:val="0"/>
                  <w:vAlign w:val="center"/>
                </w:tcPr>
                <w:p w14:paraId="2AA16247">
                  <w:pPr>
                    <w:pStyle w:val="58"/>
                    <w:adjustRightInd w:val="0"/>
                    <w:snapToGrid w:val="0"/>
                    <w:jc w:val="center"/>
                    <w:rPr>
                      <w:rFonts w:hint="default"/>
                      <w:sz w:val="21"/>
                      <w:szCs w:val="21"/>
                      <w:lang w:val="en-US" w:eastAsia="zh-CN"/>
                    </w:rPr>
                  </w:pPr>
                </w:p>
              </w:tc>
              <w:tc>
                <w:tcPr>
                  <w:tcW w:w="297" w:type="pct"/>
                  <w:vMerge w:val="continue"/>
                  <w:tcBorders>
                    <w:top w:val="single" w:color="auto" w:sz="4" w:space="0"/>
                    <w:left w:val="single" w:color="auto" w:sz="4" w:space="0"/>
                    <w:bottom w:val="single" w:color="auto" w:sz="4" w:space="0"/>
                    <w:right w:val="single" w:color="000000" w:sz="6" w:space="0"/>
                  </w:tcBorders>
                  <w:noWrap w:val="0"/>
                  <w:vAlign w:val="center"/>
                </w:tcPr>
                <w:p w14:paraId="1434F959">
                  <w:pPr>
                    <w:pStyle w:val="58"/>
                    <w:adjustRightInd w:val="0"/>
                    <w:snapToGrid w:val="0"/>
                    <w:jc w:val="center"/>
                    <w:rPr>
                      <w:sz w:val="21"/>
                      <w:szCs w:val="21"/>
                      <w:lang w:eastAsia="zh-CN"/>
                    </w:rPr>
                  </w:pPr>
                </w:p>
              </w:tc>
              <w:tc>
                <w:tcPr>
                  <w:tcW w:w="211" w:type="pct"/>
                  <w:vMerge w:val="continue"/>
                  <w:tcBorders>
                    <w:top w:val="single" w:color="auto" w:sz="4" w:space="0"/>
                    <w:left w:val="single" w:color="000000" w:sz="6" w:space="0"/>
                    <w:bottom w:val="single" w:color="auto" w:sz="4" w:space="0"/>
                    <w:right w:val="single" w:color="000000" w:sz="4" w:space="0"/>
                  </w:tcBorders>
                  <w:noWrap w:val="0"/>
                  <w:vAlign w:val="center"/>
                </w:tcPr>
                <w:p w14:paraId="14589887">
                  <w:pPr>
                    <w:pStyle w:val="58"/>
                    <w:adjustRightInd w:val="0"/>
                    <w:snapToGrid w:val="0"/>
                    <w:jc w:val="center"/>
                    <w:rPr>
                      <w:rFonts w:hint="eastAsia"/>
                      <w:sz w:val="21"/>
                      <w:szCs w:val="21"/>
                      <w:lang w:eastAsia="zh-CN"/>
                    </w:rPr>
                  </w:pPr>
                </w:p>
              </w:tc>
              <w:tc>
                <w:tcPr>
                  <w:tcW w:w="304" w:type="pct"/>
                  <w:vMerge w:val="continue"/>
                  <w:tcBorders>
                    <w:top w:val="single" w:color="auto" w:sz="4" w:space="0"/>
                    <w:left w:val="single" w:color="000000" w:sz="4" w:space="0"/>
                    <w:bottom w:val="single" w:color="auto" w:sz="4" w:space="0"/>
                    <w:right w:val="single" w:color="000000" w:sz="4" w:space="0"/>
                  </w:tcBorders>
                  <w:noWrap w:val="0"/>
                  <w:vAlign w:val="center"/>
                </w:tcPr>
                <w:p w14:paraId="32665AE8">
                  <w:pPr>
                    <w:pStyle w:val="58"/>
                    <w:adjustRightInd w:val="0"/>
                    <w:snapToGrid w:val="0"/>
                    <w:jc w:val="center"/>
                    <w:rPr>
                      <w:rFonts w:hint="eastAsia"/>
                      <w:sz w:val="21"/>
                      <w:szCs w:val="21"/>
                      <w:lang w:eastAsia="zh-CN"/>
                    </w:rPr>
                  </w:pPr>
                </w:p>
              </w:tc>
              <w:tc>
                <w:tcPr>
                  <w:tcW w:w="418" w:type="pct"/>
                  <w:vMerge w:val="continue"/>
                  <w:tcBorders>
                    <w:top w:val="single" w:color="auto" w:sz="4" w:space="0"/>
                    <w:left w:val="single" w:color="000000" w:sz="4" w:space="0"/>
                    <w:bottom w:val="single" w:color="auto" w:sz="4" w:space="0"/>
                    <w:right w:val="single" w:color="000000" w:sz="4" w:space="0"/>
                  </w:tcBorders>
                  <w:noWrap w:val="0"/>
                  <w:vAlign w:val="center"/>
                </w:tcPr>
                <w:p w14:paraId="05B0CE63">
                  <w:pPr>
                    <w:pStyle w:val="58"/>
                    <w:adjustRightInd w:val="0"/>
                    <w:snapToGrid w:val="0"/>
                    <w:jc w:val="center"/>
                    <w:rPr>
                      <w:rFonts w:hint="eastAsia"/>
                      <w:sz w:val="21"/>
                      <w:szCs w:val="21"/>
                      <w:lang w:eastAsia="zh-CN"/>
                    </w:rPr>
                  </w:pPr>
                </w:p>
              </w:tc>
              <w:tc>
                <w:tcPr>
                  <w:tcW w:w="331" w:type="pct"/>
                  <w:vMerge w:val="continue"/>
                  <w:tcBorders>
                    <w:top w:val="single" w:color="auto" w:sz="4" w:space="0"/>
                    <w:left w:val="single" w:color="000000" w:sz="4" w:space="0"/>
                    <w:bottom w:val="single" w:color="auto" w:sz="4" w:space="0"/>
                    <w:right w:val="single" w:color="000000" w:sz="6" w:space="0"/>
                  </w:tcBorders>
                  <w:noWrap w:val="0"/>
                  <w:vAlign w:val="center"/>
                </w:tcPr>
                <w:p w14:paraId="410670C2">
                  <w:pPr>
                    <w:pStyle w:val="58"/>
                    <w:adjustRightInd w:val="0"/>
                    <w:snapToGrid w:val="0"/>
                    <w:jc w:val="center"/>
                    <w:rPr>
                      <w:rFonts w:hint="eastAsia"/>
                      <w:sz w:val="21"/>
                      <w:szCs w:val="21"/>
                      <w:lang w:eastAsia="zh-CN"/>
                    </w:rPr>
                  </w:pPr>
                </w:p>
              </w:tc>
              <w:tc>
                <w:tcPr>
                  <w:tcW w:w="175" w:type="pct"/>
                  <w:vMerge w:val="continue"/>
                  <w:tcBorders>
                    <w:top w:val="single" w:color="auto" w:sz="4" w:space="0"/>
                    <w:left w:val="single" w:color="000000" w:sz="6" w:space="0"/>
                    <w:bottom w:val="single" w:color="auto" w:sz="4" w:space="0"/>
                    <w:right w:val="single" w:color="000000" w:sz="6" w:space="0"/>
                  </w:tcBorders>
                  <w:noWrap w:val="0"/>
                  <w:vAlign w:val="center"/>
                </w:tcPr>
                <w:p w14:paraId="52E70D98">
                  <w:pPr>
                    <w:pStyle w:val="58"/>
                    <w:adjustRightInd w:val="0"/>
                    <w:snapToGrid w:val="0"/>
                    <w:jc w:val="center"/>
                    <w:rPr>
                      <w:rFonts w:hint="eastAsia"/>
                      <w:sz w:val="21"/>
                      <w:szCs w:val="21"/>
                      <w:lang w:eastAsia="zh-CN"/>
                    </w:rPr>
                  </w:pPr>
                </w:p>
              </w:tc>
              <w:tc>
                <w:tcPr>
                  <w:tcW w:w="239" w:type="pct"/>
                  <w:vMerge w:val="continue"/>
                  <w:tcBorders>
                    <w:top w:val="single" w:color="auto" w:sz="4" w:space="0"/>
                    <w:left w:val="single" w:color="000000" w:sz="6" w:space="0"/>
                    <w:bottom w:val="single" w:color="auto" w:sz="4" w:space="0"/>
                    <w:right w:val="single" w:color="000000" w:sz="6" w:space="0"/>
                  </w:tcBorders>
                  <w:noWrap w:val="0"/>
                  <w:vAlign w:val="center"/>
                </w:tcPr>
                <w:p w14:paraId="774C9DE0">
                  <w:pPr>
                    <w:pStyle w:val="58"/>
                    <w:adjustRightInd w:val="0"/>
                    <w:snapToGrid w:val="0"/>
                    <w:jc w:val="center"/>
                    <w:rPr>
                      <w:rFonts w:hint="eastAsia"/>
                      <w:sz w:val="21"/>
                      <w:szCs w:val="21"/>
                      <w:lang w:eastAsia="zh-CN"/>
                    </w:rPr>
                  </w:pPr>
                </w:p>
              </w:tc>
              <w:tc>
                <w:tcPr>
                  <w:tcW w:w="169" w:type="pct"/>
                  <w:vMerge w:val="continue"/>
                  <w:tcBorders>
                    <w:top w:val="single" w:color="auto" w:sz="4" w:space="0"/>
                    <w:left w:val="single" w:color="000000" w:sz="6" w:space="0"/>
                    <w:bottom w:val="single" w:color="auto" w:sz="4" w:space="0"/>
                    <w:right w:val="single" w:color="000000" w:sz="6" w:space="0"/>
                  </w:tcBorders>
                  <w:noWrap w:val="0"/>
                  <w:vAlign w:val="center"/>
                </w:tcPr>
                <w:p w14:paraId="438756A3">
                  <w:pPr>
                    <w:pStyle w:val="58"/>
                    <w:adjustRightInd w:val="0"/>
                    <w:snapToGrid w:val="0"/>
                    <w:jc w:val="center"/>
                    <w:rPr>
                      <w:rFonts w:hint="eastAsia"/>
                      <w:sz w:val="21"/>
                      <w:szCs w:val="21"/>
                      <w:lang w:eastAsia="zh-CN"/>
                    </w:rPr>
                  </w:pPr>
                </w:p>
              </w:tc>
              <w:tc>
                <w:tcPr>
                  <w:tcW w:w="221" w:type="pct"/>
                  <w:vMerge w:val="continue"/>
                  <w:tcBorders>
                    <w:top w:val="single" w:color="auto" w:sz="4" w:space="0"/>
                    <w:left w:val="single" w:color="000000" w:sz="6" w:space="0"/>
                    <w:bottom w:val="single" w:color="auto" w:sz="4" w:space="0"/>
                    <w:right w:val="single" w:color="000000" w:sz="6" w:space="0"/>
                  </w:tcBorders>
                  <w:noWrap w:val="0"/>
                  <w:vAlign w:val="center"/>
                </w:tcPr>
                <w:p w14:paraId="483A346F">
                  <w:pPr>
                    <w:pStyle w:val="58"/>
                    <w:adjustRightInd w:val="0"/>
                    <w:snapToGrid w:val="0"/>
                    <w:jc w:val="center"/>
                    <w:rPr>
                      <w:rFonts w:hint="eastAsia"/>
                      <w:sz w:val="21"/>
                      <w:szCs w:val="21"/>
                      <w:lang w:eastAsia="zh-CN"/>
                    </w:rPr>
                  </w:pPr>
                </w:p>
              </w:tc>
              <w:tc>
                <w:tcPr>
                  <w:tcW w:w="162" w:type="pct"/>
                  <w:vMerge w:val="continue"/>
                  <w:tcBorders>
                    <w:top w:val="single" w:color="auto" w:sz="4" w:space="0"/>
                    <w:left w:val="single" w:color="000000" w:sz="6" w:space="0"/>
                    <w:bottom w:val="single" w:color="auto" w:sz="4" w:space="0"/>
                    <w:right w:val="single" w:color="000000" w:sz="6" w:space="0"/>
                  </w:tcBorders>
                  <w:noWrap w:val="0"/>
                  <w:vAlign w:val="center"/>
                </w:tcPr>
                <w:p w14:paraId="472ADC2A">
                  <w:pPr>
                    <w:pStyle w:val="58"/>
                    <w:adjustRightInd w:val="0"/>
                    <w:snapToGrid w:val="0"/>
                    <w:jc w:val="center"/>
                    <w:rPr>
                      <w:rFonts w:hint="eastAsia"/>
                      <w:sz w:val="21"/>
                      <w:szCs w:val="21"/>
                      <w:lang w:eastAsia="zh-CN"/>
                    </w:rPr>
                  </w:pPr>
                </w:p>
              </w:tc>
              <w:tc>
                <w:tcPr>
                  <w:tcW w:w="246" w:type="pct"/>
                  <w:vMerge w:val="continue"/>
                  <w:tcBorders>
                    <w:top w:val="single" w:color="auto" w:sz="4" w:space="0"/>
                    <w:left w:val="single" w:color="000000" w:sz="6" w:space="0"/>
                    <w:bottom w:val="single" w:color="auto" w:sz="4" w:space="0"/>
                    <w:right w:val="single" w:color="000000" w:sz="4" w:space="0"/>
                  </w:tcBorders>
                  <w:noWrap w:val="0"/>
                  <w:vAlign w:val="center"/>
                </w:tcPr>
                <w:p w14:paraId="5D9EBD5B">
                  <w:pPr>
                    <w:pStyle w:val="58"/>
                    <w:adjustRightInd w:val="0"/>
                    <w:snapToGrid w:val="0"/>
                    <w:jc w:val="center"/>
                    <w:rPr>
                      <w:rFonts w:hint="eastAsia"/>
                      <w:sz w:val="21"/>
                      <w:szCs w:val="21"/>
                      <w:lang w:eastAsia="zh-CN"/>
                    </w:rPr>
                  </w:pPr>
                </w:p>
              </w:tc>
              <w:tc>
                <w:tcPr>
                  <w:tcW w:w="234" w:type="pct"/>
                  <w:vMerge w:val="continue"/>
                  <w:tcBorders>
                    <w:top w:val="single" w:color="auto" w:sz="4" w:space="0"/>
                    <w:left w:val="single" w:color="000000" w:sz="4" w:space="0"/>
                    <w:bottom w:val="single" w:color="auto" w:sz="4" w:space="0"/>
                    <w:right w:val="single" w:color="000000" w:sz="6" w:space="0"/>
                  </w:tcBorders>
                  <w:noWrap w:val="0"/>
                  <w:vAlign w:val="center"/>
                </w:tcPr>
                <w:p w14:paraId="15767AA7">
                  <w:pPr>
                    <w:pStyle w:val="58"/>
                    <w:adjustRightInd w:val="0"/>
                    <w:snapToGrid w:val="0"/>
                    <w:jc w:val="center"/>
                    <w:rPr>
                      <w:rFonts w:hint="eastAsia"/>
                      <w:sz w:val="21"/>
                      <w:szCs w:val="21"/>
                      <w:lang w:eastAsia="zh-CN"/>
                    </w:rPr>
                  </w:pPr>
                </w:p>
              </w:tc>
              <w:tc>
                <w:tcPr>
                  <w:tcW w:w="253" w:type="pct"/>
                  <w:vMerge w:val="continue"/>
                  <w:tcBorders>
                    <w:top w:val="single" w:color="auto" w:sz="4" w:space="0"/>
                    <w:left w:val="single" w:color="000000" w:sz="6" w:space="0"/>
                    <w:bottom w:val="single" w:color="auto" w:sz="4" w:space="0"/>
                    <w:right w:val="single" w:color="000000" w:sz="6" w:space="0"/>
                  </w:tcBorders>
                  <w:noWrap w:val="0"/>
                  <w:vAlign w:val="center"/>
                </w:tcPr>
                <w:p w14:paraId="4484A8CA">
                  <w:pPr>
                    <w:pStyle w:val="58"/>
                    <w:adjustRightInd w:val="0"/>
                    <w:snapToGrid w:val="0"/>
                    <w:jc w:val="center"/>
                    <w:rPr>
                      <w:rFonts w:hint="eastAsia"/>
                      <w:bCs/>
                      <w:sz w:val="21"/>
                      <w:szCs w:val="21"/>
                      <w:lang w:eastAsia="zh-CN"/>
                    </w:rPr>
                  </w:pPr>
                </w:p>
              </w:tc>
              <w:tc>
                <w:tcPr>
                  <w:tcW w:w="228" w:type="pct"/>
                  <w:vMerge w:val="continue"/>
                  <w:tcBorders>
                    <w:top w:val="single" w:color="auto" w:sz="4" w:space="0"/>
                    <w:left w:val="single" w:color="000000" w:sz="6" w:space="0"/>
                    <w:bottom w:val="single" w:color="auto" w:sz="4" w:space="0"/>
                    <w:right w:val="single" w:color="000000" w:sz="6" w:space="0"/>
                  </w:tcBorders>
                  <w:noWrap w:val="0"/>
                  <w:vAlign w:val="center"/>
                </w:tcPr>
                <w:p w14:paraId="0688D0E1">
                  <w:pPr>
                    <w:pStyle w:val="58"/>
                    <w:adjustRightInd w:val="0"/>
                    <w:snapToGrid w:val="0"/>
                    <w:jc w:val="center"/>
                    <w:rPr>
                      <w:rFonts w:hint="eastAsia"/>
                      <w:sz w:val="21"/>
                      <w:szCs w:val="21"/>
                      <w:lang w:eastAsia="zh-CN"/>
                    </w:rPr>
                  </w:pPr>
                </w:p>
              </w:tc>
              <w:tc>
                <w:tcPr>
                  <w:tcW w:w="189" w:type="pct"/>
                  <w:vMerge w:val="continue"/>
                  <w:tcBorders>
                    <w:top w:val="single" w:color="auto" w:sz="4" w:space="0"/>
                    <w:left w:val="single" w:color="000000" w:sz="6" w:space="0"/>
                    <w:bottom w:val="single" w:color="auto" w:sz="4" w:space="0"/>
                    <w:right w:val="single" w:color="auto" w:sz="4" w:space="0"/>
                  </w:tcBorders>
                  <w:noWrap w:val="0"/>
                  <w:vAlign w:val="center"/>
                </w:tcPr>
                <w:p w14:paraId="0B1506E4">
                  <w:pPr>
                    <w:pStyle w:val="58"/>
                    <w:adjustRightInd w:val="0"/>
                    <w:snapToGrid w:val="0"/>
                    <w:jc w:val="center"/>
                    <w:rPr>
                      <w:rFonts w:hint="eastAsia"/>
                      <w:sz w:val="21"/>
                      <w:szCs w:val="21"/>
                      <w:lang w:eastAsia="zh-CN"/>
                    </w:rPr>
                  </w:pPr>
                </w:p>
              </w:tc>
              <w:tc>
                <w:tcPr>
                  <w:tcW w:w="96" w:type="pct"/>
                  <w:vMerge w:val="continue"/>
                  <w:tcBorders>
                    <w:top w:val="single" w:color="auto" w:sz="4" w:space="0"/>
                    <w:left w:val="single" w:color="auto" w:sz="4" w:space="0"/>
                    <w:bottom w:val="single" w:color="auto" w:sz="4" w:space="0"/>
                  </w:tcBorders>
                  <w:noWrap w:val="0"/>
                  <w:vAlign w:val="center"/>
                </w:tcPr>
                <w:p w14:paraId="19D24E5B">
                  <w:pPr>
                    <w:pStyle w:val="58"/>
                    <w:adjustRightInd w:val="0"/>
                    <w:snapToGrid w:val="0"/>
                    <w:jc w:val="center"/>
                    <w:rPr>
                      <w:rFonts w:hint="eastAsia"/>
                      <w:sz w:val="21"/>
                      <w:szCs w:val="21"/>
                      <w:lang w:eastAsia="zh-CN"/>
                    </w:rPr>
                  </w:pPr>
                </w:p>
              </w:tc>
            </w:tr>
            <w:tr w14:paraId="13F3C733">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90" w:hRule="atLeast"/>
              </w:trPr>
              <w:tc>
                <w:tcPr>
                  <w:tcW w:w="114" w:type="pct"/>
                  <w:tcBorders>
                    <w:top w:val="single" w:color="auto" w:sz="4" w:space="0"/>
                    <w:bottom w:val="single" w:color="auto" w:sz="4" w:space="0"/>
                    <w:right w:val="single" w:color="auto" w:sz="4" w:space="0"/>
                  </w:tcBorders>
                  <w:noWrap w:val="0"/>
                  <w:vAlign w:val="center"/>
                </w:tcPr>
                <w:p w14:paraId="2139BB09">
                  <w:pPr>
                    <w:pStyle w:val="58"/>
                    <w:adjustRightInd w:val="0"/>
                    <w:snapToGrid w:val="0"/>
                    <w:jc w:val="center"/>
                    <w:rPr>
                      <w:rFonts w:hint="default"/>
                      <w:sz w:val="21"/>
                      <w:szCs w:val="21"/>
                      <w:lang w:val="en-US" w:eastAsia="zh-CN"/>
                    </w:rPr>
                  </w:pPr>
                  <w:r>
                    <w:rPr>
                      <w:rFonts w:hint="eastAsia"/>
                      <w:sz w:val="21"/>
                      <w:szCs w:val="21"/>
                      <w:lang w:val="en-US" w:eastAsia="zh-CN"/>
                    </w:rPr>
                    <w:t>2</w:t>
                  </w:r>
                </w:p>
              </w:tc>
              <w:tc>
                <w:tcPr>
                  <w:tcW w:w="187" w:type="pct"/>
                  <w:tcBorders>
                    <w:top w:val="single" w:color="auto" w:sz="4" w:space="0"/>
                    <w:left w:val="single" w:color="auto" w:sz="4" w:space="0"/>
                    <w:bottom w:val="single" w:color="auto" w:sz="4" w:space="0"/>
                    <w:right w:val="single" w:color="auto" w:sz="4" w:space="0"/>
                  </w:tcBorders>
                  <w:noWrap w:val="0"/>
                  <w:vAlign w:val="center"/>
                </w:tcPr>
                <w:p w14:paraId="389D3E1A">
                  <w:pPr>
                    <w:pStyle w:val="58"/>
                    <w:adjustRightInd w:val="0"/>
                    <w:snapToGrid w:val="0"/>
                    <w:jc w:val="center"/>
                    <w:rPr>
                      <w:rFonts w:hint="default"/>
                      <w:sz w:val="21"/>
                      <w:szCs w:val="21"/>
                      <w:lang w:val="en-US" w:eastAsia="zh-CN"/>
                    </w:rPr>
                  </w:pPr>
                  <w:r>
                    <w:rPr>
                      <w:rFonts w:hint="eastAsia"/>
                      <w:sz w:val="21"/>
                      <w:szCs w:val="21"/>
                      <w:lang w:val="en-US" w:eastAsia="zh-CN"/>
                    </w:rPr>
                    <w:t>公用单元</w:t>
                  </w:r>
                </w:p>
              </w:tc>
              <w:tc>
                <w:tcPr>
                  <w:tcW w:w="357" w:type="pct"/>
                  <w:tcBorders>
                    <w:top w:val="single" w:color="000000" w:sz="4" w:space="0"/>
                    <w:left w:val="single" w:color="auto" w:sz="4" w:space="0"/>
                    <w:bottom w:val="single" w:color="000000" w:sz="4" w:space="0"/>
                    <w:right w:val="single" w:color="000000" w:sz="4" w:space="0"/>
                  </w:tcBorders>
                  <w:noWrap w:val="0"/>
                  <w:vAlign w:val="center"/>
                </w:tcPr>
                <w:p w14:paraId="04EC0945">
                  <w:pPr>
                    <w:pStyle w:val="58"/>
                    <w:adjustRightInd w:val="0"/>
                    <w:snapToGrid w:val="0"/>
                    <w:jc w:val="center"/>
                    <w:rPr>
                      <w:rFonts w:hint="default"/>
                      <w:sz w:val="21"/>
                      <w:szCs w:val="21"/>
                      <w:lang w:val="en-US" w:eastAsia="zh-CN"/>
                    </w:rPr>
                  </w:pPr>
                  <w:r>
                    <w:rPr>
                      <w:rFonts w:hint="eastAsia"/>
                      <w:sz w:val="21"/>
                      <w:szCs w:val="21"/>
                      <w:lang w:val="en-US" w:eastAsia="zh-CN"/>
                    </w:rPr>
                    <w:t>MF0046</w:t>
                  </w:r>
                </w:p>
              </w:tc>
              <w:tc>
                <w:tcPr>
                  <w:tcW w:w="329" w:type="pct"/>
                  <w:tcBorders>
                    <w:top w:val="single" w:color="000000" w:sz="4" w:space="0"/>
                    <w:left w:val="single" w:color="000000" w:sz="4" w:space="0"/>
                    <w:bottom w:val="single" w:color="000000" w:sz="4" w:space="0"/>
                    <w:right w:val="single" w:color="auto" w:sz="4" w:space="0"/>
                  </w:tcBorders>
                  <w:noWrap w:val="0"/>
                  <w:vAlign w:val="center"/>
                </w:tcPr>
                <w:p w14:paraId="34AA6A43">
                  <w:pPr>
                    <w:pStyle w:val="58"/>
                    <w:adjustRightInd w:val="0"/>
                    <w:snapToGrid w:val="0"/>
                    <w:jc w:val="center"/>
                    <w:rPr>
                      <w:rFonts w:hint="default"/>
                      <w:sz w:val="21"/>
                      <w:szCs w:val="21"/>
                      <w:lang w:val="en-US" w:eastAsia="zh-CN"/>
                    </w:rPr>
                  </w:pPr>
                  <w:r>
                    <w:rPr>
                      <w:rFonts w:hint="eastAsia"/>
                      <w:sz w:val="21"/>
                      <w:szCs w:val="21"/>
                      <w:lang w:val="en-US" w:eastAsia="zh-CN"/>
                    </w:rPr>
                    <w:t>危废暂存库</w:t>
                  </w:r>
                </w:p>
              </w:tc>
              <w:tc>
                <w:tcPr>
                  <w:tcW w:w="231" w:type="pct"/>
                  <w:tcBorders>
                    <w:top w:val="single" w:color="auto" w:sz="4" w:space="0"/>
                    <w:left w:val="single" w:color="auto" w:sz="4" w:space="0"/>
                    <w:bottom w:val="single" w:color="auto" w:sz="4" w:space="0"/>
                    <w:right w:val="single" w:color="auto" w:sz="4" w:space="0"/>
                  </w:tcBorders>
                  <w:noWrap w:val="0"/>
                  <w:vAlign w:val="center"/>
                </w:tcPr>
                <w:p w14:paraId="66664536">
                  <w:pPr>
                    <w:pStyle w:val="58"/>
                    <w:adjustRightInd w:val="0"/>
                    <w:snapToGrid w:val="0"/>
                    <w:jc w:val="center"/>
                    <w:rPr>
                      <w:rFonts w:hint="default"/>
                      <w:sz w:val="21"/>
                      <w:szCs w:val="21"/>
                      <w:lang w:val="en-US" w:eastAsia="zh-CN"/>
                    </w:rPr>
                  </w:pPr>
                  <w:r>
                    <w:rPr>
                      <w:rFonts w:hint="eastAsia"/>
                      <w:sz w:val="21"/>
                      <w:szCs w:val="21"/>
                      <w:lang w:val="en-US" w:eastAsia="zh-CN"/>
                    </w:rPr>
                    <w:t>危废贮存</w:t>
                  </w:r>
                </w:p>
              </w:tc>
              <w:tc>
                <w:tcPr>
                  <w:tcW w:w="297" w:type="pct"/>
                  <w:tcBorders>
                    <w:top w:val="single" w:color="auto" w:sz="4" w:space="0"/>
                    <w:left w:val="single" w:color="auto" w:sz="4" w:space="0"/>
                    <w:bottom w:val="single" w:color="auto" w:sz="4" w:space="0"/>
                    <w:right w:val="single" w:color="000000" w:sz="6" w:space="0"/>
                  </w:tcBorders>
                  <w:noWrap w:val="0"/>
                  <w:vAlign w:val="center"/>
                </w:tcPr>
                <w:p w14:paraId="4B241EE5">
                  <w:pPr>
                    <w:pStyle w:val="58"/>
                    <w:adjustRightInd w:val="0"/>
                    <w:snapToGrid w:val="0"/>
                    <w:jc w:val="center"/>
                    <w:rPr>
                      <w:sz w:val="21"/>
                      <w:szCs w:val="21"/>
                      <w:lang w:eastAsia="zh-CN"/>
                    </w:rPr>
                  </w:pPr>
                  <w:r>
                    <w:rPr>
                      <w:rFonts w:hint="eastAsia"/>
                      <w:sz w:val="21"/>
                      <w:szCs w:val="21"/>
                      <w:lang w:val="en-US" w:eastAsia="zh-CN"/>
                    </w:rPr>
                    <w:t>非甲烷总烃</w:t>
                  </w:r>
                </w:p>
              </w:tc>
              <w:tc>
                <w:tcPr>
                  <w:tcW w:w="211" w:type="pct"/>
                  <w:tcBorders>
                    <w:top w:val="single" w:color="auto" w:sz="4" w:space="0"/>
                    <w:left w:val="single" w:color="000000" w:sz="6" w:space="0"/>
                    <w:bottom w:val="single" w:color="auto" w:sz="4" w:space="0"/>
                    <w:right w:val="single" w:color="000000" w:sz="4" w:space="0"/>
                  </w:tcBorders>
                  <w:noWrap w:val="0"/>
                  <w:vAlign w:val="center"/>
                </w:tcPr>
                <w:p w14:paraId="349321CF">
                  <w:pPr>
                    <w:pStyle w:val="58"/>
                    <w:adjustRightInd w:val="0"/>
                    <w:snapToGrid w:val="0"/>
                    <w:jc w:val="center"/>
                    <w:rPr>
                      <w:rFonts w:hint="eastAsia"/>
                      <w:sz w:val="21"/>
                      <w:szCs w:val="21"/>
                      <w:lang w:eastAsia="zh-CN"/>
                    </w:rPr>
                  </w:pPr>
                  <w:r>
                    <w:rPr>
                      <w:rFonts w:hint="eastAsia"/>
                      <w:sz w:val="21"/>
                      <w:szCs w:val="21"/>
                      <w:lang w:val="en-US" w:eastAsia="zh-CN"/>
                    </w:rPr>
                    <w:t>有</w:t>
                  </w:r>
                  <w:r>
                    <w:rPr>
                      <w:rFonts w:hint="eastAsia"/>
                      <w:sz w:val="21"/>
                      <w:szCs w:val="21"/>
                      <w:lang w:eastAsia="zh-CN"/>
                    </w:rPr>
                    <w:t>组织</w:t>
                  </w:r>
                </w:p>
              </w:tc>
              <w:tc>
                <w:tcPr>
                  <w:tcW w:w="304" w:type="pct"/>
                  <w:tcBorders>
                    <w:top w:val="single" w:color="auto" w:sz="4" w:space="0"/>
                    <w:left w:val="single" w:color="000000" w:sz="4" w:space="0"/>
                    <w:bottom w:val="single" w:color="auto" w:sz="4" w:space="0"/>
                    <w:right w:val="single" w:color="000000" w:sz="4" w:space="0"/>
                  </w:tcBorders>
                  <w:noWrap w:val="0"/>
                  <w:vAlign w:val="center"/>
                </w:tcPr>
                <w:p w14:paraId="4BC2D5CF">
                  <w:pPr>
                    <w:pStyle w:val="58"/>
                    <w:adjustRightInd w:val="0"/>
                    <w:snapToGrid w:val="0"/>
                    <w:jc w:val="center"/>
                    <w:rPr>
                      <w:rFonts w:hint="default"/>
                      <w:sz w:val="21"/>
                      <w:szCs w:val="21"/>
                      <w:lang w:val="en-US" w:eastAsia="zh-CN"/>
                    </w:rPr>
                  </w:pPr>
                  <w:r>
                    <w:rPr>
                      <w:rFonts w:hint="eastAsia"/>
                      <w:sz w:val="21"/>
                      <w:szCs w:val="21"/>
                      <w:lang w:val="en-US" w:eastAsia="zh-CN"/>
                    </w:rPr>
                    <w:t>TA002</w:t>
                  </w:r>
                </w:p>
              </w:tc>
              <w:tc>
                <w:tcPr>
                  <w:tcW w:w="418" w:type="pct"/>
                  <w:tcBorders>
                    <w:top w:val="single" w:color="auto" w:sz="4" w:space="0"/>
                    <w:left w:val="single" w:color="000000" w:sz="4" w:space="0"/>
                    <w:bottom w:val="single" w:color="auto" w:sz="4" w:space="0"/>
                    <w:right w:val="single" w:color="000000" w:sz="4" w:space="0"/>
                  </w:tcBorders>
                  <w:noWrap w:val="0"/>
                  <w:vAlign w:val="center"/>
                </w:tcPr>
                <w:p w14:paraId="296A1B60">
                  <w:pPr>
                    <w:pStyle w:val="58"/>
                    <w:adjustRightInd w:val="0"/>
                    <w:snapToGrid w:val="0"/>
                    <w:jc w:val="center"/>
                    <w:rPr>
                      <w:rFonts w:hint="eastAsia"/>
                      <w:sz w:val="21"/>
                      <w:szCs w:val="21"/>
                      <w:lang w:eastAsia="zh-CN"/>
                    </w:rPr>
                  </w:pPr>
                  <w:r>
                    <w:rPr>
                      <w:rFonts w:hint="eastAsia"/>
                      <w:sz w:val="21"/>
                      <w:szCs w:val="21"/>
                      <w:lang w:val="en-US" w:eastAsia="zh-CN"/>
                    </w:rPr>
                    <w:t>二级活性炭吸附装置</w:t>
                  </w:r>
                </w:p>
              </w:tc>
              <w:tc>
                <w:tcPr>
                  <w:tcW w:w="331" w:type="pct"/>
                  <w:tcBorders>
                    <w:top w:val="single" w:color="auto" w:sz="4" w:space="0"/>
                    <w:left w:val="single" w:color="000000" w:sz="4" w:space="0"/>
                    <w:bottom w:val="single" w:color="auto" w:sz="4" w:space="0"/>
                    <w:right w:val="single" w:color="000000" w:sz="6" w:space="0"/>
                  </w:tcBorders>
                  <w:noWrap w:val="0"/>
                  <w:vAlign w:val="center"/>
                </w:tcPr>
                <w:p w14:paraId="4C5F240F">
                  <w:pPr>
                    <w:pStyle w:val="58"/>
                    <w:adjustRightInd w:val="0"/>
                    <w:snapToGrid w:val="0"/>
                    <w:jc w:val="center"/>
                    <w:rPr>
                      <w:rFonts w:hint="eastAsia"/>
                      <w:sz w:val="21"/>
                      <w:szCs w:val="21"/>
                      <w:lang w:eastAsia="zh-CN"/>
                    </w:rPr>
                  </w:pPr>
                  <w:r>
                    <w:rPr>
                      <w:rFonts w:hint="eastAsia"/>
                      <w:sz w:val="21"/>
                      <w:szCs w:val="21"/>
                      <w:lang w:val="en-US" w:eastAsia="zh-CN"/>
                    </w:rPr>
                    <w:t>吸附法</w:t>
                  </w:r>
                </w:p>
              </w:tc>
              <w:tc>
                <w:tcPr>
                  <w:tcW w:w="175" w:type="pct"/>
                  <w:tcBorders>
                    <w:top w:val="single" w:color="auto" w:sz="4" w:space="0"/>
                    <w:left w:val="single" w:color="000000" w:sz="6" w:space="0"/>
                    <w:bottom w:val="single" w:color="auto" w:sz="4" w:space="0"/>
                    <w:right w:val="single" w:color="000000" w:sz="6" w:space="0"/>
                  </w:tcBorders>
                  <w:noWrap w:val="0"/>
                  <w:vAlign w:val="center"/>
                </w:tcPr>
                <w:p w14:paraId="63EE4CF8">
                  <w:pPr>
                    <w:pStyle w:val="58"/>
                    <w:adjustRightInd w:val="0"/>
                    <w:snapToGrid w:val="0"/>
                    <w:jc w:val="center"/>
                    <w:rPr>
                      <w:rFonts w:hint="eastAsia"/>
                      <w:sz w:val="21"/>
                      <w:szCs w:val="21"/>
                      <w:lang w:eastAsia="zh-CN"/>
                    </w:rPr>
                  </w:pPr>
                  <w:r>
                    <w:rPr>
                      <w:rFonts w:hint="eastAsia"/>
                      <w:sz w:val="21"/>
                      <w:szCs w:val="21"/>
                      <w:lang w:val="en-US" w:eastAsia="zh-CN"/>
                    </w:rPr>
                    <w:t>风量</w:t>
                  </w:r>
                </w:p>
              </w:tc>
              <w:tc>
                <w:tcPr>
                  <w:tcW w:w="239" w:type="pct"/>
                  <w:tcBorders>
                    <w:top w:val="single" w:color="auto" w:sz="4" w:space="0"/>
                    <w:left w:val="single" w:color="000000" w:sz="6" w:space="0"/>
                    <w:bottom w:val="single" w:color="auto" w:sz="4" w:space="0"/>
                    <w:right w:val="single" w:color="000000" w:sz="6" w:space="0"/>
                  </w:tcBorders>
                  <w:noWrap w:val="0"/>
                  <w:vAlign w:val="center"/>
                </w:tcPr>
                <w:p w14:paraId="2598B72E">
                  <w:pPr>
                    <w:pStyle w:val="58"/>
                    <w:adjustRightInd w:val="0"/>
                    <w:snapToGrid w:val="0"/>
                    <w:jc w:val="center"/>
                    <w:rPr>
                      <w:rFonts w:hint="eastAsia"/>
                      <w:sz w:val="21"/>
                      <w:szCs w:val="21"/>
                      <w:lang w:eastAsia="zh-CN"/>
                    </w:rPr>
                  </w:pPr>
                  <w:r>
                    <w:rPr>
                      <w:rFonts w:hint="eastAsia"/>
                      <w:sz w:val="21"/>
                      <w:szCs w:val="21"/>
                      <w:lang w:val="en-US" w:eastAsia="zh-CN"/>
                    </w:rPr>
                    <w:t>1000</w:t>
                  </w:r>
                </w:p>
              </w:tc>
              <w:tc>
                <w:tcPr>
                  <w:tcW w:w="169" w:type="pct"/>
                  <w:tcBorders>
                    <w:top w:val="single" w:color="auto" w:sz="4" w:space="0"/>
                    <w:left w:val="single" w:color="000000" w:sz="6" w:space="0"/>
                    <w:bottom w:val="single" w:color="auto" w:sz="4" w:space="0"/>
                    <w:right w:val="single" w:color="000000" w:sz="6" w:space="0"/>
                  </w:tcBorders>
                  <w:noWrap w:val="0"/>
                  <w:vAlign w:val="center"/>
                </w:tcPr>
                <w:p w14:paraId="30CC80B9">
                  <w:pPr>
                    <w:pStyle w:val="58"/>
                    <w:adjustRightInd w:val="0"/>
                    <w:snapToGrid w:val="0"/>
                    <w:jc w:val="center"/>
                    <w:rPr>
                      <w:rFonts w:hint="eastAsia"/>
                      <w:sz w:val="21"/>
                      <w:szCs w:val="21"/>
                      <w:lang w:eastAsia="zh-CN"/>
                    </w:rPr>
                  </w:pPr>
                  <w:r>
                    <w:rPr>
                      <w:rFonts w:hint="eastAsia"/>
                      <w:sz w:val="21"/>
                      <w:szCs w:val="21"/>
                      <w:lang w:eastAsia="zh-CN"/>
                    </w:rPr>
                    <w:t>m</w:t>
                  </w:r>
                  <w:r>
                    <w:rPr>
                      <w:rFonts w:hint="eastAsia"/>
                      <w:sz w:val="21"/>
                      <w:szCs w:val="21"/>
                      <w:vertAlign w:val="superscript"/>
                      <w:lang w:eastAsia="zh-CN"/>
                    </w:rPr>
                    <w:t>3</w:t>
                  </w:r>
                  <w:r>
                    <w:rPr>
                      <w:rFonts w:hint="eastAsia"/>
                      <w:sz w:val="21"/>
                      <w:szCs w:val="21"/>
                      <w:lang w:eastAsia="zh-CN"/>
                    </w:rPr>
                    <w:t>/</w:t>
                  </w:r>
                  <w:r>
                    <w:rPr>
                      <w:rFonts w:hint="eastAsia"/>
                      <w:sz w:val="21"/>
                      <w:szCs w:val="21"/>
                      <w:lang w:val="en-US" w:eastAsia="zh-CN"/>
                    </w:rPr>
                    <w:t>h</w:t>
                  </w:r>
                </w:p>
              </w:tc>
              <w:tc>
                <w:tcPr>
                  <w:tcW w:w="221" w:type="pct"/>
                  <w:tcBorders>
                    <w:top w:val="single" w:color="auto" w:sz="4" w:space="0"/>
                    <w:left w:val="single" w:color="000000" w:sz="6" w:space="0"/>
                    <w:bottom w:val="single" w:color="auto" w:sz="4" w:space="0"/>
                    <w:right w:val="single" w:color="000000" w:sz="6" w:space="0"/>
                  </w:tcBorders>
                  <w:noWrap w:val="0"/>
                  <w:vAlign w:val="center"/>
                </w:tcPr>
                <w:p w14:paraId="05AF7C78">
                  <w:pPr>
                    <w:pStyle w:val="58"/>
                    <w:adjustRightInd w:val="0"/>
                    <w:snapToGrid w:val="0"/>
                    <w:jc w:val="center"/>
                    <w:rPr>
                      <w:rFonts w:hint="eastAsia"/>
                      <w:sz w:val="21"/>
                      <w:szCs w:val="21"/>
                      <w:lang w:eastAsia="zh-CN"/>
                    </w:rPr>
                  </w:pPr>
                  <w:r>
                    <w:rPr>
                      <w:rFonts w:hint="eastAsia"/>
                      <w:sz w:val="21"/>
                      <w:szCs w:val="21"/>
                      <w:lang w:eastAsia="zh-CN"/>
                    </w:rPr>
                    <w:t>/</w:t>
                  </w:r>
                </w:p>
              </w:tc>
              <w:tc>
                <w:tcPr>
                  <w:tcW w:w="162" w:type="pct"/>
                  <w:tcBorders>
                    <w:top w:val="single" w:color="auto" w:sz="4" w:space="0"/>
                    <w:left w:val="single" w:color="000000" w:sz="6" w:space="0"/>
                    <w:bottom w:val="single" w:color="auto" w:sz="4" w:space="0"/>
                    <w:right w:val="single" w:color="000000" w:sz="6" w:space="0"/>
                  </w:tcBorders>
                  <w:noWrap w:val="0"/>
                  <w:vAlign w:val="center"/>
                </w:tcPr>
                <w:p w14:paraId="50CF3119">
                  <w:pPr>
                    <w:pStyle w:val="58"/>
                    <w:adjustRightInd w:val="0"/>
                    <w:snapToGrid w:val="0"/>
                    <w:jc w:val="center"/>
                    <w:rPr>
                      <w:rFonts w:hint="eastAsia"/>
                      <w:sz w:val="21"/>
                      <w:szCs w:val="21"/>
                      <w:lang w:eastAsia="zh-CN"/>
                    </w:rPr>
                  </w:pPr>
                  <w:r>
                    <w:rPr>
                      <w:rFonts w:hint="eastAsia"/>
                      <w:sz w:val="21"/>
                      <w:szCs w:val="21"/>
                      <w:lang w:eastAsia="zh-CN"/>
                    </w:rPr>
                    <w:t>是</w:t>
                  </w:r>
                </w:p>
              </w:tc>
              <w:tc>
                <w:tcPr>
                  <w:tcW w:w="246" w:type="pct"/>
                  <w:tcBorders>
                    <w:top w:val="single" w:color="auto" w:sz="4" w:space="0"/>
                    <w:left w:val="single" w:color="000000" w:sz="6" w:space="0"/>
                    <w:bottom w:val="single" w:color="auto" w:sz="4" w:space="0"/>
                    <w:right w:val="single" w:color="000000" w:sz="4" w:space="0"/>
                  </w:tcBorders>
                  <w:noWrap w:val="0"/>
                  <w:vAlign w:val="center"/>
                </w:tcPr>
                <w:p w14:paraId="25B056F2">
                  <w:pPr>
                    <w:pStyle w:val="58"/>
                    <w:adjustRightInd w:val="0"/>
                    <w:snapToGrid w:val="0"/>
                    <w:jc w:val="center"/>
                    <w:rPr>
                      <w:rFonts w:hint="eastAsia"/>
                      <w:sz w:val="21"/>
                      <w:szCs w:val="21"/>
                      <w:lang w:eastAsia="zh-CN"/>
                    </w:rPr>
                  </w:pPr>
                  <w:r>
                    <w:rPr>
                      <w:rFonts w:hint="eastAsia"/>
                      <w:sz w:val="21"/>
                      <w:szCs w:val="21"/>
                      <w:lang w:eastAsia="zh-CN"/>
                    </w:rPr>
                    <w:t>/</w:t>
                  </w:r>
                </w:p>
              </w:tc>
              <w:tc>
                <w:tcPr>
                  <w:tcW w:w="234" w:type="pct"/>
                  <w:tcBorders>
                    <w:top w:val="single" w:color="auto" w:sz="4" w:space="0"/>
                    <w:left w:val="single" w:color="000000" w:sz="4" w:space="0"/>
                    <w:bottom w:val="single" w:color="auto" w:sz="4" w:space="0"/>
                    <w:right w:val="single" w:color="000000" w:sz="6" w:space="0"/>
                  </w:tcBorders>
                  <w:noWrap w:val="0"/>
                  <w:vAlign w:val="center"/>
                </w:tcPr>
                <w:p w14:paraId="22B85CB2">
                  <w:pPr>
                    <w:pStyle w:val="58"/>
                    <w:adjustRightInd w:val="0"/>
                    <w:snapToGrid w:val="0"/>
                    <w:jc w:val="center"/>
                    <w:rPr>
                      <w:rFonts w:hint="default"/>
                      <w:sz w:val="21"/>
                      <w:szCs w:val="21"/>
                      <w:lang w:val="en-US" w:eastAsia="zh-CN"/>
                    </w:rPr>
                  </w:pPr>
                  <w:r>
                    <w:rPr>
                      <w:rFonts w:hint="eastAsia"/>
                      <w:sz w:val="21"/>
                      <w:szCs w:val="21"/>
                      <w:lang w:val="en-US" w:eastAsia="zh-CN"/>
                    </w:rPr>
                    <w:t>DA002</w:t>
                  </w:r>
                </w:p>
              </w:tc>
              <w:tc>
                <w:tcPr>
                  <w:tcW w:w="253" w:type="pct"/>
                  <w:tcBorders>
                    <w:top w:val="single" w:color="auto" w:sz="4" w:space="0"/>
                    <w:left w:val="single" w:color="000000" w:sz="6" w:space="0"/>
                    <w:bottom w:val="single" w:color="auto" w:sz="4" w:space="0"/>
                    <w:right w:val="single" w:color="000000" w:sz="6" w:space="0"/>
                  </w:tcBorders>
                  <w:noWrap w:val="0"/>
                  <w:vAlign w:val="center"/>
                </w:tcPr>
                <w:p w14:paraId="163E2530">
                  <w:pPr>
                    <w:pStyle w:val="58"/>
                    <w:adjustRightInd w:val="0"/>
                    <w:snapToGrid w:val="0"/>
                    <w:jc w:val="center"/>
                    <w:rPr>
                      <w:rFonts w:hint="default"/>
                      <w:bCs/>
                      <w:sz w:val="21"/>
                      <w:szCs w:val="21"/>
                      <w:lang w:val="en-US" w:eastAsia="zh-CN"/>
                    </w:rPr>
                  </w:pPr>
                  <w:r>
                    <w:rPr>
                      <w:rFonts w:hint="eastAsia"/>
                      <w:bCs/>
                      <w:sz w:val="21"/>
                      <w:szCs w:val="21"/>
                      <w:lang w:val="en-US" w:eastAsia="zh-CN"/>
                    </w:rPr>
                    <w:t>废油贮存工段废气排放口</w:t>
                  </w:r>
                </w:p>
              </w:tc>
              <w:tc>
                <w:tcPr>
                  <w:tcW w:w="228" w:type="pct"/>
                  <w:tcBorders>
                    <w:top w:val="single" w:color="auto" w:sz="4" w:space="0"/>
                    <w:left w:val="single" w:color="000000" w:sz="6" w:space="0"/>
                    <w:bottom w:val="single" w:color="auto" w:sz="4" w:space="0"/>
                    <w:right w:val="single" w:color="000000" w:sz="6" w:space="0"/>
                  </w:tcBorders>
                  <w:noWrap w:val="0"/>
                  <w:vAlign w:val="center"/>
                </w:tcPr>
                <w:p w14:paraId="20C8A36F">
                  <w:pPr>
                    <w:pStyle w:val="58"/>
                    <w:adjustRightInd w:val="0"/>
                    <w:snapToGrid w:val="0"/>
                    <w:jc w:val="center"/>
                    <w:rPr>
                      <w:rFonts w:hint="default"/>
                      <w:sz w:val="21"/>
                      <w:szCs w:val="21"/>
                      <w:lang w:val="en-US" w:eastAsia="zh-CN"/>
                    </w:rPr>
                  </w:pPr>
                  <w:r>
                    <w:rPr>
                      <w:rFonts w:hint="eastAsia"/>
                      <w:sz w:val="21"/>
                      <w:szCs w:val="21"/>
                      <w:lang w:val="en-US" w:eastAsia="zh-CN"/>
                    </w:rPr>
                    <w:t>是</w:t>
                  </w:r>
                </w:p>
              </w:tc>
              <w:tc>
                <w:tcPr>
                  <w:tcW w:w="189" w:type="pct"/>
                  <w:tcBorders>
                    <w:top w:val="single" w:color="auto" w:sz="4" w:space="0"/>
                    <w:left w:val="single" w:color="000000" w:sz="6" w:space="0"/>
                    <w:bottom w:val="single" w:color="auto" w:sz="4" w:space="0"/>
                    <w:right w:val="single" w:color="000000" w:sz="4" w:space="0"/>
                  </w:tcBorders>
                  <w:noWrap w:val="0"/>
                  <w:vAlign w:val="center"/>
                </w:tcPr>
                <w:p w14:paraId="47A7A350">
                  <w:pPr>
                    <w:pStyle w:val="58"/>
                    <w:adjustRightInd w:val="0"/>
                    <w:snapToGrid w:val="0"/>
                    <w:jc w:val="center"/>
                    <w:rPr>
                      <w:rFonts w:hint="default"/>
                      <w:sz w:val="21"/>
                      <w:szCs w:val="21"/>
                      <w:lang w:val="en-US" w:eastAsia="zh-CN"/>
                    </w:rPr>
                  </w:pPr>
                  <w:r>
                    <w:rPr>
                      <w:rFonts w:hint="eastAsia"/>
                      <w:sz w:val="21"/>
                      <w:szCs w:val="21"/>
                      <w:lang w:val="en-US" w:eastAsia="zh-CN"/>
                    </w:rPr>
                    <w:t>一般排放口</w:t>
                  </w:r>
                </w:p>
              </w:tc>
              <w:tc>
                <w:tcPr>
                  <w:tcW w:w="96" w:type="pct"/>
                  <w:vMerge w:val="continue"/>
                  <w:tcBorders>
                    <w:top w:val="single" w:color="auto" w:sz="4" w:space="0"/>
                    <w:left w:val="single" w:color="000000" w:sz="4" w:space="0"/>
                    <w:bottom w:val="single" w:color="auto" w:sz="4" w:space="0"/>
                  </w:tcBorders>
                  <w:noWrap w:val="0"/>
                  <w:vAlign w:val="center"/>
                </w:tcPr>
                <w:p w14:paraId="11D93C88">
                  <w:pPr>
                    <w:pStyle w:val="58"/>
                    <w:adjustRightInd w:val="0"/>
                    <w:snapToGrid w:val="0"/>
                    <w:jc w:val="center"/>
                    <w:rPr>
                      <w:rFonts w:hint="eastAsia"/>
                      <w:sz w:val="21"/>
                      <w:szCs w:val="21"/>
                      <w:lang w:eastAsia="zh-CN"/>
                    </w:rPr>
                  </w:pPr>
                </w:p>
              </w:tc>
            </w:tr>
            <w:tr w14:paraId="658848AA">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16" w:hRule="atLeast"/>
              </w:trPr>
              <w:tc>
                <w:tcPr>
                  <w:tcW w:w="114" w:type="pct"/>
                  <w:vMerge w:val="restart"/>
                  <w:tcBorders>
                    <w:top w:val="single" w:color="auto" w:sz="4" w:space="0"/>
                    <w:bottom w:val="single" w:color="auto" w:sz="4" w:space="0"/>
                    <w:right w:val="single" w:color="000000" w:sz="4" w:space="0"/>
                  </w:tcBorders>
                  <w:noWrap w:val="0"/>
                  <w:vAlign w:val="center"/>
                </w:tcPr>
                <w:p w14:paraId="4E6F93A6">
                  <w:pPr>
                    <w:pStyle w:val="58"/>
                    <w:adjustRightInd w:val="0"/>
                    <w:snapToGrid w:val="0"/>
                    <w:jc w:val="center"/>
                    <w:rPr>
                      <w:sz w:val="21"/>
                      <w:szCs w:val="21"/>
                      <w:lang w:eastAsia="zh-CN"/>
                    </w:rPr>
                  </w:pPr>
                  <w:r>
                    <w:rPr>
                      <w:rFonts w:hint="eastAsia"/>
                      <w:sz w:val="21"/>
                      <w:szCs w:val="21"/>
                      <w:lang w:val="en-US" w:eastAsia="zh-CN"/>
                    </w:rPr>
                    <w:t>3</w:t>
                  </w:r>
                </w:p>
              </w:tc>
              <w:tc>
                <w:tcPr>
                  <w:tcW w:w="187" w:type="pct"/>
                  <w:vMerge w:val="restart"/>
                  <w:tcBorders>
                    <w:top w:val="single" w:color="auto" w:sz="4" w:space="0"/>
                    <w:left w:val="single" w:color="000000" w:sz="4" w:space="0"/>
                    <w:bottom w:val="single" w:color="auto" w:sz="4" w:space="0"/>
                    <w:right w:val="single" w:color="000000" w:sz="4" w:space="0"/>
                  </w:tcBorders>
                  <w:noWrap w:val="0"/>
                  <w:vAlign w:val="center"/>
                </w:tcPr>
                <w:p w14:paraId="103AD392">
                  <w:pPr>
                    <w:pStyle w:val="58"/>
                    <w:adjustRightInd w:val="0"/>
                    <w:snapToGrid w:val="0"/>
                    <w:jc w:val="center"/>
                    <w:rPr>
                      <w:sz w:val="21"/>
                      <w:szCs w:val="21"/>
                      <w:lang w:eastAsia="zh-CN"/>
                    </w:rPr>
                  </w:pPr>
                  <w:r>
                    <w:rPr>
                      <w:rFonts w:hint="eastAsia"/>
                      <w:sz w:val="21"/>
                      <w:szCs w:val="21"/>
                      <w:lang w:val="en-US" w:eastAsia="zh-CN"/>
                    </w:rPr>
                    <w:t>拆解</w:t>
                  </w:r>
                  <w:r>
                    <w:rPr>
                      <w:rFonts w:hint="eastAsia"/>
                      <w:sz w:val="21"/>
                      <w:szCs w:val="21"/>
                      <w:lang w:eastAsia="zh-CN"/>
                    </w:rPr>
                    <w:t>单元</w:t>
                  </w:r>
                </w:p>
              </w:tc>
              <w:tc>
                <w:tcPr>
                  <w:tcW w:w="357" w:type="pct"/>
                  <w:tcBorders>
                    <w:top w:val="single" w:color="000000" w:sz="4" w:space="0"/>
                    <w:left w:val="single" w:color="000000" w:sz="4" w:space="0"/>
                    <w:bottom w:val="single" w:color="000000" w:sz="4" w:space="0"/>
                    <w:right w:val="single" w:color="000000" w:sz="4" w:space="0"/>
                  </w:tcBorders>
                  <w:noWrap w:val="0"/>
                  <w:vAlign w:val="center"/>
                </w:tcPr>
                <w:p w14:paraId="01B415A4">
                  <w:pPr>
                    <w:pStyle w:val="58"/>
                    <w:adjustRightInd w:val="0"/>
                    <w:snapToGrid w:val="0"/>
                    <w:jc w:val="center"/>
                    <w:rPr>
                      <w:rFonts w:hint="default"/>
                      <w:sz w:val="21"/>
                      <w:szCs w:val="21"/>
                      <w:lang w:val="en-US" w:eastAsia="zh-CN"/>
                    </w:rPr>
                  </w:pPr>
                  <w:r>
                    <w:rPr>
                      <w:rFonts w:hint="eastAsia"/>
                      <w:sz w:val="21"/>
                      <w:szCs w:val="21"/>
                      <w:lang w:val="en-US" w:eastAsia="zh-CN"/>
                    </w:rPr>
                    <w:t>MF0036</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1BABF4F8">
                  <w:pPr>
                    <w:pStyle w:val="58"/>
                    <w:adjustRightInd w:val="0"/>
                    <w:snapToGrid w:val="0"/>
                    <w:jc w:val="center"/>
                    <w:rPr>
                      <w:rFonts w:hint="default"/>
                      <w:sz w:val="21"/>
                      <w:szCs w:val="21"/>
                      <w:lang w:val="en-US" w:eastAsia="zh-CN"/>
                    </w:rPr>
                  </w:pPr>
                  <w:r>
                    <w:rPr>
                      <w:rFonts w:hint="eastAsia"/>
                      <w:sz w:val="21"/>
                      <w:szCs w:val="21"/>
                      <w:lang w:val="en-US" w:eastAsia="zh-CN"/>
                    </w:rPr>
                    <w:t>等离子切割机</w:t>
                  </w:r>
                </w:p>
              </w:tc>
              <w:tc>
                <w:tcPr>
                  <w:tcW w:w="231" w:type="pct"/>
                  <w:vMerge w:val="restart"/>
                  <w:tcBorders>
                    <w:top w:val="single" w:color="auto" w:sz="4" w:space="0"/>
                    <w:left w:val="single" w:color="000000" w:sz="4" w:space="0"/>
                    <w:bottom w:val="single" w:color="auto" w:sz="4" w:space="0"/>
                    <w:right w:val="single" w:color="000000" w:sz="4" w:space="0"/>
                  </w:tcBorders>
                  <w:noWrap w:val="0"/>
                  <w:vAlign w:val="center"/>
                </w:tcPr>
                <w:p w14:paraId="4AECD962">
                  <w:pPr>
                    <w:pStyle w:val="58"/>
                    <w:adjustRightInd w:val="0"/>
                    <w:snapToGrid w:val="0"/>
                    <w:jc w:val="center"/>
                    <w:rPr>
                      <w:rFonts w:hint="default"/>
                      <w:sz w:val="21"/>
                      <w:szCs w:val="21"/>
                      <w:lang w:val="en-US" w:eastAsia="zh-CN"/>
                    </w:rPr>
                  </w:pPr>
                  <w:r>
                    <w:rPr>
                      <w:rFonts w:hint="eastAsia"/>
                      <w:sz w:val="21"/>
                      <w:szCs w:val="21"/>
                      <w:lang w:val="en-US" w:eastAsia="zh-CN"/>
                    </w:rPr>
                    <w:t>切割</w:t>
                  </w:r>
                </w:p>
              </w:tc>
              <w:tc>
                <w:tcPr>
                  <w:tcW w:w="297" w:type="pct"/>
                  <w:vMerge w:val="restart"/>
                  <w:tcBorders>
                    <w:top w:val="single" w:color="auto" w:sz="4" w:space="0"/>
                    <w:left w:val="single" w:color="000000" w:sz="4" w:space="0"/>
                    <w:bottom w:val="single" w:color="auto" w:sz="4" w:space="0"/>
                    <w:right w:val="single" w:color="000000" w:sz="6" w:space="0"/>
                  </w:tcBorders>
                  <w:noWrap w:val="0"/>
                  <w:vAlign w:val="center"/>
                </w:tcPr>
                <w:p w14:paraId="4A852306">
                  <w:pPr>
                    <w:pStyle w:val="58"/>
                    <w:adjustRightInd w:val="0"/>
                    <w:snapToGrid w:val="0"/>
                    <w:jc w:val="center"/>
                    <w:rPr>
                      <w:rFonts w:hint="default"/>
                      <w:sz w:val="21"/>
                      <w:szCs w:val="21"/>
                      <w:lang w:val="en-US" w:eastAsia="zh-CN"/>
                    </w:rPr>
                  </w:pPr>
                  <w:r>
                    <w:rPr>
                      <w:rFonts w:hint="eastAsia"/>
                      <w:sz w:val="21"/>
                      <w:szCs w:val="21"/>
                      <w:lang w:val="en-US" w:eastAsia="zh-CN"/>
                    </w:rPr>
                    <w:t>颗粒物</w:t>
                  </w:r>
                </w:p>
              </w:tc>
              <w:tc>
                <w:tcPr>
                  <w:tcW w:w="211" w:type="pct"/>
                  <w:vMerge w:val="restart"/>
                  <w:tcBorders>
                    <w:top w:val="single" w:color="auto" w:sz="4" w:space="0"/>
                    <w:left w:val="single" w:color="000000" w:sz="6" w:space="0"/>
                    <w:bottom w:val="single" w:color="auto" w:sz="4" w:space="0"/>
                    <w:right w:val="single" w:color="000000" w:sz="4" w:space="0"/>
                  </w:tcBorders>
                  <w:noWrap w:val="0"/>
                  <w:vAlign w:val="center"/>
                </w:tcPr>
                <w:p w14:paraId="25EAA602">
                  <w:pPr>
                    <w:pStyle w:val="58"/>
                    <w:adjustRightInd w:val="0"/>
                    <w:snapToGrid w:val="0"/>
                    <w:jc w:val="center"/>
                    <w:rPr>
                      <w:sz w:val="21"/>
                      <w:szCs w:val="21"/>
                      <w:lang w:eastAsia="zh-CN"/>
                    </w:rPr>
                  </w:pPr>
                  <w:r>
                    <w:rPr>
                      <w:rFonts w:hint="eastAsia"/>
                      <w:sz w:val="21"/>
                      <w:szCs w:val="21"/>
                      <w:lang w:eastAsia="zh-CN"/>
                    </w:rPr>
                    <w:t>有组织</w:t>
                  </w:r>
                </w:p>
              </w:tc>
              <w:tc>
                <w:tcPr>
                  <w:tcW w:w="304" w:type="pct"/>
                  <w:vMerge w:val="restart"/>
                  <w:tcBorders>
                    <w:top w:val="single" w:color="auto" w:sz="4" w:space="0"/>
                    <w:left w:val="single" w:color="000000" w:sz="4" w:space="0"/>
                    <w:bottom w:val="single" w:color="auto" w:sz="4" w:space="0"/>
                    <w:right w:val="single" w:color="000000" w:sz="4" w:space="0"/>
                  </w:tcBorders>
                  <w:noWrap w:val="0"/>
                  <w:vAlign w:val="center"/>
                </w:tcPr>
                <w:p w14:paraId="35DD6313">
                  <w:pPr>
                    <w:pStyle w:val="58"/>
                    <w:adjustRightInd w:val="0"/>
                    <w:snapToGrid w:val="0"/>
                    <w:jc w:val="center"/>
                    <w:rPr>
                      <w:rFonts w:hint="default"/>
                      <w:sz w:val="21"/>
                      <w:szCs w:val="21"/>
                      <w:lang w:val="en-US" w:eastAsia="zh-CN"/>
                    </w:rPr>
                  </w:pPr>
                  <w:r>
                    <w:rPr>
                      <w:rFonts w:hint="eastAsia"/>
                      <w:sz w:val="21"/>
                      <w:szCs w:val="21"/>
                      <w:lang w:val="en-US" w:eastAsia="zh-CN"/>
                    </w:rPr>
                    <w:t>TA003</w:t>
                  </w:r>
                </w:p>
              </w:tc>
              <w:tc>
                <w:tcPr>
                  <w:tcW w:w="418" w:type="pct"/>
                  <w:vMerge w:val="restart"/>
                  <w:tcBorders>
                    <w:top w:val="single" w:color="auto" w:sz="4" w:space="0"/>
                    <w:left w:val="single" w:color="000000" w:sz="4" w:space="0"/>
                    <w:bottom w:val="single" w:color="auto" w:sz="4" w:space="0"/>
                    <w:right w:val="single" w:color="000000" w:sz="4" w:space="0"/>
                  </w:tcBorders>
                  <w:noWrap w:val="0"/>
                  <w:vAlign w:val="center"/>
                </w:tcPr>
                <w:p w14:paraId="643A9BEE">
                  <w:pPr>
                    <w:pStyle w:val="58"/>
                    <w:adjustRightInd w:val="0"/>
                    <w:snapToGrid w:val="0"/>
                    <w:jc w:val="center"/>
                    <w:rPr>
                      <w:rFonts w:hint="default"/>
                      <w:sz w:val="21"/>
                      <w:szCs w:val="21"/>
                      <w:lang w:val="en-US" w:eastAsia="zh-CN"/>
                    </w:rPr>
                  </w:pPr>
                  <w:r>
                    <w:rPr>
                      <w:rFonts w:hint="eastAsia"/>
                      <w:sz w:val="21"/>
                      <w:szCs w:val="21"/>
                      <w:lang w:val="en-US" w:eastAsia="zh-CN"/>
                    </w:rPr>
                    <w:t>布袋除尘器</w:t>
                  </w:r>
                </w:p>
              </w:tc>
              <w:tc>
                <w:tcPr>
                  <w:tcW w:w="331" w:type="pct"/>
                  <w:vMerge w:val="restart"/>
                  <w:tcBorders>
                    <w:top w:val="single" w:color="auto" w:sz="4" w:space="0"/>
                    <w:left w:val="single" w:color="000000" w:sz="4" w:space="0"/>
                    <w:bottom w:val="single" w:color="auto" w:sz="4" w:space="0"/>
                    <w:right w:val="single" w:color="000000" w:sz="6" w:space="0"/>
                  </w:tcBorders>
                  <w:noWrap w:val="0"/>
                  <w:vAlign w:val="center"/>
                </w:tcPr>
                <w:p w14:paraId="31DC6CCD">
                  <w:pPr>
                    <w:pStyle w:val="58"/>
                    <w:adjustRightInd w:val="0"/>
                    <w:snapToGrid w:val="0"/>
                    <w:jc w:val="center"/>
                    <w:rPr>
                      <w:sz w:val="21"/>
                      <w:szCs w:val="21"/>
                      <w:lang w:eastAsia="zh-CN"/>
                    </w:rPr>
                  </w:pPr>
                  <w:r>
                    <w:rPr>
                      <w:rFonts w:hint="eastAsia"/>
                      <w:sz w:val="21"/>
                      <w:szCs w:val="21"/>
                      <w:lang w:val="en-US" w:eastAsia="zh-CN"/>
                    </w:rPr>
                    <w:t>布袋除尘</w:t>
                  </w:r>
                </w:p>
              </w:tc>
              <w:tc>
                <w:tcPr>
                  <w:tcW w:w="175" w:type="pct"/>
                  <w:vMerge w:val="restart"/>
                  <w:tcBorders>
                    <w:top w:val="single" w:color="auto" w:sz="4" w:space="0"/>
                    <w:left w:val="single" w:color="000000" w:sz="6" w:space="0"/>
                    <w:bottom w:val="single" w:color="auto" w:sz="4" w:space="0"/>
                    <w:right w:val="single" w:color="000000" w:sz="6" w:space="0"/>
                  </w:tcBorders>
                  <w:noWrap w:val="0"/>
                  <w:vAlign w:val="center"/>
                </w:tcPr>
                <w:p w14:paraId="6722E4D9">
                  <w:pPr>
                    <w:pStyle w:val="58"/>
                    <w:adjustRightInd w:val="0"/>
                    <w:snapToGrid w:val="0"/>
                    <w:jc w:val="center"/>
                    <w:rPr>
                      <w:rFonts w:hint="eastAsia"/>
                      <w:sz w:val="21"/>
                      <w:szCs w:val="21"/>
                      <w:lang w:eastAsia="zh-CN"/>
                    </w:rPr>
                  </w:pPr>
                  <w:r>
                    <w:rPr>
                      <w:rFonts w:hint="eastAsia"/>
                      <w:sz w:val="21"/>
                      <w:szCs w:val="21"/>
                      <w:lang w:eastAsia="zh-CN"/>
                    </w:rPr>
                    <w:t>风量</w:t>
                  </w:r>
                </w:p>
              </w:tc>
              <w:tc>
                <w:tcPr>
                  <w:tcW w:w="239" w:type="pct"/>
                  <w:vMerge w:val="restart"/>
                  <w:tcBorders>
                    <w:top w:val="single" w:color="auto" w:sz="4" w:space="0"/>
                    <w:left w:val="single" w:color="000000" w:sz="6" w:space="0"/>
                    <w:bottom w:val="single" w:color="auto" w:sz="4" w:space="0"/>
                    <w:right w:val="single" w:color="000000" w:sz="6" w:space="0"/>
                  </w:tcBorders>
                  <w:noWrap w:val="0"/>
                  <w:vAlign w:val="center"/>
                </w:tcPr>
                <w:p w14:paraId="33899A05">
                  <w:pPr>
                    <w:pStyle w:val="58"/>
                    <w:adjustRightInd w:val="0"/>
                    <w:snapToGrid w:val="0"/>
                    <w:jc w:val="center"/>
                    <w:rPr>
                      <w:sz w:val="21"/>
                      <w:szCs w:val="21"/>
                      <w:lang w:eastAsia="zh-CN"/>
                    </w:rPr>
                  </w:pPr>
                  <w:r>
                    <w:rPr>
                      <w:rFonts w:hint="eastAsia"/>
                      <w:sz w:val="21"/>
                      <w:szCs w:val="21"/>
                      <w:lang w:val="en-US" w:eastAsia="zh-CN"/>
                    </w:rPr>
                    <w:t>9</w:t>
                  </w:r>
                  <w:r>
                    <w:rPr>
                      <w:rFonts w:hint="eastAsia"/>
                      <w:sz w:val="21"/>
                      <w:szCs w:val="21"/>
                      <w:lang w:eastAsia="zh-CN"/>
                    </w:rPr>
                    <w:t>000</w:t>
                  </w:r>
                </w:p>
              </w:tc>
              <w:tc>
                <w:tcPr>
                  <w:tcW w:w="169" w:type="pct"/>
                  <w:vMerge w:val="restart"/>
                  <w:tcBorders>
                    <w:top w:val="single" w:color="auto" w:sz="4" w:space="0"/>
                    <w:left w:val="single" w:color="000000" w:sz="6" w:space="0"/>
                    <w:bottom w:val="single" w:color="auto" w:sz="4" w:space="0"/>
                    <w:right w:val="single" w:color="000000" w:sz="6" w:space="0"/>
                  </w:tcBorders>
                  <w:noWrap w:val="0"/>
                  <w:vAlign w:val="center"/>
                </w:tcPr>
                <w:p w14:paraId="072F87B1">
                  <w:pPr>
                    <w:pStyle w:val="58"/>
                    <w:adjustRightInd w:val="0"/>
                    <w:snapToGrid w:val="0"/>
                    <w:jc w:val="center"/>
                    <w:rPr>
                      <w:sz w:val="21"/>
                      <w:szCs w:val="21"/>
                      <w:lang w:eastAsia="zh-CN"/>
                    </w:rPr>
                  </w:pPr>
                  <w:r>
                    <w:rPr>
                      <w:rFonts w:hint="eastAsia"/>
                      <w:sz w:val="21"/>
                      <w:szCs w:val="21"/>
                      <w:lang w:eastAsia="zh-CN"/>
                    </w:rPr>
                    <w:t>m</w:t>
                  </w:r>
                  <w:r>
                    <w:rPr>
                      <w:rFonts w:hint="eastAsia"/>
                      <w:sz w:val="21"/>
                      <w:szCs w:val="21"/>
                      <w:vertAlign w:val="superscript"/>
                      <w:lang w:eastAsia="zh-CN"/>
                    </w:rPr>
                    <w:t>3</w:t>
                  </w:r>
                  <w:r>
                    <w:rPr>
                      <w:rFonts w:hint="eastAsia"/>
                      <w:sz w:val="21"/>
                      <w:szCs w:val="21"/>
                      <w:lang w:eastAsia="zh-CN"/>
                    </w:rPr>
                    <w:t>/h</w:t>
                  </w:r>
                </w:p>
              </w:tc>
              <w:tc>
                <w:tcPr>
                  <w:tcW w:w="221" w:type="pct"/>
                  <w:vMerge w:val="restart"/>
                  <w:tcBorders>
                    <w:top w:val="single" w:color="auto" w:sz="4" w:space="0"/>
                    <w:left w:val="single" w:color="000000" w:sz="6" w:space="0"/>
                    <w:bottom w:val="single" w:color="auto" w:sz="4" w:space="0"/>
                    <w:right w:val="single" w:color="000000" w:sz="6" w:space="0"/>
                  </w:tcBorders>
                  <w:noWrap w:val="0"/>
                  <w:vAlign w:val="center"/>
                </w:tcPr>
                <w:p w14:paraId="7A2F7AC1">
                  <w:pPr>
                    <w:pStyle w:val="58"/>
                    <w:adjustRightInd w:val="0"/>
                    <w:snapToGrid w:val="0"/>
                    <w:jc w:val="center"/>
                    <w:rPr>
                      <w:rFonts w:hint="eastAsia"/>
                      <w:sz w:val="21"/>
                      <w:szCs w:val="21"/>
                      <w:lang w:eastAsia="zh-CN"/>
                    </w:rPr>
                  </w:pPr>
                  <w:r>
                    <w:rPr>
                      <w:rFonts w:hint="eastAsia"/>
                      <w:sz w:val="21"/>
                      <w:szCs w:val="21"/>
                      <w:lang w:eastAsia="zh-CN"/>
                    </w:rPr>
                    <w:t>/</w:t>
                  </w:r>
                </w:p>
              </w:tc>
              <w:tc>
                <w:tcPr>
                  <w:tcW w:w="162" w:type="pct"/>
                  <w:vMerge w:val="restart"/>
                  <w:tcBorders>
                    <w:top w:val="single" w:color="auto" w:sz="4" w:space="0"/>
                    <w:left w:val="single" w:color="000000" w:sz="6" w:space="0"/>
                    <w:bottom w:val="single" w:color="auto" w:sz="4" w:space="0"/>
                    <w:right w:val="single" w:color="000000" w:sz="6" w:space="0"/>
                  </w:tcBorders>
                  <w:noWrap w:val="0"/>
                  <w:vAlign w:val="center"/>
                </w:tcPr>
                <w:p w14:paraId="161F63A3">
                  <w:pPr>
                    <w:pStyle w:val="58"/>
                    <w:adjustRightInd w:val="0"/>
                    <w:snapToGrid w:val="0"/>
                    <w:jc w:val="center"/>
                    <w:rPr>
                      <w:rFonts w:hint="eastAsia"/>
                      <w:sz w:val="21"/>
                      <w:szCs w:val="21"/>
                      <w:lang w:eastAsia="zh-CN"/>
                    </w:rPr>
                  </w:pPr>
                  <w:r>
                    <w:rPr>
                      <w:rFonts w:hint="eastAsia"/>
                      <w:sz w:val="21"/>
                      <w:szCs w:val="21"/>
                      <w:lang w:eastAsia="zh-CN"/>
                    </w:rPr>
                    <w:t>是</w:t>
                  </w:r>
                </w:p>
              </w:tc>
              <w:tc>
                <w:tcPr>
                  <w:tcW w:w="246" w:type="pct"/>
                  <w:vMerge w:val="restart"/>
                  <w:tcBorders>
                    <w:top w:val="single" w:color="auto" w:sz="4" w:space="0"/>
                    <w:left w:val="single" w:color="000000" w:sz="6" w:space="0"/>
                    <w:bottom w:val="single" w:color="auto" w:sz="4" w:space="0"/>
                    <w:right w:val="single" w:color="000000" w:sz="4" w:space="0"/>
                  </w:tcBorders>
                  <w:noWrap w:val="0"/>
                  <w:vAlign w:val="center"/>
                </w:tcPr>
                <w:p w14:paraId="0075F1E9">
                  <w:pPr>
                    <w:pStyle w:val="58"/>
                    <w:adjustRightInd w:val="0"/>
                    <w:snapToGrid w:val="0"/>
                    <w:jc w:val="center"/>
                    <w:rPr>
                      <w:rFonts w:hint="eastAsia"/>
                      <w:sz w:val="21"/>
                      <w:szCs w:val="21"/>
                      <w:lang w:eastAsia="zh-CN"/>
                    </w:rPr>
                  </w:pPr>
                  <w:r>
                    <w:rPr>
                      <w:rFonts w:hint="eastAsia"/>
                      <w:sz w:val="21"/>
                      <w:szCs w:val="21"/>
                      <w:lang w:eastAsia="zh-CN"/>
                    </w:rPr>
                    <w:t>/</w:t>
                  </w:r>
                </w:p>
              </w:tc>
              <w:tc>
                <w:tcPr>
                  <w:tcW w:w="234" w:type="pct"/>
                  <w:vMerge w:val="restart"/>
                  <w:tcBorders>
                    <w:top w:val="single" w:color="auto" w:sz="4" w:space="0"/>
                    <w:left w:val="single" w:color="000000" w:sz="4" w:space="0"/>
                    <w:bottom w:val="single" w:color="auto" w:sz="4" w:space="0"/>
                    <w:right w:val="single" w:color="000000" w:sz="6" w:space="0"/>
                  </w:tcBorders>
                  <w:noWrap w:val="0"/>
                  <w:vAlign w:val="center"/>
                </w:tcPr>
                <w:p w14:paraId="1F4B91DC">
                  <w:pPr>
                    <w:pStyle w:val="58"/>
                    <w:adjustRightInd w:val="0"/>
                    <w:snapToGrid w:val="0"/>
                    <w:jc w:val="center"/>
                    <w:rPr>
                      <w:sz w:val="21"/>
                      <w:szCs w:val="21"/>
                      <w:lang w:eastAsia="zh-CN"/>
                    </w:rPr>
                  </w:pPr>
                  <w:r>
                    <w:rPr>
                      <w:rFonts w:hint="eastAsia"/>
                      <w:sz w:val="21"/>
                      <w:szCs w:val="21"/>
                      <w:lang w:eastAsia="zh-CN"/>
                    </w:rPr>
                    <w:t>DA00</w:t>
                  </w:r>
                  <w:r>
                    <w:rPr>
                      <w:rFonts w:hint="eastAsia"/>
                      <w:sz w:val="21"/>
                      <w:szCs w:val="21"/>
                      <w:lang w:val="en-US" w:eastAsia="zh-CN"/>
                    </w:rPr>
                    <w:t>3</w:t>
                  </w:r>
                </w:p>
              </w:tc>
              <w:tc>
                <w:tcPr>
                  <w:tcW w:w="253" w:type="pct"/>
                  <w:vMerge w:val="restart"/>
                  <w:tcBorders>
                    <w:top w:val="single" w:color="auto" w:sz="4" w:space="0"/>
                    <w:left w:val="single" w:color="000000" w:sz="6" w:space="0"/>
                    <w:bottom w:val="single" w:color="auto" w:sz="4" w:space="0"/>
                    <w:right w:val="single" w:color="000000" w:sz="6" w:space="0"/>
                  </w:tcBorders>
                  <w:noWrap w:val="0"/>
                  <w:vAlign w:val="center"/>
                </w:tcPr>
                <w:p w14:paraId="29FADC56">
                  <w:pPr>
                    <w:pStyle w:val="58"/>
                    <w:adjustRightInd w:val="0"/>
                    <w:snapToGrid w:val="0"/>
                    <w:jc w:val="center"/>
                    <w:rPr>
                      <w:bCs/>
                      <w:sz w:val="21"/>
                      <w:szCs w:val="21"/>
                      <w:lang w:eastAsia="zh-CN"/>
                    </w:rPr>
                  </w:pPr>
                  <w:r>
                    <w:rPr>
                      <w:rFonts w:hint="eastAsia"/>
                      <w:bCs/>
                      <w:sz w:val="21"/>
                      <w:szCs w:val="21"/>
                      <w:lang w:val="en-US" w:eastAsia="zh-CN"/>
                    </w:rPr>
                    <w:t>切割</w:t>
                  </w:r>
                  <w:r>
                    <w:rPr>
                      <w:rFonts w:hint="eastAsia"/>
                      <w:bCs/>
                      <w:sz w:val="21"/>
                      <w:szCs w:val="21"/>
                      <w:lang w:eastAsia="zh-CN"/>
                    </w:rPr>
                    <w:t>工段废气排放口</w:t>
                  </w:r>
                </w:p>
              </w:tc>
              <w:tc>
                <w:tcPr>
                  <w:tcW w:w="228" w:type="pct"/>
                  <w:vMerge w:val="restart"/>
                  <w:tcBorders>
                    <w:top w:val="single" w:color="auto" w:sz="4" w:space="0"/>
                    <w:left w:val="single" w:color="000000" w:sz="6" w:space="0"/>
                    <w:bottom w:val="single" w:color="auto" w:sz="4" w:space="0"/>
                    <w:right w:val="single" w:color="000000" w:sz="6" w:space="0"/>
                  </w:tcBorders>
                  <w:noWrap w:val="0"/>
                  <w:vAlign w:val="center"/>
                </w:tcPr>
                <w:p w14:paraId="5CC5D87E">
                  <w:pPr>
                    <w:pStyle w:val="58"/>
                    <w:adjustRightInd w:val="0"/>
                    <w:snapToGrid w:val="0"/>
                    <w:jc w:val="center"/>
                    <w:rPr>
                      <w:rFonts w:hint="eastAsia"/>
                      <w:sz w:val="21"/>
                      <w:szCs w:val="21"/>
                      <w:lang w:eastAsia="zh-CN"/>
                    </w:rPr>
                  </w:pPr>
                  <w:r>
                    <w:rPr>
                      <w:rFonts w:hint="eastAsia"/>
                      <w:sz w:val="21"/>
                      <w:szCs w:val="21"/>
                      <w:lang w:eastAsia="zh-CN"/>
                    </w:rPr>
                    <w:t>是</w:t>
                  </w:r>
                </w:p>
              </w:tc>
              <w:tc>
                <w:tcPr>
                  <w:tcW w:w="189" w:type="pct"/>
                  <w:vMerge w:val="restart"/>
                  <w:tcBorders>
                    <w:top w:val="single" w:color="auto" w:sz="4" w:space="0"/>
                    <w:left w:val="single" w:color="000000" w:sz="6" w:space="0"/>
                    <w:bottom w:val="single" w:color="auto" w:sz="4" w:space="0"/>
                    <w:right w:val="single" w:color="000000" w:sz="4" w:space="0"/>
                  </w:tcBorders>
                  <w:noWrap w:val="0"/>
                  <w:vAlign w:val="center"/>
                </w:tcPr>
                <w:p w14:paraId="07A8678B">
                  <w:pPr>
                    <w:pStyle w:val="58"/>
                    <w:adjustRightInd w:val="0"/>
                    <w:snapToGrid w:val="0"/>
                    <w:jc w:val="center"/>
                    <w:rPr>
                      <w:sz w:val="21"/>
                      <w:szCs w:val="21"/>
                      <w:lang w:eastAsia="zh-CN"/>
                    </w:rPr>
                  </w:pPr>
                  <w:r>
                    <w:rPr>
                      <w:rFonts w:hint="eastAsia"/>
                      <w:sz w:val="21"/>
                      <w:szCs w:val="21"/>
                      <w:lang w:eastAsia="zh-CN"/>
                    </w:rPr>
                    <w:t>一般排放口</w:t>
                  </w:r>
                </w:p>
              </w:tc>
              <w:tc>
                <w:tcPr>
                  <w:tcW w:w="96" w:type="pct"/>
                  <w:vMerge w:val="restart"/>
                  <w:tcBorders>
                    <w:top w:val="single" w:color="auto" w:sz="4" w:space="0"/>
                    <w:left w:val="single" w:color="000000" w:sz="4" w:space="0"/>
                    <w:bottom w:val="single" w:color="auto" w:sz="4" w:space="0"/>
                  </w:tcBorders>
                  <w:noWrap w:val="0"/>
                  <w:vAlign w:val="center"/>
                </w:tcPr>
                <w:p w14:paraId="6B90827F">
                  <w:pPr>
                    <w:pStyle w:val="58"/>
                    <w:adjustRightInd w:val="0"/>
                    <w:snapToGrid w:val="0"/>
                    <w:jc w:val="center"/>
                    <w:rPr>
                      <w:rFonts w:hint="eastAsia"/>
                      <w:sz w:val="21"/>
                      <w:szCs w:val="21"/>
                      <w:lang w:eastAsia="zh-CN"/>
                    </w:rPr>
                  </w:pPr>
                  <w:r>
                    <w:rPr>
                      <w:rFonts w:hint="eastAsia"/>
                      <w:sz w:val="21"/>
                      <w:szCs w:val="21"/>
                      <w:lang w:eastAsia="zh-CN"/>
                    </w:rPr>
                    <w:t>/</w:t>
                  </w:r>
                </w:p>
              </w:tc>
            </w:tr>
            <w:tr w14:paraId="4EF30611">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90" w:hRule="atLeast"/>
              </w:trPr>
              <w:tc>
                <w:tcPr>
                  <w:tcW w:w="114" w:type="pct"/>
                  <w:vMerge w:val="continue"/>
                  <w:tcBorders>
                    <w:top w:val="single" w:color="auto" w:sz="4" w:space="0"/>
                    <w:bottom w:val="single" w:color="auto" w:sz="4" w:space="0"/>
                    <w:right w:val="single" w:color="000000" w:sz="4" w:space="0"/>
                  </w:tcBorders>
                  <w:noWrap w:val="0"/>
                  <w:vAlign w:val="center"/>
                </w:tcPr>
                <w:p w14:paraId="2AC37D39">
                  <w:pPr>
                    <w:pStyle w:val="58"/>
                    <w:adjustRightInd w:val="0"/>
                    <w:snapToGrid w:val="0"/>
                    <w:jc w:val="center"/>
                    <w:rPr>
                      <w:rFonts w:hint="eastAsia"/>
                      <w:sz w:val="21"/>
                      <w:szCs w:val="21"/>
                      <w:lang w:eastAsia="zh-CN"/>
                    </w:rPr>
                  </w:pPr>
                </w:p>
              </w:tc>
              <w:tc>
                <w:tcPr>
                  <w:tcW w:w="187" w:type="pct"/>
                  <w:vMerge w:val="continue"/>
                  <w:tcBorders>
                    <w:top w:val="single" w:color="auto" w:sz="4" w:space="0"/>
                    <w:left w:val="single" w:color="000000" w:sz="4" w:space="0"/>
                    <w:bottom w:val="single" w:color="auto" w:sz="4" w:space="0"/>
                    <w:right w:val="single" w:color="000000" w:sz="4" w:space="0"/>
                  </w:tcBorders>
                  <w:noWrap w:val="0"/>
                  <w:vAlign w:val="center"/>
                </w:tcPr>
                <w:p w14:paraId="71F14B3B">
                  <w:pPr>
                    <w:pStyle w:val="58"/>
                    <w:adjustRightInd w:val="0"/>
                    <w:snapToGrid w:val="0"/>
                    <w:jc w:val="center"/>
                    <w:rPr>
                      <w:rFonts w:hint="eastAsia"/>
                      <w:sz w:val="21"/>
                      <w:szCs w:val="21"/>
                      <w:lang w:eastAsia="zh-CN"/>
                    </w:rPr>
                  </w:pPr>
                </w:p>
              </w:tc>
              <w:tc>
                <w:tcPr>
                  <w:tcW w:w="357" w:type="pct"/>
                  <w:tcBorders>
                    <w:top w:val="single" w:color="000000" w:sz="4" w:space="0"/>
                    <w:left w:val="single" w:color="000000" w:sz="4" w:space="0"/>
                    <w:bottom w:val="single" w:color="000000" w:sz="4" w:space="0"/>
                    <w:right w:val="single" w:color="000000" w:sz="4" w:space="0"/>
                  </w:tcBorders>
                  <w:noWrap w:val="0"/>
                  <w:vAlign w:val="center"/>
                </w:tcPr>
                <w:p w14:paraId="5443403C">
                  <w:pPr>
                    <w:pStyle w:val="58"/>
                    <w:adjustRightInd w:val="0"/>
                    <w:snapToGrid w:val="0"/>
                    <w:jc w:val="center"/>
                    <w:rPr>
                      <w:rFonts w:hint="default"/>
                      <w:sz w:val="21"/>
                      <w:szCs w:val="21"/>
                      <w:lang w:val="en-US" w:eastAsia="zh-CN"/>
                    </w:rPr>
                  </w:pPr>
                  <w:r>
                    <w:rPr>
                      <w:rFonts w:hint="eastAsia"/>
                      <w:sz w:val="21"/>
                      <w:szCs w:val="21"/>
                      <w:lang w:val="en-US" w:eastAsia="zh-CN"/>
                    </w:rPr>
                    <w:t>MF0025</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031A7EE5">
                  <w:pPr>
                    <w:pStyle w:val="58"/>
                    <w:adjustRightInd w:val="0"/>
                    <w:snapToGrid w:val="0"/>
                    <w:jc w:val="center"/>
                    <w:rPr>
                      <w:rFonts w:hint="default"/>
                      <w:sz w:val="21"/>
                      <w:szCs w:val="21"/>
                      <w:lang w:val="en-US" w:eastAsia="zh-CN"/>
                    </w:rPr>
                  </w:pPr>
                  <w:r>
                    <w:rPr>
                      <w:rFonts w:hint="eastAsia"/>
                      <w:sz w:val="21"/>
                      <w:szCs w:val="21"/>
                      <w:lang w:val="en-US" w:eastAsia="zh-CN"/>
                    </w:rPr>
                    <w:t>立式破碎机</w:t>
                  </w:r>
                </w:p>
              </w:tc>
              <w:tc>
                <w:tcPr>
                  <w:tcW w:w="231" w:type="pct"/>
                  <w:vMerge w:val="continue"/>
                  <w:tcBorders>
                    <w:top w:val="single" w:color="auto" w:sz="4" w:space="0"/>
                    <w:left w:val="single" w:color="000000" w:sz="4" w:space="0"/>
                    <w:bottom w:val="single" w:color="auto" w:sz="4" w:space="0"/>
                    <w:right w:val="single" w:color="000000" w:sz="4" w:space="0"/>
                  </w:tcBorders>
                  <w:noWrap w:val="0"/>
                  <w:vAlign w:val="center"/>
                </w:tcPr>
                <w:p w14:paraId="67D35E04">
                  <w:pPr>
                    <w:pStyle w:val="58"/>
                    <w:adjustRightInd w:val="0"/>
                    <w:snapToGrid w:val="0"/>
                    <w:jc w:val="center"/>
                    <w:rPr>
                      <w:rFonts w:hint="eastAsia"/>
                      <w:sz w:val="21"/>
                      <w:szCs w:val="21"/>
                      <w:lang w:eastAsia="zh-CN"/>
                    </w:rPr>
                  </w:pPr>
                </w:p>
              </w:tc>
              <w:tc>
                <w:tcPr>
                  <w:tcW w:w="297" w:type="pct"/>
                  <w:vMerge w:val="continue"/>
                  <w:tcBorders>
                    <w:top w:val="single" w:color="auto" w:sz="4" w:space="0"/>
                    <w:left w:val="single" w:color="000000" w:sz="4" w:space="0"/>
                    <w:bottom w:val="single" w:color="auto" w:sz="4" w:space="0"/>
                    <w:right w:val="single" w:color="000000" w:sz="6" w:space="0"/>
                  </w:tcBorders>
                  <w:noWrap w:val="0"/>
                  <w:vAlign w:val="center"/>
                </w:tcPr>
                <w:p w14:paraId="274B5684">
                  <w:pPr>
                    <w:pStyle w:val="58"/>
                    <w:adjustRightInd w:val="0"/>
                    <w:snapToGrid w:val="0"/>
                    <w:jc w:val="center"/>
                    <w:rPr>
                      <w:rFonts w:hint="eastAsia"/>
                      <w:sz w:val="21"/>
                      <w:szCs w:val="21"/>
                      <w:lang w:eastAsia="zh-CN"/>
                    </w:rPr>
                  </w:pPr>
                </w:p>
              </w:tc>
              <w:tc>
                <w:tcPr>
                  <w:tcW w:w="211" w:type="pct"/>
                  <w:vMerge w:val="continue"/>
                  <w:tcBorders>
                    <w:top w:val="single" w:color="auto" w:sz="4" w:space="0"/>
                    <w:left w:val="single" w:color="000000" w:sz="6" w:space="0"/>
                    <w:bottom w:val="single" w:color="auto" w:sz="4" w:space="0"/>
                    <w:right w:val="single" w:color="000000" w:sz="4" w:space="0"/>
                  </w:tcBorders>
                  <w:noWrap w:val="0"/>
                  <w:vAlign w:val="center"/>
                </w:tcPr>
                <w:p w14:paraId="680721E3">
                  <w:pPr>
                    <w:pStyle w:val="58"/>
                    <w:adjustRightInd w:val="0"/>
                    <w:snapToGrid w:val="0"/>
                    <w:jc w:val="center"/>
                    <w:rPr>
                      <w:rFonts w:hint="eastAsia"/>
                      <w:sz w:val="21"/>
                      <w:szCs w:val="21"/>
                      <w:lang w:eastAsia="zh-CN"/>
                    </w:rPr>
                  </w:pPr>
                </w:p>
              </w:tc>
              <w:tc>
                <w:tcPr>
                  <w:tcW w:w="304" w:type="pct"/>
                  <w:vMerge w:val="continue"/>
                  <w:tcBorders>
                    <w:top w:val="single" w:color="auto" w:sz="4" w:space="0"/>
                    <w:left w:val="single" w:color="000000" w:sz="4" w:space="0"/>
                    <w:bottom w:val="single" w:color="auto" w:sz="4" w:space="0"/>
                    <w:right w:val="single" w:color="000000" w:sz="4" w:space="0"/>
                  </w:tcBorders>
                  <w:noWrap w:val="0"/>
                  <w:vAlign w:val="center"/>
                </w:tcPr>
                <w:p w14:paraId="0F128BBF">
                  <w:pPr>
                    <w:pStyle w:val="58"/>
                    <w:adjustRightInd w:val="0"/>
                    <w:snapToGrid w:val="0"/>
                    <w:jc w:val="center"/>
                    <w:rPr>
                      <w:rFonts w:hint="eastAsia"/>
                      <w:sz w:val="21"/>
                      <w:szCs w:val="21"/>
                      <w:lang w:eastAsia="zh-CN"/>
                    </w:rPr>
                  </w:pPr>
                </w:p>
              </w:tc>
              <w:tc>
                <w:tcPr>
                  <w:tcW w:w="418" w:type="pct"/>
                  <w:vMerge w:val="continue"/>
                  <w:tcBorders>
                    <w:top w:val="single" w:color="auto" w:sz="4" w:space="0"/>
                    <w:left w:val="single" w:color="000000" w:sz="4" w:space="0"/>
                    <w:bottom w:val="single" w:color="auto" w:sz="4" w:space="0"/>
                    <w:right w:val="single" w:color="000000" w:sz="4" w:space="0"/>
                  </w:tcBorders>
                  <w:noWrap w:val="0"/>
                  <w:vAlign w:val="center"/>
                </w:tcPr>
                <w:p w14:paraId="1F714635">
                  <w:pPr>
                    <w:pStyle w:val="58"/>
                    <w:adjustRightInd w:val="0"/>
                    <w:snapToGrid w:val="0"/>
                    <w:jc w:val="center"/>
                    <w:rPr>
                      <w:rFonts w:hint="eastAsia"/>
                      <w:sz w:val="21"/>
                      <w:szCs w:val="21"/>
                      <w:lang w:eastAsia="zh-CN"/>
                    </w:rPr>
                  </w:pPr>
                </w:p>
              </w:tc>
              <w:tc>
                <w:tcPr>
                  <w:tcW w:w="331" w:type="pct"/>
                  <w:vMerge w:val="continue"/>
                  <w:tcBorders>
                    <w:top w:val="single" w:color="auto" w:sz="4" w:space="0"/>
                    <w:left w:val="single" w:color="000000" w:sz="4" w:space="0"/>
                    <w:bottom w:val="single" w:color="auto" w:sz="4" w:space="0"/>
                    <w:right w:val="single" w:color="000000" w:sz="6" w:space="0"/>
                  </w:tcBorders>
                  <w:noWrap w:val="0"/>
                  <w:vAlign w:val="center"/>
                </w:tcPr>
                <w:p w14:paraId="69146BAF">
                  <w:pPr>
                    <w:pStyle w:val="58"/>
                    <w:adjustRightInd w:val="0"/>
                    <w:snapToGrid w:val="0"/>
                    <w:jc w:val="center"/>
                    <w:rPr>
                      <w:rFonts w:hint="eastAsia"/>
                      <w:sz w:val="21"/>
                      <w:szCs w:val="21"/>
                      <w:lang w:eastAsia="zh-CN"/>
                    </w:rPr>
                  </w:pPr>
                </w:p>
              </w:tc>
              <w:tc>
                <w:tcPr>
                  <w:tcW w:w="175" w:type="pct"/>
                  <w:vMerge w:val="continue"/>
                  <w:tcBorders>
                    <w:top w:val="single" w:color="auto" w:sz="4" w:space="0"/>
                    <w:left w:val="single" w:color="000000" w:sz="6" w:space="0"/>
                    <w:bottom w:val="single" w:color="auto" w:sz="4" w:space="0"/>
                    <w:right w:val="single" w:color="000000" w:sz="6" w:space="0"/>
                  </w:tcBorders>
                  <w:noWrap w:val="0"/>
                  <w:vAlign w:val="center"/>
                </w:tcPr>
                <w:p w14:paraId="0B261F7E">
                  <w:pPr>
                    <w:pStyle w:val="58"/>
                    <w:adjustRightInd w:val="0"/>
                    <w:snapToGrid w:val="0"/>
                    <w:jc w:val="center"/>
                    <w:rPr>
                      <w:rFonts w:hint="eastAsia"/>
                      <w:sz w:val="21"/>
                      <w:szCs w:val="21"/>
                      <w:lang w:eastAsia="zh-CN"/>
                    </w:rPr>
                  </w:pPr>
                </w:p>
              </w:tc>
              <w:tc>
                <w:tcPr>
                  <w:tcW w:w="239" w:type="pct"/>
                  <w:vMerge w:val="continue"/>
                  <w:tcBorders>
                    <w:top w:val="single" w:color="auto" w:sz="4" w:space="0"/>
                    <w:left w:val="single" w:color="000000" w:sz="6" w:space="0"/>
                    <w:bottom w:val="single" w:color="auto" w:sz="4" w:space="0"/>
                    <w:right w:val="single" w:color="000000" w:sz="6" w:space="0"/>
                  </w:tcBorders>
                  <w:noWrap w:val="0"/>
                  <w:vAlign w:val="center"/>
                </w:tcPr>
                <w:p w14:paraId="79BBF0F6">
                  <w:pPr>
                    <w:pStyle w:val="58"/>
                    <w:adjustRightInd w:val="0"/>
                    <w:snapToGrid w:val="0"/>
                    <w:jc w:val="center"/>
                    <w:rPr>
                      <w:rFonts w:hint="eastAsia"/>
                      <w:sz w:val="21"/>
                      <w:szCs w:val="21"/>
                      <w:lang w:eastAsia="zh-CN"/>
                    </w:rPr>
                  </w:pPr>
                </w:p>
              </w:tc>
              <w:tc>
                <w:tcPr>
                  <w:tcW w:w="169" w:type="pct"/>
                  <w:vMerge w:val="continue"/>
                  <w:tcBorders>
                    <w:top w:val="single" w:color="auto" w:sz="4" w:space="0"/>
                    <w:left w:val="single" w:color="000000" w:sz="6" w:space="0"/>
                    <w:bottom w:val="single" w:color="auto" w:sz="4" w:space="0"/>
                    <w:right w:val="single" w:color="000000" w:sz="6" w:space="0"/>
                  </w:tcBorders>
                  <w:noWrap w:val="0"/>
                  <w:vAlign w:val="center"/>
                </w:tcPr>
                <w:p w14:paraId="0489022E">
                  <w:pPr>
                    <w:pStyle w:val="58"/>
                    <w:adjustRightInd w:val="0"/>
                    <w:snapToGrid w:val="0"/>
                    <w:jc w:val="center"/>
                    <w:rPr>
                      <w:rFonts w:hint="eastAsia"/>
                      <w:sz w:val="21"/>
                      <w:szCs w:val="21"/>
                      <w:lang w:eastAsia="zh-CN"/>
                    </w:rPr>
                  </w:pPr>
                </w:p>
              </w:tc>
              <w:tc>
                <w:tcPr>
                  <w:tcW w:w="221" w:type="pct"/>
                  <w:vMerge w:val="continue"/>
                  <w:tcBorders>
                    <w:top w:val="single" w:color="auto" w:sz="4" w:space="0"/>
                    <w:left w:val="single" w:color="000000" w:sz="6" w:space="0"/>
                    <w:bottom w:val="single" w:color="auto" w:sz="4" w:space="0"/>
                    <w:right w:val="single" w:color="000000" w:sz="6" w:space="0"/>
                  </w:tcBorders>
                  <w:noWrap w:val="0"/>
                  <w:vAlign w:val="center"/>
                </w:tcPr>
                <w:p w14:paraId="7CB67467">
                  <w:pPr>
                    <w:pStyle w:val="58"/>
                    <w:adjustRightInd w:val="0"/>
                    <w:snapToGrid w:val="0"/>
                    <w:jc w:val="center"/>
                    <w:rPr>
                      <w:rFonts w:hint="eastAsia"/>
                      <w:sz w:val="21"/>
                      <w:szCs w:val="21"/>
                      <w:lang w:eastAsia="zh-CN"/>
                    </w:rPr>
                  </w:pPr>
                </w:p>
              </w:tc>
              <w:tc>
                <w:tcPr>
                  <w:tcW w:w="162" w:type="pct"/>
                  <w:vMerge w:val="continue"/>
                  <w:tcBorders>
                    <w:top w:val="single" w:color="auto" w:sz="4" w:space="0"/>
                    <w:left w:val="single" w:color="000000" w:sz="6" w:space="0"/>
                    <w:bottom w:val="single" w:color="auto" w:sz="4" w:space="0"/>
                    <w:right w:val="single" w:color="000000" w:sz="6" w:space="0"/>
                  </w:tcBorders>
                  <w:noWrap w:val="0"/>
                  <w:vAlign w:val="center"/>
                </w:tcPr>
                <w:p w14:paraId="7EFBFCCC">
                  <w:pPr>
                    <w:pStyle w:val="58"/>
                    <w:adjustRightInd w:val="0"/>
                    <w:snapToGrid w:val="0"/>
                    <w:jc w:val="center"/>
                    <w:rPr>
                      <w:rFonts w:hint="eastAsia"/>
                      <w:sz w:val="21"/>
                      <w:szCs w:val="21"/>
                      <w:lang w:eastAsia="zh-CN"/>
                    </w:rPr>
                  </w:pPr>
                </w:p>
              </w:tc>
              <w:tc>
                <w:tcPr>
                  <w:tcW w:w="246" w:type="pct"/>
                  <w:vMerge w:val="continue"/>
                  <w:tcBorders>
                    <w:top w:val="single" w:color="auto" w:sz="4" w:space="0"/>
                    <w:left w:val="single" w:color="000000" w:sz="6" w:space="0"/>
                    <w:bottom w:val="single" w:color="auto" w:sz="4" w:space="0"/>
                    <w:right w:val="single" w:color="000000" w:sz="4" w:space="0"/>
                  </w:tcBorders>
                  <w:noWrap w:val="0"/>
                  <w:vAlign w:val="center"/>
                </w:tcPr>
                <w:p w14:paraId="4FB79E63">
                  <w:pPr>
                    <w:pStyle w:val="58"/>
                    <w:adjustRightInd w:val="0"/>
                    <w:snapToGrid w:val="0"/>
                    <w:jc w:val="center"/>
                    <w:rPr>
                      <w:rFonts w:hint="eastAsia"/>
                      <w:sz w:val="21"/>
                      <w:szCs w:val="21"/>
                      <w:lang w:eastAsia="zh-CN"/>
                    </w:rPr>
                  </w:pPr>
                </w:p>
              </w:tc>
              <w:tc>
                <w:tcPr>
                  <w:tcW w:w="234" w:type="pct"/>
                  <w:vMerge w:val="continue"/>
                  <w:tcBorders>
                    <w:top w:val="single" w:color="auto" w:sz="4" w:space="0"/>
                    <w:left w:val="single" w:color="000000" w:sz="4" w:space="0"/>
                    <w:bottom w:val="single" w:color="auto" w:sz="4" w:space="0"/>
                    <w:right w:val="single" w:color="000000" w:sz="6" w:space="0"/>
                  </w:tcBorders>
                  <w:noWrap w:val="0"/>
                  <w:vAlign w:val="center"/>
                </w:tcPr>
                <w:p w14:paraId="34ABC6AA">
                  <w:pPr>
                    <w:pStyle w:val="58"/>
                    <w:adjustRightInd w:val="0"/>
                    <w:snapToGrid w:val="0"/>
                    <w:jc w:val="center"/>
                    <w:rPr>
                      <w:rFonts w:hint="eastAsia"/>
                      <w:sz w:val="21"/>
                      <w:szCs w:val="21"/>
                      <w:lang w:eastAsia="zh-CN"/>
                    </w:rPr>
                  </w:pPr>
                </w:p>
              </w:tc>
              <w:tc>
                <w:tcPr>
                  <w:tcW w:w="253" w:type="pct"/>
                  <w:vMerge w:val="continue"/>
                  <w:tcBorders>
                    <w:top w:val="single" w:color="auto" w:sz="4" w:space="0"/>
                    <w:left w:val="single" w:color="000000" w:sz="6" w:space="0"/>
                    <w:bottom w:val="single" w:color="auto" w:sz="4" w:space="0"/>
                    <w:right w:val="single" w:color="000000" w:sz="6" w:space="0"/>
                  </w:tcBorders>
                  <w:noWrap w:val="0"/>
                  <w:vAlign w:val="center"/>
                </w:tcPr>
                <w:p w14:paraId="2F1E4E1C">
                  <w:pPr>
                    <w:pStyle w:val="58"/>
                    <w:adjustRightInd w:val="0"/>
                    <w:snapToGrid w:val="0"/>
                    <w:jc w:val="center"/>
                    <w:rPr>
                      <w:rFonts w:hint="eastAsia"/>
                      <w:bCs/>
                      <w:sz w:val="21"/>
                      <w:szCs w:val="21"/>
                      <w:lang w:eastAsia="zh-CN"/>
                    </w:rPr>
                  </w:pPr>
                </w:p>
              </w:tc>
              <w:tc>
                <w:tcPr>
                  <w:tcW w:w="228" w:type="pct"/>
                  <w:vMerge w:val="continue"/>
                  <w:tcBorders>
                    <w:top w:val="single" w:color="auto" w:sz="4" w:space="0"/>
                    <w:left w:val="single" w:color="000000" w:sz="6" w:space="0"/>
                    <w:bottom w:val="single" w:color="auto" w:sz="4" w:space="0"/>
                    <w:right w:val="single" w:color="000000" w:sz="6" w:space="0"/>
                  </w:tcBorders>
                  <w:noWrap w:val="0"/>
                  <w:vAlign w:val="center"/>
                </w:tcPr>
                <w:p w14:paraId="0732DA83">
                  <w:pPr>
                    <w:pStyle w:val="58"/>
                    <w:adjustRightInd w:val="0"/>
                    <w:snapToGrid w:val="0"/>
                    <w:jc w:val="center"/>
                    <w:rPr>
                      <w:rFonts w:hint="eastAsia"/>
                      <w:sz w:val="21"/>
                      <w:szCs w:val="21"/>
                      <w:lang w:eastAsia="zh-CN"/>
                    </w:rPr>
                  </w:pPr>
                </w:p>
              </w:tc>
              <w:tc>
                <w:tcPr>
                  <w:tcW w:w="189" w:type="pct"/>
                  <w:vMerge w:val="continue"/>
                  <w:tcBorders>
                    <w:top w:val="single" w:color="auto" w:sz="4" w:space="0"/>
                    <w:left w:val="single" w:color="000000" w:sz="6" w:space="0"/>
                    <w:bottom w:val="single" w:color="auto" w:sz="4" w:space="0"/>
                    <w:right w:val="single" w:color="000000" w:sz="4" w:space="0"/>
                  </w:tcBorders>
                  <w:noWrap w:val="0"/>
                  <w:vAlign w:val="center"/>
                </w:tcPr>
                <w:p w14:paraId="3C4D57DC">
                  <w:pPr>
                    <w:pStyle w:val="58"/>
                    <w:adjustRightInd w:val="0"/>
                    <w:snapToGrid w:val="0"/>
                    <w:jc w:val="center"/>
                    <w:rPr>
                      <w:rFonts w:hint="eastAsia"/>
                      <w:sz w:val="21"/>
                      <w:szCs w:val="21"/>
                      <w:lang w:eastAsia="zh-CN"/>
                    </w:rPr>
                  </w:pPr>
                </w:p>
              </w:tc>
              <w:tc>
                <w:tcPr>
                  <w:tcW w:w="96" w:type="pct"/>
                  <w:vMerge w:val="continue"/>
                  <w:tcBorders>
                    <w:top w:val="single" w:color="auto" w:sz="4" w:space="0"/>
                    <w:left w:val="single" w:color="000000" w:sz="4" w:space="0"/>
                    <w:bottom w:val="single" w:color="auto" w:sz="4" w:space="0"/>
                  </w:tcBorders>
                  <w:noWrap w:val="0"/>
                  <w:vAlign w:val="center"/>
                </w:tcPr>
                <w:p w14:paraId="4C6C0C4F">
                  <w:pPr>
                    <w:pStyle w:val="58"/>
                    <w:adjustRightInd w:val="0"/>
                    <w:snapToGrid w:val="0"/>
                    <w:jc w:val="center"/>
                    <w:rPr>
                      <w:rFonts w:hint="eastAsia"/>
                      <w:sz w:val="21"/>
                      <w:szCs w:val="21"/>
                      <w:lang w:eastAsia="zh-CN"/>
                    </w:rPr>
                  </w:pPr>
                </w:p>
              </w:tc>
            </w:tr>
          </w:tbl>
          <w:p w14:paraId="22EA441C">
            <w:pPr>
              <w:adjustRightInd w:val="0"/>
              <w:snapToGrid w:val="0"/>
              <w:jc w:val="center"/>
              <w:rPr>
                <w:rFonts w:hint="eastAsia" w:ascii="宋体" w:hAnsi="宋体"/>
                <w:b/>
                <w:sz w:val="24"/>
              </w:rPr>
            </w:pPr>
          </w:p>
          <w:p w14:paraId="13DA456E">
            <w:pPr>
              <w:adjustRightInd w:val="0"/>
              <w:snapToGrid w:val="0"/>
              <w:spacing w:line="240" w:lineRule="atLeast"/>
              <w:jc w:val="center"/>
              <w:rPr>
                <w:b/>
                <w:szCs w:val="21"/>
              </w:rPr>
            </w:pPr>
            <w:r>
              <w:rPr>
                <w:b/>
                <w:szCs w:val="21"/>
              </w:rPr>
              <w:t>表5  建设项目大气污染物有组织排放基本情况表</w:t>
            </w:r>
          </w:p>
          <w:tbl>
            <w:tblPr>
              <w:tblStyle w:val="24"/>
              <w:tblW w:w="5000" w:type="pct"/>
              <w:tblInd w:w="10"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329"/>
              <w:gridCol w:w="631"/>
              <w:gridCol w:w="824"/>
              <w:gridCol w:w="757"/>
              <w:gridCol w:w="937"/>
              <w:gridCol w:w="835"/>
              <w:gridCol w:w="448"/>
              <w:gridCol w:w="808"/>
              <w:gridCol w:w="641"/>
              <w:gridCol w:w="670"/>
              <w:gridCol w:w="1743"/>
              <w:gridCol w:w="968"/>
              <w:gridCol w:w="756"/>
              <w:gridCol w:w="656"/>
              <w:gridCol w:w="630"/>
              <w:gridCol w:w="777"/>
              <w:gridCol w:w="1041"/>
            </w:tblGrid>
            <w:tr w14:paraId="67E53F1E">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122" w:type="pct"/>
                  <w:vMerge w:val="restart"/>
                  <w:tcBorders>
                    <w:bottom w:val="single" w:color="000000" w:sz="4" w:space="0"/>
                    <w:right w:val="single" w:color="000000" w:sz="4" w:space="0"/>
                  </w:tcBorders>
                  <w:noWrap w:val="0"/>
                  <w:vAlign w:val="center"/>
                </w:tcPr>
                <w:p w14:paraId="5A34AF31">
                  <w:pPr>
                    <w:pStyle w:val="58"/>
                    <w:adjustRightInd w:val="0"/>
                    <w:snapToGrid w:val="0"/>
                    <w:jc w:val="center"/>
                    <w:rPr>
                      <w:b/>
                      <w:sz w:val="21"/>
                      <w:szCs w:val="21"/>
                    </w:rPr>
                  </w:pPr>
                  <w:r>
                    <w:rPr>
                      <w:rFonts w:hint="eastAsia"/>
                      <w:b/>
                      <w:sz w:val="21"/>
                      <w:szCs w:val="21"/>
                    </w:rPr>
                    <w:t>序号</w:t>
                  </w:r>
                </w:p>
              </w:tc>
              <w:tc>
                <w:tcPr>
                  <w:tcW w:w="234" w:type="pct"/>
                  <w:vMerge w:val="restart"/>
                  <w:tcBorders>
                    <w:left w:val="single" w:color="000000" w:sz="4" w:space="0"/>
                    <w:bottom w:val="single" w:color="000000" w:sz="4" w:space="0"/>
                    <w:right w:val="single" w:color="000000" w:sz="4" w:space="0"/>
                  </w:tcBorders>
                  <w:noWrap w:val="0"/>
                  <w:vAlign w:val="center"/>
                </w:tcPr>
                <w:p w14:paraId="2138C656">
                  <w:pPr>
                    <w:pStyle w:val="58"/>
                    <w:adjustRightInd w:val="0"/>
                    <w:snapToGrid w:val="0"/>
                    <w:jc w:val="center"/>
                    <w:rPr>
                      <w:b/>
                      <w:sz w:val="21"/>
                      <w:szCs w:val="21"/>
                    </w:rPr>
                  </w:pPr>
                  <w:r>
                    <w:rPr>
                      <w:rFonts w:hint="eastAsia"/>
                      <w:b/>
                      <w:sz w:val="21"/>
                      <w:szCs w:val="21"/>
                    </w:rPr>
                    <w:t>排放口编号</w:t>
                  </w:r>
                </w:p>
              </w:tc>
              <w:tc>
                <w:tcPr>
                  <w:tcW w:w="306" w:type="pct"/>
                  <w:vMerge w:val="restart"/>
                  <w:tcBorders>
                    <w:left w:val="single" w:color="000000" w:sz="4" w:space="0"/>
                    <w:bottom w:val="single" w:color="000000" w:sz="4" w:space="0"/>
                    <w:right w:val="single" w:color="000000" w:sz="4" w:space="0"/>
                  </w:tcBorders>
                  <w:noWrap w:val="0"/>
                  <w:vAlign w:val="center"/>
                </w:tcPr>
                <w:p w14:paraId="00638EC2">
                  <w:pPr>
                    <w:pStyle w:val="58"/>
                    <w:adjustRightInd w:val="0"/>
                    <w:snapToGrid w:val="0"/>
                    <w:jc w:val="center"/>
                    <w:rPr>
                      <w:b/>
                      <w:sz w:val="21"/>
                      <w:szCs w:val="21"/>
                    </w:rPr>
                  </w:pPr>
                  <w:r>
                    <w:rPr>
                      <w:rFonts w:hint="eastAsia"/>
                      <w:b/>
                      <w:sz w:val="21"/>
                      <w:szCs w:val="21"/>
                    </w:rPr>
                    <w:t>排放口名称</w:t>
                  </w:r>
                </w:p>
              </w:tc>
              <w:tc>
                <w:tcPr>
                  <w:tcW w:w="281" w:type="pct"/>
                  <w:vMerge w:val="restart"/>
                  <w:tcBorders>
                    <w:left w:val="single" w:color="000000" w:sz="4" w:space="0"/>
                    <w:bottom w:val="single" w:color="000000" w:sz="4" w:space="0"/>
                    <w:right w:val="single" w:color="000000" w:sz="4" w:space="0"/>
                  </w:tcBorders>
                  <w:noWrap w:val="0"/>
                  <w:vAlign w:val="center"/>
                </w:tcPr>
                <w:p w14:paraId="591BBA66">
                  <w:pPr>
                    <w:pStyle w:val="58"/>
                    <w:adjustRightInd w:val="0"/>
                    <w:snapToGrid w:val="0"/>
                    <w:jc w:val="center"/>
                    <w:rPr>
                      <w:b/>
                      <w:sz w:val="21"/>
                      <w:szCs w:val="21"/>
                    </w:rPr>
                  </w:pPr>
                  <w:r>
                    <w:rPr>
                      <w:rFonts w:hint="eastAsia"/>
                      <w:b/>
                      <w:sz w:val="21"/>
                      <w:szCs w:val="21"/>
                    </w:rPr>
                    <w:t>污染物种类</w:t>
                  </w:r>
                </w:p>
              </w:tc>
              <w:tc>
                <w:tcPr>
                  <w:tcW w:w="658" w:type="pct"/>
                  <w:gridSpan w:val="2"/>
                  <w:tcBorders>
                    <w:left w:val="single" w:color="000000" w:sz="4" w:space="0"/>
                    <w:bottom w:val="single" w:color="000000" w:sz="6" w:space="0"/>
                    <w:right w:val="single" w:color="000000" w:sz="4" w:space="0"/>
                  </w:tcBorders>
                  <w:noWrap w:val="0"/>
                  <w:vAlign w:val="center"/>
                </w:tcPr>
                <w:p w14:paraId="6BBCCD27">
                  <w:pPr>
                    <w:pStyle w:val="58"/>
                    <w:adjustRightInd w:val="0"/>
                    <w:snapToGrid w:val="0"/>
                    <w:jc w:val="center"/>
                    <w:rPr>
                      <w:b/>
                      <w:sz w:val="21"/>
                      <w:szCs w:val="21"/>
                    </w:rPr>
                  </w:pPr>
                  <w:r>
                    <w:rPr>
                      <w:rFonts w:hint="eastAsia"/>
                      <w:b/>
                      <w:sz w:val="21"/>
                      <w:szCs w:val="21"/>
                    </w:rPr>
                    <w:t>排放口地理坐标</w:t>
                  </w:r>
                </w:p>
              </w:tc>
              <w:tc>
                <w:tcPr>
                  <w:tcW w:w="954" w:type="pct"/>
                  <w:gridSpan w:val="4"/>
                  <w:tcBorders>
                    <w:left w:val="single" w:color="000000" w:sz="4" w:space="0"/>
                    <w:bottom w:val="single" w:color="000000" w:sz="6" w:space="0"/>
                    <w:right w:val="single" w:color="000000" w:sz="6" w:space="0"/>
                  </w:tcBorders>
                  <w:noWrap w:val="0"/>
                  <w:vAlign w:val="center"/>
                </w:tcPr>
                <w:p w14:paraId="4F8277EE">
                  <w:pPr>
                    <w:pStyle w:val="58"/>
                    <w:adjustRightInd w:val="0"/>
                    <w:snapToGrid w:val="0"/>
                    <w:jc w:val="center"/>
                    <w:rPr>
                      <w:b/>
                      <w:sz w:val="21"/>
                      <w:szCs w:val="21"/>
                    </w:rPr>
                  </w:pPr>
                  <w:r>
                    <w:rPr>
                      <w:rFonts w:hint="eastAsia"/>
                      <w:b/>
                      <w:sz w:val="21"/>
                      <w:szCs w:val="21"/>
                    </w:rPr>
                    <w:t>排气筒参数</w:t>
                  </w:r>
                </w:p>
              </w:tc>
              <w:tc>
                <w:tcPr>
                  <w:tcW w:w="1288" w:type="pct"/>
                  <w:gridSpan w:val="3"/>
                  <w:tcBorders>
                    <w:left w:val="single" w:color="000000" w:sz="6" w:space="0"/>
                    <w:bottom w:val="single" w:color="000000" w:sz="6" w:space="0"/>
                    <w:right w:val="single" w:color="000000" w:sz="4" w:space="0"/>
                  </w:tcBorders>
                  <w:noWrap w:val="0"/>
                  <w:vAlign w:val="center"/>
                </w:tcPr>
                <w:p w14:paraId="0708D5FB">
                  <w:pPr>
                    <w:pStyle w:val="58"/>
                    <w:adjustRightInd w:val="0"/>
                    <w:snapToGrid w:val="0"/>
                    <w:jc w:val="center"/>
                    <w:rPr>
                      <w:b/>
                      <w:sz w:val="21"/>
                      <w:szCs w:val="21"/>
                      <w:lang w:eastAsia="zh-CN"/>
                    </w:rPr>
                  </w:pPr>
                  <w:r>
                    <w:rPr>
                      <w:rFonts w:hint="eastAsia"/>
                      <w:b/>
                      <w:sz w:val="21"/>
                      <w:szCs w:val="21"/>
                      <w:lang w:eastAsia="zh-CN"/>
                    </w:rPr>
                    <w:t>国家或地方污染物排放标准</w:t>
                  </w:r>
                </w:p>
              </w:tc>
              <w:tc>
                <w:tcPr>
                  <w:tcW w:w="243" w:type="pct"/>
                  <w:vMerge w:val="restart"/>
                  <w:tcBorders>
                    <w:left w:val="single" w:color="000000" w:sz="4" w:space="0"/>
                    <w:bottom w:val="single" w:color="000000" w:sz="4" w:space="0"/>
                    <w:right w:val="single" w:color="000000" w:sz="4" w:space="0"/>
                  </w:tcBorders>
                  <w:noWrap w:val="0"/>
                  <w:vAlign w:val="center"/>
                </w:tcPr>
                <w:p w14:paraId="68BB40E0">
                  <w:pPr>
                    <w:pStyle w:val="58"/>
                    <w:adjustRightInd w:val="0"/>
                    <w:snapToGrid w:val="0"/>
                    <w:jc w:val="center"/>
                    <w:rPr>
                      <w:b/>
                      <w:sz w:val="21"/>
                      <w:szCs w:val="21"/>
                    </w:rPr>
                  </w:pPr>
                  <w:r>
                    <w:rPr>
                      <w:rFonts w:hint="eastAsia"/>
                      <w:b/>
                      <w:sz w:val="21"/>
                      <w:szCs w:val="21"/>
                    </w:rPr>
                    <w:t>年许可排放量</w:t>
                  </w:r>
                  <w:r>
                    <w:rPr>
                      <w:b/>
                      <w:sz w:val="21"/>
                      <w:szCs w:val="21"/>
                    </w:rPr>
                    <w:t>(t/a)</w:t>
                  </w:r>
                </w:p>
              </w:tc>
              <w:tc>
                <w:tcPr>
                  <w:tcW w:w="234" w:type="pct"/>
                  <w:vMerge w:val="restart"/>
                  <w:tcBorders>
                    <w:left w:val="single" w:color="000000" w:sz="4" w:space="0"/>
                    <w:bottom w:val="single" w:color="000000" w:sz="4" w:space="0"/>
                    <w:right w:val="single" w:color="000000" w:sz="6" w:space="0"/>
                  </w:tcBorders>
                  <w:noWrap w:val="0"/>
                  <w:vAlign w:val="center"/>
                </w:tcPr>
                <w:p w14:paraId="53083880">
                  <w:pPr>
                    <w:pStyle w:val="58"/>
                    <w:adjustRightInd w:val="0"/>
                    <w:snapToGrid w:val="0"/>
                    <w:jc w:val="center"/>
                    <w:rPr>
                      <w:b/>
                      <w:sz w:val="21"/>
                      <w:szCs w:val="21"/>
                      <w:lang w:eastAsia="zh-CN"/>
                    </w:rPr>
                  </w:pPr>
                  <w:r>
                    <w:rPr>
                      <w:rFonts w:hint="eastAsia"/>
                      <w:b/>
                      <w:sz w:val="21"/>
                      <w:szCs w:val="21"/>
                      <w:lang w:eastAsia="zh-CN"/>
                    </w:rPr>
                    <w:t>申请特殊排放浓度</w:t>
                  </w:r>
                </w:p>
                <w:p w14:paraId="44F42B88">
                  <w:pPr>
                    <w:pStyle w:val="58"/>
                    <w:adjustRightInd w:val="0"/>
                    <w:snapToGrid w:val="0"/>
                    <w:jc w:val="center"/>
                    <w:rPr>
                      <w:b/>
                      <w:sz w:val="21"/>
                      <w:szCs w:val="21"/>
                      <w:lang w:eastAsia="zh-CN"/>
                    </w:rPr>
                  </w:pPr>
                  <w:r>
                    <w:rPr>
                      <w:rFonts w:hint="eastAsia"/>
                      <w:b/>
                      <w:sz w:val="21"/>
                      <w:szCs w:val="21"/>
                      <w:lang w:eastAsia="zh-CN"/>
                    </w:rPr>
                    <w:t>限值</w:t>
                  </w:r>
                </w:p>
              </w:tc>
              <w:tc>
                <w:tcPr>
                  <w:tcW w:w="288" w:type="pct"/>
                  <w:vMerge w:val="restart"/>
                  <w:tcBorders>
                    <w:left w:val="single" w:color="000000" w:sz="6" w:space="0"/>
                    <w:bottom w:val="single" w:color="000000" w:sz="4" w:space="0"/>
                    <w:right w:val="single" w:color="000000" w:sz="6" w:space="0"/>
                  </w:tcBorders>
                  <w:noWrap w:val="0"/>
                  <w:vAlign w:val="center"/>
                </w:tcPr>
                <w:p w14:paraId="326A0060">
                  <w:pPr>
                    <w:pStyle w:val="58"/>
                    <w:adjustRightInd w:val="0"/>
                    <w:snapToGrid w:val="0"/>
                    <w:jc w:val="center"/>
                    <w:rPr>
                      <w:b/>
                      <w:sz w:val="21"/>
                      <w:szCs w:val="21"/>
                      <w:lang w:eastAsia="zh-CN"/>
                    </w:rPr>
                  </w:pPr>
                  <w:r>
                    <w:rPr>
                      <w:rFonts w:hint="eastAsia"/>
                      <w:b/>
                      <w:sz w:val="21"/>
                      <w:szCs w:val="21"/>
                      <w:lang w:eastAsia="zh-CN"/>
                    </w:rPr>
                    <w:t>申请特殊时段许可排放量限</w:t>
                  </w:r>
                </w:p>
                <w:p w14:paraId="479B6B6B">
                  <w:pPr>
                    <w:pStyle w:val="58"/>
                    <w:adjustRightInd w:val="0"/>
                    <w:snapToGrid w:val="0"/>
                    <w:jc w:val="center"/>
                    <w:rPr>
                      <w:b/>
                      <w:sz w:val="21"/>
                      <w:szCs w:val="21"/>
                    </w:rPr>
                  </w:pPr>
                  <w:r>
                    <w:rPr>
                      <w:rFonts w:hint="eastAsia"/>
                      <w:b/>
                      <w:sz w:val="21"/>
                      <w:szCs w:val="21"/>
                    </w:rPr>
                    <w:t>值</w:t>
                  </w:r>
                </w:p>
              </w:tc>
              <w:tc>
                <w:tcPr>
                  <w:tcW w:w="386" w:type="pct"/>
                  <w:vMerge w:val="restart"/>
                  <w:tcBorders>
                    <w:left w:val="single" w:color="000000" w:sz="6" w:space="0"/>
                    <w:bottom w:val="single" w:color="000000" w:sz="4" w:space="0"/>
                  </w:tcBorders>
                  <w:noWrap w:val="0"/>
                  <w:vAlign w:val="center"/>
                </w:tcPr>
                <w:p w14:paraId="470A1BDA">
                  <w:pPr>
                    <w:pStyle w:val="58"/>
                    <w:adjustRightInd w:val="0"/>
                    <w:snapToGrid w:val="0"/>
                    <w:jc w:val="center"/>
                    <w:rPr>
                      <w:b/>
                      <w:sz w:val="21"/>
                      <w:szCs w:val="21"/>
                    </w:rPr>
                  </w:pPr>
                  <w:r>
                    <w:rPr>
                      <w:rFonts w:hint="eastAsia"/>
                      <w:b/>
                      <w:sz w:val="21"/>
                      <w:szCs w:val="21"/>
                    </w:rPr>
                    <w:t>备注</w:t>
                  </w:r>
                </w:p>
              </w:tc>
            </w:tr>
            <w:tr w14:paraId="510E0EF6">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852" w:hRule="atLeast"/>
              </w:trPr>
              <w:tc>
                <w:tcPr>
                  <w:tcW w:w="122" w:type="pct"/>
                  <w:vMerge w:val="continue"/>
                  <w:tcBorders>
                    <w:top w:val="nil"/>
                    <w:bottom w:val="single" w:color="auto" w:sz="4" w:space="0"/>
                    <w:right w:val="single" w:color="000000" w:sz="4" w:space="0"/>
                  </w:tcBorders>
                  <w:noWrap w:val="0"/>
                  <w:vAlign w:val="center"/>
                </w:tcPr>
                <w:p w14:paraId="6A69739F">
                  <w:pPr>
                    <w:autoSpaceDE w:val="0"/>
                    <w:autoSpaceDN w:val="0"/>
                    <w:adjustRightInd w:val="0"/>
                    <w:snapToGrid w:val="0"/>
                    <w:jc w:val="center"/>
                    <w:rPr>
                      <w:rFonts w:ascii="宋体" w:hAnsi="宋体"/>
                      <w:szCs w:val="21"/>
                    </w:rPr>
                  </w:pPr>
                </w:p>
              </w:tc>
              <w:tc>
                <w:tcPr>
                  <w:tcW w:w="234" w:type="pct"/>
                  <w:vMerge w:val="continue"/>
                  <w:tcBorders>
                    <w:top w:val="nil"/>
                    <w:left w:val="single" w:color="000000" w:sz="4" w:space="0"/>
                    <w:bottom w:val="single" w:color="auto" w:sz="4" w:space="0"/>
                    <w:right w:val="single" w:color="000000" w:sz="4" w:space="0"/>
                  </w:tcBorders>
                  <w:noWrap w:val="0"/>
                  <w:vAlign w:val="center"/>
                </w:tcPr>
                <w:p w14:paraId="509068F0">
                  <w:pPr>
                    <w:autoSpaceDE w:val="0"/>
                    <w:autoSpaceDN w:val="0"/>
                    <w:adjustRightInd w:val="0"/>
                    <w:snapToGrid w:val="0"/>
                    <w:jc w:val="center"/>
                    <w:rPr>
                      <w:rFonts w:ascii="宋体" w:hAnsi="宋体"/>
                      <w:szCs w:val="21"/>
                    </w:rPr>
                  </w:pPr>
                </w:p>
              </w:tc>
              <w:tc>
                <w:tcPr>
                  <w:tcW w:w="306" w:type="pct"/>
                  <w:vMerge w:val="continue"/>
                  <w:tcBorders>
                    <w:top w:val="nil"/>
                    <w:left w:val="single" w:color="000000" w:sz="4" w:space="0"/>
                    <w:bottom w:val="single" w:color="auto" w:sz="4" w:space="0"/>
                    <w:right w:val="single" w:color="000000" w:sz="4" w:space="0"/>
                  </w:tcBorders>
                  <w:noWrap w:val="0"/>
                  <w:vAlign w:val="center"/>
                </w:tcPr>
                <w:p w14:paraId="622B4314">
                  <w:pPr>
                    <w:autoSpaceDE w:val="0"/>
                    <w:autoSpaceDN w:val="0"/>
                    <w:adjustRightInd w:val="0"/>
                    <w:snapToGrid w:val="0"/>
                    <w:jc w:val="center"/>
                    <w:rPr>
                      <w:rFonts w:ascii="宋体" w:hAnsi="宋体"/>
                      <w:szCs w:val="21"/>
                    </w:rPr>
                  </w:pPr>
                </w:p>
              </w:tc>
              <w:tc>
                <w:tcPr>
                  <w:tcW w:w="281" w:type="pct"/>
                  <w:vMerge w:val="continue"/>
                  <w:tcBorders>
                    <w:top w:val="nil"/>
                    <w:left w:val="single" w:color="000000" w:sz="4" w:space="0"/>
                    <w:bottom w:val="single" w:color="000000" w:sz="4" w:space="0"/>
                    <w:right w:val="single" w:color="000000" w:sz="4" w:space="0"/>
                  </w:tcBorders>
                  <w:noWrap w:val="0"/>
                  <w:vAlign w:val="center"/>
                </w:tcPr>
                <w:p w14:paraId="2ED21253">
                  <w:pPr>
                    <w:autoSpaceDE w:val="0"/>
                    <w:autoSpaceDN w:val="0"/>
                    <w:adjustRightInd w:val="0"/>
                    <w:snapToGrid w:val="0"/>
                    <w:jc w:val="center"/>
                    <w:rPr>
                      <w:rFonts w:ascii="宋体" w:hAnsi="宋体"/>
                      <w:szCs w:val="21"/>
                    </w:rPr>
                  </w:pPr>
                </w:p>
              </w:tc>
              <w:tc>
                <w:tcPr>
                  <w:tcW w:w="348" w:type="pct"/>
                  <w:tcBorders>
                    <w:top w:val="single" w:color="000000" w:sz="6" w:space="0"/>
                    <w:left w:val="single" w:color="000000" w:sz="4" w:space="0"/>
                    <w:bottom w:val="single" w:color="auto" w:sz="4" w:space="0"/>
                    <w:right w:val="single" w:color="000000" w:sz="6" w:space="0"/>
                  </w:tcBorders>
                  <w:noWrap w:val="0"/>
                  <w:vAlign w:val="center"/>
                </w:tcPr>
                <w:p w14:paraId="1427F5D1">
                  <w:pPr>
                    <w:pStyle w:val="58"/>
                    <w:adjustRightInd w:val="0"/>
                    <w:snapToGrid w:val="0"/>
                    <w:jc w:val="center"/>
                    <w:rPr>
                      <w:b/>
                      <w:sz w:val="21"/>
                      <w:szCs w:val="21"/>
                    </w:rPr>
                  </w:pPr>
                  <w:r>
                    <w:rPr>
                      <w:rFonts w:hint="eastAsia"/>
                      <w:b/>
                      <w:sz w:val="21"/>
                      <w:szCs w:val="21"/>
                    </w:rPr>
                    <w:t>经度</w:t>
                  </w:r>
                </w:p>
              </w:tc>
              <w:tc>
                <w:tcPr>
                  <w:tcW w:w="310" w:type="pct"/>
                  <w:tcBorders>
                    <w:top w:val="single" w:color="000000" w:sz="6" w:space="0"/>
                    <w:left w:val="single" w:color="000000" w:sz="6" w:space="0"/>
                    <w:bottom w:val="single" w:color="auto" w:sz="4" w:space="0"/>
                    <w:right w:val="single" w:color="000000" w:sz="4" w:space="0"/>
                  </w:tcBorders>
                  <w:noWrap w:val="0"/>
                  <w:vAlign w:val="center"/>
                </w:tcPr>
                <w:p w14:paraId="12387EAA">
                  <w:pPr>
                    <w:pStyle w:val="58"/>
                    <w:adjustRightInd w:val="0"/>
                    <w:snapToGrid w:val="0"/>
                    <w:jc w:val="center"/>
                    <w:rPr>
                      <w:b/>
                      <w:sz w:val="21"/>
                      <w:szCs w:val="21"/>
                    </w:rPr>
                  </w:pPr>
                  <w:r>
                    <w:rPr>
                      <w:rFonts w:hint="eastAsia"/>
                      <w:b/>
                      <w:sz w:val="21"/>
                      <w:szCs w:val="21"/>
                    </w:rPr>
                    <w:t>纬度</w:t>
                  </w:r>
                </w:p>
              </w:tc>
              <w:tc>
                <w:tcPr>
                  <w:tcW w:w="166" w:type="pct"/>
                  <w:tcBorders>
                    <w:top w:val="single" w:color="000000" w:sz="6" w:space="0"/>
                    <w:left w:val="single" w:color="000000" w:sz="4" w:space="0"/>
                    <w:bottom w:val="single" w:color="auto" w:sz="4" w:space="0"/>
                    <w:right w:val="single" w:color="000000" w:sz="4" w:space="0"/>
                  </w:tcBorders>
                  <w:noWrap w:val="0"/>
                  <w:vAlign w:val="center"/>
                </w:tcPr>
                <w:p w14:paraId="518A88B0">
                  <w:pPr>
                    <w:pStyle w:val="58"/>
                    <w:adjustRightInd w:val="0"/>
                    <w:snapToGrid w:val="0"/>
                    <w:jc w:val="center"/>
                    <w:rPr>
                      <w:b/>
                      <w:sz w:val="21"/>
                      <w:szCs w:val="21"/>
                    </w:rPr>
                  </w:pPr>
                  <w:r>
                    <w:rPr>
                      <w:rFonts w:hint="eastAsia"/>
                      <w:b/>
                      <w:sz w:val="21"/>
                      <w:szCs w:val="21"/>
                    </w:rPr>
                    <w:t>高度</w:t>
                  </w:r>
                  <w:r>
                    <w:rPr>
                      <w:b/>
                      <w:sz w:val="21"/>
                      <w:szCs w:val="21"/>
                    </w:rPr>
                    <w:t>(m)</w:t>
                  </w:r>
                </w:p>
              </w:tc>
              <w:tc>
                <w:tcPr>
                  <w:tcW w:w="300" w:type="pct"/>
                  <w:tcBorders>
                    <w:top w:val="single" w:color="000000" w:sz="6" w:space="0"/>
                    <w:left w:val="single" w:color="000000" w:sz="4" w:space="0"/>
                    <w:bottom w:val="single" w:color="auto" w:sz="4" w:space="0"/>
                    <w:right w:val="single" w:color="000000" w:sz="4" w:space="0"/>
                  </w:tcBorders>
                  <w:noWrap w:val="0"/>
                  <w:vAlign w:val="center"/>
                </w:tcPr>
                <w:p w14:paraId="2259D80D">
                  <w:pPr>
                    <w:pStyle w:val="58"/>
                    <w:adjustRightInd w:val="0"/>
                    <w:snapToGrid w:val="0"/>
                    <w:jc w:val="center"/>
                    <w:rPr>
                      <w:b/>
                      <w:sz w:val="21"/>
                      <w:szCs w:val="21"/>
                    </w:rPr>
                  </w:pPr>
                  <w:r>
                    <w:rPr>
                      <w:rFonts w:hint="eastAsia"/>
                      <w:b/>
                      <w:sz w:val="21"/>
                      <w:szCs w:val="21"/>
                    </w:rPr>
                    <w:t>出口内径</w:t>
                  </w:r>
                  <w:r>
                    <w:rPr>
                      <w:b/>
                      <w:sz w:val="21"/>
                      <w:szCs w:val="21"/>
                    </w:rPr>
                    <w:t>(m)</w:t>
                  </w:r>
                </w:p>
              </w:tc>
              <w:tc>
                <w:tcPr>
                  <w:tcW w:w="238" w:type="pct"/>
                  <w:tcBorders>
                    <w:top w:val="single" w:color="000000" w:sz="6" w:space="0"/>
                    <w:left w:val="single" w:color="000000" w:sz="4" w:space="0"/>
                    <w:bottom w:val="single" w:color="auto" w:sz="4" w:space="0"/>
                    <w:right w:val="single" w:color="000000" w:sz="4" w:space="0"/>
                  </w:tcBorders>
                  <w:noWrap w:val="0"/>
                  <w:vAlign w:val="center"/>
                </w:tcPr>
                <w:p w14:paraId="03C20965">
                  <w:pPr>
                    <w:pStyle w:val="58"/>
                    <w:adjustRightInd w:val="0"/>
                    <w:snapToGrid w:val="0"/>
                    <w:jc w:val="center"/>
                    <w:rPr>
                      <w:b/>
                      <w:sz w:val="21"/>
                      <w:szCs w:val="21"/>
                    </w:rPr>
                  </w:pPr>
                  <w:r>
                    <w:rPr>
                      <w:rFonts w:hint="eastAsia"/>
                      <w:b/>
                      <w:sz w:val="21"/>
                      <w:szCs w:val="21"/>
                    </w:rPr>
                    <w:t>排气温度</w:t>
                  </w:r>
                  <w:r>
                    <w:rPr>
                      <w:b/>
                      <w:sz w:val="21"/>
                      <w:szCs w:val="21"/>
                    </w:rPr>
                    <w:t>(℃)</w:t>
                  </w:r>
                </w:p>
              </w:tc>
              <w:tc>
                <w:tcPr>
                  <w:tcW w:w="249" w:type="pct"/>
                  <w:tcBorders>
                    <w:top w:val="single" w:color="000000" w:sz="6" w:space="0"/>
                    <w:left w:val="single" w:color="000000" w:sz="4" w:space="0"/>
                    <w:bottom w:val="single" w:color="auto" w:sz="4" w:space="0"/>
                    <w:right w:val="single" w:color="000000" w:sz="6" w:space="0"/>
                  </w:tcBorders>
                  <w:noWrap w:val="0"/>
                  <w:vAlign w:val="center"/>
                </w:tcPr>
                <w:p w14:paraId="665CE6CE">
                  <w:pPr>
                    <w:pStyle w:val="58"/>
                    <w:adjustRightInd w:val="0"/>
                    <w:snapToGrid w:val="0"/>
                    <w:jc w:val="center"/>
                    <w:rPr>
                      <w:b/>
                      <w:sz w:val="21"/>
                      <w:szCs w:val="21"/>
                      <w:lang w:eastAsia="zh-CN"/>
                    </w:rPr>
                  </w:pPr>
                  <w:r>
                    <w:rPr>
                      <w:rFonts w:hint="eastAsia"/>
                      <w:b/>
                      <w:sz w:val="21"/>
                      <w:szCs w:val="21"/>
                      <w:lang w:eastAsia="zh-CN"/>
                    </w:rPr>
                    <w:t>排气量</w:t>
                  </w:r>
                  <w:r>
                    <w:rPr>
                      <w:b/>
                      <w:sz w:val="21"/>
                      <w:szCs w:val="21"/>
                      <w:lang w:eastAsia="zh-CN"/>
                    </w:rPr>
                    <w:t>(m</w:t>
                  </w:r>
                  <w:r>
                    <w:rPr>
                      <w:b/>
                      <w:sz w:val="21"/>
                      <w:szCs w:val="21"/>
                      <w:vertAlign w:val="superscript"/>
                      <w:lang w:eastAsia="zh-CN"/>
                    </w:rPr>
                    <w:t>3</w:t>
                  </w:r>
                  <w:r>
                    <w:rPr>
                      <w:b/>
                      <w:sz w:val="21"/>
                      <w:szCs w:val="21"/>
                      <w:lang w:eastAsia="zh-CN"/>
                    </w:rPr>
                    <w:t>/h)</w:t>
                  </w:r>
                </w:p>
              </w:tc>
              <w:tc>
                <w:tcPr>
                  <w:tcW w:w="647" w:type="pct"/>
                  <w:tcBorders>
                    <w:top w:val="single" w:color="000000" w:sz="6" w:space="0"/>
                    <w:left w:val="single" w:color="000000" w:sz="6" w:space="0"/>
                    <w:bottom w:val="single" w:color="auto" w:sz="4" w:space="0"/>
                    <w:right w:val="single" w:color="000000" w:sz="6" w:space="0"/>
                  </w:tcBorders>
                  <w:noWrap w:val="0"/>
                  <w:vAlign w:val="center"/>
                </w:tcPr>
                <w:p w14:paraId="01E02ABB">
                  <w:pPr>
                    <w:pStyle w:val="58"/>
                    <w:adjustRightInd w:val="0"/>
                    <w:snapToGrid w:val="0"/>
                    <w:jc w:val="center"/>
                    <w:rPr>
                      <w:b/>
                      <w:sz w:val="21"/>
                      <w:szCs w:val="21"/>
                      <w:lang w:eastAsia="zh-CN"/>
                    </w:rPr>
                  </w:pPr>
                  <w:r>
                    <w:rPr>
                      <w:rFonts w:hint="eastAsia"/>
                      <w:b/>
                      <w:sz w:val="21"/>
                      <w:szCs w:val="21"/>
                      <w:lang w:eastAsia="zh-CN"/>
                    </w:rPr>
                    <w:t>标准名称</w:t>
                  </w:r>
                </w:p>
              </w:tc>
              <w:tc>
                <w:tcPr>
                  <w:tcW w:w="359" w:type="pct"/>
                  <w:tcBorders>
                    <w:top w:val="single" w:color="000000" w:sz="6" w:space="0"/>
                    <w:left w:val="single" w:color="000000" w:sz="6" w:space="0"/>
                    <w:bottom w:val="single" w:color="auto" w:sz="4" w:space="0"/>
                    <w:right w:val="single" w:color="000000" w:sz="6" w:space="0"/>
                  </w:tcBorders>
                  <w:noWrap w:val="0"/>
                  <w:vAlign w:val="center"/>
                </w:tcPr>
                <w:p w14:paraId="0BCD269E">
                  <w:pPr>
                    <w:pStyle w:val="58"/>
                    <w:adjustRightInd w:val="0"/>
                    <w:snapToGrid w:val="0"/>
                    <w:jc w:val="center"/>
                    <w:rPr>
                      <w:b/>
                      <w:sz w:val="21"/>
                      <w:szCs w:val="21"/>
                      <w:lang w:eastAsia="zh-CN"/>
                    </w:rPr>
                  </w:pPr>
                  <w:r>
                    <w:rPr>
                      <w:rFonts w:hint="eastAsia"/>
                      <w:b/>
                      <w:sz w:val="21"/>
                      <w:szCs w:val="21"/>
                      <w:lang w:eastAsia="zh-CN"/>
                    </w:rPr>
                    <w:t>浓度限值</w:t>
                  </w:r>
                  <w:r>
                    <w:rPr>
                      <w:b/>
                      <w:sz w:val="21"/>
                      <w:szCs w:val="21"/>
                      <w:lang w:eastAsia="zh-CN"/>
                    </w:rPr>
                    <w:t>(mg/Nm</w:t>
                  </w:r>
                  <w:r>
                    <w:rPr>
                      <w:b/>
                      <w:sz w:val="21"/>
                      <w:szCs w:val="21"/>
                      <w:vertAlign w:val="superscript"/>
                      <w:lang w:eastAsia="zh-CN"/>
                    </w:rPr>
                    <w:t>3</w:t>
                  </w:r>
                  <w:r>
                    <w:rPr>
                      <w:b/>
                      <w:sz w:val="21"/>
                      <w:szCs w:val="21"/>
                      <w:lang w:eastAsia="zh-CN"/>
                    </w:rPr>
                    <w:t>)</w:t>
                  </w:r>
                </w:p>
              </w:tc>
              <w:tc>
                <w:tcPr>
                  <w:tcW w:w="281" w:type="pct"/>
                  <w:tcBorders>
                    <w:top w:val="single" w:color="000000" w:sz="6" w:space="0"/>
                    <w:left w:val="single" w:color="000000" w:sz="6" w:space="0"/>
                    <w:bottom w:val="single" w:color="auto" w:sz="4" w:space="0"/>
                    <w:right w:val="single" w:color="000000" w:sz="4" w:space="0"/>
                  </w:tcBorders>
                  <w:noWrap w:val="0"/>
                  <w:vAlign w:val="center"/>
                </w:tcPr>
                <w:p w14:paraId="14E86D49">
                  <w:pPr>
                    <w:pStyle w:val="58"/>
                    <w:adjustRightInd w:val="0"/>
                    <w:snapToGrid w:val="0"/>
                    <w:jc w:val="center"/>
                    <w:rPr>
                      <w:b/>
                      <w:sz w:val="21"/>
                      <w:szCs w:val="21"/>
                      <w:lang w:eastAsia="zh-CN"/>
                    </w:rPr>
                  </w:pPr>
                  <w:r>
                    <w:rPr>
                      <w:rFonts w:hint="eastAsia"/>
                      <w:b/>
                      <w:sz w:val="21"/>
                      <w:szCs w:val="21"/>
                      <w:lang w:eastAsia="zh-CN"/>
                    </w:rPr>
                    <w:t>速率限值</w:t>
                  </w:r>
                  <w:r>
                    <w:rPr>
                      <w:b/>
                      <w:sz w:val="21"/>
                      <w:szCs w:val="21"/>
                      <w:lang w:eastAsia="zh-CN"/>
                    </w:rPr>
                    <w:t>(kg/h)</w:t>
                  </w:r>
                </w:p>
              </w:tc>
              <w:tc>
                <w:tcPr>
                  <w:tcW w:w="243" w:type="pct"/>
                  <w:vMerge w:val="continue"/>
                  <w:tcBorders>
                    <w:top w:val="nil"/>
                    <w:left w:val="single" w:color="000000" w:sz="4" w:space="0"/>
                    <w:bottom w:val="single" w:color="auto" w:sz="4" w:space="0"/>
                    <w:right w:val="single" w:color="000000" w:sz="4" w:space="0"/>
                  </w:tcBorders>
                  <w:noWrap w:val="0"/>
                  <w:vAlign w:val="center"/>
                </w:tcPr>
                <w:p w14:paraId="291985CF">
                  <w:pPr>
                    <w:autoSpaceDE w:val="0"/>
                    <w:autoSpaceDN w:val="0"/>
                    <w:adjustRightInd w:val="0"/>
                    <w:snapToGrid w:val="0"/>
                    <w:jc w:val="center"/>
                    <w:rPr>
                      <w:rFonts w:ascii="宋体" w:hAnsi="宋体"/>
                      <w:szCs w:val="21"/>
                    </w:rPr>
                  </w:pPr>
                </w:p>
              </w:tc>
              <w:tc>
                <w:tcPr>
                  <w:tcW w:w="234" w:type="pct"/>
                  <w:vMerge w:val="continue"/>
                  <w:tcBorders>
                    <w:top w:val="nil"/>
                    <w:left w:val="single" w:color="000000" w:sz="4" w:space="0"/>
                    <w:bottom w:val="single" w:color="auto" w:sz="4" w:space="0"/>
                    <w:right w:val="single" w:color="000000" w:sz="6" w:space="0"/>
                  </w:tcBorders>
                  <w:noWrap w:val="0"/>
                  <w:vAlign w:val="center"/>
                </w:tcPr>
                <w:p w14:paraId="3F319F4E">
                  <w:pPr>
                    <w:autoSpaceDE w:val="0"/>
                    <w:autoSpaceDN w:val="0"/>
                    <w:adjustRightInd w:val="0"/>
                    <w:snapToGrid w:val="0"/>
                    <w:jc w:val="center"/>
                    <w:rPr>
                      <w:rFonts w:ascii="宋体" w:hAnsi="宋体"/>
                      <w:szCs w:val="21"/>
                    </w:rPr>
                  </w:pPr>
                </w:p>
              </w:tc>
              <w:tc>
                <w:tcPr>
                  <w:tcW w:w="288" w:type="pct"/>
                  <w:vMerge w:val="continue"/>
                  <w:tcBorders>
                    <w:top w:val="nil"/>
                    <w:left w:val="single" w:color="000000" w:sz="6" w:space="0"/>
                    <w:bottom w:val="single" w:color="auto" w:sz="4" w:space="0"/>
                    <w:right w:val="single" w:color="000000" w:sz="6" w:space="0"/>
                  </w:tcBorders>
                  <w:noWrap w:val="0"/>
                  <w:vAlign w:val="center"/>
                </w:tcPr>
                <w:p w14:paraId="5626B831">
                  <w:pPr>
                    <w:autoSpaceDE w:val="0"/>
                    <w:autoSpaceDN w:val="0"/>
                    <w:adjustRightInd w:val="0"/>
                    <w:snapToGrid w:val="0"/>
                    <w:jc w:val="center"/>
                    <w:rPr>
                      <w:rFonts w:ascii="宋体" w:hAnsi="宋体"/>
                      <w:szCs w:val="21"/>
                    </w:rPr>
                  </w:pPr>
                </w:p>
              </w:tc>
              <w:tc>
                <w:tcPr>
                  <w:tcW w:w="386" w:type="pct"/>
                  <w:vMerge w:val="continue"/>
                  <w:tcBorders>
                    <w:top w:val="nil"/>
                    <w:left w:val="single" w:color="000000" w:sz="6" w:space="0"/>
                    <w:bottom w:val="single" w:color="auto" w:sz="4" w:space="0"/>
                  </w:tcBorders>
                  <w:noWrap w:val="0"/>
                  <w:vAlign w:val="center"/>
                </w:tcPr>
                <w:p w14:paraId="752CEA73">
                  <w:pPr>
                    <w:autoSpaceDE w:val="0"/>
                    <w:autoSpaceDN w:val="0"/>
                    <w:adjustRightInd w:val="0"/>
                    <w:snapToGrid w:val="0"/>
                    <w:jc w:val="center"/>
                    <w:rPr>
                      <w:rFonts w:ascii="宋体" w:hAnsi="宋体"/>
                      <w:szCs w:val="21"/>
                    </w:rPr>
                  </w:pPr>
                </w:p>
              </w:tc>
            </w:tr>
            <w:tr w14:paraId="79FC5615">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22" w:type="pct"/>
                  <w:tcBorders>
                    <w:top w:val="single" w:color="auto" w:sz="4" w:space="0"/>
                    <w:bottom w:val="single" w:color="auto" w:sz="4" w:space="0"/>
                    <w:right w:val="single" w:color="000000" w:sz="4" w:space="0"/>
                  </w:tcBorders>
                  <w:noWrap w:val="0"/>
                  <w:vAlign w:val="center"/>
                </w:tcPr>
                <w:p w14:paraId="060B27A4">
                  <w:pPr>
                    <w:adjustRightInd w:val="0"/>
                    <w:snapToGrid w:val="0"/>
                    <w:jc w:val="center"/>
                    <w:rPr>
                      <w:szCs w:val="21"/>
                    </w:rPr>
                  </w:pPr>
                  <w:r>
                    <w:rPr>
                      <w:rFonts w:hint="eastAsia"/>
                      <w:szCs w:val="21"/>
                    </w:rPr>
                    <w:t>1</w:t>
                  </w:r>
                </w:p>
              </w:tc>
              <w:tc>
                <w:tcPr>
                  <w:tcW w:w="234" w:type="pct"/>
                  <w:tcBorders>
                    <w:top w:val="single" w:color="auto" w:sz="4" w:space="0"/>
                    <w:left w:val="single" w:color="000000" w:sz="4" w:space="0"/>
                    <w:bottom w:val="single" w:color="auto" w:sz="4" w:space="0"/>
                    <w:right w:val="single" w:color="000000" w:sz="4" w:space="0"/>
                  </w:tcBorders>
                  <w:noWrap w:val="0"/>
                  <w:vAlign w:val="center"/>
                </w:tcPr>
                <w:p w14:paraId="105A9399">
                  <w:pPr>
                    <w:adjustRightInd w:val="0"/>
                    <w:snapToGrid w:val="0"/>
                    <w:jc w:val="center"/>
                    <w:rPr>
                      <w:szCs w:val="21"/>
                    </w:rPr>
                  </w:pPr>
                  <w:r>
                    <w:rPr>
                      <w:rFonts w:hint="eastAsia"/>
                      <w:szCs w:val="21"/>
                    </w:rPr>
                    <w:t>DA001</w:t>
                  </w:r>
                </w:p>
              </w:tc>
              <w:tc>
                <w:tcPr>
                  <w:tcW w:w="306" w:type="pct"/>
                  <w:tcBorders>
                    <w:top w:val="single" w:color="auto" w:sz="4" w:space="0"/>
                    <w:left w:val="single" w:color="000000" w:sz="4" w:space="0"/>
                    <w:bottom w:val="single" w:color="auto" w:sz="4" w:space="0"/>
                    <w:right w:val="single" w:color="auto" w:sz="4" w:space="0"/>
                  </w:tcBorders>
                  <w:noWrap w:val="0"/>
                  <w:vAlign w:val="center"/>
                </w:tcPr>
                <w:p w14:paraId="7BE8587C">
                  <w:pPr>
                    <w:adjustRightInd w:val="0"/>
                    <w:snapToGrid w:val="0"/>
                    <w:jc w:val="center"/>
                    <w:rPr>
                      <w:szCs w:val="21"/>
                    </w:rPr>
                  </w:pPr>
                  <w:r>
                    <w:rPr>
                      <w:rFonts w:hint="eastAsia"/>
                      <w:bCs/>
                      <w:szCs w:val="21"/>
                      <w:lang w:val="en-US" w:eastAsia="zh-CN"/>
                    </w:rPr>
                    <w:t>废油液抽取</w:t>
                  </w:r>
                  <w:r>
                    <w:rPr>
                      <w:rFonts w:hint="eastAsia"/>
                      <w:bCs/>
                      <w:szCs w:val="21"/>
                    </w:rPr>
                    <w:t>工段排放口</w:t>
                  </w:r>
                </w:p>
              </w:tc>
              <w:tc>
                <w:tcPr>
                  <w:tcW w:w="281" w:type="pct"/>
                  <w:tcBorders>
                    <w:top w:val="single" w:color="000000" w:sz="4" w:space="0"/>
                    <w:left w:val="single" w:color="auto" w:sz="4" w:space="0"/>
                    <w:bottom w:val="single" w:color="auto" w:sz="4" w:space="0"/>
                    <w:right w:val="single" w:color="auto" w:sz="4" w:space="0"/>
                  </w:tcBorders>
                  <w:noWrap w:val="0"/>
                  <w:vAlign w:val="center"/>
                </w:tcPr>
                <w:p w14:paraId="1B1A9697">
                  <w:pPr>
                    <w:jc w:val="center"/>
                    <w:rPr>
                      <w:rFonts w:hint="default" w:ascii="宋体" w:hAnsi="宋体"/>
                      <w:bCs/>
                      <w:szCs w:val="21"/>
                      <w:lang w:val="en-US"/>
                    </w:rPr>
                  </w:pPr>
                  <w:r>
                    <w:rPr>
                      <w:rFonts w:hint="eastAsia"/>
                      <w:szCs w:val="21"/>
                      <w:lang w:val="en-US" w:eastAsia="zh-CN"/>
                    </w:rPr>
                    <w:t>非甲烷总烃</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8E7DA63">
                  <w:pPr>
                    <w:jc w:val="center"/>
                    <w:rPr>
                      <w:bCs/>
                      <w:szCs w:val="21"/>
                    </w:rPr>
                  </w:pPr>
                  <w:r>
                    <w:rPr>
                      <w:rFonts w:hint="eastAsia"/>
                      <w:szCs w:val="21"/>
                      <w:lang w:val="en-US" w:eastAsia="zh-CN"/>
                    </w:rPr>
                    <w:t>117.08596</w:t>
                  </w:r>
                </w:p>
              </w:tc>
              <w:tc>
                <w:tcPr>
                  <w:tcW w:w="835" w:type="dxa"/>
                  <w:tcBorders>
                    <w:top w:val="single" w:color="auto" w:sz="4" w:space="0"/>
                    <w:left w:val="single" w:color="auto" w:sz="4" w:space="0"/>
                    <w:bottom w:val="single" w:color="auto" w:sz="4" w:space="0"/>
                    <w:right w:val="single" w:color="000000" w:sz="4" w:space="0"/>
                  </w:tcBorders>
                  <w:noWrap w:val="0"/>
                  <w:vAlign w:val="center"/>
                </w:tcPr>
                <w:p w14:paraId="24597056">
                  <w:pPr>
                    <w:jc w:val="center"/>
                    <w:rPr>
                      <w:bCs/>
                      <w:szCs w:val="21"/>
                    </w:rPr>
                  </w:pPr>
                  <w:r>
                    <w:rPr>
                      <w:rFonts w:hint="eastAsia"/>
                      <w:szCs w:val="21"/>
                      <w:lang w:val="en-US" w:eastAsia="zh-CN"/>
                    </w:rPr>
                    <w:t>33.61541</w:t>
                  </w:r>
                </w:p>
              </w:tc>
              <w:tc>
                <w:tcPr>
                  <w:tcW w:w="166" w:type="pct"/>
                  <w:tcBorders>
                    <w:top w:val="single" w:color="auto" w:sz="4" w:space="0"/>
                    <w:left w:val="single" w:color="000000" w:sz="4" w:space="0"/>
                    <w:bottom w:val="single" w:color="auto" w:sz="4" w:space="0"/>
                    <w:right w:val="single" w:color="000000" w:sz="4" w:space="0"/>
                  </w:tcBorders>
                  <w:noWrap w:val="0"/>
                  <w:vAlign w:val="center"/>
                </w:tcPr>
                <w:p w14:paraId="552FA1D5">
                  <w:pPr>
                    <w:adjustRightInd w:val="0"/>
                    <w:snapToGrid w:val="0"/>
                    <w:jc w:val="center"/>
                    <w:rPr>
                      <w:bCs/>
                      <w:szCs w:val="21"/>
                    </w:rPr>
                  </w:pPr>
                  <w:r>
                    <w:rPr>
                      <w:rFonts w:hint="eastAsia"/>
                      <w:szCs w:val="21"/>
                    </w:rPr>
                    <w:t>15</w:t>
                  </w:r>
                </w:p>
              </w:tc>
              <w:tc>
                <w:tcPr>
                  <w:tcW w:w="300" w:type="pct"/>
                  <w:tcBorders>
                    <w:top w:val="single" w:color="auto" w:sz="4" w:space="0"/>
                    <w:left w:val="single" w:color="000000" w:sz="4" w:space="0"/>
                    <w:bottom w:val="single" w:color="auto" w:sz="4" w:space="0"/>
                    <w:right w:val="single" w:color="000000" w:sz="4" w:space="0"/>
                  </w:tcBorders>
                  <w:noWrap w:val="0"/>
                  <w:vAlign w:val="center"/>
                </w:tcPr>
                <w:p w14:paraId="1A57462D">
                  <w:pPr>
                    <w:adjustRightInd w:val="0"/>
                    <w:snapToGrid w:val="0"/>
                    <w:jc w:val="center"/>
                    <w:rPr>
                      <w:bCs/>
                      <w:szCs w:val="21"/>
                    </w:rPr>
                  </w:pPr>
                  <w:r>
                    <w:rPr>
                      <w:rFonts w:hint="eastAsia"/>
                      <w:szCs w:val="21"/>
                    </w:rPr>
                    <w:t>0.5</w:t>
                  </w:r>
                </w:p>
              </w:tc>
              <w:tc>
                <w:tcPr>
                  <w:tcW w:w="238" w:type="pct"/>
                  <w:tcBorders>
                    <w:top w:val="single" w:color="auto" w:sz="4" w:space="0"/>
                    <w:left w:val="single" w:color="000000" w:sz="4" w:space="0"/>
                    <w:bottom w:val="single" w:color="auto" w:sz="4" w:space="0"/>
                    <w:right w:val="single" w:color="000000" w:sz="4" w:space="0"/>
                  </w:tcBorders>
                  <w:noWrap w:val="0"/>
                  <w:vAlign w:val="center"/>
                </w:tcPr>
                <w:p w14:paraId="5C61CB73">
                  <w:pPr>
                    <w:adjustRightInd w:val="0"/>
                    <w:snapToGrid w:val="0"/>
                    <w:jc w:val="center"/>
                    <w:rPr>
                      <w:rFonts w:hint="default" w:eastAsia="宋体"/>
                      <w:bCs/>
                      <w:szCs w:val="21"/>
                      <w:lang w:val="en-US" w:eastAsia="zh-CN"/>
                    </w:rPr>
                  </w:pPr>
                  <w:r>
                    <w:rPr>
                      <w:rFonts w:hint="eastAsia"/>
                      <w:szCs w:val="21"/>
                      <w:lang w:val="en-US" w:eastAsia="zh-CN"/>
                    </w:rPr>
                    <w:t>25</w:t>
                  </w:r>
                </w:p>
              </w:tc>
              <w:tc>
                <w:tcPr>
                  <w:tcW w:w="249" w:type="pct"/>
                  <w:tcBorders>
                    <w:top w:val="single" w:color="auto" w:sz="4" w:space="0"/>
                    <w:left w:val="single" w:color="000000" w:sz="4" w:space="0"/>
                    <w:bottom w:val="single" w:color="auto" w:sz="4" w:space="0"/>
                    <w:right w:val="single" w:color="auto" w:sz="4" w:space="0"/>
                  </w:tcBorders>
                  <w:noWrap w:val="0"/>
                  <w:vAlign w:val="center"/>
                </w:tcPr>
                <w:p w14:paraId="22015704">
                  <w:pPr>
                    <w:adjustRightInd w:val="0"/>
                    <w:snapToGrid w:val="0"/>
                    <w:jc w:val="center"/>
                    <w:rPr>
                      <w:bCs/>
                      <w:szCs w:val="21"/>
                    </w:rPr>
                  </w:pPr>
                  <w:r>
                    <w:rPr>
                      <w:rFonts w:hint="eastAsia"/>
                      <w:szCs w:val="21"/>
                      <w:lang w:val="en-US" w:eastAsia="zh-CN"/>
                    </w:rPr>
                    <w:t>70</w:t>
                  </w:r>
                  <w:r>
                    <w:rPr>
                      <w:rFonts w:hint="eastAsia"/>
                      <w:szCs w:val="21"/>
                    </w:rPr>
                    <w:t>00</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5FA65A4F">
                  <w:pPr>
                    <w:adjustRightInd w:val="0"/>
                    <w:snapToGrid w:val="0"/>
                    <w:jc w:val="center"/>
                    <w:rPr>
                      <w:rFonts w:hint="default" w:eastAsia="宋体"/>
                      <w:szCs w:val="21"/>
                      <w:lang w:val="en-US" w:eastAsia="zh-CN"/>
                    </w:rPr>
                  </w:pPr>
                  <w:r>
                    <w:rPr>
                      <w:rFonts w:hint="default" w:ascii="Times New Roman" w:hAnsi="Times New Roman" w:cs="Times New Roman"/>
                      <w:bCs/>
                      <w:szCs w:val="21"/>
                    </w:rPr>
                    <w:t>《大气污染物综合排放标准》（GB16297-1996）</w:t>
                  </w:r>
                </w:p>
              </w:tc>
              <w:tc>
                <w:tcPr>
                  <w:tcW w:w="359" w:type="pct"/>
                  <w:tcBorders>
                    <w:top w:val="single" w:color="auto" w:sz="4" w:space="0"/>
                    <w:left w:val="single" w:color="auto" w:sz="4" w:space="0"/>
                    <w:bottom w:val="single" w:color="auto" w:sz="4" w:space="0"/>
                    <w:right w:val="single" w:color="000000" w:sz="6" w:space="0"/>
                  </w:tcBorders>
                  <w:noWrap w:val="0"/>
                  <w:vAlign w:val="center"/>
                </w:tcPr>
                <w:p w14:paraId="0CC27D0B">
                  <w:pPr>
                    <w:adjustRightInd w:val="0"/>
                    <w:snapToGrid w:val="0"/>
                    <w:jc w:val="center"/>
                    <w:rPr>
                      <w:rFonts w:hint="default" w:ascii="Times New Roman" w:hAnsi="Times New Roman" w:eastAsia="宋体" w:cs="Times New Roman"/>
                      <w:bCs/>
                      <w:szCs w:val="21"/>
                      <w:lang w:val="en-US" w:eastAsia="zh-CN"/>
                    </w:rPr>
                  </w:pPr>
                  <w:r>
                    <w:rPr>
                      <w:rFonts w:hint="eastAsia" w:ascii="Times New Roman" w:hAnsi="Times New Roman" w:cs="Times New Roman"/>
                      <w:szCs w:val="21"/>
                      <w:lang w:val="en-US" w:eastAsia="zh-CN"/>
                    </w:rPr>
                    <w:t>120</w:t>
                  </w:r>
                </w:p>
              </w:tc>
              <w:tc>
                <w:tcPr>
                  <w:tcW w:w="281" w:type="pct"/>
                  <w:tcBorders>
                    <w:top w:val="single" w:color="auto" w:sz="4" w:space="0"/>
                    <w:left w:val="single" w:color="000000" w:sz="6" w:space="0"/>
                    <w:bottom w:val="single" w:color="auto" w:sz="4" w:space="0"/>
                    <w:right w:val="single" w:color="auto" w:sz="4" w:space="0"/>
                  </w:tcBorders>
                  <w:noWrap w:val="0"/>
                  <w:vAlign w:val="center"/>
                </w:tcPr>
                <w:p w14:paraId="7418FDC8">
                  <w:pPr>
                    <w:adjustRightInd w:val="0"/>
                    <w:snapToGrid w:val="0"/>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w:t>
                  </w:r>
                </w:p>
              </w:tc>
              <w:tc>
                <w:tcPr>
                  <w:tcW w:w="243" w:type="pct"/>
                  <w:tcBorders>
                    <w:top w:val="single" w:color="auto" w:sz="4" w:space="0"/>
                    <w:left w:val="single" w:color="auto" w:sz="4" w:space="0"/>
                    <w:bottom w:val="single" w:color="auto" w:sz="4" w:space="0"/>
                    <w:right w:val="single" w:color="000000" w:sz="4" w:space="0"/>
                  </w:tcBorders>
                  <w:noWrap w:val="0"/>
                  <w:vAlign w:val="center"/>
                </w:tcPr>
                <w:p w14:paraId="589FF68B">
                  <w:pPr>
                    <w:pStyle w:val="58"/>
                    <w:adjustRightInd w:val="0"/>
                    <w:snapToGrid w:val="0"/>
                    <w:jc w:val="center"/>
                    <w:rPr>
                      <w:sz w:val="21"/>
                      <w:szCs w:val="21"/>
                      <w:lang w:eastAsia="zh-CN"/>
                    </w:rPr>
                  </w:pPr>
                  <w:r>
                    <w:rPr>
                      <w:rFonts w:hint="eastAsia"/>
                      <w:sz w:val="21"/>
                      <w:szCs w:val="21"/>
                      <w:lang w:eastAsia="zh-CN"/>
                    </w:rPr>
                    <w:t>/</w:t>
                  </w:r>
                </w:p>
              </w:tc>
              <w:tc>
                <w:tcPr>
                  <w:tcW w:w="234" w:type="pct"/>
                  <w:tcBorders>
                    <w:top w:val="single" w:color="auto" w:sz="4" w:space="0"/>
                    <w:left w:val="single" w:color="000000" w:sz="4" w:space="0"/>
                    <w:bottom w:val="single" w:color="auto" w:sz="4" w:space="0"/>
                    <w:right w:val="single" w:color="000000" w:sz="6" w:space="0"/>
                  </w:tcBorders>
                  <w:noWrap w:val="0"/>
                  <w:vAlign w:val="center"/>
                </w:tcPr>
                <w:p w14:paraId="509AB5D8">
                  <w:pPr>
                    <w:pStyle w:val="58"/>
                    <w:adjustRightInd w:val="0"/>
                    <w:snapToGrid w:val="0"/>
                    <w:jc w:val="center"/>
                    <w:rPr>
                      <w:sz w:val="21"/>
                      <w:szCs w:val="21"/>
                      <w:lang w:eastAsia="zh-CN"/>
                    </w:rPr>
                  </w:pPr>
                  <w:r>
                    <w:rPr>
                      <w:rFonts w:hint="eastAsia"/>
                      <w:sz w:val="21"/>
                      <w:szCs w:val="21"/>
                      <w:lang w:eastAsia="zh-CN"/>
                    </w:rPr>
                    <w:t>/</w:t>
                  </w:r>
                </w:p>
              </w:tc>
              <w:tc>
                <w:tcPr>
                  <w:tcW w:w="288" w:type="pct"/>
                  <w:tcBorders>
                    <w:top w:val="single" w:color="auto" w:sz="4" w:space="0"/>
                    <w:left w:val="single" w:color="000000" w:sz="6" w:space="0"/>
                    <w:bottom w:val="single" w:color="auto" w:sz="4" w:space="0"/>
                    <w:right w:val="single" w:color="000000" w:sz="6" w:space="0"/>
                  </w:tcBorders>
                  <w:noWrap w:val="0"/>
                  <w:vAlign w:val="center"/>
                </w:tcPr>
                <w:p w14:paraId="5A4D057F">
                  <w:pPr>
                    <w:pStyle w:val="58"/>
                    <w:adjustRightInd w:val="0"/>
                    <w:snapToGrid w:val="0"/>
                    <w:jc w:val="center"/>
                    <w:rPr>
                      <w:sz w:val="21"/>
                      <w:szCs w:val="21"/>
                      <w:lang w:eastAsia="zh-CN"/>
                    </w:rPr>
                  </w:pPr>
                  <w:r>
                    <w:rPr>
                      <w:rFonts w:hint="eastAsia"/>
                      <w:sz w:val="21"/>
                      <w:szCs w:val="21"/>
                      <w:lang w:eastAsia="zh-CN"/>
                    </w:rPr>
                    <w:t>/</w:t>
                  </w:r>
                </w:p>
              </w:tc>
              <w:tc>
                <w:tcPr>
                  <w:tcW w:w="386" w:type="pct"/>
                  <w:tcBorders>
                    <w:top w:val="single" w:color="auto" w:sz="4" w:space="0"/>
                    <w:left w:val="single" w:color="000000" w:sz="6" w:space="0"/>
                    <w:bottom w:val="single" w:color="auto" w:sz="4" w:space="0"/>
                    <w:right w:val="single" w:color="auto" w:sz="4" w:space="0"/>
                  </w:tcBorders>
                  <w:noWrap w:val="0"/>
                  <w:vAlign w:val="center"/>
                </w:tcPr>
                <w:p w14:paraId="5CE2AECE">
                  <w:pPr>
                    <w:pStyle w:val="58"/>
                    <w:adjustRightInd w:val="0"/>
                    <w:snapToGrid w:val="0"/>
                    <w:jc w:val="center"/>
                    <w:rPr>
                      <w:rFonts w:hint="default"/>
                      <w:sz w:val="21"/>
                      <w:szCs w:val="21"/>
                      <w:lang w:val="en-US" w:eastAsia="zh-CN"/>
                    </w:rPr>
                  </w:pPr>
                  <w:r>
                    <w:rPr>
                      <w:rFonts w:hint="eastAsia"/>
                      <w:sz w:val="21"/>
                      <w:szCs w:val="21"/>
                      <w:lang w:val="en-US" w:eastAsia="zh-CN"/>
                    </w:rPr>
                    <w:t>/</w:t>
                  </w:r>
                </w:p>
              </w:tc>
            </w:tr>
            <w:tr w14:paraId="0EF3EE4C">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63" w:hRule="atLeast"/>
              </w:trPr>
              <w:tc>
                <w:tcPr>
                  <w:tcW w:w="122" w:type="pct"/>
                  <w:tcBorders>
                    <w:top w:val="single" w:color="auto" w:sz="4" w:space="0"/>
                    <w:bottom w:val="single" w:color="auto" w:sz="4" w:space="0"/>
                    <w:right w:val="single" w:color="000000" w:sz="4" w:space="0"/>
                  </w:tcBorders>
                  <w:noWrap w:val="0"/>
                  <w:vAlign w:val="center"/>
                </w:tcPr>
                <w:p w14:paraId="45A5BC6E">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234" w:type="pct"/>
                  <w:tcBorders>
                    <w:top w:val="single" w:color="auto" w:sz="4" w:space="0"/>
                    <w:left w:val="single" w:color="000000" w:sz="4" w:space="0"/>
                    <w:bottom w:val="single" w:color="auto" w:sz="4" w:space="0"/>
                    <w:right w:val="single" w:color="000000" w:sz="4" w:space="0"/>
                  </w:tcBorders>
                  <w:noWrap w:val="0"/>
                  <w:vAlign w:val="center"/>
                </w:tcPr>
                <w:p w14:paraId="6824FABC">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DA002</w:t>
                  </w:r>
                </w:p>
              </w:tc>
              <w:tc>
                <w:tcPr>
                  <w:tcW w:w="306" w:type="pct"/>
                  <w:tcBorders>
                    <w:top w:val="single" w:color="auto" w:sz="4" w:space="0"/>
                    <w:left w:val="single" w:color="000000" w:sz="4" w:space="0"/>
                    <w:bottom w:val="single" w:color="auto" w:sz="4" w:space="0"/>
                    <w:right w:val="single" w:color="auto" w:sz="4" w:space="0"/>
                  </w:tcBorders>
                  <w:noWrap w:val="0"/>
                  <w:vAlign w:val="center"/>
                </w:tcPr>
                <w:p w14:paraId="3FEFCDF6">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废油液贮存工段排放口</w:t>
                  </w:r>
                </w:p>
              </w:tc>
              <w:tc>
                <w:tcPr>
                  <w:tcW w:w="281" w:type="pct"/>
                  <w:tcBorders>
                    <w:top w:val="single" w:color="auto" w:sz="4" w:space="0"/>
                    <w:left w:val="single" w:color="auto" w:sz="4" w:space="0"/>
                    <w:bottom w:val="single" w:color="000000" w:sz="4" w:space="0"/>
                    <w:right w:val="single" w:color="auto" w:sz="4" w:space="0"/>
                  </w:tcBorders>
                  <w:noWrap w:val="0"/>
                  <w:vAlign w:val="center"/>
                </w:tcPr>
                <w:p w14:paraId="6B22AB9A">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非甲烷总烃</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9013E8D">
                  <w:pPr>
                    <w:jc w:val="center"/>
                    <w:rPr>
                      <w:rFonts w:hint="eastAsia" w:ascii="Times New Roman" w:hAnsi="Times New Roman" w:eastAsia="宋体" w:cs="Times New Roman"/>
                      <w:szCs w:val="21"/>
                    </w:rPr>
                  </w:pPr>
                  <w:r>
                    <w:rPr>
                      <w:rFonts w:hint="eastAsia"/>
                      <w:lang w:val="en-US" w:eastAsia="zh-CN"/>
                    </w:rPr>
                    <w:t>117.58091</w:t>
                  </w:r>
                </w:p>
              </w:tc>
              <w:tc>
                <w:tcPr>
                  <w:tcW w:w="835" w:type="dxa"/>
                  <w:tcBorders>
                    <w:top w:val="single" w:color="auto" w:sz="4" w:space="0"/>
                    <w:left w:val="single" w:color="auto" w:sz="4" w:space="0"/>
                    <w:bottom w:val="single" w:color="auto" w:sz="4" w:space="0"/>
                    <w:right w:val="single" w:color="000000" w:sz="4" w:space="0"/>
                  </w:tcBorders>
                  <w:noWrap w:val="0"/>
                  <w:vAlign w:val="center"/>
                </w:tcPr>
                <w:p w14:paraId="1FD1BE67">
                  <w:pPr>
                    <w:jc w:val="center"/>
                    <w:rPr>
                      <w:rFonts w:hint="eastAsia" w:ascii="Times New Roman" w:hAnsi="Times New Roman" w:eastAsia="宋体" w:cs="Times New Roman"/>
                      <w:szCs w:val="21"/>
                    </w:rPr>
                  </w:pPr>
                  <w:r>
                    <w:rPr>
                      <w:rFonts w:hint="eastAsia"/>
                      <w:lang w:val="en-US" w:eastAsia="zh-CN"/>
                    </w:rPr>
                    <w:t>33.61524</w:t>
                  </w:r>
                </w:p>
              </w:tc>
              <w:tc>
                <w:tcPr>
                  <w:tcW w:w="166" w:type="pct"/>
                  <w:tcBorders>
                    <w:top w:val="single" w:color="auto" w:sz="4" w:space="0"/>
                    <w:left w:val="single" w:color="000000" w:sz="4" w:space="0"/>
                    <w:bottom w:val="single" w:color="auto" w:sz="4" w:space="0"/>
                    <w:right w:val="single" w:color="000000" w:sz="4" w:space="0"/>
                  </w:tcBorders>
                  <w:noWrap w:val="0"/>
                  <w:vAlign w:val="center"/>
                </w:tcPr>
                <w:p w14:paraId="0EAE26D9">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p>
              </w:tc>
              <w:tc>
                <w:tcPr>
                  <w:tcW w:w="300" w:type="pct"/>
                  <w:tcBorders>
                    <w:top w:val="single" w:color="auto" w:sz="4" w:space="0"/>
                    <w:left w:val="single" w:color="000000" w:sz="4" w:space="0"/>
                    <w:bottom w:val="single" w:color="auto" w:sz="4" w:space="0"/>
                    <w:right w:val="single" w:color="000000" w:sz="4" w:space="0"/>
                  </w:tcBorders>
                  <w:noWrap w:val="0"/>
                  <w:vAlign w:val="center"/>
                </w:tcPr>
                <w:p w14:paraId="1FD51D67">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0.3</w:t>
                  </w:r>
                </w:p>
              </w:tc>
              <w:tc>
                <w:tcPr>
                  <w:tcW w:w="238" w:type="pct"/>
                  <w:tcBorders>
                    <w:top w:val="single" w:color="auto" w:sz="4" w:space="0"/>
                    <w:left w:val="single" w:color="000000" w:sz="4" w:space="0"/>
                    <w:bottom w:val="single" w:color="auto" w:sz="4" w:space="0"/>
                    <w:right w:val="single" w:color="000000" w:sz="4" w:space="0"/>
                  </w:tcBorders>
                  <w:noWrap w:val="0"/>
                  <w:vAlign w:val="center"/>
                </w:tcPr>
                <w:p w14:paraId="207C488B">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25</w:t>
                  </w:r>
                </w:p>
              </w:tc>
              <w:tc>
                <w:tcPr>
                  <w:tcW w:w="249" w:type="pct"/>
                  <w:tcBorders>
                    <w:top w:val="single" w:color="auto" w:sz="4" w:space="0"/>
                    <w:left w:val="single" w:color="000000" w:sz="4" w:space="0"/>
                    <w:bottom w:val="single" w:color="auto" w:sz="4" w:space="0"/>
                    <w:right w:val="single" w:color="auto" w:sz="4" w:space="0"/>
                  </w:tcBorders>
                  <w:noWrap w:val="0"/>
                  <w:vAlign w:val="center"/>
                </w:tcPr>
                <w:p w14:paraId="50F5F18E">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1000</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2FEFDE94">
                  <w:pPr>
                    <w:adjustRightInd w:val="0"/>
                    <w:snapToGrid w:val="0"/>
                    <w:jc w:val="center"/>
                    <w:rPr>
                      <w:rFonts w:hint="eastAsia" w:ascii="Times New Roman" w:hAnsi="Times New Roman" w:eastAsia="宋体" w:cs="Times New Roman"/>
                      <w:szCs w:val="21"/>
                    </w:rPr>
                  </w:pPr>
                  <w:r>
                    <w:rPr>
                      <w:rFonts w:hint="default" w:ascii="Times New Roman" w:hAnsi="Times New Roman" w:eastAsia="宋体" w:cs="Times New Roman"/>
                      <w:szCs w:val="21"/>
                    </w:rPr>
                    <w:t>《大气污染物综合排放标准》（GB16297-1996）</w:t>
                  </w:r>
                </w:p>
              </w:tc>
              <w:tc>
                <w:tcPr>
                  <w:tcW w:w="359" w:type="pct"/>
                  <w:tcBorders>
                    <w:top w:val="single" w:color="auto" w:sz="4" w:space="0"/>
                    <w:left w:val="single" w:color="auto" w:sz="4" w:space="0"/>
                    <w:bottom w:val="single" w:color="auto" w:sz="4" w:space="0"/>
                    <w:right w:val="single" w:color="000000" w:sz="6" w:space="0"/>
                  </w:tcBorders>
                  <w:noWrap w:val="0"/>
                  <w:vAlign w:val="center"/>
                </w:tcPr>
                <w:p w14:paraId="48BCDB5B">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120</w:t>
                  </w:r>
                </w:p>
              </w:tc>
              <w:tc>
                <w:tcPr>
                  <w:tcW w:w="281" w:type="pct"/>
                  <w:tcBorders>
                    <w:top w:val="single" w:color="auto" w:sz="4" w:space="0"/>
                    <w:left w:val="single" w:color="000000" w:sz="6" w:space="0"/>
                    <w:bottom w:val="single" w:color="auto" w:sz="4" w:space="0"/>
                    <w:right w:val="single" w:color="auto" w:sz="4" w:space="0"/>
                  </w:tcBorders>
                  <w:noWrap w:val="0"/>
                  <w:vAlign w:val="center"/>
                </w:tcPr>
                <w:p w14:paraId="2C40DD61">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243" w:type="pct"/>
                  <w:tcBorders>
                    <w:top w:val="single" w:color="auto" w:sz="4" w:space="0"/>
                    <w:left w:val="single" w:color="auto" w:sz="4" w:space="0"/>
                    <w:bottom w:val="single" w:color="auto" w:sz="4" w:space="0"/>
                    <w:right w:val="single" w:color="000000" w:sz="4" w:space="0"/>
                  </w:tcBorders>
                  <w:noWrap w:val="0"/>
                  <w:vAlign w:val="center"/>
                </w:tcPr>
                <w:p w14:paraId="1E05E26D">
                  <w:pPr>
                    <w:adjustRightInd w:val="0"/>
                    <w:snapToGrid w:val="0"/>
                    <w:jc w:val="center"/>
                    <w:rPr>
                      <w:rFonts w:hint="eastAsia" w:ascii="Times New Roman" w:hAnsi="Times New Roman" w:eastAsia="宋体" w:cs="Times New Roman"/>
                      <w:szCs w:val="21"/>
                    </w:rPr>
                  </w:pPr>
                </w:p>
              </w:tc>
              <w:tc>
                <w:tcPr>
                  <w:tcW w:w="234" w:type="pct"/>
                  <w:tcBorders>
                    <w:top w:val="single" w:color="auto" w:sz="4" w:space="0"/>
                    <w:left w:val="single" w:color="000000" w:sz="4" w:space="0"/>
                    <w:bottom w:val="single" w:color="auto" w:sz="4" w:space="0"/>
                    <w:right w:val="single" w:color="000000" w:sz="6" w:space="0"/>
                  </w:tcBorders>
                  <w:noWrap w:val="0"/>
                  <w:vAlign w:val="center"/>
                </w:tcPr>
                <w:p w14:paraId="428E602B">
                  <w:pPr>
                    <w:adjustRightInd w:val="0"/>
                    <w:snapToGrid w:val="0"/>
                    <w:jc w:val="center"/>
                    <w:rPr>
                      <w:rFonts w:hint="eastAsia" w:ascii="Times New Roman" w:hAnsi="Times New Roman" w:eastAsia="宋体" w:cs="Times New Roman"/>
                      <w:szCs w:val="21"/>
                    </w:rPr>
                  </w:pPr>
                </w:p>
              </w:tc>
              <w:tc>
                <w:tcPr>
                  <w:tcW w:w="288" w:type="pct"/>
                  <w:tcBorders>
                    <w:top w:val="single" w:color="auto" w:sz="4" w:space="0"/>
                    <w:left w:val="single" w:color="000000" w:sz="6" w:space="0"/>
                    <w:bottom w:val="single" w:color="auto" w:sz="4" w:space="0"/>
                    <w:right w:val="single" w:color="000000" w:sz="6" w:space="0"/>
                  </w:tcBorders>
                  <w:noWrap w:val="0"/>
                  <w:vAlign w:val="center"/>
                </w:tcPr>
                <w:p w14:paraId="148AA871">
                  <w:pPr>
                    <w:adjustRightInd w:val="0"/>
                    <w:snapToGrid w:val="0"/>
                    <w:jc w:val="center"/>
                    <w:rPr>
                      <w:rFonts w:hint="eastAsia" w:ascii="Times New Roman" w:hAnsi="Times New Roman" w:eastAsia="宋体" w:cs="Times New Roman"/>
                      <w:szCs w:val="21"/>
                    </w:rPr>
                  </w:pPr>
                </w:p>
              </w:tc>
              <w:tc>
                <w:tcPr>
                  <w:tcW w:w="386" w:type="pct"/>
                  <w:tcBorders>
                    <w:top w:val="single" w:color="auto" w:sz="4" w:space="0"/>
                    <w:left w:val="single" w:color="000000" w:sz="6" w:space="0"/>
                    <w:bottom w:val="single" w:color="auto" w:sz="4" w:space="0"/>
                    <w:right w:val="single" w:color="auto" w:sz="4" w:space="0"/>
                  </w:tcBorders>
                  <w:noWrap w:val="0"/>
                  <w:vAlign w:val="center"/>
                </w:tcPr>
                <w:p w14:paraId="048BEB21">
                  <w:pPr>
                    <w:adjustRightInd w:val="0"/>
                    <w:snapToGrid w:val="0"/>
                    <w:jc w:val="center"/>
                    <w:rPr>
                      <w:rFonts w:hint="eastAsia" w:ascii="Times New Roman" w:hAnsi="Times New Roman" w:eastAsia="宋体" w:cs="Times New Roman"/>
                      <w:szCs w:val="21"/>
                    </w:rPr>
                  </w:pPr>
                </w:p>
              </w:tc>
            </w:tr>
            <w:tr w14:paraId="689C5383">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620" w:hRule="atLeast"/>
              </w:trPr>
              <w:tc>
                <w:tcPr>
                  <w:tcW w:w="122" w:type="pct"/>
                  <w:tcBorders>
                    <w:top w:val="single" w:color="auto" w:sz="4" w:space="0"/>
                    <w:right w:val="single" w:color="000000" w:sz="4" w:space="0"/>
                  </w:tcBorders>
                  <w:noWrap w:val="0"/>
                  <w:vAlign w:val="center"/>
                </w:tcPr>
                <w:p w14:paraId="6BEAFEF0">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234" w:type="pct"/>
                  <w:tcBorders>
                    <w:top w:val="single" w:color="auto" w:sz="4" w:space="0"/>
                    <w:left w:val="single" w:color="000000" w:sz="4" w:space="0"/>
                    <w:right w:val="single" w:color="000000" w:sz="4" w:space="0"/>
                  </w:tcBorders>
                  <w:noWrap w:val="0"/>
                  <w:vAlign w:val="center"/>
                </w:tcPr>
                <w:p w14:paraId="066538C2">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DA003</w:t>
                  </w:r>
                </w:p>
              </w:tc>
              <w:tc>
                <w:tcPr>
                  <w:tcW w:w="306" w:type="pct"/>
                  <w:tcBorders>
                    <w:top w:val="single" w:color="auto" w:sz="4" w:space="0"/>
                    <w:left w:val="single" w:color="000000" w:sz="4" w:space="0"/>
                    <w:right w:val="single" w:color="000000" w:sz="4" w:space="0"/>
                  </w:tcBorders>
                  <w:noWrap w:val="0"/>
                  <w:vAlign w:val="center"/>
                </w:tcPr>
                <w:p w14:paraId="1A1B27C2">
                  <w:pPr>
                    <w:adjustRightInd w:val="0"/>
                    <w:snapToGrid w:val="0"/>
                    <w:jc w:val="center"/>
                    <w:rPr>
                      <w:rFonts w:hint="default" w:ascii="宋体" w:hAnsi="宋体" w:eastAsia="宋体"/>
                      <w:bCs/>
                      <w:szCs w:val="21"/>
                      <w:lang w:val="en-US" w:eastAsia="zh-CN"/>
                    </w:rPr>
                  </w:pPr>
                  <w:r>
                    <w:rPr>
                      <w:rFonts w:hint="eastAsia" w:ascii="宋体" w:hAnsi="宋体"/>
                      <w:bCs/>
                      <w:szCs w:val="21"/>
                      <w:lang w:val="en-US" w:eastAsia="zh-CN"/>
                    </w:rPr>
                    <w:t>切割工段排放口</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03D4A049">
                  <w:pPr>
                    <w:jc w:val="center"/>
                    <w:rPr>
                      <w:rFonts w:hint="default"/>
                      <w:szCs w:val="21"/>
                      <w:lang w:val="en-US" w:eastAsia="zh-CN"/>
                    </w:rPr>
                  </w:pPr>
                  <w:r>
                    <w:rPr>
                      <w:rFonts w:hint="eastAsia"/>
                      <w:szCs w:val="21"/>
                      <w:lang w:val="en-US" w:eastAsia="zh-CN"/>
                    </w:rPr>
                    <w:t>颗粒物</w:t>
                  </w:r>
                </w:p>
              </w:tc>
              <w:tc>
                <w:tcPr>
                  <w:tcW w:w="937" w:type="dxa"/>
                  <w:tcBorders>
                    <w:top w:val="single" w:color="auto" w:sz="4" w:space="0"/>
                    <w:left w:val="single" w:color="000000" w:sz="4" w:space="0"/>
                    <w:right w:val="single" w:color="000000" w:sz="6" w:space="0"/>
                  </w:tcBorders>
                  <w:noWrap w:val="0"/>
                  <w:vAlign w:val="center"/>
                </w:tcPr>
                <w:p w14:paraId="607D852B">
                  <w:pPr>
                    <w:jc w:val="center"/>
                    <w:rPr>
                      <w:rFonts w:ascii="宋体" w:hAnsi="宋体"/>
                      <w:bCs/>
                      <w:szCs w:val="21"/>
                    </w:rPr>
                  </w:pPr>
                  <w:r>
                    <w:rPr>
                      <w:rFonts w:hint="eastAsia" w:cs="Times New Roman"/>
                      <w:kern w:val="2"/>
                      <w:sz w:val="21"/>
                      <w:szCs w:val="24"/>
                      <w:lang w:val="en-US" w:eastAsia="zh-CN" w:bidi="ar-SA"/>
                    </w:rPr>
                    <w:t>117.08584</w:t>
                  </w:r>
                </w:p>
              </w:tc>
              <w:tc>
                <w:tcPr>
                  <w:tcW w:w="835" w:type="dxa"/>
                  <w:tcBorders>
                    <w:top w:val="single" w:color="auto" w:sz="4" w:space="0"/>
                    <w:left w:val="single" w:color="000000" w:sz="6" w:space="0"/>
                    <w:right w:val="single" w:color="000000" w:sz="4" w:space="0"/>
                  </w:tcBorders>
                  <w:noWrap w:val="0"/>
                  <w:vAlign w:val="center"/>
                </w:tcPr>
                <w:p w14:paraId="2F81B2FE">
                  <w:pPr>
                    <w:jc w:val="center"/>
                    <w:rPr>
                      <w:rFonts w:ascii="宋体" w:hAnsi="宋体"/>
                      <w:bCs/>
                      <w:szCs w:val="21"/>
                    </w:rPr>
                  </w:pPr>
                  <w:r>
                    <w:rPr>
                      <w:rFonts w:hint="eastAsia" w:cs="Times New Roman"/>
                      <w:kern w:val="2"/>
                      <w:sz w:val="21"/>
                      <w:szCs w:val="24"/>
                      <w:lang w:val="en-US" w:eastAsia="zh-CN" w:bidi="ar-SA"/>
                    </w:rPr>
                    <w:t>33.61496</w:t>
                  </w:r>
                </w:p>
              </w:tc>
              <w:tc>
                <w:tcPr>
                  <w:tcW w:w="166" w:type="pct"/>
                  <w:tcBorders>
                    <w:top w:val="single" w:color="auto" w:sz="4" w:space="0"/>
                    <w:left w:val="single" w:color="000000" w:sz="4" w:space="0"/>
                    <w:right w:val="single" w:color="000000" w:sz="4" w:space="0"/>
                  </w:tcBorders>
                  <w:noWrap w:val="0"/>
                  <w:vAlign w:val="center"/>
                </w:tcPr>
                <w:p w14:paraId="74CE6F33">
                  <w:pPr>
                    <w:adjustRightInd w:val="0"/>
                    <w:snapToGrid w:val="0"/>
                    <w:jc w:val="center"/>
                    <w:rPr>
                      <w:rFonts w:ascii="宋体" w:hAnsi="宋体"/>
                      <w:bCs/>
                      <w:szCs w:val="21"/>
                    </w:rPr>
                  </w:pPr>
                  <w:r>
                    <w:rPr>
                      <w:rFonts w:hint="eastAsia"/>
                      <w:szCs w:val="21"/>
                    </w:rPr>
                    <w:t>15</w:t>
                  </w:r>
                </w:p>
              </w:tc>
              <w:tc>
                <w:tcPr>
                  <w:tcW w:w="300" w:type="pct"/>
                  <w:tcBorders>
                    <w:top w:val="single" w:color="auto" w:sz="4" w:space="0"/>
                    <w:left w:val="single" w:color="000000" w:sz="4" w:space="0"/>
                    <w:right w:val="single" w:color="000000" w:sz="4" w:space="0"/>
                  </w:tcBorders>
                  <w:noWrap w:val="0"/>
                  <w:vAlign w:val="center"/>
                </w:tcPr>
                <w:p w14:paraId="49F90044">
                  <w:pPr>
                    <w:adjustRightInd w:val="0"/>
                    <w:snapToGrid w:val="0"/>
                    <w:jc w:val="center"/>
                    <w:rPr>
                      <w:rFonts w:ascii="宋体" w:hAnsi="宋体"/>
                      <w:bCs/>
                      <w:szCs w:val="21"/>
                    </w:rPr>
                  </w:pPr>
                  <w:r>
                    <w:rPr>
                      <w:rFonts w:hint="eastAsia"/>
                      <w:szCs w:val="21"/>
                    </w:rPr>
                    <w:t>0.5</w:t>
                  </w:r>
                </w:p>
              </w:tc>
              <w:tc>
                <w:tcPr>
                  <w:tcW w:w="238" w:type="pct"/>
                  <w:tcBorders>
                    <w:top w:val="single" w:color="auto" w:sz="4" w:space="0"/>
                    <w:left w:val="single" w:color="000000" w:sz="4" w:space="0"/>
                    <w:right w:val="single" w:color="000000" w:sz="4" w:space="0"/>
                  </w:tcBorders>
                  <w:noWrap w:val="0"/>
                  <w:vAlign w:val="center"/>
                </w:tcPr>
                <w:p w14:paraId="11F91E2A">
                  <w:pPr>
                    <w:adjustRightInd w:val="0"/>
                    <w:snapToGrid w:val="0"/>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25</w:t>
                  </w:r>
                </w:p>
              </w:tc>
              <w:tc>
                <w:tcPr>
                  <w:tcW w:w="249" w:type="pct"/>
                  <w:tcBorders>
                    <w:top w:val="single" w:color="auto" w:sz="4" w:space="0"/>
                    <w:left w:val="single" w:color="000000" w:sz="4" w:space="0"/>
                    <w:right w:val="single" w:color="000000" w:sz="6" w:space="0"/>
                  </w:tcBorders>
                  <w:noWrap w:val="0"/>
                  <w:vAlign w:val="center"/>
                </w:tcPr>
                <w:p w14:paraId="79A234D3">
                  <w:pPr>
                    <w:adjustRightInd w:val="0"/>
                    <w:snapToGrid w:val="0"/>
                    <w:jc w:val="center"/>
                    <w:rPr>
                      <w:rFonts w:hint="default" w:ascii="Times New Roman" w:hAnsi="Times New Roman" w:eastAsia="宋体" w:cs="Times New Roman"/>
                      <w:bCs/>
                      <w:szCs w:val="21"/>
                      <w:lang w:val="en-US" w:eastAsia="zh-CN"/>
                    </w:rPr>
                  </w:pPr>
                  <w:r>
                    <w:rPr>
                      <w:rFonts w:hint="eastAsia" w:ascii="Times New Roman" w:hAnsi="Times New Roman" w:cs="Times New Roman"/>
                      <w:bCs/>
                      <w:szCs w:val="21"/>
                      <w:lang w:val="en-US" w:eastAsia="zh-CN"/>
                    </w:rPr>
                    <w:t>9</w:t>
                  </w:r>
                  <w:r>
                    <w:rPr>
                      <w:rFonts w:hint="default" w:ascii="Times New Roman" w:hAnsi="Times New Roman" w:cs="Times New Roman"/>
                      <w:bCs/>
                      <w:szCs w:val="21"/>
                      <w:lang w:val="en-US" w:eastAsia="zh-CN"/>
                    </w:rPr>
                    <w:t>000</w:t>
                  </w:r>
                </w:p>
              </w:tc>
              <w:tc>
                <w:tcPr>
                  <w:tcW w:w="647" w:type="pct"/>
                  <w:tcBorders>
                    <w:top w:val="single" w:color="auto" w:sz="4" w:space="0"/>
                    <w:left w:val="single" w:color="000000" w:sz="6" w:space="0"/>
                    <w:right w:val="single" w:color="auto" w:sz="4" w:space="0"/>
                  </w:tcBorders>
                  <w:noWrap w:val="0"/>
                  <w:vAlign w:val="center"/>
                </w:tcPr>
                <w:p w14:paraId="247404B1">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《大气污染物综合排放标准》（GB16297-1996）</w:t>
                  </w:r>
                </w:p>
              </w:tc>
              <w:tc>
                <w:tcPr>
                  <w:tcW w:w="359" w:type="pct"/>
                  <w:tcBorders>
                    <w:top w:val="single" w:color="auto" w:sz="4" w:space="0"/>
                    <w:left w:val="single" w:color="auto" w:sz="4" w:space="0"/>
                    <w:right w:val="single" w:color="000000" w:sz="6" w:space="0"/>
                  </w:tcBorders>
                  <w:noWrap w:val="0"/>
                  <w:vAlign w:val="center"/>
                </w:tcPr>
                <w:p w14:paraId="1A7BE4A8">
                  <w:pPr>
                    <w:adjustRightInd w:val="0"/>
                    <w:snapToGrid w:val="0"/>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120</w:t>
                  </w:r>
                </w:p>
              </w:tc>
              <w:tc>
                <w:tcPr>
                  <w:tcW w:w="281" w:type="pct"/>
                  <w:tcBorders>
                    <w:top w:val="single" w:color="auto" w:sz="4" w:space="0"/>
                    <w:left w:val="single" w:color="000000" w:sz="6" w:space="0"/>
                    <w:right w:val="single" w:color="auto" w:sz="4" w:space="0"/>
                  </w:tcBorders>
                  <w:noWrap w:val="0"/>
                  <w:vAlign w:val="center"/>
                </w:tcPr>
                <w:p w14:paraId="656453BE">
                  <w:pPr>
                    <w:adjustRightInd w:val="0"/>
                    <w:snapToGrid w:val="0"/>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3.5</w:t>
                  </w:r>
                </w:p>
              </w:tc>
              <w:tc>
                <w:tcPr>
                  <w:tcW w:w="243" w:type="pct"/>
                  <w:tcBorders>
                    <w:top w:val="single" w:color="auto" w:sz="4" w:space="0"/>
                    <w:left w:val="single" w:color="auto" w:sz="4" w:space="0"/>
                    <w:right w:val="single" w:color="000000" w:sz="4" w:space="0"/>
                  </w:tcBorders>
                  <w:noWrap w:val="0"/>
                  <w:vAlign w:val="center"/>
                </w:tcPr>
                <w:p w14:paraId="385BB59D">
                  <w:pPr>
                    <w:pStyle w:val="58"/>
                    <w:adjustRightInd w:val="0"/>
                    <w:snapToGrid w:val="0"/>
                    <w:jc w:val="center"/>
                    <w:rPr>
                      <w:rFonts w:ascii="宋体" w:hAnsi="宋体"/>
                      <w:bCs/>
                      <w:szCs w:val="21"/>
                    </w:rPr>
                  </w:pPr>
                  <w:r>
                    <w:rPr>
                      <w:rFonts w:hint="eastAsia"/>
                      <w:sz w:val="21"/>
                      <w:szCs w:val="21"/>
                      <w:lang w:eastAsia="zh-CN"/>
                    </w:rPr>
                    <w:t>/</w:t>
                  </w:r>
                </w:p>
              </w:tc>
              <w:tc>
                <w:tcPr>
                  <w:tcW w:w="234" w:type="pct"/>
                  <w:tcBorders>
                    <w:top w:val="single" w:color="auto" w:sz="4" w:space="0"/>
                    <w:left w:val="single" w:color="000000" w:sz="4" w:space="0"/>
                    <w:right w:val="single" w:color="000000" w:sz="6" w:space="0"/>
                  </w:tcBorders>
                  <w:noWrap w:val="0"/>
                  <w:vAlign w:val="center"/>
                </w:tcPr>
                <w:p w14:paraId="586EBCAC">
                  <w:pPr>
                    <w:pStyle w:val="58"/>
                    <w:adjustRightInd w:val="0"/>
                    <w:snapToGrid w:val="0"/>
                    <w:jc w:val="center"/>
                    <w:rPr>
                      <w:rFonts w:ascii="宋体" w:hAnsi="宋体"/>
                      <w:bCs/>
                      <w:szCs w:val="21"/>
                    </w:rPr>
                  </w:pPr>
                  <w:r>
                    <w:rPr>
                      <w:rFonts w:hint="eastAsia"/>
                      <w:sz w:val="21"/>
                      <w:szCs w:val="21"/>
                      <w:lang w:eastAsia="zh-CN"/>
                    </w:rPr>
                    <w:t>/</w:t>
                  </w:r>
                </w:p>
              </w:tc>
              <w:tc>
                <w:tcPr>
                  <w:tcW w:w="288" w:type="pct"/>
                  <w:tcBorders>
                    <w:top w:val="single" w:color="auto" w:sz="4" w:space="0"/>
                    <w:left w:val="single" w:color="000000" w:sz="6" w:space="0"/>
                    <w:right w:val="single" w:color="000000" w:sz="6" w:space="0"/>
                  </w:tcBorders>
                  <w:noWrap w:val="0"/>
                  <w:vAlign w:val="center"/>
                </w:tcPr>
                <w:p w14:paraId="0149FFB4">
                  <w:pPr>
                    <w:pStyle w:val="58"/>
                    <w:adjustRightInd w:val="0"/>
                    <w:snapToGrid w:val="0"/>
                    <w:jc w:val="center"/>
                    <w:rPr>
                      <w:rFonts w:ascii="宋体" w:hAnsi="宋体"/>
                      <w:bCs/>
                      <w:szCs w:val="21"/>
                    </w:rPr>
                  </w:pPr>
                  <w:r>
                    <w:rPr>
                      <w:rFonts w:hint="eastAsia"/>
                      <w:sz w:val="21"/>
                      <w:szCs w:val="21"/>
                      <w:lang w:eastAsia="zh-CN"/>
                    </w:rPr>
                    <w:t>/</w:t>
                  </w:r>
                </w:p>
              </w:tc>
              <w:tc>
                <w:tcPr>
                  <w:tcW w:w="386" w:type="pct"/>
                  <w:tcBorders>
                    <w:top w:val="single" w:color="auto" w:sz="4" w:space="0"/>
                    <w:left w:val="single" w:color="000000" w:sz="6" w:space="0"/>
                  </w:tcBorders>
                  <w:noWrap w:val="0"/>
                  <w:vAlign w:val="center"/>
                </w:tcPr>
                <w:p w14:paraId="788FB875">
                  <w:pPr>
                    <w:pStyle w:val="58"/>
                    <w:adjustRightInd w:val="0"/>
                    <w:snapToGrid w:val="0"/>
                    <w:jc w:val="center"/>
                    <w:rPr>
                      <w:rFonts w:ascii="宋体" w:hAnsi="宋体"/>
                      <w:bCs/>
                      <w:szCs w:val="21"/>
                    </w:rPr>
                  </w:pPr>
                  <w:r>
                    <w:rPr>
                      <w:rFonts w:hint="eastAsia"/>
                      <w:sz w:val="21"/>
                      <w:szCs w:val="21"/>
                      <w:lang w:val="en-US" w:eastAsia="zh-CN"/>
                    </w:rPr>
                    <w:t>/</w:t>
                  </w:r>
                </w:p>
              </w:tc>
            </w:tr>
          </w:tbl>
          <w:p w14:paraId="286E6A78">
            <w:pPr>
              <w:adjustRightInd w:val="0"/>
              <w:snapToGrid w:val="0"/>
              <w:spacing w:line="240" w:lineRule="atLeast"/>
              <w:jc w:val="center"/>
              <w:rPr>
                <w:b/>
                <w:szCs w:val="21"/>
              </w:rPr>
            </w:pPr>
          </w:p>
          <w:p w14:paraId="13913975">
            <w:pPr>
              <w:adjustRightInd w:val="0"/>
              <w:snapToGrid w:val="0"/>
              <w:spacing w:line="240" w:lineRule="atLeast"/>
              <w:jc w:val="center"/>
              <w:rPr>
                <w:b/>
                <w:szCs w:val="21"/>
              </w:rPr>
            </w:pPr>
          </w:p>
          <w:p w14:paraId="3E0CD817">
            <w:pPr>
              <w:adjustRightInd w:val="0"/>
              <w:snapToGrid w:val="0"/>
              <w:spacing w:line="240" w:lineRule="atLeast"/>
              <w:jc w:val="center"/>
              <w:rPr>
                <w:b/>
                <w:szCs w:val="21"/>
              </w:rPr>
            </w:pPr>
            <w:r>
              <w:rPr>
                <w:b/>
                <w:szCs w:val="21"/>
              </w:rPr>
              <w:t>表6  建设项目大气污染物无组织排放表</w:t>
            </w:r>
          </w:p>
          <w:tbl>
            <w:tblPr>
              <w:tblStyle w:val="24"/>
              <w:tblW w:w="5000" w:type="pct"/>
              <w:tblInd w:w="10"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332"/>
              <w:gridCol w:w="1166"/>
              <w:gridCol w:w="840"/>
              <w:gridCol w:w="1403"/>
              <w:gridCol w:w="2753"/>
              <w:gridCol w:w="2862"/>
              <w:gridCol w:w="1477"/>
              <w:gridCol w:w="1313"/>
              <w:gridCol w:w="1305"/>
            </w:tblGrid>
            <w:tr w14:paraId="3A552CB4">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23" w:type="pct"/>
                  <w:vMerge w:val="restart"/>
                  <w:tcBorders>
                    <w:bottom w:val="single" w:color="000000" w:sz="4" w:space="0"/>
                    <w:right w:val="single" w:color="000000" w:sz="4" w:space="0"/>
                  </w:tcBorders>
                  <w:noWrap w:val="0"/>
                  <w:vAlign w:val="center"/>
                </w:tcPr>
                <w:p w14:paraId="4DD7AAB9">
                  <w:pPr>
                    <w:pStyle w:val="58"/>
                    <w:adjustRightInd w:val="0"/>
                    <w:snapToGrid w:val="0"/>
                    <w:jc w:val="center"/>
                    <w:rPr>
                      <w:b/>
                      <w:sz w:val="21"/>
                      <w:szCs w:val="21"/>
                    </w:rPr>
                  </w:pPr>
                  <w:r>
                    <w:rPr>
                      <w:rFonts w:hint="eastAsia"/>
                      <w:b/>
                      <w:sz w:val="21"/>
                      <w:szCs w:val="21"/>
                    </w:rPr>
                    <w:t>序号</w:t>
                  </w:r>
                </w:p>
              </w:tc>
              <w:tc>
                <w:tcPr>
                  <w:tcW w:w="433" w:type="pct"/>
                  <w:vMerge w:val="restart"/>
                  <w:tcBorders>
                    <w:left w:val="single" w:color="000000" w:sz="4" w:space="0"/>
                    <w:bottom w:val="single" w:color="000000" w:sz="4" w:space="0"/>
                    <w:right w:val="single" w:color="000000" w:sz="4" w:space="0"/>
                  </w:tcBorders>
                  <w:noWrap w:val="0"/>
                  <w:vAlign w:val="center"/>
                </w:tcPr>
                <w:p w14:paraId="208255A5">
                  <w:pPr>
                    <w:pStyle w:val="58"/>
                    <w:adjustRightInd w:val="0"/>
                    <w:snapToGrid w:val="0"/>
                    <w:jc w:val="center"/>
                    <w:rPr>
                      <w:b/>
                      <w:sz w:val="21"/>
                      <w:szCs w:val="21"/>
                      <w:lang w:eastAsia="zh-CN"/>
                    </w:rPr>
                  </w:pPr>
                  <w:r>
                    <w:rPr>
                      <w:rFonts w:hint="eastAsia"/>
                      <w:b/>
                      <w:sz w:val="21"/>
                      <w:szCs w:val="21"/>
                      <w:lang w:eastAsia="zh-CN"/>
                    </w:rPr>
                    <w:t>生产设施编号</w:t>
                  </w:r>
                  <w:r>
                    <w:rPr>
                      <w:b/>
                      <w:sz w:val="21"/>
                      <w:szCs w:val="21"/>
                      <w:lang w:eastAsia="zh-CN"/>
                    </w:rPr>
                    <w:t>/</w:t>
                  </w:r>
                  <w:r>
                    <w:rPr>
                      <w:rFonts w:hint="eastAsia"/>
                      <w:b/>
                      <w:sz w:val="21"/>
                      <w:szCs w:val="21"/>
                      <w:lang w:eastAsia="zh-CN"/>
                    </w:rPr>
                    <w:t>无组织排放编号</w:t>
                  </w:r>
                </w:p>
              </w:tc>
              <w:tc>
                <w:tcPr>
                  <w:tcW w:w="312" w:type="pct"/>
                  <w:vMerge w:val="restart"/>
                  <w:tcBorders>
                    <w:left w:val="single" w:color="000000" w:sz="4" w:space="0"/>
                    <w:bottom w:val="single" w:color="000000" w:sz="4" w:space="0"/>
                    <w:right w:val="single" w:color="000000" w:sz="4" w:space="0"/>
                  </w:tcBorders>
                  <w:noWrap w:val="0"/>
                  <w:vAlign w:val="center"/>
                </w:tcPr>
                <w:p w14:paraId="376EC2E8">
                  <w:pPr>
                    <w:pStyle w:val="58"/>
                    <w:adjustRightInd w:val="0"/>
                    <w:snapToGrid w:val="0"/>
                    <w:jc w:val="center"/>
                    <w:rPr>
                      <w:b/>
                      <w:sz w:val="21"/>
                      <w:szCs w:val="21"/>
                    </w:rPr>
                  </w:pPr>
                  <w:r>
                    <w:rPr>
                      <w:rFonts w:hint="eastAsia"/>
                      <w:b/>
                      <w:sz w:val="21"/>
                      <w:szCs w:val="21"/>
                    </w:rPr>
                    <w:t>产污环节</w:t>
                  </w:r>
                </w:p>
              </w:tc>
              <w:tc>
                <w:tcPr>
                  <w:tcW w:w="521" w:type="pct"/>
                  <w:vMerge w:val="restart"/>
                  <w:tcBorders>
                    <w:left w:val="single" w:color="000000" w:sz="4" w:space="0"/>
                    <w:bottom w:val="single" w:color="000000" w:sz="4" w:space="0"/>
                    <w:right w:val="single" w:color="000000" w:sz="4" w:space="0"/>
                  </w:tcBorders>
                  <w:noWrap w:val="0"/>
                  <w:vAlign w:val="center"/>
                </w:tcPr>
                <w:p w14:paraId="3044218F">
                  <w:pPr>
                    <w:pStyle w:val="58"/>
                    <w:adjustRightInd w:val="0"/>
                    <w:snapToGrid w:val="0"/>
                    <w:jc w:val="center"/>
                    <w:rPr>
                      <w:b/>
                      <w:sz w:val="21"/>
                      <w:szCs w:val="21"/>
                    </w:rPr>
                  </w:pPr>
                  <w:r>
                    <w:rPr>
                      <w:rFonts w:hint="eastAsia"/>
                      <w:b/>
                      <w:sz w:val="21"/>
                      <w:szCs w:val="21"/>
                    </w:rPr>
                    <w:t>污染物种类</w:t>
                  </w:r>
                </w:p>
              </w:tc>
              <w:tc>
                <w:tcPr>
                  <w:tcW w:w="1023" w:type="pct"/>
                  <w:vMerge w:val="restart"/>
                  <w:tcBorders>
                    <w:left w:val="single" w:color="000000" w:sz="4" w:space="0"/>
                    <w:bottom w:val="single" w:color="000000" w:sz="4" w:space="0"/>
                    <w:right w:val="single" w:color="000000" w:sz="4" w:space="0"/>
                  </w:tcBorders>
                  <w:noWrap w:val="0"/>
                  <w:vAlign w:val="center"/>
                </w:tcPr>
                <w:p w14:paraId="0D08A263">
                  <w:pPr>
                    <w:pStyle w:val="58"/>
                    <w:adjustRightInd w:val="0"/>
                    <w:snapToGrid w:val="0"/>
                    <w:jc w:val="center"/>
                    <w:rPr>
                      <w:b/>
                      <w:sz w:val="21"/>
                      <w:szCs w:val="21"/>
                    </w:rPr>
                  </w:pPr>
                  <w:r>
                    <w:rPr>
                      <w:rFonts w:hint="eastAsia"/>
                      <w:b/>
                      <w:sz w:val="21"/>
                      <w:szCs w:val="21"/>
                    </w:rPr>
                    <w:t>主要污染防治措施</w:t>
                  </w:r>
                </w:p>
              </w:tc>
              <w:tc>
                <w:tcPr>
                  <w:tcW w:w="1612" w:type="pct"/>
                  <w:gridSpan w:val="2"/>
                  <w:tcBorders>
                    <w:left w:val="single" w:color="000000" w:sz="4" w:space="0"/>
                    <w:bottom w:val="single" w:color="000000" w:sz="6" w:space="0"/>
                    <w:right w:val="single" w:color="000000" w:sz="4" w:space="0"/>
                  </w:tcBorders>
                  <w:noWrap w:val="0"/>
                  <w:vAlign w:val="center"/>
                </w:tcPr>
                <w:p w14:paraId="147746EE">
                  <w:pPr>
                    <w:pStyle w:val="58"/>
                    <w:adjustRightInd w:val="0"/>
                    <w:snapToGrid w:val="0"/>
                    <w:jc w:val="center"/>
                    <w:rPr>
                      <w:b/>
                      <w:sz w:val="21"/>
                      <w:szCs w:val="21"/>
                      <w:lang w:eastAsia="zh-CN"/>
                    </w:rPr>
                  </w:pPr>
                  <w:r>
                    <w:rPr>
                      <w:rFonts w:hint="eastAsia"/>
                      <w:b/>
                      <w:sz w:val="21"/>
                      <w:szCs w:val="21"/>
                      <w:lang w:eastAsia="zh-CN"/>
                    </w:rPr>
                    <w:t>国家或地方污染物排放标准</w:t>
                  </w:r>
                </w:p>
              </w:tc>
              <w:tc>
                <w:tcPr>
                  <w:tcW w:w="488" w:type="pct"/>
                  <w:vMerge w:val="restart"/>
                  <w:tcBorders>
                    <w:left w:val="single" w:color="000000" w:sz="4" w:space="0"/>
                    <w:bottom w:val="single" w:color="000000" w:sz="4" w:space="0"/>
                    <w:right w:val="single" w:color="000000" w:sz="4" w:space="0"/>
                  </w:tcBorders>
                  <w:noWrap w:val="0"/>
                  <w:vAlign w:val="center"/>
                </w:tcPr>
                <w:p w14:paraId="27AE563B">
                  <w:pPr>
                    <w:pStyle w:val="58"/>
                    <w:adjustRightInd w:val="0"/>
                    <w:snapToGrid w:val="0"/>
                    <w:jc w:val="center"/>
                    <w:rPr>
                      <w:b/>
                      <w:sz w:val="21"/>
                      <w:szCs w:val="21"/>
                      <w:lang w:eastAsia="zh-CN"/>
                    </w:rPr>
                  </w:pPr>
                  <w:r>
                    <w:rPr>
                      <w:rFonts w:hint="eastAsia"/>
                      <w:b/>
                      <w:sz w:val="21"/>
                      <w:szCs w:val="21"/>
                      <w:lang w:eastAsia="zh-CN"/>
                    </w:rPr>
                    <w:t>其他信息</w:t>
                  </w:r>
                </w:p>
              </w:tc>
              <w:tc>
                <w:tcPr>
                  <w:tcW w:w="485" w:type="pct"/>
                  <w:vMerge w:val="restart"/>
                  <w:tcBorders>
                    <w:left w:val="single" w:color="000000" w:sz="4" w:space="0"/>
                    <w:bottom w:val="single" w:color="000000" w:sz="4" w:space="0"/>
                  </w:tcBorders>
                  <w:noWrap w:val="0"/>
                  <w:vAlign w:val="center"/>
                </w:tcPr>
                <w:p w14:paraId="5A2D72EE">
                  <w:pPr>
                    <w:pStyle w:val="58"/>
                    <w:adjustRightInd w:val="0"/>
                    <w:snapToGrid w:val="0"/>
                    <w:jc w:val="center"/>
                    <w:rPr>
                      <w:b/>
                      <w:sz w:val="21"/>
                      <w:szCs w:val="21"/>
                      <w:lang w:eastAsia="zh-CN"/>
                    </w:rPr>
                  </w:pPr>
                  <w:r>
                    <w:rPr>
                      <w:rFonts w:hint="eastAsia"/>
                      <w:b/>
                      <w:sz w:val="21"/>
                      <w:szCs w:val="21"/>
                      <w:lang w:eastAsia="zh-CN"/>
                    </w:rPr>
                    <w:t>备注</w:t>
                  </w:r>
                </w:p>
              </w:tc>
            </w:tr>
            <w:tr w14:paraId="0F36F1EA">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23" w:type="pct"/>
                  <w:vMerge w:val="continue"/>
                  <w:tcBorders>
                    <w:top w:val="nil"/>
                    <w:bottom w:val="single" w:color="000000" w:sz="4" w:space="0"/>
                    <w:right w:val="single" w:color="000000" w:sz="4" w:space="0"/>
                  </w:tcBorders>
                  <w:noWrap w:val="0"/>
                  <w:vAlign w:val="center"/>
                </w:tcPr>
                <w:p w14:paraId="7DCB4A69">
                  <w:pPr>
                    <w:autoSpaceDE w:val="0"/>
                    <w:autoSpaceDN w:val="0"/>
                    <w:adjustRightInd w:val="0"/>
                    <w:snapToGrid w:val="0"/>
                    <w:jc w:val="center"/>
                    <w:rPr>
                      <w:rFonts w:ascii="宋体" w:hAnsi="宋体"/>
                      <w:szCs w:val="21"/>
                    </w:rPr>
                  </w:pPr>
                </w:p>
              </w:tc>
              <w:tc>
                <w:tcPr>
                  <w:tcW w:w="433" w:type="pct"/>
                  <w:vMerge w:val="continue"/>
                  <w:tcBorders>
                    <w:top w:val="nil"/>
                    <w:left w:val="single" w:color="000000" w:sz="4" w:space="0"/>
                    <w:bottom w:val="single" w:color="000000" w:sz="4" w:space="0"/>
                    <w:right w:val="single" w:color="000000" w:sz="4" w:space="0"/>
                  </w:tcBorders>
                  <w:noWrap w:val="0"/>
                  <w:vAlign w:val="center"/>
                </w:tcPr>
                <w:p w14:paraId="5A12D086">
                  <w:pPr>
                    <w:autoSpaceDE w:val="0"/>
                    <w:autoSpaceDN w:val="0"/>
                    <w:adjustRightInd w:val="0"/>
                    <w:snapToGrid w:val="0"/>
                    <w:jc w:val="center"/>
                    <w:rPr>
                      <w:rFonts w:ascii="宋体" w:hAnsi="宋体"/>
                      <w:szCs w:val="21"/>
                    </w:rPr>
                  </w:pPr>
                </w:p>
              </w:tc>
              <w:tc>
                <w:tcPr>
                  <w:tcW w:w="312" w:type="pct"/>
                  <w:vMerge w:val="continue"/>
                  <w:tcBorders>
                    <w:top w:val="nil"/>
                    <w:left w:val="single" w:color="000000" w:sz="4" w:space="0"/>
                    <w:bottom w:val="single" w:color="000000" w:sz="4" w:space="0"/>
                    <w:right w:val="single" w:color="000000" w:sz="4" w:space="0"/>
                  </w:tcBorders>
                  <w:noWrap w:val="0"/>
                  <w:vAlign w:val="center"/>
                </w:tcPr>
                <w:p w14:paraId="29E3AD33">
                  <w:pPr>
                    <w:autoSpaceDE w:val="0"/>
                    <w:autoSpaceDN w:val="0"/>
                    <w:adjustRightInd w:val="0"/>
                    <w:snapToGrid w:val="0"/>
                    <w:jc w:val="center"/>
                    <w:rPr>
                      <w:rFonts w:ascii="宋体" w:hAnsi="宋体"/>
                      <w:szCs w:val="21"/>
                    </w:rPr>
                  </w:pPr>
                </w:p>
              </w:tc>
              <w:tc>
                <w:tcPr>
                  <w:tcW w:w="521" w:type="pct"/>
                  <w:vMerge w:val="continue"/>
                  <w:tcBorders>
                    <w:top w:val="nil"/>
                    <w:left w:val="single" w:color="000000" w:sz="4" w:space="0"/>
                    <w:bottom w:val="single" w:color="000000" w:sz="4" w:space="0"/>
                    <w:right w:val="single" w:color="000000" w:sz="4" w:space="0"/>
                  </w:tcBorders>
                  <w:noWrap w:val="0"/>
                  <w:vAlign w:val="center"/>
                </w:tcPr>
                <w:p w14:paraId="1B64874C">
                  <w:pPr>
                    <w:autoSpaceDE w:val="0"/>
                    <w:autoSpaceDN w:val="0"/>
                    <w:adjustRightInd w:val="0"/>
                    <w:snapToGrid w:val="0"/>
                    <w:jc w:val="center"/>
                    <w:rPr>
                      <w:rFonts w:ascii="宋体" w:hAnsi="宋体"/>
                      <w:szCs w:val="21"/>
                    </w:rPr>
                  </w:pPr>
                </w:p>
              </w:tc>
              <w:tc>
                <w:tcPr>
                  <w:tcW w:w="1023" w:type="pct"/>
                  <w:vMerge w:val="continue"/>
                  <w:tcBorders>
                    <w:top w:val="nil"/>
                    <w:left w:val="single" w:color="000000" w:sz="4" w:space="0"/>
                    <w:bottom w:val="single" w:color="000000" w:sz="4" w:space="0"/>
                    <w:right w:val="single" w:color="000000" w:sz="4" w:space="0"/>
                  </w:tcBorders>
                  <w:noWrap w:val="0"/>
                  <w:vAlign w:val="center"/>
                </w:tcPr>
                <w:p w14:paraId="7AAF4F67">
                  <w:pPr>
                    <w:autoSpaceDE w:val="0"/>
                    <w:autoSpaceDN w:val="0"/>
                    <w:adjustRightInd w:val="0"/>
                    <w:snapToGrid w:val="0"/>
                    <w:jc w:val="center"/>
                    <w:rPr>
                      <w:rFonts w:ascii="宋体" w:hAnsi="宋体"/>
                      <w:szCs w:val="21"/>
                    </w:rPr>
                  </w:pPr>
                </w:p>
              </w:tc>
              <w:tc>
                <w:tcPr>
                  <w:tcW w:w="1063" w:type="pct"/>
                  <w:tcBorders>
                    <w:top w:val="single" w:color="000000" w:sz="6" w:space="0"/>
                    <w:left w:val="single" w:color="000000" w:sz="4" w:space="0"/>
                    <w:bottom w:val="single" w:color="auto" w:sz="4" w:space="0"/>
                    <w:right w:val="single" w:color="000000" w:sz="4" w:space="0"/>
                  </w:tcBorders>
                  <w:noWrap w:val="0"/>
                  <w:vAlign w:val="center"/>
                </w:tcPr>
                <w:p w14:paraId="5EEC5033">
                  <w:pPr>
                    <w:pStyle w:val="58"/>
                    <w:adjustRightInd w:val="0"/>
                    <w:snapToGrid w:val="0"/>
                    <w:jc w:val="center"/>
                    <w:rPr>
                      <w:b/>
                      <w:sz w:val="21"/>
                      <w:szCs w:val="21"/>
                      <w:lang w:eastAsia="zh-CN"/>
                    </w:rPr>
                  </w:pPr>
                  <w:r>
                    <w:rPr>
                      <w:rFonts w:hint="eastAsia"/>
                      <w:b/>
                      <w:sz w:val="21"/>
                      <w:szCs w:val="21"/>
                      <w:lang w:eastAsia="zh-CN"/>
                    </w:rPr>
                    <w:t>标准名称</w:t>
                  </w:r>
                </w:p>
              </w:tc>
              <w:tc>
                <w:tcPr>
                  <w:tcW w:w="549" w:type="pct"/>
                  <w:tcBorders>
                    <w:top w:val="single" w:color="000000" w:sz="6" w:space="0"/>
                    <w:left w:val="single" w:color="000000" w:sz="4" w:space="0"/>
                    <w:bottom w:val="single" w:color="auto" w:sz="4" w:space="0"/>
                    <w:right w:val="single" w:color="000000" w:sz="4" w:space="0"/>
                  </w:tcBorders>
                  <w:noWrap w:val="0"/>
                  <w:vAlign w:val="center"/>
                </w:tcPr>
                <w:p w14:paraId="1AA62EE8">
                  <w:pPr>
                    <w:pStyle w:val="58"/>
                    <w:adjustRightInd w:val="0"/>
                    <w:snapToGrid w:val="0"/>
                    <w:jc w:val="center"/>
                    <w:rPr>
                      <w:b/>
                      <w:sz w:val="21"/>
                      <w:szCs w:val="21"/>
                      <w:lang w:eastAsia="zh-CN"/>
                    </w:rPr>
                  </w:pPr>
                  <w:r>
                    <w:rPr>
                      <w:rFonts w:hint="eastAsia"/>
                      <w:b/>
                      <w:sz w:val="21"/>
                      <w:szCs w:val="21"/>
                      <w:lang w:eastAsia="zh-CN"/>
                    </w:rPr>
                    <w:t>浓度限值</w:t>
                  </w:r>
                </w:p>
                <w:p w14:paraId="52C317E9">
                  <w:pPr>
                    <w:pStyle w:val="58"/>
                    <w:adjustRightInd w:val="0"/>
                    <w:snapToGrid w:val="0"/>
                    <w:jc w:val="center"/>
                    <w:rPr>
                      <w:b/>
                      <w:sz w:val="21"/>
                      <w:szCs w:val="21"/>
                      <w:lang w:eastAsia="zh-CN"/>
                    </w:rPr>
                  </w:pPr>
                  <w:r>
                    <w:rPr>
                      <w:b/>
                      <w:sz w:val="21"/>
                      <w:szCs w:val="21"/>
                      <w:lang w:eastAsia="zh-CN"/>
                    </w:rPr>
                    <w:t>(mg/Nm</w:t>
                  </w:r>
                  <w:r>
                    <w:rPr>
                      <w:b/>
                      <w:sz w:val="21"/>
                      <w:szCs w:val="21"/>
                      <w:vertAlign w:val="superscript"/>
                      <w:lang w:eastAsia="zh-CN"/>
                    </w:rPr>
                    <w:t>3</w:t>
                  </w:r>
                  <w:r>
                    <w:rPr>
                      <w:b/>
                      <w:sz w:val="21"/>
                      <w:szCs w:val="21"/>
                      <w:lang w:eastAsia="zh-CN"/>
                    </w:rPr>
                    <w:t>)</w:t>
                  </w:r>
                </w:p>
              </w:tc>
              <w:tc>
                <w:tcPr>
                  <w:tcW w:w="488" w:type="pct"/>
                  <w:vMerge w:val="continue"/>
                  <w:tcBorders>
                    <w:top w:val="nil"/>
                    <w:left w:val="single" w:color="000000" w:sz="4" w:space="0"/>
                    <w:bottom w:val="single" w:color="000000" w:sz="4" w:space="0"/>
                    <w:right w:val="single" w:color="000000" w:sz="4" w:space="0"/>
                  </w:tcBorders>
                  <w:noWrap w:val="0"/>
                  <w:vAlign w:val="center"/>
                </w:tcPr>
                <w:p w14:paraId="516968DA">
                  <w:pPr>
                    <w:autoSpaceDE w:val="0"/>
                    <w:autoSpaceDN w:val="0"/>
                    <w:adjustRightInd w:val="0"/>
                    <w:snapToGrid w:val="0"/>
                    <w:jc w:val="center"/>
                    <w:rPr>
                      <w:rFonts w:ascii="宋体" w:hAnsi="宋体"/>
                      <w:szCs w:val="21"/>
                    </w:rPr>
                  </w:pPr>
                </w:p>
              </w:tc>
              <w:tc>
                <w:tcPr>
                  <w:tcW w:w="485" w:type="pct"/>
                  <w:vMerge w:val="continue"/>
                  <w:tcBorders>
                    <w:top w:val="nil"/>
                    <w:left w:val="single" w:color="000000" w:sz="4" w:space="0"/>
                    <w:bottom w:val="single" w:color="000000" w:sz="4" w:space="0"/>
                  </w:tcBorders>
                  <w:noWrap w:val="0"/>
                  <w:vAlign w:val="center"/>
                </w:tcPr>
                <w:p w14:paraId="5FC57F7C">
                  <w:pPr>
                    <w:autoSpaceDE w:val="0"/>
                    <w:autoSpaceDN w:val="0"/>
                    <w:adjustRightInd w:val="0"/>
                    <w:snapToGrid w:val="0"/>
                    <w:jc w:val="center"/>
                    <w:rPr>
                      <w:rFonts w:ascii="宋体" w:hAnsi="宋体"/>
                      <w:szCs w:val="21"/>
                    </w:rPr>
                  </w:pPr>
                </w:p>
              </w:tc>
            </w:tr>
            <w:tr w14:paraId="2A35ED7E">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43" w:hRule="atLeast"/>
              </w:trPr>
              <w:tc>
                <w:tcPr>
                  <w:tcW w:w="123" w:type="pct"/>
                  <w:vMerge w:val="restart"/>
                  <w:tcBorders>
                    <w:top w:val="single" w:color="000000" w:sz="4" w:space="0"/>
                    <w:right w:val="single" w:color="000000" w:sz="4" w:space="0"/>
                  </w:tcBorders>
                  <w:noWrap w:val="0"/>
                  <w:vAlign w:val="center"/>
                </w:tcPr>
                <w:p w14:paraId="50FD5353">
                  <w:pPr>
                    <w:pStyle w:val="58"/>
                    <w:adjustRightInd w:val="0"/>
                    <w:snapToGrid w:val="0"/>
                    <w:jc w:val="center"/>
                    <w:rPr>
                      <w:sz w:val="21"/>
                      <w:szCs w:val="21"/>
                      <w:lang w:eastAsia="zh-CN"/>
                    </w:rPr>
                  </w:pPr>
                  <w:r>
                    <w:rPr>
                      <w:rFonts w:hint="eastAsia"/>
                      <w:sz w:val="21"/>
                      <w:szCs w:val="21"/>
                      <w:lang w:eastAsia="zh-CN"/>
                    </w:rPr>
                    <w:t>1</w:t>
                  </w:r>
                </w:p>
              </w:tc>
              <w:tc>
                <w:tcPr>
                  <w:tcW w:w="433" w:type="pct"/>
                  <w:vMerge w:val="restart"/>
                  <w:tcBorders>
                    <w:top w:val="single" w:color="000000" w:sz="4" w:space="0"/>
                    <w:left w:val="single" w:color="000000" w:sz="4" w:space="0"/>
                    <w:right w:val="single" w:color="000000" w:sz="4" w:space="0"/>
                  </w:tcBorders>
                  <w:noWrap w:val="0"/>
                  <w:vAlign w:val="center"/>
                </w:tcPr>
                <w:p w14:paraId="344F776B">
                  <w:pPr>
                    <w:pStyle w:val="58"/>
                    <w:adjustRightInd w:val="0"/>
                    <w:snapToGrid w:val="0"/>
                    <w:jc w:val="center"/>
                    <w:rPr>
                      <w:sz w:val="21"/>
                      <w:szCs w:val="21"/>
                      <w:lang w:eastAsia="zh-CN"/>
                    </w:rPr>
                  </w:pPr>
                  <w:r>
                    <w:rPr>
                      <w:rFonts w:hint="eastAsia"/>
                      <w:sz w:val="21"/>
                      <w:szCs w:val="21"/>
                      <w:lang w:eastAsia="zh-CN"/>
                    </w:rPr>
                    <w:t>厂界</w:t>
                  </w:r>
                </w:p>
              </w:tc>
              <w:tc>
                <w:tcPr>
                  <w:tcW w:w="312" w:type="pct"/>
                  <w:vMerge w:val="restart"/>
                  <w:tcBorders>
                    <w:top w:val="single" w:color="000000" w:sz="4" w:space="0"/>
                    <w:left w:val="single" w:color="000000" w:sz="4" w:space="0"/>
                    <w:right w:val="single" w:color="000000" w:sz="4" w:space="0"/>
                  </w:tcBorders>
                  <w:noWrap w:val="0"/>
                  <w:vAlign w:val="center"/>
                </w:tcPr>
                <w:p w14:paraId="683676E4">
                  <w:pPr>
                    <w:pStyle w:val="58"/>
                    <w:adjustRightInd w:val="0"/>
                    <w:snapToGrid w:val="0"/>
                    <w:jc w:val="center"/>
                    <w:rPr>
                      <w:sz w:val="21"/>
                      <w:szCs w:val="21"/>
                      <w:lang w:eastAsia="zh-CN"/>
                    </w:rPr>
                  </w:pPr>
                  <w:r>
                    <w:rPr>
                      <w:rFonts w:hint="eastAsia"/>
                      <w:sz w:val="21"/>
                      <w:szCs w:val="21"/>
                      <w:lang w:eastAsia="zh-CN"/>
                    </w:rPr>
                    <w:t>/</w:t>
                  </w:r>
                </w:p>
              </w:tc>
              <w:tc>
                <w:tcPr>
                  <w:tcW w:w="521" w:type="pct"/>
                  <w:tcBorders>
                    <w:top w:val="single" w:color="000000" w:sz="4" w:space="0"/>
                    <w:left w:val="single" w:color="000000" w:sz="4" w:space="0"/>
                    <w:bottom w:val="single" w:color="auto" w:sz="4" w:space="0"/>
                    <w:right w:val="single" w:color="000000" w:sz="4" w:space="0"/>
                  </w:tcBorders>
                  <w:noWrap w:val="0"/>
                  <w:vAlign w:val="center"/>
                </w:tcPr>
                <w:p w14:paraId="03A5AA16">
                  <w:pPr>
                    <w:jc w:val="center"/>
                    <w:rPr>
                      <w:rFonts w:hint="default"/>
                      <w:b w:val="0"/>
                      <w:bCs/>
                      <w:sz w:val="21"/>
                      <w:szCs w:val="21"/>
                      <w:lang w:val="en-US"/>
                    </w:rPr>
                  </w:pPr>
                  <w:r>
                    <w:rPr>
                      <w:rFonts w:hint="eastAsia"/>
                      <w:szCs w:val="21"/>
                      <w:lang w:val="en-US" w:eastAsia="zh-CN"/>
                    </w:rPr>
                    <w:t>非甲烷总烃</w:t>
                  </w:r>
                </w:p>
              </w:tc>
              <w:tc>
                <w:tcPr>
                  <w:tcW w:w="1023" w:type="pct"/>
                  <w:vMerge w:val="restart"/>
                  <w:tcBorders>
                    <w:top w:val="single" w:color="000000" w:sz="4" w:space="0"/>
                    <w:left w:val="single" w:color="000000" w:sz="4" w:space="0"/>
                    <w:right w:val="single" w:color="auto" w:sz="4" w:space="0"/>
                  </w:tcBorders>
                  <w:noWrap w:val="0"/>
                  <w:vAlign w:val="center"/>
                </w:tcPr>
                <w:p w14:paraId="09643129">
                  <w:pPr>
                    <w:pStyle w:val="58"/>
                    <w:adjustRightInd w:val="0"/>
                    <w:snapToGrid w:val="0"/>
                    <w:jc w:val="center"/>
                    <w:rPr>
                      <w:sz w:val="21"/>
                      <w:szCs w:val="21"/>
                      <w:lang w:eastAsia="zh-CN"/>
                    </w:rPr>
                  </w:pPr>
                  <w:r>
                    <w:rPr>
                      <w:rFonts w:hint="eastAsia"/>
                      <w:szCs w:val="21"/>
                    </w:rPr>
                    <w:t>加强废气治理设施日常维护，</w:t>
                  </w:r>
                  <w:r>
                    <w:rPr>
                      <w:rFonts w:hint="eastAsia"/>
                      <w:szCs w:val="21"/>
                      <w:lang w:val="en-US" w:eastAsia="zh-CN"/>
                    </w:rPr>
                    <w:t>作业时保持生产车间密闭，</w:t>
                  </w:r>
                  <w:r>
                    <w:rPr>
                      <w:rFonts w:hint="eastAsia"/>
                      <w:szCs w:val="21"/>
                    </w:rPr>
                    <w:t>减少废气无组织逸散</w:t>
                  </w:r>
                </w:p>
              </w:tc>
              <w:tc>
                <w:tcPr>
                  <w:tcW w:w="1063" w:type="pct"/>
                  <w:vMerge w:val="restart"/>
                  <w:tcBorders>
                    <w:top w:val="single" w:color="auto" w:sz="4" w:space="0"/>
                    <w:left w:val="single" w:color="auto" w:sz="4" w:space="0"/>
                    <w:right w:val="single" w:color="000000" w:sz="4" w:space="0"/>
                  </w:tcBorders>
                  <w:noWrap w:val="0"/>
                  <w:vAlign w:val="center"/>
                </w:tcPr>
                <w:p w14:paraId="2EE8A077">
                  <w:pPr>
                    <w:pStyle w:val="71"/>
                    <w:adjustRightInd w:val="0"/>
                    <w:snapToGrid w:val="0"/>
                    <w:spacing w:line="240" w:lineRule="auto"/>
                    <w:jc w:val="center"/>
                    <w:rPr>
                      <w:rFonts w:hint="default"/>
                      <w:b w:val="0"/>
                      <w:bCs/>
                      <w:sz w:val="18"/>
                      <w:szCs w:val="18"/>
                      <w:lang w:val="en-US"/>
                    </w:rPr>
                  </w:pPr>
                  <w:r>
                    <w:rPr>
                      <w:b w:val="0"/>
                      <w:bCs w:val="0"/>
                      <w:sz w:val="21"/>
                      <w:szCs w:val="18"/>
                    </w:rPr>
                    <w:t>《</w:t>
                  </w:r>
                  <w:r>
                    <w:rPr>
                      <w:rFonts w:hint="eastAsia" w:ascii="Times New Roman" w:hAnsi="Times New Roman" w:eastAsia="宋体" w:cs="Times New Roman"/>
                      <w:b w:val="0"/>
                      <w:color w:val="000000"/>
                      <w:kern w:val="2"/>
                      <w:sz w:val="21"/>
                      <w:szCs w:val="21"/>
                      <w:lang w:val="en-US" w:eastAsia="zh-CN" w:bidi="ar-SA"/>
                    </w:rPr>
                    <w:t>大气污染物综合排放标准》（GB16297-1996）</w:t>
                  </w:r>
                </w:p>
              </w:tc>
              <w:tc>
                <w:tcPr>
                  <w:tcW w:w="549" w:type="pct"/>
                  <w:tcBorders>
                    <w:top w:val="single" w:color="auto" w:sz="4" w:space="0"/>
                    <w:left w:val="single" w:color="000000" w:sz="4" w:space="0"/>
                    <w:bottom w:val="single" w:color="auto" w:sz="4" w:space="0"/>
                    <w:right w:val="single" w:color="auto" w:sz="4" w:space="0"/>
                  </w:tcBorders>
                  <w:noWrap w:val="0"/>
                  <w:vAlign w:val="center"/>
                </w:tcPr>
                <w:p w14:paraId="49E2E40F">
                  <w:pPr>
                    <w:pStyle w:val="71"/>
                    <w:adjustRightInd w:val="0"/>
                    <w:snapToGrid w:val="0"/>
                    <w:spacing w:line="240" w:lineRule="auto"/>
                    <w:jc w:val="center"/>
                    <w:rPr>
                      <w:rFonts w:hint="default" w:eastAsia="宋体"/>
                      <w:b w:val="0"/>
                      <w:bCs/>
                      <w:sz w:val="21"/>
                      <w:szCs w:val="21"/>
                      <w:lang w:val="en-US" w:eastAsia="zh-CN"/>
                    </w:rPr>
                  </w:pPr>
                  <w:r>
                    <w:rPr>
                      <w:rFonts w:hint="eastAsia"/>
                      <w:b w:val="0"/>
                      <w:bCs/>
                      <w:kern w:val="0"/>
                      <w:sz w:val="21"/>
                      <w:szCs w:val="18"/>
                      <w:lang w:val="en-US" w:eastAsia="zh-CN"/>
                    </w:rPr>
                    <w:t>4.0</w:t>
                  </w:r>
                </w:p>
              </w:tc>
              <w:tc>
                <w:tcPr>
                  <w:tcW w:w="488" w:type="pct"/>
                  <w:vMerge w:val="restart"/>
                  <w:tcBorders>
                    <w:top w:val="single" w:color="000000" w:sz="4" w:space="0"/>
                    <w:left w:val="single" w:color="auto" w:sz="4" w:space="0"/>
                    <w:right w:val="single" w:color="000000" w:sz="4" w:space="0"/>
                  </w:tcBorders>
                  <w:noWrap w:val="0"/>
                  <w:vAlign w:val="center"/>
                </w:tcPr>
                <w:p w14:paraId="340C4692">
                  <w:pPr>
                    <w:pStyle w:val="58"/>
                    <w:adjustRightInd w:val="0"/>
                    <w:snapToGrid w:val="0"/>
                    <w:jc w:val="center"/>
                    <w:rPr>
                      <w:sz w:val="21"/>
                      <w:szCs w:val="21"/>
                      <w:lang w:eastAsia="zh-CN"/>
                    </w:rPr>
                  </w:pPr>
                  <w:r>
                    <w:rPr>
                      <w:rFonts w:hint="eastAsia"/>
                      <w:sz w:val="21"/>
                      <w:szCs w:val="21"/>
                      <w:lang w:eastAsia="zh-CN"/>
                    </w:rPr>
                    <w:t>/</w:t>
                  </w:r>
                </w:p>
              </w:tc>
              <w:tc>
                <w:tcPr>
                  <w:tcW w:w="485" w:type="pct"/>
                  <w:vMerge w:val="restart"/>
                  <w:tcBorders>
                    <w:top w:val="single" w:color="000000" w:sz="4" w:space="0"/>
                    <w:left w:val="single" w:color="000000" w:sz="4" w:space="0"/>
                  </w:tcBorders>
                  <w:noWrap w:val="0"/>
                  <w:vAlign w:val="center"/>
                </w:tcPr>
                <w:p w14:paraId="116A163C">
                  <w:pPr>
                    <w:pStyle w:val="58"/>
                    <w:adjustRightInd w:val="0"/>
                    <w:snapToGrid w:val="0"/>
                    <w:jc w:val="center"/>
                    <w:rPr>
                      <w:sz w:val="21"/>
                      <w:szCs w:val="21"/>
                      <w:lang w:eastAsia="zh-CN"/>
                    </w:rPr>
                  </w:pPr>
                  <w:r>
                    <w:rPr>
                      <w:rFonts w:hint="eastAsia"/>
                      <w:sz w:val="21"/>
                      <w:szCs w:val="21"/>
                      <w:lang w:eastAsia="zh-CN"/>
                    </w:rPr>
                    <w:t>/</w:t>
                  </w:r>
                </w:p>
              </w:tc>
            </w:tr>
            <w:tr w14:paraId="1E8B2E18">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31" w:hRule="atLeast"/>
              </w:trPr>
              <w:tc>
                <w:tcPr>
                  <w:tcW w:w="123" w:type="pct"/>
                  <w:vMerge w:val="continue"/>
                  <w:tcBorders>
                    <w:bottom w:val="single" w:color="auto" w:sz="4" w:space="0"/>
                    <w:right w:val="single" w:color="000000" w:sz="4" w:space="0"/>
                  </w:tcBorders>
                  <w:noWrap w:val="0"/>
                  <w:vAlign w:val="center"/>
                </w:tcPr>
                <w:p w14:paraId="1DDC8466">
                  <w:pPr>
                    <w:pStyle w:val="71"/>
                    <w:adjustRightInd w:val="0"/>
                    <w:snapToGrid w:val="0"/>
                    <w:spacing w:line="240" w:lineRule="auto"/>
                    <w:jc w:val="center"/>
                  </w:pPr>
                </w:p>
              </w:tc>
              <w:tc>
                <w:tcPr>
                  <w:tcW w:w="433" w:type="pct"/>
                  <w:vMerge w:val="continue"/>
                  <w:tcBorders>
                    <w:left w:val="single" w:color="000000" w:sz="4" w:space="0"/>
                    <w:bottom w:val="single" w:color="auto" w:sz="4" w:space="0"/>
                    <w:right w:val="single" w:color="000000" w:sz="4" w:space="0"/>
                  </w:tcBorders>
                  <w:noWrap w:val="0"/>
                  <w:vAlign w:val="center"/>
                </w:tcPr>
                <w:p w14:paraId="0AA35503">
                  <w:pPr>
                    <w:pStyle w:val="71"/>
                    <w:adjustRightInd w:val="0"/>
                    <w:snapToGrid w:val="0"/>
                    <w:spacing w:line="240" w:lineRule="auto"/>
                    <w:jc w:val="center"/>
                  </w:pPr>
                </w:p>
              </w:tc>
              <w:tc>
                <w:tcPr>
                  <w:tcW w:w="312" w:type="pct"/>
                  <w:vMerge w:val="continue"/>
                  <w:tcBorders>
                    <w:left w:val="single" w:color="000000" w:sz="4" w:space="0"/>
                    <w:bottom w:val="single" w:color="auto" w:sz="4" w:space="0"/>
                    <w:right w:val="single" w:color="000000" w:sz="4" w:space="0"/>
                  </w:tcBorders>
                  <w:noWrap w:val="0"/>
                  <w:vAlign w:val="center"/>
                </w:tcPr>
                <w:p w14:paraId="2C40687A">
                  <w:pPr>
                    <w:pStyle w:val="71"/>
                    <w:adjustRightInd w:val="0"/>
                    <w:snapToGrid w:val="0"/>
                    <w:spacing w:line="240" w:lineRule="auto"/>
                    <w:jc w:val="center"/>
                  </w:pPr>
                </w:p>
              </w:tc>
              <w:tc>
                <w:tcPr>
                  <w:tcW w:w="521" w:type="pct"/>
                  <w:tcBorders>
                    <w:top w:val="single" w:color="auto" w:sz="4" w:space="0"/>
                    <w:left w:val="single" w:color="000000" w:sz="4" w:space="0"/>
                    <w:bottom w:val="single" w:color="auto" w:sz="4" w:space="0"/>
                    <w:right w:val="single" w:color="000000" w:sz="4" w:space="0"/>
                  </w:tcBorders>
                  <w:noWrap w:val="0"/>
                  <w:vAlign w:val="center"/>
                </w:tcPr>
                <w:p w14:paraId="44CD7F97">
                  <w:pPr>
                    <w:jc w:val="center"/>
                    <w:rPr>
                      <w:rFonts w:hint="eastAsia"/>
                      <w:b w:val="0"/>
                      <w:bCs/>
                      <w:sz w:val="21"/>
                      <w:szCs w:val="21"/>
                    </w:rPr>
                  </w:pPr>
                  <w:r>
                    <w:rPr>
                      <w:rFonts w:hint="eastAsia"/>
                      <w:szCs w:val="21"/>
                      <w:lang w:val="en-US" w:eastAsia="zh-CN"/>
                    </w:rPr>
                    <w:t>颗粒物</w:t>
                  </w:r>
                </w:p>
              </w:tc>
              <w:tc>
                <w:tcPr>
                  <w:tcW w:w="1023" w:type="pct"/>
                  <w:vMerge w:val="continue"/>
                  <w:tcBorders>
                    <w:left w:val="single" w:color="000000" w:sz="4" w:space="0"/>
                    <w:right w:val="single" w:color="auto" w:sz="4" w:space="0"/>
                  </w:tcBorders>
                  <w:noWrap w:val="0"/>
                  <w:vAlign w:val="center"/>
                </w:tcPr>
                <w:p w14:paraId="48CBC0AA">
                  <w:pPr>
                    <w:pStyle w:val="71"/>
                    <w:adjustRightInd w:val="0"/>
                    <w:snapToGrid w:val="0"/>
                    <w:spacing w:line="240" w:lineRule="auto"/>
                    <w:jc w:val="center"/>
                    <w:rPr>
                      <w:rFonts w:hint="eastAsia"/>
                      <w:b w:val="0"/>
                      <w:bCs/>
                      <w:sz w:val="21"/>
                      <w:szCs w:val="21"/>
                    </w:rPr>
                  </w:pPr>
                </w:p>
              </w:tc>
              <w:tc>
                <w:tcPr>
                  <w:tcW w:w="1063" w:type="pct"/>
                  <w:vMerge w:val="continue"/>
                  <w:tcBorders>
                    <w:left w:val="single" w:color="auto" w:sz="4" w:space="0"/>
                    <w:bottom w:val="single" w:color="auto" w:sz="4" w:space="0"/>
                    <w:right w:val="single" w:color="000000" w:sz="4" w:space="0"/>
                  </w:tcBorders>
                  <w:noWrap w:val="0"/>
                  <w:vAlign w:val="center"/>
                </w:tcPr>
                <w:p w14:paraId="390AA8D0">
                  <w:pPr>
                    <w:pStyle w:val="71"/>
                    <w:adjustRightInd w:val="0"/>
                    <w:snapToGrid w:val="0"/>
                    <w:spacing w:line="240" w:lineRule="auto"/>
                    <w:jc w:val="center"/>
                    <w:rPr>
                      <w:rFonts w:hint="eastAsia"/>
                      <w:b w:val="0"/>
                      <w:bCs/>
                      <w:sz w:val="18"/>
                      <w:szCs w:val="18"/>
                    </w:rPr>
                  </w:pPr>
                </w:p>
              </w:tc>
              <w:tc>
                <w:tcPr>
                  <w:tcW w:w="549" w:type="pct"/>
                  <w:tcBorders>
                    <w:top w:val="single" w:color="auto" w:sz="4" w:space="0"/>
                    <w:left w:val="single" w:color="000000" w:sz="4" w:space="0"/>
                    <w:bottom w:val="single" w:color="auto" w:sz="4" w:space="0"/>
                    <w:right w:val="single" w:color="auto" w:sz="4" w:space="0"/>
                  </w:tcBorders>
                  <w:noWrap w:val="0"/>
                  <w:vAlign w:val="center"/>
                </w:tcPr>
                <w:p w14:paraId="3459D166">
                  <w:pPr>
                    <w:pStyle w:val="71"/>
                    <w:adjustRightInd w:val="0"/>
                    <w:snapToGrid w:val="0"/>
                    <w:spacing w:line="240" w:lineRule="auto"/>
                    <w:jc w:val="center"/>
                    <w:rPr>
                      <w:rFonts w:hint="default" w:eastAsia="宋体"/>
                      <w:b w:val="0"/>
                      <w:bCs/>
                      <w:sz w:val="21"/>
                      <w:szCs w:val="21"/>
                      <w:lang w:val="en-US" w:eastAsia="zh-CN"/>
                    </w:rPr>
                  </w:pPr>
                  <w:r>
                    <w:rPr>
                      <w:rFonts w:hint="eastAsia"/>
                      <w:b w:val="0"/>
                      <w:bCs/>
                      <w:sz w:val="21"/>
                      <w:szCs w:val="21"/>
                      <w:lang w:val="en-US" w:eastAsia="zh-CN"/>
                    </w:rPr>
                    <w:t>1.0</w:t>
                  </w:r>
                </w:p>
              </w:tc>
              <w:tc>
                <w:tcPr>
                  <w:tcW w:w="488" w:type="pct"/>
                  <w:vMerge w:val="continue"/>
                  <w:tcBorders>
                    <w:left w:val="single" w:color="auto" w:sz="4" w:space="0"/>
                    <w:bottom w:val="single" w:color="auto" w:sz="4" w:space="0"/>
                    <w:right w:val="single" w:color="000000" w:sz="4" w:space="0"/>
                  </w:tcBorders>
                  <w:noWrap w:val="0"/>
                  <w:vAlign w:val="center"/>
                </w:tcPr>
                <w:p w14:paraId="3AC0FA02">
                  <w:pPr>
                    <w:pStyle w:val="71"/>
                    <w:adjustRightInd w:val="0"/>
                    <w:snapToGrid w:val="0"/>
                    <w:spacing w:line="240" w:lineRule="auto"/>
                    <w:jc w:val="center"/>
                    <w:rPr>
                      <w:rFonts w:hint="eastAsia"/>
                      <w:b w:val="0"/>
                      <w:bCs/>
                      <w:sz w:val="21"/>
                      <w:szCs w:val="21"/>
                    </w:rPr>
                  </w:pPr>
                </w:p>
              </w:tc>
              <w:tc>
                <w:tcPr>
                  <w:tcW w:w="485" w:type="pct"/>
                  <w:vMerge w:val="continue"/>
                  <w:tcBorders>
                    <w:left w:val="single" w:color="000000" w:sz="4" w:space="0"/>
                    <w:bottom w:val="single" w:color="auto" w:sz="4" w:space="0"/>
                  </w:tcBorders>
                  <w:noWrap w:val="0"/>
                  <w:vAlign w:val="center"/>
                </w:tcPr>
                <w:p w14:paraId="5690CED9">
                  <w:pPr>
                    <w:pStyle w:val="71"/>
                    <w:adjustRightInd w:val="0"/>
                    <w:snapToGrid w:val="0"/>
                    <w:spacing w:line="240" w:lineRule="auto"/>
                    <w:jc w:val="center"/>
                    <w:rPr>
                      <w:rFonts w:hint="eastAsia"/>
                      <w:b w:val="0"/>
                      <w:bCs/>
                      <w:sz w:val="21"/>
                      <w:szCs w:val="21"/>
                    </w:rPr>
                  </w:pPr>
                </w:p>
              </w:tc>
            </w:tr>
            <w:tr w14:paraId="76E2083E">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31" w:hRule="atLeast"/>
              </w:trPr>
              <w:tc>
                <w:tcPr>
                  <w:tcW w:w="123" w:type="pct"/>
                  <w:tcBorders>
                    <w:top w:val="single" w:color="auto" w:sz="4" w:space="0"/>
                    <w:bottom w:val="single" w:color="000000" w:sz="4" w:space="0"/>
                    <w:right w:val="single" w:color="000000" w:sz="4" w:space="0"/>
                  </w:tcBorders>
                  <w:noWrap w:val="0"/>
                  <w:vAlign w:val="center"/>
                </w:tcPr>
                <w:p w14:paraId="5331B5E6">
                  <w:pPr>
                    <w:pStyle w:val="71"/>
                    <w:adjustRightInd w:val="0"/>
                    <w:snapToGrid w:val="0"/>
                    <w:spacing w:line="240" w:lineRule="auto"/>
                    <w:jc w:val="center"/>
                    <w:rPr>
                      <w:rFonts w:hint="eastAsia" w:eastAsia="宋体"/>
                      <w:b w:val="0"/>
                      <w:bCs/>
                      <w:sz w:val="21"/>
                      <w:szCs w:val="21"/>
                      <w:lang w:val="en-US" w:eastAsia="zh-CN"/>
                    </w:rPr>
                  </w:pPr>
                  <w:r>
                    <w:rPr>
                      <w:rFonts w:hint="eastAsia"/>
                      <w:b w:val="0"/>
                      <w:bCs/>
                      <w:sz w:val="21"/>
                      <w:szCs w:val="21"/>
                      <w:lang w:val="en-US" w:eastAsia="zh-CN"/>
                    </w:rPr>
                    <w:t>2</w:t>
                  </w:r>
                </w:p>
              </w:tc>
              <w:tc>
                <w:tcPr>
                  <w:tcW w:w="433" w:type="pct"/>
                  <w:tcBorders>
                    <w:top w:val="single" w:color="auto" w:sz="4" w:space="0"/>
                    <w:left w:val="single" w:color="000000" w:sz="4" w:space="0"/>
                    <w:bottom w:val="single" w:color="000000" w:sz="4" w:space="0"/>
                    <w:right w:val="single" w:color="000000" w:sz="4" w:space="0"/>
                  </w:tcBorders>
                  <w:noWrap w:val="0"/>
                  <w:vAlign w:val="center"/>
                </w:tcPr>
                <w:p w14:paraId="205C5916">
                  <w:pPr>
                    <w:pStyle w:val="71"/>
                    <w:adjustRightInd w:val="0"/>
                    <w:snapToGrid w:val="0"/>
                    <w:spacing w:line="240" w:lineRule="auto"/>
                    <w:jc w:val="center"/>
                    <w:rPr>
                      <w:rFonts w:hint="default" w:eastAsia="宋体"/>
                      <w:b w:val="0"/>
                      <w:bCs/>
                      <w:sz w:val="21"/>
                      <w:szCs w:val="21"/>
                      <w:lang w:val="en-US" w:eastAsia="zh-CN"/>
                    </w:rPr>
                  </w:pPr>
                  <w:r>
                    <w:rPr>
                      <w:rFonts w:hint="eastAsia"/>
                      <w:b w:val="0"/>
                      <w:bCs/>
                      <w:sz w:val="21"/>
                      <w:szCs w:val="21"/>
                      <w:lang w:val="en-US" w:eastAsia="zh-CN"/>
                    </w:rPr>
                    <w:t>厂区内</w:t>
                  </w:r>
                </w:p>
              </w:tc>
              <w:tc>
                <w:tcPr>
                  <w:tcW w:w="312" w:type="pct"/>
                  <w:tcBorders>
                    <w:top w:val="single" w:color="auto" w:sz="4" w:space="0"/>
                    <w:left w:val="single" w:color="000000" w:sz="4" w:space="0"/>
                    <w:bottom w:val="single" w:color="000000" w:sz="4" w:space="0"/>
                    <w:right w:val="single" w:color="000000" w:sz="4" w:space="0"/>
                  </w:tcBorders>
                  <w:noWrap w:val="0"/>
                  <w:vAlign w:val="center"/>
                </w:tcPr>
                <w:p w14:paraId="3875A44D">
                  <w:pPr>
                    <w:pStyle w:val="71"/>
                    <w:adjustRightInd w:val="0"/>
                    <w:snapToGrid w:val="0"/>
                    <w:spacing w:line="240" w:lineRule="auto"/>
                    <w:jc w:val="center"/>
                    <w:rPr>
                      <w:rFonts w:hint="default" w:eastAsia="宋体"/>
                      <w:b w:val="0"/>
                      <w:bCs/>
                      <w:sz w:val="21"/>
                      <w:szCs w:val="21"/>
                      <w:lang w:val="en-US" w:eastAsia="zh-CN"/>
                    </w:rPr>
                  </w:pPr>
                  <w:r>
                    <w:rPr>
                      <w:rFonts w:hint="eastAsia"/>
                      <w:b w:val="0"/>
                      <w:bCs/>
                      <w:sz w:val="21"/>
                      <w:szCs w:val="21"/>
                      <w:lang w:val="en-US" w:eastAsia="zh-CN"/>
                    </w:rPr>
                    <w:t>/</w:t>
                  </w:r>
                </w:p>
              </w:tc>
              <w:tc>
                <w:tcPr>
                  <w:tcW w:w="521" w:type="pct"/>
                  <w:tcBorders>
                    <w:top w:val="single" w:color="auto" w:sz="4" w:space="0"/>
                    <w:left w:val="single" w:color="000000" w:sz="4" w:space="0"/>
                    <w:bottom w:val="single" w:color="000000" w:sz="4" w:space="0"/>
                    <w:right w:val="single" w:color="000000" w:sz="4" w:space="0"/>
                  </w:tcBorders>
                  <w:noWrap w:val="0"/>
                  <w:vAlign w:val="center"/>
                </w:tcPr>
                <w:p w14:paraId="02A0F97C">
                  <w:pPr>
                    <w:jc w:val="center"/>
                    <w:rPr>
                      <w:rFonts w:hint="default"/>
                      <w:b w:val="0"/>
                      <w:bCs/>
                      <w:sz w:val="21"/>
                      <w:szCs w:val="21"/>
                      <w:lang w:val="en-US" w:eastAsia="zh-CN"/>
                    </w:rPr>
                  </w:pPr>
                  <w:r>
                    <w:rPr>
                      <w:rFonts w:hint="eastAsia"/>
                      <w:b w:val="0"/>
                      <w:bCs/>
                      <w:sz w:val="21"/>
                      <w:szCs w:val="21"/>
                      <w:lang w:val="en-US" w:eastAsia="zh-CN"/>
                    </w:rPr>
                    <w:t>非甲烷总烃</w:t>
                  </w:r>
                </w:p>
              </w:tc>
              <w:tc>
                <w:tcPr>
                  <w:tcW w:w="1023" w:type="pct"/>
                  <w:vMerge w:val="continue"/>
                  <w:tcBorders>
                    <w:left w:val="single" w:color="000000" w:sz="4" w:space="0"/>
                    <w:right w:val="single" w:color="auto" w:sz="4" w:space="0"/>
                  </w:tcBorders>
                  <w:noWrap w:val="0"/>
                  <w:vAlign w:val="center"/>
                </w:tcPr>
                <w:p w14:paraId="216215AA">
                  <w:pPr>
                    <w:pStyle w:val="71"/>
                    <w:adjustRightInd w:val="0"/>
                    <w:snapToGrid w:val="0"/>
                    <w:spacing w:line="240" w:lineRule="auto"/>
                    <w:jc w:val="center"/>
                    <w:rPr>
                      <w:rFonts w:hint="eastAsia"/>
                      <w:b w:val="0"/>
                      <w:bCs/>
                      <w:sz w:val="21"/>
                      <w:szCs w:val="21"/>
                    </w:rPr>
                  </w:pPr>
                </w:p>
              </w:tc>
              <w:tc>
                <w:tcPr>
                  <w:tcW w:w="1063" w:type="pct"/>
                  <w:tcBorders>
                    <w:top w:val="single" w:color="auto" w:sz="4" w:space="0"/>
                    <w:left w:val="single" w:color="auto" w:sz="4" w:space="0"/>
                    <w:bottom w:val="single" w:color="auto" w:sz="4" w:space="0"/>
                    <w:right w:val="single" w:color="000000" w:sz="4" w:space="0"/>
                  </w:tcBorders>
                  <w:noWrap w:val="0"/>
                  <w:vAlign w:val="center"/>
                </w:tcPr>
                <w:p w14:paraId="1A70AB60">
                  <w:pPr>
                    <w:pStyle w:val="71"/>
                    <w:adjustRightInd w:val="0"/>
                    <w:snapToGrid w:val="0"/>
                    <w:spacing w:line="240" w:lineRule="auto"/>
                    <w:jc w:val="center"/>
                    <w:rPr>
                      <w:rFonts w:hint="eastAsia"/>
                      <w:b w:val="0"/>
                      <w:bCs/>
                      <w:sz w:val="21"/>
                      <w:szCs w:val="21"/>
                    </w:rPr>
                  </w:pPr>
                  <w:r>
                    <w:rPr>
                      <w:b w:val="0"/>
                      <w:bCs/>
                      <w:sz w:val="21"/>
                      <w:szCs w:val="21"/>
                    </w:rPr>
                    <w:t>《挥发性有机物无组织排放控制标准》（GB37822-2019）</w:t>
                  </w:r>
                </w:p>
              </w:tc>
              <w:tc>
                <w:tcPr>
                  <w:tcW w:w="549" w:type="pct"/>
                  <w:tcBorders>
                    <w:top w:val="single" w:color="auto" w:sz="4" w:space="0"/>
                    <w:left w:val="single" w:color="000000" w:sz="4" w:space="0"/>
                    <w:bottom w:val="single" w:color="auto" w:sz="4" w:space="0"/>
                    <w:right w:val="single" w:color="auto" w:sz="4" w:space="0"/>
                  </w:tcBorders>
                  <w:noWrap w:val="0"/>
                  <w:vAlign w:val="center"/>
                </w:tcPr>
                <w:p w14:paraId="508E1B0E">
                  <w:pPr>
                    <w:pStyle w:val="71"/>
                    <w:adjustRightInd w:val="0"/>
                    <w:snapToGrid w:val="0"/>
                    <w:spacing w:line="240" w:lineRule="auto"/>
                    <w:jc w:val="center"/>
                    <w:rPr>
                      <w:rFonts w:hint="default"/>
                      <w:b w:val="0"/>
                      <w:bCs/>
                      <w:sz w:val="21"/>
                      <w:szCs w:val="21"/>
                      <w:lang w:val="en-US" w:eastAsia="zh-CN"/>
                    </w:rPr>
                  </w:pPr>
                  <w:r>
                    <w:rPr>
                      <w:rFonts w:hint="eastAsia"/>
                      <w:b w:val="0"/>
                      <w:bCs/>
                      <w:sz w:val="21"/>
                      <w:szCs w:val="21"/>
                      <w:lang w:val="en-US" w:eastAsia="zh-CN"/>
                    </w:rPr>
                    <w:t>6.0</w:t>
                  </w:r>
                </w:p>
              </w:tc>
              <w:tc>
                <w:tcPr>
                  <w:tcW w:w="488" w:type="pct"/>
                  <w:tcBorders>
                    <w:top w:val="single" w:color="auto" w:sz="4" w:space="0"/>
                    <w:left w:val="single" w:color="auto" w:sz="4" w:space="0"/>
                    <w:bottom w:val="single" w:color="000000" w:sz="4" w:space="0"/>
                    <w:right w:val="single" w:color="000000" w:sz="4" w:space="0"/>
                  </w:tcBorders>
                  <w:noWrap w:val="0"/>
                  <w:vAlign w:val="center"/>
                </w:tcPr>
                <w:p w14:paraId="429764BC">
                  <w:pPr>
                    <w:pStyle w:val="71"/>
                    <w:adjustRightInd w:val="0"/>
                    <w:snapToGrid w:val="0"/>
                    <w:spacing w:line="240" w:lineRule="auto"/>
                    <w:jc w:val="center"/>
                    <w:rPr>
                      <w:rFonts w:hint="eastAsia"/>
                      <w:b w:val="0"/>
                      <w:bCs/>
                      <w:sz w:val="21"/>
                      <w:szCs w:val="21"/>
                    </w:rPr>
                  </w:pPr>
                </w:p>
              </w:tc>
              <w:tc>
                <w:tcPr>
                  <w:tcW w:w="485" w:type="pct"/>
                  <w:tcBorders>
                    <w:top w:val="single" w:color="auto" w:sz="4" w:space="0"/>
                    <w:left w:val="single" w:color="000000" w:sz="4" w:space="0"/>
                    <w:bottom w:val="single" w:color="000000" w:sz="4" w:space="0"/>
                  </w:tcBorders>
                  <w:noWrap w:val="0"/>
                  <w:vAlign w:val="center"/>
                </w:tcPr>
                <w:p w14:paraId="10E41EBB">
                  <w:pPr>
                    <w:pStyle w:val="71"/>
                    <w:adjustRightInd w:val="0"/>
                    <w:snapToGrid w:val="0"/>
                    <w:spacing w:line="240" w:lineRule="auto"/>
                    <w:jc w:val="center"/>
                    <w:rPr>
                      <w:rFonts w:hint="eastAsia"/>
                      <w:b w:val="0"/>
                      <w:bCs/>
                      <w:sz w:val="21"/>
                      <w:szCs w:val="21"/>
                    </w:rPr>
                  </w:pPr>
                </w:p>
              </w:tc>
            </w:tr>
          </w:tbl>
          <w:p w14:paraId="4575A878">
            <w:pPr>
              <w:adjustRightInd w:val="0"/>
              <w:snapToGrid w:val="0"/>
              <w:jc w:val="center"/>
              <w:rPr>
                <w:rFonts w:hint="eastAsia" w:ascii="宋体" w:hAnsi="宋体"/>
                <w:b/>
                <w:sz w:val="24"/>
              </w:rPr>
            </w:pPr>
          </w:p>
          <w:p w14:paraId="3EFC594F">
            <w:pPr>
              <w:adjustRightInd w:val="0"/>
              <w:snapToGrid w:val="0"/>
              <w:jc w:val="center"/>
              <w:rPr>
                <w:b/>
                <w:szCs w:val="21"/>
              </w:rPr>
            </w:pPr>
          </w:p>
          <w:p w14:paraId="0CF491EE">
            <w:pPr>
              <w:adjustRightInd w:val="0"/>
              <w:snapToGrid w:val="0"/>
              <w:jc w:val="center"/>
              <w:rPr>
                <w:b/>
                <w:szCs w:val="21"/>
              </w:rPr>
            </w:pPr>
          </w:p>
          <w:p w14:paraId="2C0BE18E">
            <w:pPr>
              <w:adjustRightInd w:val="0"/>
              <w:snapToGrid w:val="0"/>
              <w:jc w:val="center"/>
              <w:rPr>
                <w:b/>
                <w:szCs w:val="21"/>
              </w:rPr>
            </w:pPr>
          </w:p>
          <w:p w14:paraId="5BB808FE">
            <w:pPr>
              <w:adjustRightInd w:val="0"/>
              <w:snapToGrid w:val="0"/>
              <w:jc w:val="center"/>
              <w:rPr>
                <w:b/>
                <w:szCs w:val="21"/>
              </w:rPr>
            </w:pPr>
          </w:p>
          <w:p w14:paraId="169D9805">
            <w:pPr>
              <w:adjustRightInd w:val="0"/>
              <w:snapToGrid w:val="0"/>
              <w:jc w:val="center"/>
              <w:rPr>
                <w:b/>
                <w:szCs w:val="21"/>
              </w:rPr>
            </w:pPr>
            <w:r>
              <w:rPr>
                <w:b/>
                <w:szCs w:val="21"/>
              </w:rPr>
              <w:t>表7  建设项目废水类别、污染物及污染治理设施信息表</w:t>
            </w:r>
          </w:p>
          <w:tbl>
            <w:tblPr>
              <w:tblStyle w:val="24"/>
              <w:tblW w:w="5000" w:type="pct"/>
              <w:tblInd w:w="10"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337"/>
              <w:gridCol w:w="458"/>
              <w:gridCol w:w="604"/>
              <w:gridCol w:w="652"/>
              <w:gridCol w:w="1206"/>
              <w:gridCol w:w="1015"/>
              <w:gridCol w:w="692"/>
              <w:gridCol w:w="886"/>
              <w:gridCol w:w="501"/>
              <w:gridCol w:w="440"/>
              <w:gridCol w:w="477"/>
              <w:gridCol w:w="617"/>
              <w:gridCol w:w="627"/>
              <w:gridCol w:w="455"/>
              <w:gridCol w:w="627"/>
              <w:gridCol w:w="1665"/>
              <w:gridCol w:w="936"/>
              <w:gridCol w:w="624"/>
              <w:gridCol w:w="632"/>
            </w:tblGrid>
            <w:tr w14:paraId="0E120AE2">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25" w:type="pct"/>
                  <w:vMerge w:val="restart"/>
                  <w:tcBorders>
                    <w:bottom w:val="single" w:color="000000" w:sz="4" w:space="0"/>
                    <w:right w:val="single" w:color="000000" w:sz="4" w:space="0"/>
                  </w:tcBorders>
                  <w:noWrap w:val="0"/>
                  <w:vAlign w:val="center"/>
                </w:tcPr>
                <w:p w14:paraId="7B03D84E">
                  <w:pPr>
                    <w:pStyle w:val="58"/>
                    <w:adjustRightInd w:val="0"/>
                    <w:snapToGrid w:val="0"/>
                    <w:jc w:val="center"/>
                    <w:rPr>
                      <w:b/>
                      <w:sz w:val="21"/>
                      <w:szCs w:val="21"/>
                    </w:rPr>
                  </w:pPr>
                  <w:r>
                    <w:rPr>
                      <w:b/>
                      <w:sz w:val="21"/>
                      <w:szCs w:val="21"/>
                    </w:rPr>
                    <w:t>序号</w:t>
                  </w:r>
                </w:p>
              </w:tc>
              <w:tc>
                <w:tcPr>
                  <w:tcW w:w="170" w:type="pct"/>
                  <w:vMerge w:val="restart"/>
                  <w:tcBorders>
                    <w:left w:val="single" w:color="000000" w:sz="4" w:space="0"/>
                    <w:bottom w:val="single" w:color="000000" w:sz="4" w:space="0"/>
                    <w:right w:val="single" w:color="000000" w:sz="4" w:space="0"/>
                  </w:tcBorders>
                  <w:noWrap w:val="0"/>
                  <w:vAlign w:val="center"/>
                </w:tcPr>
                <w:p w14:paraId="7EE8B880">
                  <w:pPr>
                    <w:pStyle w:val="58"/>
                    <w:adjustRightInd w:val="0"/>
                    <w:snapToGrid w:val="0"/>
                    <w:jc w:val="center"/>
                    <w:rPr>
                      <w:b/>
                      <w:sz w:val="21"/>
                      <w:szCs w:val="21"/>
                    </w:rPr>
                  </w:pPr>
                  <w:r>
                    <w:rPr>
                      <w:b/>
                      <w:sz w:val="21"/>
                      <w:szCs w:val="21"/>
                    </w:rPr>
                    <w:t>废水类别</w:t>
                  </w:r>
                </w:p>
              </w:tc>
              <w:tc>
                <w:tcPr>
                  <w:tcW w:w="224" w:type="pct"/>
                  <w:vMerge w:val="restart"/>
                  <w:tcBorders>
                    <w:left w:val="single" w:color="000000" w:sz="4" w:space="0"/>
                    <w:bottom w:val="single" w:color="000000" w:sz="4" w:space="0"/>
                    <w:right w:val="single" w:color="000000" w:sz="4" w:space="0"/>
                  </w:tcBorders>
                  <w:noWrap w:val="0"/>
                  <w:vAlign w:val="center"/>
                </w:tcPr>
                <w:p w14:paraId="06029146">
                  <w:pPr>
                    <w:pStyle w:val="58"/>
                    <w:adjustRightInd w:val="0"/>
                    <w:snapToGrid w:val="0"/>
                    <w:jc w:val="center"/>
                    <w:rPr>
                      <w:b/>
                      <w:sz w:val="21"/>
                      <w:szCs w:val="21"/>
                    </w:rPr>
                  </w:pPr>
                  <w:r>
                    <w:rPr>
                      <w:b/>
                      <w:sz w:val="21"/>
                      <w:szCs w:val="21"/>
                    </w:rPr>
                    <w:t>污染物种 类</w:t>
                  </w:r>
                </w:p>
              </w:tc>
              <w:tc>
                <w:tcPr>
                  <w:tcW w:w="1654" w:type="pct"/>
                  <w:gridSpan w:val="5"/>
                  <w:tcBorders>
                    <w:left w:val="single" w:color="000000" w:sz="4" w:space="0"/>
                    <w:bottom w:val="single" w:color="000000" w:sz="6" w:space="0"/>
                    <w:right w:val="single" w:color="000000" w:sz="4" w:space="0"/>
                  </w:tcBorders>
                  <w:noWrap w:val="0"/>
                  <w:vAlign w:val="center"/>
                </w:tcPr>
                <w:p w14:paraId="5953E309">
                  <w:pPr>
                    <w:pStyle w:val="58"/>
                    <w:adjustRightInd w:val="0"/>
                    <w:snapToGrid w:val="0"/>
                    <w:jc w:val="center"/>
                    <w:rPr>
                      <w:b/>
                      <w:sz w:val="21"/>
                      <w:szCs w:val="21"/>
                    </w:rPr>
                  </w:pPr>
                  <w:r>
                    <w:rPr>
                      <w:b/>
                      <w:sz w:val="21"/>
                      <w:szCs w:val="21"/>
                    </w:rPr>
                    <w:t>污染防治设施</w:t>
                  </w:r>
                </w:p>
              </w:tc>
              <w:tc>
                <w:tcPr>
                  <w:tcW w:w="186" w:type="pct"/>
                  <w:vMerge w:val="restart"/>
                  <w:tcBorders>
                    <w:left w:val="single" w:color="000000" w:sz="4" w:space="0"/>
                    <w:bottom w:val="single" w:color="000000" w:sz="4" w:space="0"/>
                    <w:right w:val="single" w:color="000000" w:sz="6" w:space="0"/>
                  </w:tcBorders>
                  <w:noWrap w:val="0"/>
                  <w:vAlign w:val="center"/>
                </w:tcPr>
                <w:p w14:paraId="167DD67A">
                  <w:pPr>
                    <w:pStyle w:val="58"/>
                    <w:adjustRightInd w:val="0"/>
                    <w:snapToGrid w:val="0"/>
                    <w:jc w:val="center"/>
                    <w:rPr>
                      <w:b/>
                      <w:sz w:val="21"/>
                      <w:szCs w:val="21"/>
                    </w:rPr>
                  </w:pPr>
                  <w:r>
                    <w:rPr>
                      <w:b/>
                      <w:sz w:val="21"/>
                      <w:szCs w:val="21"/>
                    </w:rPr>
                    <w:t>排放去向</w:t>
                  </w:r>
                </w:p>
              </w:tc>
              <w:tc>
                <w:tcPr>
                  <w:tcW w:w="163" w:type="pct"/>
                  <w:vMerge w:val="restart"/>
                  <w:tcBorders>
                    <w:left w:val="single" w:color="000000" w:sz="6" w:space="0"/>
                    <w:bottom w:val="single" w:color="000000" w:sz="4" w:space="0"/>
                    <w:right w:val="single" w:color="000000" w:sz="6" w:space="0"/>
                  </w:tcBorders>
                  <w:noWrap w:val="0"/>
                  <w:vAlign w:val="center"/>
                </w:tcPr>
                <w:p w14:paraId="3BB92529">
                  <w:pPr>
                    <w:pStyle w:val="58"/>
                    <w:adjustRightInd w:val="0"/>
                    <w:snapToGrid w:val="0"/>
                    <w:jc w:val="center"/>
                    <w:rPr>
                      <w:b/>
                      <w:sz w:val="21"/>
                      <w:szCs w:val="21"/>
                    </w:rPr>
                  </w:pPr>
                  <w:r>
                    <w:rPr>
                      <w:b/>
                      <w:sz w:val="21"/>
                      <w:szCs w:val="21"/>
                    </w:rPr>
                    <w:t>排放方式</w:t>
                  </w:r>
                </w:p>
              </w:tc>
              <w:tc>
                <w:tcPr>
                  <w:tcW w:w="177" w:type="pct"/>
                  <w:vMerge w:val="restart"/>
                  <w:tcBorders>
                    <w:left w:val="single" w:color="000000" w:sz="6" w:space="0"/>
                    <w:bottom w:val="single" w:color="000000" w:sz="4" w:space="0"/>
                    <w:right w:val="single" w:color="000000" w:sz="6" w:space="0"/>
                  </w:tcBorders>
                  <w:noWrap w:val="0"/>
                  <w:vAlign w:val="center"/>
                </w:tcPr>
                <w:p w14:paraId="78FE1286">
                  <w:pPr>
                    <w:pStyle w:val="58"/>
                    <w:adjustRightInd w:val="0"/>
                    <w:snapToGrid w:val="0"/>
                    <w:jc w:val="center"/>
                    <w:rPr>
                      <w:b/>
                      <w:sz w:val="21"/>
                      <w:szCs w:val="21"/>
                    </w:rPr>
                  </w:pPr>
                  <w:r>
                    <w:rPr>
                      <w:b/>
                      <w:sz w:val="21"/>
                      <w:szCs w:val="21"/>
                    </w:rPr>
                    <w:t>排放规律</w:t>
                  </w:r>
                </w:p>
              </w:tc>
              <w:tc>
                <w:tcPr>
                  <w:tcW w:w="229" w:type="pct"/>
                  <w:vMerge w:val="restart"/>
                  <w:tcBorders>
                    <w:left w:val="single" w:color="000000" w:sz="6" w:space="0"/>
                    <w:bottom w:val="single" w:color="000000" w:sz="4" w:space="0"/>
                    <w:right w:val="single" w:color="000000" w:sz="4" w:space="0"/>
                  </w:tcBorders>
                  <w:noWrap w:val="0"/>
                  <w:vAlign w:val="center"/>
                </w:tcPr>
                <w:p w14:paraId="02315DFC">
                  <w:pPr>
                    <w:pStyle w:val="58"/>
                    <w:adjustRightInd w:val="0"/>
                    <w:snapToGrid w:val="0"/>
                    <w:jc w:val="center"/>
                    <w:rPr>
                      <w:b/>
                      <w:sz w:val="21"/>
                      <w:szCs w:val="21"/>
                    </w:rPr>
                  </w:pPr>
                  <w:r>
                    <w:rPr>
                      <w:b/>
                      <w:sz w:val="21"/>
                      <w:szCs w:val="21"/>
                    </w:rPr>
                    <w:t>排放口编号</w:t>
                  </w:r>
                </w:p>
              </w:tc>
              <w:tc>
                <w:tcPr>
                  <w:tcW w:w="233" w:type="pct"/>
                  <w:vMerge w:val="restart"/>
                  <w:tcBorders>
                    <w:left w:val="single" w:color="000000" w:sz="4" w:space="0"/>
                    <w:bottom w:val="single" w:color="000000" w:sz="4" w:space="0"/>
                    <w:right w:val="single" w:color="000000" w:sz="6" w:space="0"/>
                  </w:tcBorders>
                  <w:noWrap w:val="0"/>
                  <w:vAlign w:val="center"/>
                </w:tcPr>
                <w:p w14:paraId="75E951C4">
                  <w:pPr>
                    <w:pStyle w:val="58"/>
                    <w:adjustRightInd w:val="0"/>
                    <w:snapToGrid w:val="0"/>
                    <w:jc w:val="center"/>
                    <w:rPr>
                      <w:b/>
                      <w:sz w:val="21"/>
                      <w:szCs w:val="21"/>
                    </w:rPr>
                  </w:pPr>
                  <w:r>
                    <w:rPr>
                      <w:b/>
                      <w:sz w:val="21"/>
                      <w:szCs w:val="21"/>
                    </w:rPr>
                    <w:t>排放口名称</w:t>
                  </w:r>
                </w:p>
              </w:tc>
              <w:tc>
                <w:tcPr>
                  <w:tcW w:w="169" w:type="pct"/>
                  <w:vMerge w:val="restart"/>
                  <w:tcBorders>
                    <w:left w:val="single" w:color="000000" w:sz="6" w:space="0"/>
                    <w:bottom w:val="single" w:color="000000" w:sz="4" w:space="0"/>
                    <w:right w:val="single" w:color="000000" w:sz="6" w:space="0"/>
                  </w:tcBorders>
                  <w:noWrap w:val="0"/>
                  <w:vAlign w:val="center"/>
                </w:tcPr>
                <w:p w14:paraId="3FB727A5">
                  <w:pPr>
                    <w:pStyle w:val="58"/>
                    <w:adjustRightInd w:val="0"/>
                    <w:snapToGrid w:val="0"/>
                    <w:jc w:val="center"/>
                    <w:rPr>
                      <w:b/>
                      <w:sz w:val="21"/>
                      <w:szCs w:val="21"/>
                      <w:lang w:eastAsia="zh-CN"/>
                    </w:rPr>
                  </w:pPr>
                  <w:r>
                    <w:rPr>
                      <w:b/>
                      <w:sz w:val="21"/>
                      <w:szCs w:val="21"/>
                      <w:lang w:eastAsia="zh-CN"/>
                    </w:rPr>
                    <w:t>排放口设置是否符合要求</w:t>
                  </w:r>
                </w:p>
              </w:tc>
              <w:tc>
                <w:tcPr>
                  <w:tcW w:w="233" w:type="pct"/>
                  <w:vMerge w:val="restart"/>
                  <w:tcBorders>
                    <w:left w:val="single" w:color="000000" w:sz="6" w:space="0"/>
                    <w:bottom w:val="single" w:color="000000" w:sz="4" w:space="0"/>
                    <w:right w:val="single" w:color="000000" w:sz="4" w:space="0"/>
                  </w:tcBorders>
                  <w:noWrap w:val="0"/>
                  <w:vAlign w:val="center"/>
                </w:tcPr>
                <w:p w14:paraId="66321E53">
                  <w:pPr>
                    <w:pStyle w:val="58"/>
                    <w:adjustRightInd w:val="0"/>
                    <w:snapToGrid w:val="0"/>
                    <w:jc w:val="center"/>
                    <w:rPr>
                      <w:b/>
                      <w:sz w:val="21"/>
                      <w:szCs w:val="21"/>
                    </w:rPr>
                  </w:pPr>
                  <w:r>
                    <w:rPr>
                      <w:b/>
                      <w:sz w:val="21"/>
                      <w:szCs w:val="21"/>
                    </w:rPr>
                    <w:t>排放口类型</w:t>
                  </w:r>
                </w:p>
              </w:tc>
              <w:tc>
                <w:tcPr>
                  <w:tcW w:w="966" w:type="pct"/>
                  <w:gridSpan w:val="2"/>
                  <w:vMerge w:val="restart"/>
                  <w:tcBorders>
                    <w:left w:val="single" w:color="000000" w:sz="4" w:space="0"/>
                    <w:bottom w:val="single" w:color="000000" w:sz="6" w:space="0"/>
                    <w:right w:val="single" w:color="000000" w:sz="6" w:space="0"/>
                  </w:tcBorders>
                  <w:noWrap w:val="0"/>
                  <w:vAlign w:val="center"/>
                </w:tcPr>
                <w:p w14:paraId="61B2C655">
                  <w:pPr>
                    <w:pStyle w:val="58"/>
                    <w:adjustRightInd w:val="0"/>
                    <w:snapToGrid w:val="0"/>
                    <w:jc w:val="center"/>
                    <w:rPr>
                      <w:b/>
                      <w:sz w:val="21"/>
                      <w:szCs w:val="21"/>
                      <w:lang w:eastAsia="zh-CN"/>
                    </w:rPr>
                  </w:pPr>
                  <w:r>
                    <w:rPr>
                      <w:b/>
                      <w:sz w:val="21"/>
                      <w:szCs w:val="21"/>
                      <w:lang w:eastAsia="zh-CN"/>
                    </w:rPr>
                    <w:t>国家或地方污染物排放标准</w:t>
                  </w:r>
                </w:p>
              </w:tc>
              <w:tc>
                <w:tcPr>
                  <w:tcW w:w="231" w:type="pct"/>
                  <w:vMerge w:val="restart"/>
                  <w:tcBorders>
                    <w:left w:val="single" w:color="000000" w:sz="6" w:space="0"/>
                    <w:bottom w:val="single" w:color="000000" w:sz="4" w:space="0"/>
                    <w:right w:val="single" w:color="000000" w:sz="6" w:space="0"/>
                  </w:tcBorders>
                  <w:noWrap w:val="0"/>
                  <w:vAlign w:val="center"/>
                </w:tcPr>
                <w:p w14:paraId="441835FC">
                  <w:pPr>
                    <w:pStyle w:val="58"/>
                    <w:adjustRightInd w:val="0"/>
                    <w:snapToGrid w:val="0"/>
                    <w:jc w:val="center"/>
                    <w:rPr>
                      <w:b/>
                      <w:sz w:val="21"/>
                      <w:szCs w:val="21"/>
                    </w:rPr>
                  </w:pPr>
                  <w:r>
                    <w:rPr>
                      <w:b/>
                      <w:sz w:val="21"/>
                      <w:szCs w:val="21"/>
                    </w:rPr>
                    <w:t>年排放许可量(t/a)</w:t>
                  </w:r>
                </w:p>
              </w:tc>
              <w:tc>
                <w:tcPr>
                  <w:tcW w:w="234" w:type="pct"/>
                  <w:vMerge w:val="restart"/>
                  <w:tcBorders>
                    <w:left w:val="single" w:color="000000" w:sz="6" w:space="0"/>
                    <w:bottom w:val="single" w:color="000000" w:sz="4" w:space="0"/>
                  </w:tcBorders>
                  <w:noWrap w:val="0"/>
                  <w:vAlign w:val="center"/>
                </w:tcPr>
                <w:p w14:paraId="3955FA5F">
                  <w:pPr>
                    <w:pStyle w:val="58"/>
                    <w:adjustRightInd w:val="0"/>
                    <w:snapToGrid w:val="0"/>
                    <w:jc w:val="center"/>
                    <w:rPr>
                      <w:b/>
                      <w:sz w:val="21"/>
                      <w:szCs w:val="21"/>
                    </w:rPr>
                  </w:pPr>
                  <w:r>
                    <w:rPr>
                      <w:b/>
                      <w:sz w:val="21"/>
                      <w:szCs w:val="21"/>
                    </w:rPr>
                    <w:t>其他信息</w:t>
                  </w:r>
                </w:p>
              </w:tc>
            </w:tr>
            <w:tr w14:paraId="1523384F">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125" w:type="pct"/>
                  <w:vMerge w:val="continue"/>
                  <w:tcBorders>
                    <w:top w:val="nil"/>
                    <w:bottom w:val="single" w:color="000000" w:sz="4" w:space="0"/>
                    <w:right w:val="single" w:color="000000" w:sz="4" w:space="0"/>
                  </w:tcBorders>
                  <w:noWrap w:val="0"/>
                  <w:vAlign w:val="center"/>
                </w:tcPr>
                <w:p w14:paraId="65BD630A">
                  <w:pPr>
                    <w:autoSpaceDE w:val="0"/>
                    <w:autoSpaceDN w:val="0"/>
                    <w:adjustRightInd w:val="0"/>
                    <w:snapToGrid w:val="0"/>
                    <w:jc w:val="center"/>
                    <w:rPr>
                      <w:szCs w:val="21"/>
                    </w:rPr>
                  </w:pPr>
                </w:p>
              </w:tc>
              <w:tc>
                <w:tcPr>
                  <w:tcW w:w="170" w:type="pct"/>
                  <w:vMerge w:val="continue"/>
                  <w:tcBorders>
                    <w:top w:val="nil"/>
                    <w:left w:val="single" w:color="000000" w:sz="4" w:space="0"/>
                    <w:bottom w:val="single" w:color="000000" w:sz="4" w:space="0"/>
                    <w:right w:val="single" w:color="000000" w:sz="4" w:space="0"/>
                  </w:tcBorders>
                  <w:noWrap w:val="0"/>
                  <w:vAlign w:val="center"/>
                </w:tcPr>
                <w:p w14:paraId="09B5B7CF">
                  <w:pPr>
                    <w:autoSpaceDE w:val="0"/>
                    <w:autoSpaceDN w:val="0"/>
                    <w:adjustRightInd w:val="0"/>
                    <w:snapToGrid w:val="0"/>
                    <w:jc w:val="center"/>
                    <w:rPr>
                      <w:szCs w:val="21"/>
                    </w:rPr>
                  </w:pPr>
                </w:p>
              </w:tc>
              <w:tc>
                <w:tcPr>
                  <w:tcW w:w="224" w:type="pct"/>
                  <w:vMerge w:val="continue"/>
                  <w:tcBorders>
                    <w:top w:val="nil"/>
                    <w:left w:val="single" w:color="000000" w:sz="4" w:space="0"/>
                    <w:bottom w:val="single" w:color="000000" w:sz="4" w:space="0"/>
                    <w:right w:val="single" w:color="000000" w:sz="4" w:space="0"/>
                  </w:tcBorders>
                  <w:noWrap w:val="0"/>
                  <w:vAlign w:val="center"/>
                </w:tcPr>
                <w:p w14:paraId="7141A42C">
                  <w:pPr>
                    <w:autoSpaceDE w:val="0"/>
                    <w:autoSpaceDN w:val="0"/>
                    <w:adjustRightInd w:val="0"/>
                    <w:snapToGrid w:val="0"/>
                    <w:jc w:val="center"/>
                    <w:rPr>
                      <w:szCs w:val="21"/>
                    </w:rPr>
                  </w:pPr>
                </w:p>
              </w:tc>
              <w:tc>
                <w:tcPr>
                  <w:tcW w:w="242" w:type="pct"/>
                  <w:vMerge w:val="restart"/>
                  <w:tcBorders>
                    <w:top w:val="single" w:color="000000" w:sz="6" w:space="0"/>
                    <w:left w:val="single" w:color="000000" w:sz="4" w:space="0"/>
                    <w:bottom w:val="single" w:color="000000" w:sz="4" w:space="0"/>
                    <w:right w:val="single" w:color="000000" w:sz="4" w:space="0"/>
                  </w:tcBorders>
                  <w:noWrap w:val="0"/>
                  <w:vAlign w:val="center"/>
                </w:tcPr>
                <w:p w14:paraId="5CA292FD">
                  <w:pPr>
                    <w:pStyle w:val="58"/>
                    <w:adjustRightInd w:val="0"/>
                    <w:snapToGrid w:val="0"/>
                    <w:jc w:val="center"/>
                    <w:rPr>
                      <w:b/>
                      <w:sz w:val="21"/>
                      <w:szCs w:val="21"/>
                    </w:rPr>
                  </w:pPr>
                  <w:r>
                    <w:rPr>
                      <w:b/>
                      <w:sz w:val="21"/>
                      <w:szCs w:val="21"/>
                    </w:rPr>
                    <w:t>污染防治设施编号</w:t>
                  </w:r>
                </w:p>
              </w:tc>
              <w:tc>
                <w:tcPr>
                  <w:tcW w:w="448" w:type="pct"/>
                  <w:vMerge w:val="restart"/>
                  <w:tcBorders>
                    <w:top w:val="single" w:color="000000" w:sz="6" w:space="0"/>
                    <w:left w:val="single" w:color="000000" w:sz="4" w:space="0"/>
                    <w:bottom w:val="single" w:color="000000" w:sz="4" w:space="0"/>
                    <w:right w:val="single" w:color="000000" w:sz="4" w:space="0"/>
                  </w:tcBorders>
                  <w:noWrap w:val="0"/>
                  <w:vAlign w:val="center"/>
                </w:tcPr>
                <w:p w14:paraId="5A7A23F8">
                  <w:pPr>
                    <w:pStyle w:val="58"/>
                    <w:adjustRightInd w:val="0"/>
                    <w:snapToGrid w:val="0"/>
                    <w:jc w:val="center"/>
                    <w:rPr>
                      <w:b/>
                      <w:sz w:val="21"/>
                      <w:szCs w:val="21"/>
                    </w:rPr>
                  </w:pPr>
                  <w:r>
                    <w:rPr>
                      <w:b/>
                      <w:sz w:val="21"/>
                      <w:szCs w:val="21"/>
                    </w:rPr>
                    <w:t>污染防治设施名称</w:t>
                  </w:r>
                </w:p>
              </w:tc>
              <w:tc>
                <w:tcPr>
                  <w:tcW w:w="377" w:type="pct"/>
                  <w:vMerge w:val="restart"/>
                  <w:tcBorders>
                    <w:top w:val="single" w:color="000000" w:sz="6" w:space="0"/>
                    <w:left w:val="single" w:color="000000" w:sz="4" w:space="0"/>
                    <w:bottom w:val="single" w:color="000000" w:sz="4" w:space="0"/>
                    <w:right w:val="single" w:color="000000" w:sz="4" w:space="0"/>
                  </w:tcBorders>
                  <w:noWrap w:val="0"/>
                  <w:vAlign w:val="center"/>
                </w:tcPr>
                <w:p w14:paraId="051A2591">
                  <w:pPr>
                    <w:pStyle w:val="58"/>
                    <w:adjustRightInd w:val="0"/>
                    <w:snapToGrid w:val="0"/>
                    <w:jc w:val="center"/>
                    <w:rPr>
                      <w:b/>
                      <w:sz w:val="21"/>
                      <w:szCs w:val="21"/>
                    </w:rPr>
                  </w:pPr>
                  <w:r>
                    <w:rPr>
                      <w:b/>
                      <w:sz w:val="21"/>
                      <w:szCs w:val="21"/>
                    </w:rPr>
                    <w:t>污染防治设施工艺</w:t>
                  </w:r>
                </w:p>
              </w:tc>
              <w:tc>
                <w:tcPr>
                  <w:tcW w:w="257" w:type="pct"/>
                  <w:vMerge w:val="restart"/>
                  <w:tcBorders>
                    <w:top w:val="single" w:color="000000" w:sz="6" w:space="0"/>
                    <w:left w:val="single" w:color="000000" w:sz="4" w:space="0"/>
                    <w:bottom w:val="single" w:color="000000" w:sz="4" w:space="0"/>
                    <w:right w:val="single" w:color="000000" w:sz="4" w:space="0"/>
                  </w:tcBorders>
                  <w:noWrap w:val="0"/>
                  <w:vAlign w:val="center"/>
                </w:tcPr>
                <w:p w14:paraId="04D124DD">
                  <w:pPr>
                    <w:pStyle w:val="58"/>
                    <w:adjustRightInd w:val="0"/>
                    <w:snapToGrid w:val="0"/>
                    <w:jc w:val="center"/>
                    <w:rPr>
                      <w:b/>
                      <w:sz w:val="21"/>
                      <w:szCs w:val="21"/>
                    </w:rPr>
                  </w:pPr>
                  <w:r>
                    <w:rPr>
                      <w:b/>
                      <w:sz w:val="21"/>
                      <w:szCs w:val="21"/>
                    </w:rPr>
                    <w:t>是否为可行技</w:t>
                  </w:r>
                </w:p>
                <w:p w14:paraId="5F3CCE0F">
                  <w:pPr>
                    <w:pStyle w:val="58"/>
                    <w:adjustRightInd w:val="0"/>
                    <w:snapToGrid w:val="0"/>
                    <w:jc w:val="center"/>
                    <w:rPr>
                      <w:b/>
                      <w:sz w:val="21"/>
                      <w:szCs w:val="21"/>
                    </w:rPr>
                  </w:pPr>
                  <w:r>
                    <w:rPr>
                      <w:b/>
                      <w:w w:val="99"/>
                      <w:sz w:val="21"/>
                      <w:szCs w:val="21"/>
                    </w:rPr>
                    <w:t>术</w:t>
                  </w:r>
                </w:p>
              </w:tc>
              <w:tc>
                <w:tcPr>
                  <w:tcW w:w="329" w:type="pct"/>
                  <w:vMerge w:val="restart"/>
                  <w:tcBorders>
                    <w:top w:val="single" w:color="000000" w:sz="6" w:space="0"/>
                    <w:left w:val="single" w:color="000000" w:sz="4" w:space="0"/>
                    <w:bottom w:val="single" w:color="000000" w:sz="4" w:space="0"/>
                    <w:right w:val="single" w:color="000000" w:sz="4" w:space="0"/>
                  </w:tcBorders>
                  <w:noWrap w:val="0"/>
                  <w:vAlign w:val="center"/>
                </w:tcPr>
                <w:p w14:paraId="177D1572">
                  <w:pPr>
                    <w:pStyle w:val="58"/>
                    <w:adjustRightInd w:val="0"/>
                    <w:snapToGrid w:val="0"/>
                    <w:jc w:val="center"/>
                    <w:rPr>
                      <w:b/>
                      <w:sz w:val="21"/>
                      <w:szCs w:val="21"/>
                      <w:lang w:eastAsia="zh-CN"/>
                    </w:rPr>
                  </w:pPr>
                  <w:r>
                    <w:rPr>
                      <w:b/>
                      <w:sz w:val="21"/>
                      <w:szCs w:val="21"/>
                      <w:lang w:eastAsia="zh-CN"/>
                    </w:rPr>
                    <w:t>污染防治设施其他信</w:t>
                  </w:r>
                  <w:r>
                    <w:rPr>
                      <w:b/>
                      <w:w w:val="99"/>
                      <w:sz w:val="21"/>
                      <w:szCs w:val="21"/>
                      <w:lang w:eastAsia="zh-CN"/>
                    </w:rPr>
                    <w:t>息</w:t>
                  </w:r>
                </w:p>
              </w:tc>
              <w:tc>
                <w:tcPr>
                  <w:tcW w:w="186" w:type="pct"/>
                  <w:vMerge w:val="continue"/>
                  <w:tcBorders>
                    <w:top w:val="nil"/>
                    <w:left w:val="single" w:color="000000" w:sz="4" w:space="0"/>
                    <w:bottom w:val="single" w:color="000000" w:sz="4" w:space="0"/>
                    <w:right w:val="single" w:color="000000" w:sz="6" w:space="0"/>
                  </w:tcBorders>
                  <w:noWrap w:val="0"/>
                  <w:vAlign w:val="center"/>
                </w:tcPr>
                <w:p w14:paraId="120FBE4C">
                  <w:pPr>
                    <w:autoSpaceDE w:val="0"/>
                    <w:autoSpaceDN w:val="0"/>
                    <w:adjustRightInd w:val="0"/>
                    <w:snapToGrid w:val="0"/>
                    <w:jc w:val="center"/>
                    <w:rPr>
                      <w:szCs w:val="21"/>
                    </w:rPr>
                  </w:pPr>
                </w:p>
              </w:tc>
              <w:tc>
                <w:tcPr>
                  <w:tcW w:w="163" w:type="pct"/>
                  <w:vMerge w:val="continue"/>
                  <w:tcBorders>
                    <w:top w:val="nil"/>
                    <w:left w:val="single" w:color="000000" w:sz="6" w:space="0"/>
                    <w:bottom w:val="single" w:color="000000" w:sz="4" w:space="0"/>
                    <w:right w:val="single" w:color="000000" w:sz="6" w:space="0"/>
                  </w:tcBorders>
                  <w:noWrap w:val="0"/>
                  <w:vAlign w:val="center"/>
                </w:tcPr>
                <w:p w14:paraId="4C603A8A">
                  <w:pPr>
                    <w:autoSpaceDE w:val="0"/>
                    <w:autoSpaceDN w:val="0"/>
                    <w:adjustRightInd w:val="0"/>
                    <w:snapToGrid w:val="0"/>
                    <w:jc w:val="center"/>
                    <w:rPr>
                      <w:szCs w:val="21"/>
                    </w:rPr>
                  </w:pPr>
                </w:p>
              </w:tc>
              <w:tc>
                <w:tcPr>
                  <w:tcW w:w="177" w:type="pct"/>
                  <w:vMerge w:val="continue"/>
                  <w:tcBorders>
                    <w:top w:val="nil"/>
                    <w:left w:val="single" w:color="000000" w:sz="6" w:space="0"/>
                    <w:bottom w:val="single" w:color="000000" w:sz="4" w:space="0"/>
                    <w:right w:val="single" w:color="000000" w:sz="6" w:space="0"/>
                  </w:tcBorders>
                  <w:noWrap w:val="0"/>
                  <w:vAlign w:val="center"/>
                </w:tcPr>
                <w:p w14:paraId="1AD38774">
                  <w:pPr>
                    <w:autoSpaceDE w:val="0"/>
                    <w:autoSpaceDN w:val="0"/>
                    <w:adjustRightInd w:val="0"/>
                    <w:snapToGrid w:val="0"/>
                    <w:jc w:val="center"/>
                    <w:rPr>
                      <w:szCs w:val="21"/>
                    </w:rPr>
                  </w:pPr>
                </w:p>
              </w:tc>
              <w:tc>
                <w:tcPr>
                  <w:tcW w:w="229" w:type="pct"/>
                  <w:vMerge w:val="continue"/>
                  <w:tcBorders>
                    <w:top w:val="nil"/>
                    <w:left w:val="single" w:color="000000" w:sz="6" w:space="0"/>
                    <w:bottom w:val="single" w:color="000000" w:sz="4" w:space="0"/>
                    <w:right w:val="single" w:color="000000" w:sz="4" w:space="0"/>
                  </w:tcBorders>
                  <w:noWrap w:val="0"/>
                  <w:vAlign w:val="center"/>
                </w:tcPr>
                <w:p w14:paraId="7D4605EB">
                  <w:pPr>
                    <w:autoSpaceDE w:val="0"/>
                    <w:autoSpaceDN w:val="0"/>
                    <w:adjustRightInd w:val="0"/>
                    <w:snapToGrid w:val="0"/>
                    <w:jc w:val="center"/>
                    <w:rPr>
                      <w:szCs w:val="21"/>
                    </w:rPr>
                  </w:pPr>
                </w:p>
              </w:tc>
              <w:tc>
                <w:tcPr>
                  <w:tcW w:w="233" w:type="pct"/>
                  <w:vMerge w:val="continue"/>
                  <w:tcBorders>
                    <w:top w:val="nil"/>
                    <w:left w:val="single" w:color="000000" w:sz="4" w:space="0"/>
                    <w:bottom w:val="single" w:color="000000" w:sz="4" w:space="0"/>
                    <w:right w:val="single" w:color="000000" w:sz="6" w:space="0"/>
                  </w:tcBorders>
                  <w:noWrap w:val="0"/>
                  <w:vAlign w:val="center"/>
                </w:tcPr>
                <w:p w14:paraId="5480E3FA">
                  <w:pPr>
                    <w:autoSpaceDE w:val="0"/>
                    <w:autoSpaceDN w:val="0"/>
                    <w:adjustRightInd w:val="0"/>
                    <w:snapToGrid w:val="0"/>
                    <w:jc w:val="center"/>
                    <w:rPr>
                      <w:szCs w:val="21"/>
                    </w:rPr>
                  </w:pPr>
                </w:p>
              </w:tc>
              <w:tc>
                <w:tcPr>
                  <w:tcW w:w="169" w:type="pct"/>
                  <w:vMerge w:val="continue"/>
                  <w:tcBorders>
                    <w:top w:val="nil"/>
                    <w:left w:val="single" w:color="000000" w:sz="6" w:space="0"/>
                    <w:bottom w:val="single" w:color="000000" w:sz="4" w:space="0"/>
                    <w:right w:val="single" w:color="000000" w:sz="6" w:space="0"/>
                  </w:tcBorders>
                  <w:noWrap w:val="0"/>
                  <w:vAlign w:val="center"/>
                </w:tcPr>
                <w:p w14:paraId="7E1ACBCC">
                  <w:pPr>
                    <w:autoSpaceDE w:val="0"/>
                    <w:autoSpaceDN w:val="0"/>
                    <w:adjustRightInd w:val="0"/>
                    <w:snapToGrid w:val="0"/>
                    <w:jc w:val="center"/>
                    <w:rPr>
                      <w:szCs w:val="21"/>
                    </w:rPr>
                  </w:pPr>
                </w:p>
              </w:tc>
              <w:tc>
                <w:tcPr>
                  <w:tcW w:w="233" w:type="pct"/>
                  <w:vMerge w:val="continue"/>
                  <w:tcBorders>
                    <w:top w:val="nil"/>
                    <w:left w:val="single" w:color="000000" w:sz="6" w:space="0"/>
                    <w:bottom w:val="single" w:color="000000" w:sz="4" w:space="0"/>
                    <w:right w:val="single" w:color="000000" w:sz="4" w:space="0"/>
                  </w:tcBorders>
                  <w:noWrap w:val="0"/>
                  <w:vAlign w:val="center"/>
                </w:tcPr>
                <w:p w14:paraId="2D88D9A6">
                  <w:pPr>
                    <w:autoSpaceDE w:val="0"/>
                    <w:autoSpaceDN w:val="0"/>
                    <w:adjustRightInd w:val="0"/>
                    <w:snapToGrid w:val="0"/>
                    <w:jc w:val="center"/>
                    <w:rPr>
                      <w:szCs w:val="21"/>
                    </w:rPr>
                  </w:pPr>
                </w:p>
              </w:tc>
              <w:tc>
                <w:tcPr>
                  <w:tcW w:w="966" w:type="pct"/>
                  <w:gridSpan w:val="2"/>
                  <w:vMerge w:val="continue"/>
                  <w:tcBorders>
                    <w:top w:val="nil"/>
                    <w:left w:val="single" w:color="000000" w:sz="4" w:space="0"/>
                    <w:bottom w:val="single" w:color="000000" w:sz="6" w:space="0"/>
                    <w:right w:val="single" w:color="000000" w:sz="6" w:space="0"/>
                  </w:tcBorders>
                  <w:noWrap w:val="0"/>
                  <w:vAlign w:val="center"/>
                </w:tcPr>
                <w:p w14:paraId="4404D0E5">
                  <w:pPr>
                    <w:autoSpaceDE w:val="0"/>
                    <w:autoSpaceDN w:val="0"/>
                    <w:adjustRightInd w:val="0"/>
                    <w:snapToGrid w:val="0"/>
                    <w:jc w:val="center"/>
                    <w:rPr>
                      <w:szCs w:val="21"/>
                    </w:rPr>
                  </w:pPr>
                </w:p>
              </w:tc>
              <w:tc>
                <w:tcPr>
                  <w:tcW w:w="231" w:type="pct"/>
                  <w:vMerge w:val="continue"/>
                  <w:tcBorders>
                    <w:top w:val="nil"/>
                    <w:left w:val="single" w:color="000000" w:sz="6" w:space="0"/>
                    <w:bottom w:val="single" w:color="000000" w:sz="4" w:space="0"/>
                    <w:right w:val="single" w:color="000000" w:sz="6" w:space="0"/>
                  </w:tcBorders>
                  <w:noWrap w:val="0"/>
                  <w:vAlign w:val="center"/>
                </w:tcPr>
                <w:p w14:paraId="5156639B">
                  <w:pPr>
                    <w:autoSpaceDE w:val="0"/>
                    <w:autoSpaceDN w:val="0"/>
                    <w:adjustRightInd w:val="0"/>
                    <w:snapToGrid w:val="0"/>
                    <w:jc w:val="center"/>
                    <w:rPr>
                      <w:szCs w:val="21"/>
                    </w:rPr>
                  </w:pPr>
                </w:p>
              </w:tc>
              <w:tc>
                <w:tcPr>
                  <w:tcW w:w="234" w:type="pct"/>
                  <w:vMerge w:val="continue"/>
                  <w:tcBorders>
                    <w:top w:val="nil"/>
                    <w:left w:val="single" w:color="000000" w:sz="6" w:space="0"/>
                    <w:bottom w:val="single" w:color="000000" w:sz="4" w:space="0"/>
                  </w:tcBorders>
                  <w:noWrap w:val="0"/>
                  <w:vAlign w:val="center"/>
                </w:tcPr>
                <w:p w14:paraId="664116E9">
                  <w:pPr>
                    <w:autoSpaceDE w:val="0"/>
                    <w:autoSpaceDN w:val="0"/>
                    <w:adjustRightInd w:val="0"/>
                    <w:snapToGrid w:val="0"/>
                    <w:jc w:val="center"/>
                    <w:rPr>
                      <w:szCs w:val="21"/>
                    </w:rPr>
                  </w:pPr>
                </w:p>
              </w:tc>
            </w:tr>
            <w:tr w14:paraId="6C5111C6">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25" w:type="pct"/>
                  <w:vMerge w:val="continue"/>
                  <w:tcBorders>
                    <w:top w:val="nil"/>
                    <w:bottom w:val="single" w:color="auto" w:sz="4" w:space="0"/>
                    <w:right w:val="single" w:color="000000" w:sz="4" w:space="0"/>
                  </w:tcBorders>
                  <w:noWrap w:val="0"/>
                  <w:vAlign w:val="center"/>
                </w:tcPr>
                <w:p w14:paraId="1656AF72">
                  <w:pPr>
                    <w:autoSpaceDE w:val="0"/>
                    <w:autoSpaceDN w:val="0"/>
                    <w:adjustRightInd w:val="0"/>
                    <w:snapToGrid w:val="0"/>
                    <w:jc w:val="center"/>
                    <w:rPr>
                      <w:szCs w:val="21"/>
                    </w:rPr>
                  </w:pPr>
                </w:p>
              </w:tc>
              <w:tc>
                <w:tcPr>
                  <w:tcW w:w="170" w:type="pct"/>
                  <w:vMerge w:val="continue"/>
                  <w:tcBorders>
                    <w:top w:val="nil"/>
                    <w:left w:val="single" w:color="000000" w:sz="4" w:space="0"/>
                    <w:bottom w:val="single" w:color="auto" w:sz="4" w:space="0"/>
                    <w:right w:val="single" w:color="000000" w:sz="4" w:space="0"/>
                  </w:tcBorders>
                  <w:noWrap w:val="0"/>
                  <w:vAlign w:val="center"/>
                </w:tcPr>
                <w:p w14:paraId="66B098D5">
                  <w:pPr>
                    <w:autoSpaceDE w:val="0"/>
                    <w:autoSpaceDN w:val="0"/>
                    <w:adjustRightInd w:val="0"/>
                    <w:snapToGrid w:val="0"/>
                    <w:jc w:val="center"/>
                    <w:rPr>
                      <w:szCs w:val="21"/>
                    </w:rPr>
                  </w:pPr>
                </w:p>
              </w:tc>
              <w:tc>
                <w:tcPr>
                  <w:tcW w:w="224" w:type="pct"/>
                  <w:vMerge w:val="continue"/>
                  <w:tcBorders>
                    <w:top w:val="nil"/>
                    <w:left w:val="single" w:color="000000" w:sz="4" w:space="0"/>
                    <w:bottom w:val="single" w:color="000000" w:sz="4" w:space="0"/>
                    <w:right w:val="single" w:color="000000" w:sz="4" w:space="0"/>
                  </w:tcBorders>
                  <w:noWrap w:val="0"/>
                  <w:vAlign w:val="center"/>
                </w:tcPr>
                <w:p w14:paraId="246F349E">
                  <w:pPr>
                    <w:autoSpaceDE w:val="0"/>
                    <w:autoSpaceDN w:val="0"/>
                    <w:adjustRightInd w:val="0"/>
                    <w:snapToGrid w:val="0"/>
                    <w:jc w:val="center"/>
                    <w:rPr>
                      <w:szCs w:val="21"/>
                    </w:rPr>
                  </w:pPr>
                </w:p>
              </w:tc>
              <w:tc>
                <w:tcPr>
                  <w:tcW w:w="242" w:type="pct"/>
                  <w:vMerge w:val="continue"/>
                  <w:tcBorders>
                    <w:top w:val="nil"/>
                    <w:left w:val="single" w:color="000000" w:sz="4" w:space="0"/>
                    <w:bottom w:val="single" w:color="auto" w:sz="4" w:space="0"/>
                    <w:right w:val="single" w:color="000000" w:sz="4" w:space="0"/>
                  </w:tcBorders>
                  <w:noWrap w:val="0"/>
                  <w:vAlign w:val="center"/>
                </w:tcPr>
                <w:p w14:paraId="6A5DF22D">
                  <w:pPr>
                    <w:autoSpaceDE w:val="0"/>
                    <w:autoSpaceDN w:val="0"/>
                    <w:adjustRightInd w:val="0"/>
                    <w:snapToGrid w:val="0"/>
                    <w:jc w:val="center"/>
                    <w:rPr>
                      <w:szCs w:val="21"/>
                    </w:rPr>
                  </w:pPr>
                </w:p>
              </w:tc>
              <w:tc>
                <w:tcPr>
                  <w:tcW w:w="448" w:type="pct"/>
                  <w:vMerge w:val="continue"/>
                  <w:tcBorders>
                    <w:top w:val="nil"/>
                    <w:left w:val="single" w:color="000000" w:sz="4" w:space="0"/>
                    <w:bottom w:val="single" w:color="auto" w:sz="4" w:space="0"/>
                    <w:right w:val="single" w:color="000000" w:sz="4" w:space="0"/>
                  </w:tcBorders>
                  <w:noWrap w:val="0"/>
                  <w:vAlign w:val="center"/>
                </w:tcPr>
                <w:p w14:paraId="4BC57461">
                  <w:pPr>
                    <w:autoSpaceDE w:val="0"/>
                    <w:autoSpaceDN w:val="0"/>
                    <w:adjustRightInd w:val="0"/>
                    <w:snapToGrid w:val="0"/>
                    <w:jc w:val="center"/>
                    <w:rPr>
                      <w:szCs w:val="21"/>
                    </w:rPr>
                  </w:pPr>
                </w:p>
              </w:tc>
              <w:tc>
                <w:tcPr>
                  <w:tcW w:w="377" w:type="pct"/>
                  <w:vMerge w:val="continue"/>
                  <w:tcBorders>
                    <w:top w:val="nil"/>
                    <w:left w:val="single" w:color="000000" w:sz="4" w:space="0"/>
                    <w:bottom w:val="single" w:color="auto" w:sz="4" w:space="0"/>
                    <w:right w:val="single" w:color="000000" w:sz="4" w:space="0"/>
                  </w:tcBorders>
                  <w:noWrap w:val="0"/>
                  <w:vAlign w:val="center"/>
                </w:tcPr>
                <w:p w14:paraId="07CED6B6">
                  <w:pPr>
                    <w:autoSpaceDE w:val="0"/>
                    <w:autoSpaceDN w:val="0"/>
                    <w:adjustRightInd w:val="0"/>
                    <w:snapToGrid w:val="0"/>
                    <w:jc w:val="center"/>
                    <w:rPr>
                      <w:szCs w:val="21"/>
                    </w:rPr>
                  </w:pPr>
                </w:p>
              </w:tc>
              <w:tc>
                <w:tcPr>
                  <w:tcW w:w="257" w:type="pct"/>
                  <w:vMerge w:val="continue"/>
                  <w:tcBorders>
                    <w:top w:val="nil"/>
                    <w:left w:val="single" w:color="000000" w:sz="4" w:space="0"/>
                    <w:bottom w:val="single" w:color="auto" w:sz="4" w:space="0"/>
                    <w:right w:val="single" w:color="000000" w:sz="4" w:space="0"/>
                  </w:tcBorders>
                  <w:noWrap w:val="0"/>
                  <w:vAlign w:val="center"/>
                </w:tcPr>
                <w:p w14:paraId="06FCC995">
                  <w:pPr>
                    <w:autoSpaceDE w:val="0"/>
                    <w:autoSpaceDN w:val="0"/>
                    <w:adjustRightInd w:val="0"/>
                    <w:snapToGrid w:val="0"/>
                    <w:jc w:val="center"/>
                    <w:rPr>
                      <w:szCs w:val="21"/>
                    </w:rPr>
                  </w:pPr>
                </w:p>
              </w:tc>
              <w:tc>
                <w:tcPr>
                  <w:tcW w:w="329" w:type="pct"/>
                  <w:vMerge w:val="continue"/>
                  <w:tcBorders>
                    <w:top w:val="nil"/>
                    <w:left w:val="single" w:color="000000" w:sz="4" w:space="0"/>
                    <w:bottom w:val="single" w:color="auto" w:sz="4" w:space="0"/>
                    <w:right w:val="single" w:color="000000" w:sz="4" w:space="0"/>
                  </w:tcBorders>
                  <w:noWrap w:val="0"/>
                  <w:vAlign w:val="center"/>
                </w:tcPr>
                <w:p w14:paraId="6484BA7C">
                  <w:pPr>
                    <w:autoSpaceDE w:val="0"/>
                    <w:autoSpaceDN w:val="0"/>
                    <w:adjustRightInd w:val="0"/>
                    <w:snapToGrid w:val="0"/>
                    <w:jc w:val="center"/>
                    <w:rPr>
                      <w:szCs w:val="21"/>
                    </w:rPr>
                  </w:pPr>
                </w:p>
              </w:tc>
              <w:tc>
                <w:tcPr>
                  <w:tcW w:w="186" w:type="pct"/>
                  <w:vMerge w:val="continue"/>
                  <w:tcBorders>
                    <w:top w:val="nil"/>
                    <w:left w:val="single" w:color="000000" w:sz="4" w:space="0"/>
                    <w:bottom w:val="single" w:color="auto" w:sz="4" w:space="0"/>
                    <w:right w:val="single" w:color="000000" w:sz="6" w:space="0"/>
                  </w:tcBorders>
                  <w:noWrap w:val="0"/>
                  <w:vAlign w:val="center"/>
                </w:tcPr>
                <w:p w14:paraId="36A9F358">
                  <w:pPr>
                    <w:autoSpaceDE w:val="0"/>
                    <w:autoSpaceDN w:val="0"/>
                    <w:adjustRightInd w:val="0"/>
                    <w:snapToGrid w:val="0"/>
                    <w:jc w:val="center"/>
                    <w:rPr>
                      <w:szCs w:val="21"/>
                    </w:rPr>
                  </w:pPr>
                </w:p>
              </w:tc>
              <w:tc>
                <w:tcPr>
                  <w:tcW w:w="163" w:type="pct"/>
                  <w:vMerge w:val="continue"/>
                  <w:tcBorders>
                    <w:top w:val="nil"/>
                    <w:left w:val="single" w:color="000000" w:sz="6" w:space="0"/>
                    <w:bottom w:val="single" w:color="auto" w:sz="4" w:space="0"/>
                    <w:right w:val="single" w:color="000000" w:sz="6" w:space="0"/>
                  </w:tcBorders>
                  <w:noWrap w:val="0"/>
                  <w:vAlign w:val="center"/>
                </w:tcPr>
                <w:p w14:paraId="4EE2DD8F">
                  <w:pPr>
                    <w:autoSpaceDE w:val="0"/>
                    <w:autoSpaceDN w:val="0"/>
                    <w:adjustRightInd w:val="0"/>
                    <w:snapToGrid w:val="0"/>
                    <w:jc w:val="center"/>
                    <w:rPr>
                      <w:szCs w:val="21"/>
                    </w:rPr>
                  </w:pPr>
                </w:p>
              </w:tc>
              <w:tc>
                <w:tcPr>
                  <w:tcW w:w="177" w:type="pct"/>
                  <w:vMerge w:val="continue"/>
                  <w:tcBorders>
                    <w:top w:val="nil"/>
                    <w:left w:val="single" w:color="000000" w:sz="6" w:space="0"/>
                    <w:bottom w:val="single" w:color="auto" w:sz="4" w:space="0"/>
                    <w:right w:val="single" w:color="000000" w:sz="6" w:space="0"/>
                  </w:tcBorders>
                  <w:noWrap w:val="0"/>
                  <w:vAlign w:val="center"/>
                </w:tcPr>
                <w:p w14:paraId="255F8CFA">
                  <w:pPr>
                    <w:autoSpaceDE w:val="0"/>
                    <w:autoSpaceDN w:val="0"/>
                    <w:adjustRightInd w:val="0"/>
                    <w:snapToGrid w:val="0"/>
                    <w:jc w:val="center"/>
                    <w:rPr>
                      <w:szCs w:val="21"/>
                    </w:rPr>
                  </w:pPr>
                </w:p>
              </w:tc>
              <w:tc>
                <w:tcPr>
                  <w:tcW w:w="229" w:type="pct"/>
                  <w:vMerge w:val="continue"/>
                  <w:tcBorders>
                    <w:top w:val="nil"/>
                    <w:left w:val="single" w:color="000000" w:sz="6" w:space="0"/>
                    <w:bottom w:val="single" w:color="auto" w:sz="4" w:space="0"/>
                    <w:right w:val="single" w:color="000000" w:sz="4" w:space="0"/>
                  </w:tcBorders>
                  <w:noWrap w:val="0"/>
                  <w:vAlign w:val="center"/>
                </w:tcPr>
                <w:p w14:paraId="4FD5794F">
                  <w:pPr>
                    <w:autoSpaceDE w:val="0"/>
                    <w:autoSpaceDN w:val="0"/>
                    <w:adjustRightInd w:val="0"/>
                    <w:snapToGrid w:val="0"/>
                    <w:jc w:val="center"/>
                    <w:rPr>
                      <w:szCs w:val="21"/>
                    </w:rPr>
                  </w:pPr>
                </w:p>
              </w:tc>
              <w:tc>
                <w:tcPr>
                  <w:tcW w:w="233" w:type="pct"/>
                  <w:vMerge w:val="continue"/>
                  <w:tcBorders>
                    <w:top w:val="nil"/>
                    <w:left w:val="single" w:color="000000" w:sz="4" w:space="0"/>
                    <w:bottom w:val="single" w:color="auto" w:sz="4" w:space="0"/>
                    <w:right w:val="single" w:color="000000" w:sz="6" w:space="0"/>
                  </w:tcBorders>
                  <w:noWrap w:val="0"/>
                  <w:vAlign w:val="center"/>
                </w:tcPr>
                <w:p w14:paraId="2C9C5A10">
                  <w:pPr>
                    <w:autoSpaceDE w:val="0"/>
                    <w:autoSpaceDN w:val="0"/>
                    <w:adjustRightInd w:val="0"/>
                    <w:snapToGrid w:val="0"/>
                    <w:jc w:val="center"/>
                    <w:rPr>
                      <w:szCs w:val="21"/>
                    </w:rPr>
                  </w:pPr>
                </w:p>
              </w:tc>
              <w:tc>
                <w:tcPr>
                  <w:tcW w:w="169" w:type="pct"/>
                  <w:vMerge w:val="continue"/>
                  <w:tcBorders>
                    <w:top w:val="nil"/>
                    <w:left w:val="single" w:color="000000" w:sz="6" w:space="0"/>
                    <w:bottom w:val="single" w:color="auto" w:sz="4" w:space="0"/>
                    <w:right w:val="single" w:color="000000" w:sz="6" w:space="0"/>
                  </w:tcBorders>
                  <w:noWrap w:val="0"/>
                  <w:vAlign w:val="center"/>
                </w:tcPr>
                <w:p w14:paraId="30815391">
                  <w:pPr>
                    <w:autoSpaceDE w:val="0"/>
                    <w:autoSpaceDN w:val="0"/>
                    <w:adjustRightInd w:val="0"/>
                    <w:snapToGrid w:val="0"/>
                    <w:jc w:val="center"/>
                    <w:rPr>
                      <w:szCs w:val="21"/>
                    </w:rPr>
                  </w:pPr>
                </w:p>
              </w:tc>
              <w:tc>
                <w:tcPr>
                  <w:tcW w:w="233" w:type="pct"/>
                  <w:vMerge w:val="continue"/>
                  <w:tcBorders>
                    <w:top w:val="nil"/>
                    <w:left w:val="single" w:color="000000" w:sz="6" w:space="0"/>
                    <w:bottom w:val="single" w:color="auto" w:sz="4" w:space="0"/>
                    <w:right w:val="single" w:color="000000" w:sz="4" w:space="0"/>
                  </w:tcBorders>
                  <w:noWrap w:val="0"/>
                  <w:vAlign w:val="center"/>
                </w:tcPr>
                <w:p w14:paraId="51769693">
                  <w:pPr>
                    <w:autoSpaceDE w:val="0"/>
                    <w:autoSpaceDN w:val="0"/>
                    <w:adjustRightInd w:val="0"/>
                    <w:snapToGrid w:val="0"/>
                    <w:jc w:val="center"/>
                    <w:rPr>
                      <w:szCs w:val="21"/>
                    </w:rPr>
                  </w:pPr>
                </w:p>
              </w:tc>
              <w:tc>
                <w:tcPr>
                  <w:tcW w:w="618" w:type="pct"/>
                  <w:tcBorders>
                    <w:top w:val="single" w:color="000000" w:sz="6" w:space="0"/>
                    <w:left w:val="single" w:color="000000" w:sz="4" w:space="0"/>
                    <w:bottom w:val="single" w:color="auto" w:sz="4" w:space="0"/>
                    <w:right w:val="single" w:color="000000" w:sz="6" w:space="0"/>
                  </w:tcBorders>
                  <w:noWrap w:val="0"/>
                  <w:vAlign w:val="center"/>
                </w:tcPr>
                <w:p w14:paraId="7D5CD4C0">
                  <w:pPr>
                    <w:pStyle w:val="58"/>
                    <w:adjustRightInd w:val="0"/>
                    <w:snapToGrid w:val="0"/>
                    <w:jc w:val="center"/>
                    <w:rPr>
                      <w:b/>
                      <w:sz w:val="21"/>
                      <w:szCs w:val="21"/>
                      <w:lang w:eastAsia="zh-CN"/>
                    </w:rPr>
                  </w:pPr>
                  <w:r>
                    <w:rPr>
                      <w:b/>
                      <w:sz w:val="21"/>
                      <w:szCs w:val="21"/>
                      <w:lang w:eastAsia="zh-CN"/>
                    </w:rPr>
                    <w:t>标准名称</w:t>
                  </w:r>
                </w:p>
              </w:tc>
              <w:tc>
                <w:tcPr>
                  <w:tcW w:w="347" w:type="pct"/>
                  <w:tcBorders>
                    <w:top w:val="single" w:color="000000" w:sz="6" w:space="0"/>
                    <w:left w:val="single" w:color="000000" w:sz="6" w:space="0"/>
                    <w:bottom w:val="single" w:color="auto" w:sz="4" w:space="0"/>
                    <w:right w:val="single" w:color="000000" w:sz="6" w:space="0"/>
                  </w:tcBorders>
                  <w:noWrap w:val="0"/>
                  <w:vAlign w:val="center"/>
                </w:tcPr>
                <w:p w14:paraId="0AF44584">
                  <w:pPr>
                    <w:pStyle w:val="58"/>
                    <w:adjustRightInd w:val="0"/>
                    <w:snapToGrid w:val="0"/>
                    <w:jc w:val="center"/>
                    <w:rPr>
                      <w:b/>
                      <w:sz w:val="21"/>
                      <w:szCs w:val="21"/>
                      <w:lang w:eastAsia="zh-CN"/>
                    </w:rPr>
                  </w:pPr>
                  <w:r>
                    <w:rPr>
                      <w:b/>
                      <w:sz w:val="21"/>
                      <w:szCs w:val="21"/>
                      <w:lang w:eastAsia="zh-CN"/>
                    </w:rPr>
                    <w:t>浓度限值</w:t>
                  </w:r>
                </w:p>
              </w:tc>
              <w:tc>
                <w:tcPr>
                  <w:tcW w:w="231" w:type="pct"/>
                  <w:vMerge w:val="continue"/>
                  <w:tcBorders>
                    <w:top w:val="nil"/>
                    <w:left w:val="single" w:color="000000" w:sz="6" w:space="0"/>
                    <w:bottom w:val="single" w:color="auto" w:sz="4" w:space="0"/>
                    <w:right w:val="single" w:color="000000" w:sz="6" w:space="0"/>
                  </w:tcBorders>
                  <w:noWrap w:val="0"/>
                  <w:vAlign w:val="center"/>
                </w:tcPr>
                <w:p w14:paraId="7368B5EB">
                  <w:pPr>
                    <w:autoSpaceDE w:val="0"/>
                    <w:autoSpaceDN w:val="0"/>
                    <w:adjustRightInd w:val="0"/>
                    <w:snapToGrid w:val="0"/>
                    <w:jc w:val="center"/>
                    <w:rPr>
                      <w:szCs w:val="21"/>
                    </w:rPr>
                  </w:pPr>
                </w:p>
              </w:tc>
              <w:tc>
                <w:tcPr>
                  <w:tcW w:w="234" w:type="pct"/>
                  <w:vMerge w:val="continue"/>
                  <w:tcBorders>
                    <w:top w:val="nil"/>
                    <w:left w:val="single" w:color="000000" w:sz="6" w:space="0"/>
                    <w:bottom w:val="single" w:color="auto" w:sz="4" w:space="0"/>
                  </w:tcBorders>
                  <w:noWrap w:val="0"/>
                  <w:vAlign w:val="center"/>
                </w:tcPr>
                <w:p w14:paraId="64AB05AC">
                  <w:pPr>
                    <w:autoSpaceDE w:val="0"/>
                    <w:autoSpaceDN w:val="0"/>
                    <w:adjustRightInd w:val="0"/>
                    <w:snapToGrid w:val="0"/>
                    <w:jc w:val="center"/>
                    <w:rPr>
                      <w:szCs w:val="21"/>
                    </w:rPr>
                  </w:pPr>
                </w:p>
              </w:tc>
            </w:tr>
            <w:tr w14:paraId="1DCD2CAF">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36" w:hRule="atLeast"/>
              </w:trPr>
              <w:tc>
                <w:tcPr>
                  <w:tcW w:w="125" w:type="pct"/>
                  <w:vMerge w:val="restart"/>
                  <w:tcBorders>
                    <w:top w:val="single" w:color="auto" w:sz="4" w:space="0"/>
                    <w:bottom w:val="single" w:color="auto" w:sz="4" w:space="0"/>
                    <w:right w:val="single" w:color="000000" w:sz="4" w:space="0"/>
                  </w:tcBorders>
                  <w:noWrap w:val="0"/>
                  <w:vAlign w:val="center"/>
                </w:tcPr>
                <w:p w14:paraId="703FC15E">
                  <w:pPr>
                    <w:pStyle w:val="58"/>
                    <w:adjustRightInd w:val="0"/>
                    <w:snapToGrid w:val="0"/>
                    <w:jc w:val="center"/>
                    <w:rPr>
                      <w:sz w:val="21"/>
                      <w:szCs w:val="21"/>
                      <w:lang w:eastAsia="zh-CN"/>
                    </w:rPr>
                  </w:pPr>
                  <w:r>
                    <w:rPr>
                      <w:sz w:val="21"/>
                      <w:szCs w:val="21"/>
                      <w:lang w:eastAsia="zh-CN"/>
                    </w:rPr>
                    <w:t>1</w:t>
                  </w:r>
                </w:p>
              </w:tc>
              <w:tc>
                <w:tcPr>
                  <w:tcW w:w="170" w:type="pct"/>
                  <w:vMerge w:val="restart"/>
                  <w:tcBorders>
                    <w:top w:val="single" w:color="auto" w:sz="4" w:space="0"/>
                    <w:left w:val="single" w:color="000000" w:sz="4" w:space="0"/>
                    <w:bottom w:val="single" w:color="auto" w:sz="4" w:space="0"/>
                    <w:right w:val="single" w:color="auto" w:sz="4" w:space="0"/>
                  </w:tcBorders>
                  <w:noWrap w:val="0"/>
                  <w:vAlign w:val="center"/>
                </w:tcPr>
                <w:p w14:paraId="0B708D24">
                  <w:pPr>
                    <w:pStyle w:val="58"/>
                    <w:adjustRightInd w:val="0"/>
                    <w:snapToGrid w:val="0"/>
                    <w:jc w:val="center"/>
                    <w:rPr>
                      <w:sz w:val="21"/>
                      <w:szCs w:val="21"/>
                      <w:lang w:eastAsia="zh-CN"/>
                    </w:rPr>
                  </w:pPr>
                  <w:r>
                    <w:rPr>
                      <w:sz w:val="21"/>
                      <w:szCs w:val="21"/>
                      <w:lang w:eastAsia="zh-CN"/>
                    </w:rPr>
                    <w:t>生活污水</w:t>
                  </w:r>
                </w:p>
              </w:tc>
              <w:tc>
                <w:tcPr>
                  <w:tcW w:w="224" w:type="pct"/>
                  <w:tcBorders>
                    <w:top w:val="single" w:color="000000" w:sz="4" w:space="0"/>
                    <w:left w:val="single" w:color="auto" w:sz="4" w:space="0"/>
                    <w:bottom w:val="single" w:color="000000" w:sz="4" w:space="0"/>
                    <w:right w:val="single" w:color="auto" w:sz="4" w:space="0"/>
                  </w:tcBorders>
                  <w:noWrap w:val="0"/>
                  <w:vAlign w:val="center"/>
                </w:tcPr>
                <w:p w14:paraId="056144A0">
                  <w:pPr>
                    <w:jc w:val="center"/>
                    <w:rPr>
                      <w:szCs w:val="21"/>
                    </w:rPr>
                  </w:pPr>
                  <w:r>
                    <w:rPr>
                      <w:szCs w:val="21"/>
                    </w:rPr>
                    <w:t>pH</w:t>
                  </w:r>
                </w:p>
              </w:tc>
              <w:tc>
                <w:tcPr>
                  <w:tcW w:w="242" w:type="pct"/>
                  <w:vMerge w:val="restart"/>
                  <w:tcBorders>
                    <w:top w:val="single" w:color="auto" w:sz="4" w:space="0"/>
                    <w:left w:val="single" w:color="auto" w:sz="4" w:space="0"/>
                    <w:bottom w:val="single" w:color="auto" w:sz="4" w:space="0"/>
                    <w:right w:val="single" w:color="000000" w:sz="4" w:space="0"/>
                  </w:tcBorders>
                  <w:noWrap w:val="0"/>
                  <w:vAlign w:val="center"/>
                </w:tcPr>
                <w:p w14:paraId="1A6E42D0">
                  <w:pPr>
                    <w:pStyle w:val="58"/>
                    <w:adjustRightInd w:val="0"/>
                    <w:snapToGrid w:val="0"/>
                    <w:jc w:val="center"/>
                    <w:rPr>
                      <w:sz w:val="21"/>
                      <w:szCs w:val="21"/>
                      <w:lang w:eastAsia="zh-CN"/>
                    </w:rPr>
                  </w:pPr>
                  <w:r>
                    <w:rPr>
                      <w:sz w:val="21"/>
                      <w:szCs w:val="21"/>
                      <w:lang w:eastAsia="zh-CN"/>
                    </w:rPr>
                    <w:t>TW001</w:t>
                  </w:r>
                </w:p>
              </w:tc>
              <w:tc>
                <w:tcPr>
                  <w:tcW w:w="448" w:type="pct"/>
                  <w:vMerge w:val="restart"/>
                  <w:tcBorders>
                    <w:top w:val="single" w:color="auto" w:sz="4" w:space="0"/>
                    <w:left w:val="single" w:color="000000" w:sz="4" w:space="0"/>
                    <w:bottom w:val="single" w:color="auto" w:sz="4" w:space="0"/>
                    <w:right w:val="single" w:color="000000" w:sz="4" w:space="0"/>
                  </w:tcBorders>
                  <w:noWrap w:val="0"/>
                  <w:vAlign w:val="center"/>
                </w:tcPr>
                <w:p w14:paraId="785C48B9">
                  <w:pPr>
                    <w:pStyle w:val="58"/>
                    <w:adjustRightInd w:val="0"/>
                    <w:snapToGrid w:val="0"/>
                    <w:jc w:val="center"/>
                    <w:rPr>
                      <w:sz w:val="21"/>
                      <w:szCs w:val="21"/>
                      <w:lang w:eastAsia="zh-CN"/>
                    </w:rPr>
                  </w:pPr>
                  <w:r>
                    <w:rPr>
                      <w:sz w:val="21"/>
                      <w:szCs w:val="21"/>
                      <w:lang w:eastAsia="zh-CN"/>
                    </w:rPr>
                    <w:t>化粪池</w:t>
                  </w:r>
                </w:p>
              </w:tc>
              <w:tc>
                <w:tcPr>
                  <w:tcW w:w="377" w:type="pct"/>
                  <w:vMerge w:val="restart"/>
                  <w:tcBorders>
                    <w:top w:val="single" w:color="auto" w:sz="4" w:space="0"/>
                    <w:left w:val="single" w:color="000000" w:sz="4" w:space="0"/>
                    <w:bottom w:val="single" w:color="auto" w:sz="4" w:space="0"/>
                    <w:right w:val="single" w:color="000000" w:sz="4" w:space="0"/>
                  </w:tcBorders>
                  <w:noWrap w:val="0"/>
                  <w:vAlign w:val="center"/>
                </w:tcPr>
                <w:p w14:paraId="7D298F06">
                  <w:pPr>
                    <w:pStyle w:val="58"/>
                    <w:adjustRightInd w:val="0"/>
                    <w:snapToGrid w:val="0"/>
                    <w:jc w:val="center"/>
                    <w:rPr>
                      <w:sz w:val="21"/>
                      <w:szCs w:val="21"/>
                      <w:lang w:eastAsia="zh-CN"/>
                    </w:rPr>
                  </w:pPr>
                  <w:r>
                    <w:rPr>
                      <w:rFonts w:hint="eastAsia"/>
                      <w:sz w:val="21"/>
                      <w:szCs w:val="21"/>
                      <w:lang w:eastAsia="zh-CN"/>
                    </w:rPr>
                    <w:t>厌氧+</w:t>
                  </w:r>
                  <w:r>
                    <w:rPr>
                      <w:sz w:val="21"/>
                      <w:szCs w:val="21"/>
                      <w:lang w:eastAsia="zh-CN"/>
                    </w:rPr>
                    <w:t>沉淀</w:t>
                  </w:r>
                </w:p>
              </w:tc>
              <w:tc>
                <w:tcPr>
                  <w:tcW w:w="257" w:type="pct"/>
                  <w:vMerge w:val="restart"/>
                  <w:tcBorders>
                    <w:top w:val="single" w:color="auto" w:sz="4" w:space="0"/>
                    <w:left w:val="single" w:color="000000" w:sz="4" w:space="0"/>
                    <w:bottom w:val="single" w:color="auto" w:sz="4" w:space="0"/>
                    <w:right w:val="single" w:color="000000" w:sz="4" w:space="0"/>
                  </w:tcBorders>
                  <w:noWrap w:val="0"/>
                  <w:vAlign w:val="center"/>
                </w:tcPr>
                <w:p w14:paraId="7296F0CC">
                  <w:pPr>
                    <w:pStyle w:val="58"/>
                    <w:adjustRightInd w:val="0"/>
                    <w:snapToGrid w:val="0"/>
                    <w:jc w:val="center"/>
                    <w:rPr>
                      <w:sz w:val="21"/>
                      <w:szCs w:val="21"/>
                      <w:lang w:eastAsia="zh-CN"/>
                    </w:rPr>
                  </w:pPr>
                  <w:r>
                    <w:rPr>
                      <w:sz w:val="21"/>
                      <w:szCs w:val="21"/>
                      <w:lang w:eastAsia="zh-CN"/>
                    </w:rPr>
                    <w:t>是</w:t>
                  </w:r>
                </w:p>
              </w:tc>
              <w:tc>
                <w:tcPr>
                  <w:tcW w:w="329" w:type="pct"/>
                  <w:vMerge w:val="restart"/>
                  <w:tcBorders>
                    <w:top w:val="single" w:color="auto" w:sz="4" w:space="0"/>
                    <w:left w:val="single" w:color="000000" w:sz="4" w:space="0"/>
                    <w:bottom w:val="single" w:color="auto" w:sz="4" w:space="0"/>
                    <w:right w:val="single" w:color="000000" w:sz="4" w:space="0"/>
                  </w:tcBorders>
                  <w:noWrap w:val="0"/>
                  <w:vAlign w:val="center"/>
                </w:tcPr>
                <w:p w14:paraId="547F5403">
                  <w:pPr>
                    <w:pStyle w:val="58"/>
                    <w:adjustRightInd w:val="0"/>
                    <w:snapToGrid w:val="0"/>
                    <w:jc w:val="center"/>
                    <w:rPr>
                      <w:sz w:val="21"/>
                      <w:szCs w:val="21"/>
                      <w:lang w:eastAsia="zh-CN"/>
                    </w:rPr>
                  </w:pPr>
                  <w:r>
                    <w:rPr>
                      <w:sz w:val="21"/>
                      <w:szCs w:val="21"/>
                      <w:lang w:eastAsia="zh-CN"/>
                    </w:rPr>
                    <w:t>/</w:t>
                  </w:r>
                </w:p>
              </w:tc>
              <w:tc>
                <w:tcPr>
                  <w:tcW w:w="186" w:type="pct"/>
                  <w:vMerge w:val="restart"/>
                  <w:tcBorders>
                    <w:top w:val="single" w:color="auto" w:sz="4" w:space="0"/>
                    <w:left w:val="single" w:color="000000" w:sz="4" w:space="0"/>
                    <w:bottom w:val="single" w:color="auto" w:sz="4" w:space="0"/>
                    <w:right w:val="single" w:color="000000" w:sz="6" w:space="0"/>
                  </w:tcBorders>
                  <w:noWrap w:val="0"/>
                  <w:vAlign w:val="center"/>
                </w:tcPr>
                <w:p w14:paraId="17A00239">
                  <w:pPr>
                    <w:pStyle w:val="58"/>
                    <w:adjustRightInd w:val="0"/>
                    <w:snapToGrid w:val="0"/>
                    <w:jc w:val="center"/>
                    <w:rPr>
                      <w:rFonts w:hint="default"/>
                      <w:sz w:val="21"/>
                      <w:szCs w:val="21"/>
                      <w:lang w:val="en-US" w:eastAsia="zh-CN"/>
                    </w:rPr>
                  </w:pPr>
                  <w:r>
                    <w:rPr>
                      <w:rFonts w:hint="eastAsia"/>
                      <w:sz w:val="21"/>
                      <w:szCs w:val="21"/>
                      <w:lang w:val="en-US" w:eastAsia="zh-CN"/>
                    </w:rPr>
                    <w:t>不外排</w:t>
                  </w:r>
                </w:p>
              </w:tc>
              <w:tc>
                <w:tcPr>
                  <w:tcW w:w="163" w:type="pct"/>
                  <w:vMerge w:val="restart"/>
                  <w:tcBorders>
                    <w:top w:val="single" w:color="auto" w:sz="4" w:space="0"/>
                    <w:left w:val="single" w:color="000000" w:sz="6" w:space="0"/>
                    <w:bottom w:val="single" w:color="auto" w:sz="4" w:space="0"/>
                    <w:right w:val="single" w:color="000000" w:sz="6" w:space="0"/>
                  </w:tcBorders>
                  <w:noWrap w:val="0"/>
                  <w:vAlign w:val="center"/>
                </w:tcPr>
                <w:p w14:paraId="7E8FC47A">
                  <w:pPr>
                    <w:pStyle w:val="58"/>
                    <w:adjustRightInd w:val="0"/>
                    <w:snapToGrid w:val="0"/>
                    <w:jc w:val="center"/>
                    <w:rPr>
                      <w:sz w:val="21"/>
                      <w:szCs w:val="21"/>
                      <w:lang w:eastAsia="zh-CN"/>
                    </w:rPr>
                  </w:pPr>
                  <w:r>
                    <w:rPr>
                      <w:sz w:val="21"/>
                      <w:szCs w:val="21"/>
                      <w:lang w:eastAsia="zh-CN"/>
                    </w:rPr>
                    <w:t>/</w:t>
                  </w:r>
                </w:p>
              </w:tc>
              <w:tc>
                <w:tcPr>
                  <w:tcW w:w="177" w:type="pct"/>
                  <w:vMerge w:val="restart"/>
                  <w:tcBorders>
                    <w:top w:val="single" w:color="auto" w:sz="4" w:space="0"/>
                    <w:left w:val="single" w:color="000000" w:sz="6" w:space="0"/>
                    <w:bottom w:val="single" w:color="auto" w:sz="4" w:space="0"/>
                    <w:right w:val="single" w:color="000000" w:sz="6" w:space="0"/>
                  </w:tcBorders>
                  <w:noWrap w:val="0"/>
                  <w:vAlign w:val="center"/>
                </w:tcPr>
                <w:p w14:paraId="700ECFF2">
                  <w:pPr>
                    <w:pStyle w:val="58"/>
                    <w:adjustRightInd w:val="0"/>
                    <w:snapToGrid w:val="0"/>
                    <w:jc w:val="center"/>
                    <w:rPr>
                      <w:sz w:val="21"/>
                      <w:szCs w:val="21"/>
                      <w:lang w:eastAsia="zh-CN"/>
                    </w:rPr>
                  </w:pPr>
                  <w:r>
                    <w:rPr>
                      <w:sz w:val="21"/>
                      <w:szCs w:val="21"/>
                      <w:lang w:eastAsia="zh-CN"/>
                    </w:rPr>
                    <w:t>/</w:t>
                  </w:r>
                </w:p>
              </w:tc>
              <w:tc>
                <w:tcPr>
                  <w:tcW w:w="229" w:type="pct"/>
                  <w:vMerge w:val="restart"/>
                  <w:tcBorders>
                    <w:top w:val="single" w:color="auto" w:sz="4" w:space="0"/>
                    <w:left w:val="single" w:color="000000" w:sz="6" w:space="0"/>
                    <w:bottom w:val="single" w:color="auto" w:sz="4" w:space="0"/>
                    <w:right w:val="single" w:color="000000" w:sz="4" w:space="0"/>
                  </w:tcBorders>
                  <w:noWrap w:val="0"/>
                  <w:vAlign w:val="center"/>
                </w:tcPr>
                <w:p w14:paraId="54206EAA">
                  <w:pPr>
                    <w:adjustRightInd w:val="0"/>
                    <w:snapToGrid w:val="0"/>
                    <w:jc w:val="center"/>
                    <w:rPr>
                      <w:sz w:val="21"/>
                      <w:szCs w:val="21"/>
                      <w:lang w:eastAsia="zh-CN"/>
                    </w:rPr>
                  </w:pPr>
                  <w:r>
                    <w:rPr>
                      <w:rFonts w:hint="eastAsia"/>
                      <w:szCs w:val="21"/>
                      <w:lang w:val="en-US" w:eastAsia="zh-CN"/>
                    </w:rPr>
                    <w:t>/</w:t>
                  </w:r>
                </w:p>
              </w:tc>
              <w:tc>
                <w:tcPr>
                  <w:tcW w:w="233" w:type="pct"/>
                  <w:vMerge w:val="restart"/>
                  <w:tcBorders>
                    <w:top w:val="single" w:color="auto" w:sz="4" w:space="0"/>
                    <w:left w:val="single" w:color="000000" w:sz="4" w:space="0"/>
                    <w:bottom w:val="single" w:color="auto" w:sz="4" w:space="0"/>
                    <w:right w:val="single" w:color="000000" w:sz="6" w:space="0"/>
                  </w:tcBorders>
                  <w:noWrap w:val="0"/>
                  <w:vAlign w:val="center"/>
                </w:tcPr>
                <w:p w14:paraId="320BCA7E">
                  <w:pPr>
                    <w:adjustRightInd w:val="0"/>
                    <w:snapToGrid w:val="0"/>
                    <w:jc w:val="center"/>
                    <w:rPr>
                      <w:sz w:val="21"/>
                      <w:szCs w:val="21"/>
                      <w:lang w:eastAsia="zh-CN"/>
                    </w:rPr>
                  </w:pPr>
                  <w:r>
                    <w:rPr>
                      <w:rFonts w:hint="eastAsia"/>
                      <w:szCs w:val="21"/>
                      <w:lang w:val="en-US" w:eastAsia="zh-CN"/>
                    </w:rPr>
                    <w:t>/</w:t>
                  </w:r>
                </w:p>
              </w:tc>
              <w:tc>
                <w:tcPr>
                  <w:tcW w:w="169" w:type="pct"/>
                  <w:vMerge w:val="restart"/>
                  <w:tcBorders>
                    <w:top w:val="single" w:color="auto" w:sz="4" w:space="0"/>
                    <w:left w:val="single" w:color="000000" w:sz="6" w:space="0"/>
                    <w:bottom w:val="single" w:color="auto" w:sz="4" w:space="0"/>
                    <w:right w:val="single" w:color="000000" w:sz="6" w:space="0"/>
                  </w:tcBorders>
                  <w:noWrap w:val="0"/>
                  <w:vAlign w:val="center"/>
                </w:tcPr>
                <w:p w14:paraId="5C9D8C85">
                  <w:pPr>
                    <w:adjustRightInd w:val="0"/>
                    <w:snapToGrid w:val="0"/>
                    <w:jc w:val="center"/>
                    <w:rPr>
                      <w:sz w:val="21"/>
                      <w:szCs w:val="21"/>
                      <w:lang w:eastAsia="zh-CN"/>
                    </w:rPr>
                  </w:pPr>
                  <w:r>
                    <w:rPr>
                      <w:rFonts w:hint="eastAsia"/>
                      <w:szCs w:val="21"/>
                      <w:lang w:val="en-US" w:eastAsia="zh-CN"/>
                    </w:rPr>
                    <w:t>/</w:t>
                  </w:r>
                </w:p>
              </w:tc>
              <w:tc>
                <w:tcPr>
                  <w:tcW w:w="233" w:type="pct"/>
                  <w:vMerge w:val="restart"/>
                  <w:tcBorders>
                    <w:top w:val="single" w:color="auto" w:sz="4" w:space="0"/>
                    <w:left w:val="single" w:color="000000" w:sz="6" w:space="0"/>
                    <w:bottom w:val="single" w:color="auto" w:sz="4" w:space="0"/>
                    <w:right w:val="single" w:color="000000" w:sz="4" w:space="0"/>
                  </w:tcBorders>
                  <w:noWrap w:val="0"/>
                  <w:vAlign w:val="center"/>
                </w:tcPr>
                <w:p w14:paraId="76873CB2">
                  <w:pPr>
                    <w:adjustRightInd w:val="0"/>
                    <w:snapToGrid w:val="0"/>
                    <w:jc w:val="center"/>
                    <w:rPr>
                      <w:sz w:val="21"/>
                      <w:szCs w:val="21"/>
                      <w:lang w:eastAsia="zh-CN"/>
                    </w:rPr>
                  </w:pPr>
                  <w:r>
                    <w:rPr>
                      <w:rFonts w:hint="eastAsia"/>
                      <w:szCs w:val="21"/>
                      <w:lang w:val="en-US" w:eastAsia="zh-CN"/>
                    </w:rPr>
                    <w:t>/</w:t>
                  </w:r>
                </w:p>
              </w:tc>
              <w:tc>
                <w:tcPr>
                  <w:tcW w:w="618" w:type="pct"/>
                  <w:vMerge w:val="restart"/>
                  <w:tcBorders>
                    <w:top w:val="single" w:color="auto" w:sz="4" w:space="0"/>
                    <w:left w:val="single" w:color="000000" w:sz="4" w:space="0"/>
                    <w:bottom w:val="single" w:color="auto" w:sz="4" w:space="0"/>
                    <w:right w:val="single" w:color="auto" w:sz="4" w:space="0"/>
                  </w:tcBorders>
                  <w:noWrap w:val="0"/>
                  <w:vAlign w:val="center"/>
                </w:tcPr>
                <w:p w14:paraId="2F5C6995">
                  <w:pPr>
                    <w:pStyle w:val="58"/>
                    <w:adjustRightInd w:val="0"/>
                    <w:snapToGrid w:val="0"/>
                    <w:jc w:val="center"/>
                    <w:rPr>
                      <w:rFonts w:hint="default"/>
                      <w:sz w:val="21"/>
                      <w:szCs w:val="21"/>
                      <w:lang w:val="en-US" w:eastAsia="zh-CN"/>
                    </w:rPr>
                  </w:pPr>
                  <w:r>
                    <w:rPr>
                      <w:rFonts w:hint="eastAsia"/>
                      <w:sz w:val="21"/>
                      <w:szCs w:val="21"/>
                      <w:lang w:val="en-US" w:eastAsia="zh-CN"/>
                    </w:rPr>
                    <w:t>/</w:t>
                  </w:r>
                </w:p>
              </w:tc>
              <w:tc>
                <w:tcPr>
                  <w:tcW w:w="347" w:type="pct"/>
                  <w:tcBorders>
                    <w:top w:val="single" w:color="auto" w:sz="4" w:space="0"/>
                    <w:left w:val="single" w:color="auto" w:sz="4" w:space="0"/>
                    <w:bottom w:val="single" w:color="auto" w:sz="4" w:space="0"/>
                    <w:right w:val="single" w:color="auto" w:sz="4" w:space="0"/>
                  </w:tcBorders>
                  <w:noWrap w:val="0"/>
                  <w:vAlign w:val="center"/>
                </w:tcPr>
                <w:p w14:paraId="6C3B02F9">
                  <w:pPr>
                    <w:jc w:val="center"/>
                    <w:rPr>
                      <w:rFonts w:hint="eastAsia" w:eastAsia="宋体"/>
                      <w:szCs w:val="21"/>
                      <w:lang w:eastAsia="zh-CN"/>
                    </w:rPr>
                  </w:pPr>
                  <w:r>
                    <w:rPr>
                      <w:rFonts w:hint="eastAsia"/>
                      <w:szCs w:val="21"/>
                      <w:lang w:val="en-US" w:eastAsia="zh-CN"/>
                    </w:rPr>
                    <w:t>/</w:t>
                  </w:r>
                </w:p>
              </w:tc>
              <w:tc>
                <w:tcPr>
                  <w:tcW w:w="231" w:type="pct"/>
                  <w:vMerge w:val="restart"/>
                  <w:tcBorders>
                    <w:top w:val="single" w:color="auto" w:sz="4" w:space="0"/>
                    <w:left w:val="single" w:color="auto" w:sz="4" w:space="0"/>
                    <w:bottom w:val="single" w:color="auto" w:sz="4" w:space="0"/>
                    <w:right w:val="single" w:color="000000" w:sz="6" w:space="0"/>
                  </w:tcBorders>
                  <w:noWrap w:val="0"/>
                  <w:vAlign w:val="center"/>
                </w:tcPr>
                <w:p w14:paraId="244B343E">
                  <w:pPr>
                    <w:pStyle w:val="58"/>
                    <w:adjustRightInd w:val="0"/>
                    <w:snapToGrid w:val="0"/>
                    <w:jc w:val="center"/>
                    <w:rPr>
                      <w:sz w:val="21"/>
                      <w:szCs w:val="21"/>
                      <w:lang w:eastAsia="zh-CN"/>
                    </w:rPr>
                  </w:pPr>
                  <w:r>
                    <w:rPr>
                      <w:sz w:val="21"/>
                      <w:szCs w:val="21"/>
                      <w:lang w:eastAsia="zh-CN"/>
                    </w:rPr>
                    <w:t>/</w:t>
                  </w:r>
                </w:p>
              </w:tc>
              <w:tc>
                <w:tcPr>
                  <w:tcW w:w="234" w:type="pct"/>
                  <w:vMerge w:val="restart"/>
                  <w:tcBorders>
                    <w:top w:val="single" w:color="auto" w:sz="4" w:space="0"/>
                    <w:left w:val="single" w:color="000000" w:sz="6" w:space="0"/>
                    <w:bottom w:val="single" w:color="auto" w:sz="4" w:space="0"/>
                    <w:right w:val="single" w:color="auto" w:sz="4" w:space="0"/>
                  </w:tcBorders>
                  <w:noWrap w:val="0"/>
                  <w:vAlign w:val="center"/>
                </w:tcPr>
                <w:p w14:paraId="7219BEC2">
                  <w:pPr>
                    <w:pStyle w:val="58"/>
                    <w:adjustRightInd w:val="0"/>
                    <w:snapToGrid w:val="0"/>
                    <w:jc w:val="center"/>
                    <w:rPr>
                      <w:sz w:val="21"/>
                      <w:szCs w:val="21"/>
                      <w:lang w:eastAsia="zh-CN"/>
                    </w:rPr>
                  </w:pPr>
                  <w:r>
                    <w:rPr>
                      <w:rFonts w:hint="eastAsia"/>
                      <w:sz w:val="21"/>
                      <w:szCs w:val="21"/>
                      <w:lang w:eastAsia="zh-CN"/>
                    </w:rPr>
                    <w:t>/</w:t>
                  </w:r>
                </w:p>
              </w:tc>
            </w:tr>
            <w:tr w14:paraId="61577FC5">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31" w:hRule="atLeast"/>
              </w:trPr>
              <w:tc>
                <w:tcPr>
                  <w:tcW w:w="125" w:type="pct"/>
                  <w:vMerge w:val="continue"/>
                  <w:tcBorders>
                    <w:top w:val="single" w:color="auto" w:sz="4" w:space="0"/>
                    <w:bottom w:val="single" w:color="auto" w:sz="4" w:space="0"/>
                    <w:right w:val="single" w:color="000000" w:sz="4" w:space="0"/>
                  </w:tcBorders>
                  <w:noWrap w:val="0"/>
                  <w:vAlign w:val="center"/>
                </w:tcPr>
                <w:p w14:paraId="3417631A">
                  <w:pPr>
                    <w:pStyle w:val="58"/>
                    <w:adjustRightInd w:val="0"/>
                    <w:snapToGrid w:val="0"/>
                    <w:jc w:val="center"/>
                    <w:rPr>
                      <w:sz w:val="21"/>
                      <w:szCs w:val="21"/>
                    </w:rPr>
                  </w:pPr>
                </w:p>
              </w:tc>
              <w:tc>
                <w:tcPr>
                  <w:tcW w:w="170" w:type="pct"/>
                  <w:vMerge w:val="continue"/>
                  <w:tcBorders>
                    <w:top w:val="single" w:color="auto" w:sz="4" w:space="0"/>
                    <w:left w:val="single" w:color="000000" w:sz="4" w:space="0"/>
                    <w:bottom w:val="single" w:color="auto" w:sz="4" w:space="0"/>
                    <w:right w:val="single" w:color="auto" w:sz="4" w:space="0"/>
                  </w:tcBorders>
                  <w:noWrap w:val="0"/>
                  <w:vAlign w:val="center"/>
                </w:tcPr>
                <w:p w14:paraId="5EB8FB92">
                  <w:pPr>
                    <w:pStyle w:val="58"/>
                    <w:adjustRightInd w:val="0"/>
                    <w:snapToGrid w:val="0"/>
                    <w:jc w:val="center"/>
                    <w:rPr>
                      <w:sz w:val="21"/>
                      <w:szCs w:val="21"/>
                    </w:rPr>
                  </w:pPr>
                </w:p>
              </w:tc>
              <w:tc>
                <w:tcPr>
                  <w:tcW w:w="224" w:type="pct"/>
                  <w:tcBorders>
                    <w:top w:val="single" w:color="000000" w:sz="4" w:space="0"/>
                    <w:left w:val="single" w:color="auto" w:sz="4" w:space="0"/>
                    <w:bottom w:val="single" w:color="000000" w:sz="4" w:space="0"/>
                    <w:right w:val="single" w:color="auto" w:sz="4" w:space="0"/>
                  </w:tcBorders>
                  <w:noWrap w:val="0"/>
                  <w:vAlign w:val="center"/>
                </w:tcPr>
                <w:p w14:paraId="7495F3D7">
                  <w:pPr>
                    <w:jc w:val="center"/>
                    <w:rPr>
                      <w:szCs w:val="21"/>
                    </w:rPr>
                  </w:pPr>
                  <w:r>
                    <w:rPr>
                      <w:szCs w:val="21"/>
                    </w:rPr>
                    <w:t>COD</w:t>
                  </w:r>
                </w:p>
              </w:tc>
              <w:tc>
                <w:tcPr>
                  <w:tcW w:w="242" w:type="pct"/>
                  <w:vMerge w:val="continue"/>
                  <w:tcBorders>
                    <w:top w:val="single" w:color="auto" w:sz="4" w:space="0"/>
                    <w:left w:val="single" w:color="auto" w:sz="4" w:space="0"/>
                    <w:bottom w:val="single" w:color="auto" w:sz="4" w:space="0"/>
                    <w:right w:val="single" w:color="000000" w:sz="4" w:space="0"/>
                  </w:tcBorders>
                  <w:noWrap w:val="0"/>
                  <w:vAlign w:val="center"/>
                </w:tcPr>
                <w:p w14:paraId="3365B444">
                  <w:pPr>
                    <w:pStyle w:val="58"/>
                    <w:adjustRightInd w:val="0"/>
                    <w:snapToGrid w:val="0"/>
                    <w:jc w:val="center"/>
                    <w:rPr>
                      <w:sz w:val="21"/>
                      <w:szCs w:val="21"/>
                      <w:lang w:eastAsia="zh-CN"/>
                    </w:rPr>
                  </w:pPr>
                </w:p>
              </w:tc>
              <w:tc>
                <w:tcPr>
                  <w:tcW w:w="448" w:type="pct"/>
                  <w:vMerge w:val="continue"/>
                  <w:tcBorders>
                    <w:top w:val="single" w:color="auto" w:sz="4" w:space="0"/>
                    <w:left w:val="single" w:color="000000" w:sz="4" w:space="0"/>
                    <w:bottom w:val="single" w:color="auto" w:sz="4" w:space="0"/>
                    <w:right w:val="single" w:color="000000" w:sz="4" w:space="0"/>
                  </w:tcBorders>
                  <w:noWrap w:val="0"/>
                  <w:vAlign w:val="center"/>
                </w:tcPr>
                <w:p w14:paraId="442309ED">
                  <w:pPr>
                    <w:pStyle w:val="58"/>
                    <w:adjustRightInd w:val="0"/>
                    <w:snapToGrid w:val="0"/>
                    <w:jc w:val="center"/>
                    <w:rPr>
                      <w:sz w:val="21"/>
                      <w:szCs w:val="21"/>
                      <w:lang w:eastAsia="zh-CN"/>
                    </w:rPr>
                  </w:pPr>
                </w:p>
              </w:tc>
              <w:tc>
                <w:tcPr>
                  <w:tcW w:w="377" w:type="pct"/>
                  <w:vMerge w:val="continue"/>
                  <w:tcBorders>
                    <w:top w:val="single" w:color="auto" w:sz="4" w:space="0"/>
                    <w:left w:val="single" w:color="000000" w:sz="4" w:space="0"/>
                    <w:bottom w:val="single" w:color="auto" w:sz="4" w:space="0"/>
                    <w:right w:val="single" w:color="000000" w:sz="4" w:space="0"/>
                  </w:tcBorders>
                  <w:noWrap w:val="0"/>
                  <w:vAlign w:val="center"/>
                </w:tcPr>
                <w:p w14:paraId="460FB71B">
                  <w:pPr>
                    <w:pStyle w:val="58"/>
                    <w:adjustRightInd w:val="0"/>
                    <w:snapToGrid w:val="0"/>
                    <w:jc w:val="center"/>
                    <w:rPr>
                      <w:sz w:val="21"/>
                      <w:szCs w:val="21"/>
                      <w:lang w:eastAsia="zh-CN"/>
                    </w:rPr>
                  </w:pPr>
                </w:p>
              </w:tc>
              <w:tc>
                <w:tcPr>
                  <w:tcW w:w="257" w:type="pct"/>
                  <w:vMerge w:val="continue"/>
                  <w:tcBorders>
                    <w:top w:val="single" w:color="auto" w:sz="4" w:space="0"/>
                    <w:left w:val="single" w:color="000000" w:sz="4" w:space="0"/>
                    <w:bottom w:val="single" w:color="auto" w:sz="4" w:space="0"/>
                    <w:right w:val="single" w:color="000000" w:sz="4" w:space="0"/>
                  </w:tcBorders>
                  <w:noWrap w:val="0"/>
                  <w:vAlign w:val="center"/>
                </w:tcPr>
                <w:p w14:paraId="5402E62E">
                  <w:pPr>
                    <w:pStyle w:val="58"/>
                    <w:adjustRightInd w:val="0"/>
                    <w:snapToGrid w:val="0"/>
                    <w:jc w:val="center"/>
                    <w:rPr>
                      <w:sz w:val="21"/>
                      <w:szCs w:val="21"/>
                      <w:lang w:eastAsia="zh-CN"/>
                    </w:rPr>
                  </w:pPr>
                </w:p>
              </w:tc>
              <w:tc>
                <w:tcPr>
                  <w:tcW w:w="329" w:type="pct"/>
                  <w:vMerge w:val="continue"/>
                  <w:tcBorders>
                    <w:top w:val="single" w:color="auto" w:sz="4" w:space="0"/>
                    <w:left w:val="single" w:color="000000" w:sz="4" w:space="0"/>
                    <w:bottom w:val="single" w:color="auto" w:sz="4" w:space="0"/>
                    <w:right w:val="single" w:color="000000" w:sz="4" w:space="0"/>
                  </w:tcBorders>
                  <w:noWrap w:val="0"/>
                  <w:vAlign w:val="center"/>
                </w:tcPr>
                <w:p w14:paraId="7E5605A8">
                  <w:pPr>
                    <w:pStyle w:val="58"/>
                    <w:adjustRightInd w:val="0"/>
                    <w:snapToGrid w:val="0"/>
                    <w:jc w:val="center"/>
                    <w:rPr>
                      <w:sz w:val="21"/>
                      <w:szCs w:val="21"/>
                      <w:lang w:eastAsia="zh-CN"/>
                    </w:rPr>
                  </w:pPr>
                </w:p>
              </w:tc>
              <w:tc>
                <w:tcPr>
                  <w:tcW w:w="186" w:type="pct"/>
                  <w:vMerge w:val="continue"/>
                  <w:tcBorders>
                    <w:top w:val="single" w:color="auto" w:sz="4" w:space="0"/>
                    <w:left w:val="single" w:color="000000" w:sz="4" w:space="0"/>
                    <w:bottom w:val="single" w:color="auto" w:sz="4" w:space="0"/>
                    <w:right w:val="single" w:color="000000" w:sz="6" w:space="0"/>
                  </w:tcBorders>
                  <w:noWrap w:val="0"/>
                  <w:vAlign w:val="center"/>
                </w:tcPr>
                <w:p w14:paraId="72531C94">
                  <w:pPr>
                    <w:pStyle w:val="58"/>
                    <w:adjustRightInd w:val="0"/>
                    <w:snapToGrid w:val="0"/>
                    <w:jc w:val="center"/>
                    <w:rPr>
                      <w:sz w:val="21"/>
                      <w:szCs w:val="21"/>
                      <w:lang w:eastAsia="zh-CN"/>
                    </w:rPr>
                  </w:pPr>
                </w:p>
              </w:tc>
              <w:tc>
                <w:tcPr>
                  <w:tcW w:w="163" w:type="pct"/>
                  <w:vMerge w:val="continue"/>
                  <w:tcBorders>
                    <w:top w:val="single" w:color="auto" w:sz="4" w:space="0"/>
                    <w:left w:val="single" w:color="000000" w:sz="6" w:space="0"/>
                    <w:bottom w:val="single" w:color="auto" w:sz="4" w:space="0"/>
                    <w:right w:val="single" w:color="000000" w:sz="6" w:space="0"/>
                  </w:tcBorders>
                  <w:noWrap w:val="0"/>
                  <w:vAlign w:val="center"/>
                </w:tcPr>
                <w:p w14:paraId="05FE8289">
                  <w:pPr>
                    <w:pStyle w:val="58"/>
                    <w:adjustRightInd w:val="0"/>
                    <w:snapToGrid w:val="0"/>
                    <w:jc w:val="center"/>
                    <w:rPr>
                      <w:sz w:val="21"/>
                      <w:szCs w:val="21"/>
                      <w:lang w:eastAsia="zh-CN"/>
                    </w:rPr>
                  </w:pPr>
                </w:p>
              </w:tc>
              <w:tc>
                <w:tcPr>
                  <w:tcW w:w="177" w:type="pct"/>
                  <w:vMerge w:val="continue"/>
                  <w:tcBorders>
                    <w:top w:val="single" w:color="auto" w:sz="4" w:space="0"/>
                    <w:left w:val="single" w:color="000000" w:sz="6" w:space="0"/>
                    <w:bottom w:val="single" w:color="auto" w:sz="4" w:space="0"/>
                    <w:right w:val="single" w:color="000000" w:sz="6" w:space="0"/>
                  </w:tcBorders>
                  <w:noWrap w:val="0"/>
                  <w:vAlign w:val="center"/>
                </w:tcPr>
                <w:p w14:paraId="63C76955">
                  <w:pPr>
                    <w:pStyle w:val="58"/>
                    <w:adjustRightInd w:val="0"/>
                    <w:snapToGrid w:val="0"/>
                    <w:jc w:val="center"/>
                    <w:rPr>
                      <w:sz w:val="21"/>
                      <w:szCs w:val="21"/>
                      <w:lang w:eastAsia="zh-CN"/>
                    </w:rPr>
                  </w:pPr>
                </w:p>
              </w:tc>
              <w:tc>
                <w:tcPr>
                  <w:tcW w:w="229" w:type="pct"/>
                  <w:vMerge w:val="continue"/>
                  <w:tcBorders>
                    <w:top w:val="single" w:color="auto" w:sz="4" w:space="0"/>
                    <w:left w:val="single" w:color="000000" w:sz="6" w:space="0"/>
                    <w:bottom w:val="single" w:color="auto" w:sz="4" w:space="0"/>
                    <w:right w:val="single" w:color="000000" w:sz="4" w:space="0"/>
                  </w:tcBorders>
                  <w:noWrap w:val="0"/>
                  <w:vAlign w:val="center"/>
                </w:tcPr>
                <w:p w14:paraId="4F6F6895">
                  <w:pPr>
                    <w:pStyle w:val="58"/>
                    <w:adjustRightInd w:val="0"/>
                    <w:snapToGrid w:val="0"/>
                    <w:jc w:val="center"/>
                    <w:rPr>
                      <w:sz w:val="21"/>
                      <w:szCs w:val="21"/>
                      <w:lang w:eastAsia="zh-CN"/>
                    </w:rPr>
                  </w:pPr>
                </w:p>
              </w:tc>
              <w:tc>
                <w:tcPr>
                  <w:tcW w:w="233" w:type="pct"/>
                  <w:vMerge w:val="continue"/>
                  <w:tcBorders>
                    <w:top w:val="single" w:color="auto" w:sz="4" w:space="0"/>
                    <w:left w:val="single" w:color="000000" w:sz="4" w:space="0"/>
                    <w:bottom w:val="single" w:color="auto" w:sz="4" w:space="0"/>
                    <w:right w:val="single" w:color="000000" w:sz="6" w:space="0"/>
                  </w:tcBorders>
                  <w:noWrap w:val="0"/>
                  <w:vAlign w:val="center"/>
                </w:tcPr>
                <w:p w14:paraId="56542C11">
                  <w:pPr>
                    <w:pStyle w:val="58"/>
                    <w:adjustRightInd w:val="0"/>
                    <w:snapToGrid w:val="0"/>
                    <w:jc w:val="center"/>
                    <w:rPr>
                      <w:sz w:val="21"/>
                      <w:szCs w:val="21"/>
                      <w:lang w:eastAsia="zh-CN"/>
                    </w:rPr>
                  </w:pPr>
                </w:p>
              </w:tc>
              <w:tc>
                <w:tcPr>
                  <w:tcW w:w="169" w:type="pct"/>
                  <w:vMerge w:val="continue"/>
                  <w:tcBorders>
                    <w:top w:val="single" w:color="auto" w:sz="4" w:space="0"/>
                    <w:left w:val="single" w:color="000000" w:sz="6" w:space="0"/>
                    <w:bottom w:val="single" w:color="auto" w:sz="4" w:space="0"/>
                    <w:right w:val="single" w:color="000000" w:sz="6" w:space="0"/>
                  </w:tcBorders>
                  <w:noWrap w:val="0"/>
                  <w:vAlign w:val="center"/>
                </w:tcPr>
                <w:p w14:paraId="53F1CA14">
                  <w:pPr>
                    <w:pStyle w:val="58"/>
                    <w:adjustRightInd w:val="0"/>
                    <w:snapToGrid w:val="0"/>
                    <w:jc w:val="center"/>
                    <w:rPr>
                      <w:sz w:val="21"/>
                      <w:szCs w:val="21"/>
                      <w:lang w:eastAsia="zh-CN"/>
                    </w:rPr>
                  </w:pPr>
                </w:p>
              </w:tc>
              <w:tc>
                <w:tcPr>
                  <w:tcW w:w="233" w:type="pct"/>
                  <w:vMerge w:val="continue"/>
                  <w:tcBorders>
                    <w:top w:val="single" w:color="auto" w:sz="4" w:space="0"/>
                    <w:left w:val="single" w:color="000000" w:sz="6" w:space="0"/>
                    <w:bottom w:val="single" w:color="auto" w:sz="4" w:space="0"/>
                    <w:right w:val="single" w:color="000000" w:sz="4" w:space="0"/>
                  </w:tcBorders>
                  <w:noWrap w:val="0"/>
                  <w:vAlign w:val="center"/>
                </w:tcPr>
                <w:p w14:paraId="5654363C">
                  <w:pPr>
                    <w:pStyle w:val="58"/>
                    <w:adjustRightInd w:val="0"/>
                    <w:snapToGrid w:val="0"/>
                    <w:jc w:val="center"/>
                    <w:rPr>
                      <w:sz w:val="21"/>
                      <w:szCs w:val="21"/>
                      <w:lang w:eastAsia="zh-CN"/>
                    </w:rPr>
                  </w:pPr>
                </w:p>
              </w:tc>
              <w:tc>
                <w:tcPr>
                  <w:tcW w:w="618" w:type="pct"/>
                  <w:vMerge w:val="continue"/>
                  <w:tcBorders>
                    <w:top w:val="single" w:color="auto" w:sz="4" w:space="0"/>
                    <w:left w:val="single" w:color="000000" w:sz="4" w:space="0"/>
                    <w:bottom w:val="single" w:color="auto" w:sz="4" w:space="0"/>
                    <w:right w:val="single" w:color="auto" w:sz="4" w:space="0"/>
                  </w:tcBorders>
                  <w:noWrap w:val="0"/>
                  <w:vAlign w:val="center"/>
                </w:tcPr>
                <w:p w14:paraId="7946F4C7">
                  <w:pPr>
                    <w:pStyle w:val="58"/>
                    <w:adjustRightInd w:val="0"/>
                    <w:snapToGrid w:val="0"/>
                    <w:jc w:val="center"/>
                    <w:rPr>
                      <w:sz w:val="21"/>
                      <w:szCs w:val="21"/>
                      <w:lang w:eastAsia="zh-CN"/>
                    </w:rPr>
                  </w:pPr>
                </w:p>
              </w:tc>
              <w:tc>
                <w:tcPr>
                  <w:tcW w:w="347" w:type="pct"/>
                  <w:tcBorders>
                    <w:top w:val="single" w:color="auto" w:sz="4" w:space="0"/>
                    <w:left w:val="single" w:color="auto" w:sz="4" w:space="0"/>
                    <w:bottom w:val="single" w:color="auto" w:sz="4" w:space="0"/>
                    <w:right w:val="single" w:color="auto" w:sz="4" w:space="0"/>
                  </w:tcBorders>
                  <w:noWrap w:val="0"/>
                  <w:vAlign w:val="center"/>
                </w:tcPr>
                <w:p w14:paraId="3C52DE1A">
                  <w:pPr>
                    <w:jc w:val="center"/>
                    <w:rPr>
                      <w:szCs w:val="21"/>
                    </w:rPr>
                  </w:pPr>
                  <w:r>
                    <w:rPr>
                      <w:rFonts w:hint="eastAsia"/>
                      <w:szCs w:val="21"/>
                      <w:lang w:val="en-US" w:eastAsia="zh-CN"/>
                    </w:rPr>
                    <w:t>/</w:t>
                  </w:r>
                </w:p>
              </w:tc>
              <w:tc>
                <w:tcPr>
                  <w:tcW w:w="231" w:type="pct"/>
                  <w:vMerge w:val="continue"/>
                  <w:tcBorders>
                    <w:top w:val="single" w:color="auto" w:sz="4" w:space="0"/>
                    <w:left w:val="single" w:color="auto" w:sz="4" w:space="0"/>
                    <w:bottom w:val="single" w:color="auto" w:sz="4" w:space="0"/>
                    <w:right w:val="single" w:color="000000" w:sz="6" w:space="0"/>
                  </w:tcBorders>
                  <w:noWrap w:val="0"/>
                  <w:vAlign w:val="center"/>
                </w:tcPr>
                <w:p w14:paraId="486BDE51">
                  <w:pPr>
                    <w:pStyle w:val="58"/>
                    <w:adjustRightInd w:val="0"/>
                    <w:snapToGrid w:val="0"/>
                    <w:jc w:val="center"/>
                    <w:rPr>
                      <w:sz w:val="21"/>
                      <w:szCs w:val="21"/>
                      <w:lang w:eastAsia="zh-CN"/>
                    </w:rPr>
                  </w:pPr>
                </w:p>
              </w:tc>
              <w:tc>
                <w:tcPr>
                  <w:tcW w:w="234" w:type="pct"/>
                  <w:vMerge w:val="continue"/>
                  <w:tcBorders>
                    <w:top w:val="single" w:color="auto" w:sz="4" w:space="0"/>
                    <w:left w:val="single" w:color="000000" w:sz="6" w:space="0"/>
                    <w:bottom w:val="single" w:color="auto" w:sz="4" w:space="0"/>
                    <w:right w:val="single" w:color="auto" w:sz="4" w:space="0"/>
                  </w:tcBorders>
                  <w:noWrap w:val="0"/>
                  <w:vAlign w:val="center"/>
                </w:tcPr>
                <w:p w14:paraId="25B9A175">
                  <w:pPr>
                    <w:pStyle w:val="58"/>
                    <w:adjustRightInd w:val="0"/>
                    <w:snapToGrid w:val="0"/>
                    <w:jc w:val="center"/>
                    <w:rPr>
                      <w:sz w:val="21"/>
                      <w:szCs w:val="21"/>
                      <w:lang w:eastAsia="zh-CN"/>
                    </w:rPr>
                  </w:pPr>
                </w:p>
              </w:tc>
            </w:tr>
            <w:tr w14:paraId="2390B945">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31" w:hRule="atLeast"/>
              </w:trPr>
              <w:tc>
                <w:tcPr>
                  <w:tcW w:w="125" w:type="pct"/>
                  <w:vMerge w:val="continue"/>
                  <w:tcBorders>
                    <w:top w:val="single" w:color="auto" w:sz="4" w:space="0"/>
                    <w:bottom w:val="single" w:color="auto" w:sz="4" w:space="0"/>
                    <w:right w:val="single" w:color="000000" w:sz="4" w:space="0"/>
                  </w:tcBorders>
                  <w:noWrap w:val="0"/>
                  <w:vAlign w:val="center"/>
                </w:tcPr>
                <w:p w14:paraId="3F2F0EAC">
                  <w:pPr>
                    <w:jc w:val="center"/>
                  </w:pPr>
                </w:p>
              </w:tc>
              <w:tc>
                <w:tcPr>
                  <w:tcW w:w="170" w:type="pct"/>
                  <w:vMerge w:val="continue"/>
                  <w:tcBorders>
                    <w:top w:val="single" w:color="auto" w:sz="4" w:space="0"/>
                    <w:left w:val="single" w:color="000000" w:sz="4" w:space="0"/>
                    <w:bottom w:val="single" w:color="auto" w:sz="4" w:space="0"/>
                    <w:right w:val="single" w:color="auto" w:sz="4" w:space="0"/>
                  </w:tcBorders>
                  <w:noWrap w:val="0"/>
                  <w:vAlign w:val="center"/>
                </w:tcPr>
                <w:p w14:paraId="0F676AD9">
                  <w:pPr>
                    <w:jc w:val="center"/>
                  </w:pPr>
                </w:p>
              </w:tc>
              <w:tc>
                <w:tcPr>
                  <w:tcW w:w="224" w:type="pct"/>
                  <w:tcBorders>
                    <w:top w:val="single" w:color="000000" w:sz="4" w:space="0"/>
                    <w:left w:val="single" w:color="auto" w:sz="4" w:space="0"/>
                    <w:bottom w:val="single" w:color="000000" w:sz="4" w:space="0"/>
                    <w:right w:val="single" w:color="auto" w:sz="4" w:space="0"/>
                  </w:tcBorders>
                  <w:noWrap w:val="0"/>
                  <w:vAlign w:val="center"/>
                </w:tcPr>
                <w:p w14:paraId="55E3DBF1">
                  <w:pPr>
                    <w:jc w:val="center"/>
                    <w:rPr>
                      <w:szCs w:val="21"/>
                    </w:rPr>
                  </w:pPr>
                  <w:r>
                    <w:rPr>
                      <w:rFonts w:hint="eastAsia"/>
                      <w:szCs w:val="21"/>
                    </w:rPr>
                    <w:t>BOD</w:t>
                  </w:r>
                  <w:r>
                    <w:rPr>
                      <w:rFonts w:hint="eastAsia"/>
                      <w:szCs w:val="21"/>
                      <w:vertAlign w:val="subscript"/>
                    </w:rPr>
                    <w:t>5</w:t>
                  </w:r>
                </w:p>
              </w:tc>
              <w:tc>
                <w:tcPr>
                  <w:tcW w:w="242" w:type="pct"/>
                  <w:vMerge w:val="continue"/>
                  <w:tcBorders>
                    <w:top w:val="single" w:color="auto" w:sz="4" w:space="0"/>
                    <w:left w:val="single" w:color="auto" w:sz="4" w:space="0"/>
                    <w:bottom w:val="single" w:color="auto" w:sz="4" w:space="0"/>
                    <w:right w:val="single" w:color="000000" w:sz="4" w:space="0"/>
                  </w:tcBorders>
                  <w:noWrap w:val="0"/>
                  <w:vAlign w:val="center"/>
                </w:tcPr>
                <w:p w14:paraId="7F4351D4">
                  <w:pPr>
                    <w:jc w:val="center"/>
                    <w:rPr>
                      <w:szCs w:val="21"/>
                    </w:rPr>
                  </w:pPr>
                </w:p>
              </w:tc>
              <w:tc>
                <w:tcPr>
                  <w:tcW w:w="448" w:type="pct"/>
                  <w:vMerge w:val="continue"/>
                  <w:tcBorders>
                    <w:top w:val="single" w:color="auto" w:sz="4" w:space="0"/>
                    <w:left w:val="single" w:color="000000" w:sz="4" w:space="0"/>
                    <w:bottom w:val="single" w:color="auto" w:sz="4" w:space="0"/>
                    <w:right w:val="single" w:color="000000" w:sz="4" w:space="0"/>
                  </w:tcBorders>
                  <w:noWrap w:val="0"/>
                  <w:vAlign w:val="center"/>
                </w:tcPr>
                <w:p w14:paraId="44E2652A">
                  <w:pPr>
                    <w:jc w:val="center"/>
                    <w:rPr>
                      <w:szCs w:val="21"/>
                    </w:rPr>
                  </w:pPr>
                </w:p>
              </w:tc>
              <w:tc>
                <w:tcPr>
                  <w:tcW w:w="377" w:type="pct"/>
                  <w:vMerge w:val="continue"/>
                  <w:tcBorders>
                    <w:top w:val="single" w:color="auto" w:sz="4" w:space="0"/>
                    <w:left w:val="single" w:color="000000" w:sz="4" w:space="0"/>
                    <w:bottom w:val="single" w:color="auto" w:sz="4" w:space="0"/>
                    <w:right w:val="single" w:color="000000" w:sz="4" w:space="0"/>
                  </w:tcBorders>
                  <w:noWrap w:val="0"/>
                  <w:vAlign w:val="center"/>
                </w:tcPr>
                <w:p w14:paraId="2E0A72A6">
                  <w:pPr>
                    <w:jc w:val="center"/>
                    <w:rPr>
                      <w:szCs w:val="21"/>
                    </w:rPr>
                  </w:pPr>
                </w:p>
              </w:tc>
              <w:tc>
                <w:tcPr>
                  <w:tcW w:w="257" w:type="pct"/>
                  <w:vMerge w:val="continue"/>
                  <w:tcBorders>
                    <w:top w:val="single" w:color="auto" w:sz="4" w:space="0"/>
                    <w:left w:val="single" w:color="000000" w:sz="4" w:space="0"/>
                    <w:bottom w:val="single" w:color="auto" w:sz="4" w:space="0"/>
                    <w:right w:val="single" w:color="000000" w:sz="4" w:space="0"/>
                  </w:tcBorders>
                  <w:noWrap w:val="0"/>
                  <w:vAlign w:val="center"/>
                </w:tcPr>
                <w:p w14:paraId="79B6969F">
                  <w:pPr>
                    <w:jc w:val="center"/>
                    <w:rPr>
                      <w:szCs w:val="21"/>
                    </w:rPr>
                  </w:pPr>
                </w:p>
              </w:tc>
              <w:tc>
                <w:tcPr>
                  <w:tcW w:w="329" w:type="pct"/>
                  <w:vMerge w:val="continue"/>
                  <w:tcBorders>
                    <w:top w:val="single" w:color="auto" w:sz="4" w:space="0"/>
                    <w:left w:val="single" w:color="000000" w:sz="4" w:space="0"/>
                    <w:bottom w:val="single" w:color="auto" w:sz="4" w:space="0"/>
                    <w:right w:val="single" w:color="000000" w:sz="4" w:space="0"/>
                  </w:tcBorders>
                  <w:noWrap w:val="0"/>
                  <w:vAlign w:val="center"/>
                </w:tcPr>
                <w:p w14:paraId="46343EEE">
                  <w:pPr>
                    <w:jc w:val="center"/>
                    <w:rPr>
                      <w:szCs w:val="21"/>
                    </w:rPr>
                  </w:pPr>
                </w:p>
              </w:tc>
              <w:tc>
                <w:tcPr>
                  <w:tcW w:w="186" w:type="pct"/>
                  <w:vMerge w:val="continue"/>
                  <w:tcBorders>
                    <w:top w:val="single" w:color="auto" w:sz="4" w:space="0"/>
                    <w:left w:val="single" w:color="000000" w:sz="4" w:space="0"/>
                    <w:bottom w:val="single" w:color="auto" w:sz="4" w:space="0"/>
                    <w:right w:val="single" w:color="000000" w:sz="6" w:space="0"/>
                  </w:tcBorders>
                  <w:noWrap w:val="0"/>
                  <w:vAlign w:val="center"/>
                </w:tcPr>
                <w:p w14:paraId="6114037C">
                  <w:pPr>
                    <w:jc w:val="center"/>
                    <w:rPr>
                      <w:szCs w:val="21"/>
                    </w:rPr>
                  </w:pPr>
                </w:p>
              </w:tc>
              <w:tc>
                <w:tcPr>
                  <w:tcW w:w="163" w:type="pct"/>
                  <w:vMerge w:val="continue"/>
                  <w:tcBorders>
                    <w:top w:val="single" w:color="auto" w:sz="4" w:space="0"/>
                    <w:left w:val="single" w:color="000000" w:sz="6" w:space="0"/>
                    <w:bottom w:val="single" w:color="auto" w:sz="4" w:space="0"/>
                    <w:right w:val="single" w:color="000000" w:sz="6" w:space="0"/>
                  </w:tcBorders>
                  <w:noWrap w:val="0"/>
                  <w:vAlign w:val="center"/>
                </w:tcPr>
                <w:p w14:paraId="7E3E04BD">
                  <w:pPr>
                    <w:jc w:val="center"/>
                    <w:rPr>
                      <w:szCs w:val="21"/>
                    </w:rPr>
                  </w:pPr>
                </w:p>
              </w:tc>
              <w:tc>
                <w:tcPr>
                  <w:tcW w:w="177" w:type="pct"/>
                  <w:vMerge w:val="continue"/>
                  <w:tcBorders>
                    <w:top w:val="single" w:color="auto" w:sz="4" w:space="0"/>
                    <w:left w:val="single" w:color="000000" w:sz="6" w:space="0"/>
                    <w:bottom w:val="single" w:color="auto" w:sz="4" w:space="0"/>
                    <w:right w:val="single" w:color="000000" w:sz="6" w:space="0"/>
                  </w:tcBorders>
                  <w:noWrap w:val="0"/>
                  <w:vAlign w:val="center"/>
                </w:tcPr>
                <w:p w14:paraId="2BC0BFE6">
                  <w:pPr>
                    <w:jc w:val="center"/>
                    <w:rPr>
                      <w:szCs w:val="21"/>
                    </w:rPr>
                  </w:pPr>
                </w:p>
              </w:tc>
              <w:tc>
                <w:tcPr>
                  <w:tcW w:w="229" w:type="pct"/>
                  <w:vMerge w:val="continue"/>
                  <w:tcBorders>
                    <w:top w:val="single" w:color="auto" w:sz="4" w:space="0"/>
                    <w:left w:val="single" w:color="000000" w:sz="6" w:space="0"/>
                    <w:bottom w:val="single" w:color="auto" w:sz="4" w:space="0"/>
                    <w:right w:val="single" w:color="000000" w:sz="4" w:space="0"/>
                  </w:tcBorders>
                  <w:noWrap w:val="0"/>
                  <w:vAlign w:val="center"/>
                </w:tcPr>
                <w:p w14:paraId="4EDA54FE">
                  <w:pPr>
                    <w:jc w:val="center"/>
                    <w:rPr>
                      <w:szCs w:val="21"/>
                    </w:rPr>
                  </w:pPr>
                </w:p>
              </w:tc>
              <w:tc>
                <w:tcPr>
                  <w:tcW w:w="233" w:type="pct"/>
                  <w:vMerge w:val="continue"/>
                  <w:tcBorders>
                    <w:top w:val="single" w:color="auto" w:sz="4" w:space="0"/>
                    <w:left w:val="single" w:color="000000" w:sz="4" w:space="0"/>
                    <w:bottom w:val="single" w:color="auto" w:sz="4" w:space="0"/>
                    <w:right w:val="single" w:color="000000" w:sz="6" w:space="0"/>
                  </w:tcBorders>
                  <w:noWrap w:val="0"/>
                  <w:vAlign w:val="center"/>
                </w:tcPr>
                <w:p w14:paraId="61909758">
                  <w:pPr>
                    <w:jc w:val="center"/>
                    <w:rPr>
                      <w:szCs w:val="21"/>
                    </w:rPr>
                  </w:pPr>
                </w:p>
              </w:tc>
              <w:tc>
                <w:tcPr>
                  <w:tcW w:w="169" w:type="pct"/>
                  <w:vMerge w:val="continue"/>
                  <w:tcBorders>
                    <w:top w:val="single" w:color="auto" w:sz="4" w:space="0"/>
                    <w:left w:val="single" w:color="000000" w:sz="6" w:space="0"/>
                    <w:bottom w:val="single" w:color="auto" w:sz="4" w:space="0"/>
                    <w:right w:val="single" w:color="000000" w:sz="6" w:space="0"/>
                  </w:tcBorders>
                  <w:noWrap w:val="0"/>
                  <w:vAlign w:val="center"/>
                </w:tcPr>
                <w:p w14:paraId="685573B8">
                  <w:pPr>
                    <w:jc w:val="center"/>
                    <w:rPr>
                      <w:szCs w:val="21"/>
                    </w:rPr>
                  </w:pPr>
                </w:p>
              </w:tc>
              <w:tc>
                <w:tcPr>
                  <w:tcW w:w="233" w:type="pct"/>
                  <w:vMerge w:val="continue"/>
                  <w:tcBorders>
                    <w:top w:val="single" w:color="auto" w:sz="4" w:space="0"/>
                    <w:left w:val="single" w:color="000000" w:sz="6" w:space="0"/>
                    <w:bottom w:val="single" w:color="auto" w:sz="4" w:space="0"/>
                    <w:right w:val="single" w:color="000000" w:sz="4" w:space="0"/>
                  </w:tcBorders>
                  <w:noWrap w:val="0"/>
                  <w:vAlign w:val="center"/>
                </w:tcPr>
                <w:p w14:paraId="7A359423">
                  <w:pPr>
                    <w:jc w:val="center"/>
                    <w:rPr>
                      <w:szCs w:val="21"/>
                    </w:rPr>
                  </w:pPr>
                </w:p>
              </w:tc>
              <w:tc>
                <w:tcPr>
                  <w:tcW w:w="618" w:type="pct"/>
                  <w:vMerge w:val="continue"/>
                  <w:tcBorders>
                    <w:top w:val="single" w:color="auto" w:sz="4" w:space="0"/>
                    <w:left w:val="single" w:color="000000" w:sz="4" w:space="0"/>
                    <w:bottom w:val="single" w:color="auto" w:sz="4" w:space="0"/>
                    <w:right w:val="single" w:color="auto" w:sz="4" w:space="0"/>
                  </w:tcBorders>
                  <w:noWrap w:val="0"/>
                  <w:vAlign w:val="center"/>
                </w:tcPr>
                <w:p w14:paraId="5A137DBE">
                  <w:pPr>
                    <w:jc w:val="center"/>
                    <w:rPr>
                      <w:szCs w:val="21"/>
                    </w:rPr>
                  </w:pPr>
                </w:p>
              </w:tc>
              <w:tc>
                <w:tcPr>
                  <w:tcW w:w="347" w:type="pct"/>
                  <w:tcBorders>
                    <w:top w:val="single" w:color="auto" w:sz="4" w:space="0"/>
                    <w:left w:val="single" w:color="auto" w:sz="4" w:space="0"/>
                    <w:bottom w:val="single" w:color="auto" w:sz="4" w:space="0"/>
                    <w:right w:val="single" w:color="auto" w:sz="4" w:space="0"/>
                  </w:tcBorders>
                  <w:noWrap w:val="0"/>
                  <w:vAlign w:val="center"/>
                </w:tcPr>
                <w:p w14:paraId="6C00288F">
                  <w:pPr>
                    <w:jc w:val="center"/>
                    <w:rPr>
                      <w:szCs w:val="21"/>
                    </w:rPr>
                  </w:pPr>
                  <w:r>
                    <w:rPr>
                      <w:rFonts w:hint="eastAsia"/>
                      <w:szCs w:val="21"/>
                      <w:lang w:val="en-US" w:eastAsia="zh-CN"/>
                    </w:rPr>
                    <w:t>/</w:t>
                  </w:r>
                </w:p>
              </w:tc>
              <w:tc>
                <w:tcPr>
                  <w:tcW w:w="231" w:type="pct"/>
                  <w:vMerge w:val="continue"/>
                  <w:tcBorders>
                    <w:top w:val="single" w:color="auto" w:sz="4" w:space="0"/>
                    <w:left w:val="single" w:color="auto" w:sz="4" w:space="0"/>
                    <w:bottom w:val="single" w:color="auto" w:sz="4" w:space="0"/>
                    <w:right w:val="single" w:color="000000" w:sz="6" w:space="0"/>
                  </w:tcBorders>
                  <w:noWrap w:val="0"/>
                  <w:vAlign w:val="center"/>
                </w:tcPr>
                <w:p w14:paraId="3FF8C5DD">
                  <w:pPr>
                    <w:jc w:val="center"/>
                    <w:rPr>
                      <w:szCs w:val="21"/>
                    </w:rPr>
                  </w:pPr>
                </w:p>
              </w:tc>
              <w:tc>
                <w:tcPr>
                  <w:tcW w:w="234" w:type="pct"/>
                  <w:vMerge w:val="continue"/>
                  <w:tcBorders>
                    <w:top w:val="single" w:color="auto" w:sz="4" w:space="0"/>
                    <w:left w:val="single" w:color="000000" w:sz="6" w:space="0"/>
                    <w:bottom w:val="single" w:color="auto" w:sz="4" w:space="0"/>
                    <w:right w:val="single" w:color="auto" w:sz="4" w:space="0"/>
                  </w:tcBorders>
                  <w:noWrap w:val="0"/>
                  <w:vAlign w:val="center"/>
                </w:tcPr>
                <w:p w14:paraId="6275D4D9">
                  <w:pPr>
                    <w:jc w:val="center"/>
                    <w:rPr>
                      <w:szCs w:val="21"/>
                    </w:rPr>
                  </w:pPr>
                </w:p>
              </w:tc>
            </w:tr>
            <w:tr w14:paraId="4BE51508">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36" w:hRule="atLeast"/>
              </w:trPr>
              <w:tc>
                <w:tcPr>
                  <w:tcW w:w="125" w:type="pct"/>
                  <w:vMerge w:val="continue"/>
                  <w:tcBorders>
                    <w:top w:val="single" w:color="auto" w:sz="4" w:space="0"/>
                    <w:bottom w:val="single" w:color="auto" w:sz="4" w:space="0"/>
                    <w:right w:val="single" w:color="000000" w:sz="4" w:space="0"/>
                  </w:tcBorders>
                  <w:noWrap w:val="0"/>
                  <w:vAlign w:val="center"/>
                </w:tcPr>
                <w:p w14:paraId="36F94123">
                  <w:pPr>
                    <w:pStyle w:val="58"/>
                    <w:adjustRightInd w:val="0"/>
                    <w:snapToGrid w:val="0"/>
                    <w:jc w:val="center"/>
                    <w:rPr>
                      <w:sz w:val="21"/>
                      <w:szCs w:val="21"/>
                      <w:lang w:eastAsia="zh-CN"/>
                    </w:rPr>
                  </w:pPr>
                </w:p>
              </w:tc>
              <w:tc>
                <w:tcPr>
                  <w:tcW w:w="170" w:type="pct"/>
                  <w:vMerge w:val="continue"/>
                  <w:tcBorders>
                    <w:top w:val="single" w:color="auto" w:sz="4" w:space="0"/>
                    <w:left w:val="single" w:color="000000" w:sz="4" w:space="0"/>
                    <w:bottom w:val="single" w:color="auto" w:sz="4" w:space="0"/>
                    <w:right w:val="single" w:color="auto" w:sz="4" w:space="0"/>
                  </w:tcBorders>
                  <w:noWrap w:val="0"/>
                  <w:vAlign w:val="center"/>
                </w:tcPr>
                <w:p w14:paraId="790A1711">
                  <w:pPr>
                    <w:pStyle w:val="58"/>
                    <w:adjustRightInd w:val="0"/>
                    <w:snapToGrid w:val="0"/>
                    <w:jc w:val="center"/>
                    <w:rPr>
                      <w:sz w:val="21"/>
                      <w:szCs w:val="21"/>
                      <w:lang w:eastAsia="zh-CN"/>
                    </w:rPr>
                  </w:pPr>
                </w:p>
              </w:tc>
              <w:tc>
                <w:tcPr>
                  <w:tcW w:w="224" w:type="pct"/>
                  <w:tcBorders>
                    <w:top w:val="single" w:color="000000" w:sz="4" w:space="0"/>
                    <w:left w:val="single" w:color="auto" w:sz="4" w:space="0"/>
                    <w:bottom w:val="single" w:color="auto" w:sz="4" w:space="0"/>
                    <w:right w:val="single" w:color="auto" w:sz="4" w:space="0"/>
                  </w:tcBorders>
                  <w:noWrap w:val="0"/>
                  <w:vAlign w:val="center"/>
                </w:tcPr>
                <w:p w14:paraId="656A9FC3">
                  <w:pPr>
                    <w:jc w:val="center"/>
                    <w:rPr>
                      <w:szCs w:val="21"/>
                    </w:rPr>
                  </w:pPr>
                  <w:r>
                    <w:rPr>
                      <w:szCs w:val="21"/>
                    </w:rPr>
                    <w:t>SS</w:t>
                  </w:r>
                </w:p>
              </w:tc>
              <w:tc>
                <w:tcPr>
                  <w:tcW w:w="242" w:type="pct"/>
                  <w:vMerge w:val="continue"/>
                  <w:tcBorders>
                    <w:top w:val="single" w:color="auto" w:sz="4" w:space="0"/>
                    <w:left w:val="single" w:color="auto" w:sz="4" w:space="0"/>
                    <w:bottom w:val="single" w:color="auto" w:sz="4" w:space="0"/>
                    <w:right w:val="single" w:color="000000" w:sz="4" w:space="0"/>
                  </w:tcBorders>
                  <w:noWrap w:val="0"/>
                  <w:vAlign w:val="center"/>
                </w:tcPr>
                <w:p w14:paraId="034FBA37">
                  <w:pPr>
                    <w:pStyle w:val="58"/>
                    <w:adjustRightInd w:val="0"/>
                    <w:snapToGrid w:val="0"/>
                    <w:jc w:val="center"/>
                    <w:rPr>
                      <w:sz w:val="21"/>
                      <w:szCs w:val="21"/>
                      <w:lang w:eastAsia="zh-CN"/>
                    </w:rPr>
                  </w:pPr>
                </w:p>
              </w:tc>
              <w:tc>
                <w:tcPr>
                  <w:tcW w:w="448" w:type="pct"/>
                  <w:vMerge w:val="continue"/>
                  <w:tcBorders>
                    <w:top w:val="single" w:color="auto" w:sz="4" w:space="0"/>
                    <w:left w:val="single" w:color="000000" w:sz="4" w:space="0"/>
                    <w:bottom w:val="single" w:color="auto" w:sz="4" w:space="0"/>
                    <w:right w:val="single" w:color="000000" w:sz="4" w:space="0"/>
                  </w:tcBorders>
                  <w:noWrap w:val="0"/>
                  <w:vAlign w:val="center"/>
                </w:tcPr>
                <w:p w14:paraId="7F71C3D8">
                  <w:pPr>
                    <w:pStyle w:val="58"/>
                    <w:adjustRightInd w:val="0"/>
                    <w:snapToGrid w:val="0"/>
                    <w:jc w:val="center"/>
                    <w:rPr>
                      <w:sz w:val="21"/>
                      <w:szCs w:val="21"/>
                      <w:lang w:eastAsia="zh-CN"/>
                    </w:rPr>
                  </w:pPr>
                </w:p>
              </w:tc>
              <w:tc>
                <w:tcPr>
                  <w:tcW w:w="377" w:type="pct"/>
                  <w:vMerge w:val="continue"/>
                  <w:tcBorders>
                    <w:top w:val="single" w:color="auto" w:sz="4" w:space="0"/>
                    <w:left w:val="single" w:color="000000" w:sz="4" w:space="0"/>
                    <w:bottom w:val="single" w:color="auto" w:sz="4" w:space="0"/>
                    <w:right w:val="single" w:color="000000" w:sz="4" w:space="0"/>
                  </w:tcBorders>
                  <w:noWrap w:val="0"/>
                  <w:vAlign w:val="center"/>
                </w:tcPr>
                <w:p w14:paraId="323B142C">
                  <w:pPr>
                    <w:pStyle w:val="58"/>
                    <w:adjustRightInd w:val="0"/>
                    <w:snapToGrid w:val="0"/>
                    <w:jc w:val="center"/>
                    <w:rPr>
                      <w:sz w:val="21"/>
                      <w:szCs w:val="21"/>
                      <w:lang w:eastAsia="zh-CN"/>
                    </w:rPr>
                  </w:pPr>
                </w:p>
              </w:tc>
              <w:tc>
                <w:tcPr>
                  <w:tcW w:w="257" w:type="pct"/>
                  <w:vMerge w:val="continue"/>
                  <w:tcBorders>
                    <w:top w:val="single" w:color="auto" w:sz="4" w:space="0"/>
                    <w:left w:val="single" w:color="000000" w:sz="4" w:space="0"/>
                    <w:bottom w:val="single" w:color="auto" w:sz="4" w:space="0"/>
                    <w:right w:val="single" w:color="000000" w:sz="4" w:space="0"/>
                  </w:tcBorders>
                  <w:noWrap w:val="0"/>
                  <w:vAlign w:val="center"/>
                </w:tcPr>
                <w:p w14:paraId="314CE8BA">
                  <w:pPr>
                    <w:pStyle w:val="58"/>
                    <w:adjustRightInd w:val="0"/>
                    <w:snapToGrid w:val="0"/>
                    <w:jc w:val="center"/>
                    <w:rPr>
                      <w:sz w:val="21"/>
                      <w:szCs w:val="21"/>
                      <w:lang w:eastAsia="zh-CN"/>
                    </w:rPr>
                  </w:pPr>
                </w:p>
              </w:tc>
              <w:tc>
                <w:tcPr>
                  <w:tcW w:w="329" w:type="pct"/>
                  <w:vMerge w:val="continue"/>
                  <w:tcBorders>
                    <w:top w:val="single" w:color="auto" w:sz="4" w:space="0"/>
                    <w:left w:val="single" w:color="000000" w:sz="4" w:space="0"/>
                    <w:bottom w:val="single" w:color="auto" w:sz="4" w:space="0"/>
                    <w:right w:val="single" w:color="000000" w:sz="4" w:space="0"/>
                  </w:tcBorders>
                  <w:noWrap w:val="0"/>
                  <w:vAlign w:val="center"/>
                </w:tcPr>
                <w:p w14:paraId="2B0FC946">
                  <w:pPr>
                    <w:pStyle w:val="58"/>
                    <w:adjustRightInd w:val="0"/>
                    <w:snapToGrid w:val="0"/>
                    <w:jc w:val="center"/>
                    <w:rPr>
                      <w:sz w:val="21"/>
                      <w:szCs w:val="21"/>
                      <w:lang w:eastAsia="zh-CN"/>
                    </w:rPr>
                  </w:pPr>
                </w:p>
              </w:tc>
              <w:tc>
                <w:tcPr>
                  <w:tcW w:w="186" w:type="pct"/>
                  <w:vMerge w:val="continue"/>
                  <w:tcBorders>
                    <w:top w:val="single" w:color="auto" w:sz="4" w:space="0"/>
                    <w:left w:val="single" w:color="000000" w:sz="4" w:space="0"/>
                    <w:bottom w:val="single" w:color="auto" w:sz="4" w:space="0"/>
                    <w:right w:val="single" w:color="000000" w:sz="6" w:space="0"/>
                  </w:tcBorders>
                  <w:noWrap w:val="0"/>
                  <w:vAlign w:val="center"/>
                </w:tcPr>
                <w:p w14:paraId="303EDB5C">
                  <w:pPr>
                    <w:pStyle w:val="58"/>
                    <w:adjustRightInd w:val="0"/>
                    <w:snapToGrid w:val="0"/>
                    <w:jc w:val="center"/>
                    <w:rPr>
                      <w:sz w:val="21"/>
                      <w:szCs w:val="21"/>
                      <w:lang w:eastAsia="zh-CN"/>
                    </w:rPr>
                  </w:pPr>
                </w:p>
              </w:tc>
              <w:tc>
                <w:tcPr>
                  <w:tcW w:w="163" w:type="pct"/>
                  <w:vMerge w:val="continue"/>
                  <w:tcBorders>
                    <w:top w:val="single" w:color="auto" w:sz="4" w:space="0"/>
                    <w:left w:val="single" w:color="000000" w:sz="6" w:space="0"/>
                    <w:bottom w:val="single" w:color="auto" w:sz="4" w:space="0"/>
                    <w:right w:val="single" w:color="000000" w:sz="6" w:space="0"/>
                  </w:tcBorders>
                  <w:noWrap w:val="0"/>
                  <w:vAlign w:val="center"/>
                </w:tcPr>
                <w:p w14:paraId="6449EA52">
                  <w:pPr>
                    <w:pStyle w:val="58"/>
                    <w:adjustRightInd w:val="0"/>
                    <w:snapToGrid w:val="0"/>
                    <w:jc w:val="center"/>
                    <w:rPr>
                      <w:sz w:val="21"/>
                      <w:szCs w:val="21"/>
                      <w:lang w:eastAsia="zh-CN"/>
                    </w:rPr>
                  </w:pPr>
                </w:p>
              </w:tc>
              <w:tc>
                <w:tcPr>
                  <w:tcW w:w="177" w:type="pct"/>
                  <w:vMerge w:val="continue"/>
                  <w:tcBorders>
                    <w:top w:val="single" w:color="auto" w:sz="4" w:space="0"/>
                    <w:left w:val="single" w:color="000000" w:sz="6" w:space="0"/>
                    <w:bottom w:val="single" w:color="auto" w:sz="4" w:space="0"/>
                    <w:right w:val="single" w:color="000000" w:sz="6" w:space="0"/>
                  </w:tcBorders>
                  <w:noWrap w:val="0"/>
                  <w:vAlign w:val="center"/>
                </w:tcPr>
                <w:p w14:paraId="49D65A51">
                  <w:pPr>
                    <w:pStyle w:val="58"/>
                    <w:adjustRightInd w:val="0"/>
                    <w:snapToGrid w:val="0"/>
                    <w:jc w:val="center"/>
                    <w:rPr>
                      <w:sz w:val="21"/>
                      <w:szCs w:val="21"/>
                      <w:lang w:eastAsia="zh-CN"/>
                    </w:rPr>
                  </w:pPr>
                </w:p>
              </w:tc>
              <w:tc>
                <w:tcPr>
                  <w:tcW w:w="229" w:type="pct"/>
                  <w:vMerge w:val="continue"/>
                  <w:tcBorders>
                    <w:top w:val="single" w:color="auto" w:sz="4" w:space="0"/>
                    <w:left w:val="single" w:color="000000" w:sz="6" w:space="0"/>
                    <w:bottom w:val="single" w:color="auto" w:sz="4" w:space="0"/>
                    <w:right w:val="single" w:color="000000" w:sz="4" w:space="0"/>
                  </w:tcBorders>
                  <w:noWrap w:val="0"/>
                  <w:vAlign w:val="center"/>
                </w:tcPr>
                <w:p w14:paraId="3CA1975B">
                  <w:pPr>
                    <w:pStyle w:val="58"/>
                    <w:adjustRightInd w:val="0"/>
                    <w:snapToGrid w:val="0"/>
                    <w:jc w:val="center"/>
                    <w:rPr>
                      <w:sz w:val="21"/>
                      <w:szCs w:val="21"/>
                      <w:lang w:eastAsia="zh-CN"/>
                    </w:rPr>
                  </w:pPr>
                </w:p>
              </w:tc>
              <w:tc>
                <w:tcPr>
                  <w:tcW w:w="233" w:type="pct"/>
                  <w:vMerge w:val="continue"/>
                  <w:tcBorders>
                    <w:top w:val="single" w:color="auto" w:sz="4" w:space="0"/>
                    <w:left w:val="single" w:color="000000" w:sz="4" w:space="0"/>
                    <w:bottom w:val="single" w:color="auto" w:sz="4" w:space="0"/>
                    <w:right w:val="single" w:color="000000" w:sz="6" w:space="0"/>
                  </w:tcBorders>
                  <w:noWrap w:val="0"/>
                  <w:vAlign w:val="center"/>
                </w:tcPr>
                <w:p w14:paraId="2AF095F0">
                  <w:pPr>
                    <w:pStyle w:val="58"/>
                    <w:adjustRightInd w:val="0"/>
                    <w:snapToGrid w:val="0"/>
                    <w:jc w:val="center"/>
                    <w:rPr>
                      <w:sz w:val="21"/>
                      <w:szCs w:val="21"/>
                      <w:lang w:eastAsia="zh-CN"/>
                    </w:rPr>
                  </w:pPr>
                </w:p>
              </w:tc>
              <w:tc>
                <w:tcPr>
                  <w:tcW w:w="169" w:type="pct"/>
                  <w:vMerge w:val="continue"/>
                  <w:tcBorders>
                    <w:top w:val="single" w:color="auto" w:sz="4" w:space="0"/>
                    <w:left w:val="single" w:color="000000" w:sz="6" w:space="0"/>
                    <w:bottom w:val="single" w:color="auto" w:sz="4" w:space="0"/>
                    <w:right w:val="single" w:color="000000" w:sz="6" w:space="0"/>
                  </w:tcBorders>
                  <w:noWrap w:val="0"/>
                  <w:vAlign w:val="center"/>
                </w:tcPr>
                <w:p w14:paraId="523C449E">
                  <w:pPr>
                    <w:pStyle w:val="58"/>
                    <w:adjustRightInd w:val="0"/>
                    <w:snapToGrid w:val="0"/>
                    <w:jc w:val="center"/>
                    <w:rPr>
                      <w:sz w:val="21"/>
                      <w:szCs w:val="21"/>
                      <w:lang w:eastAsia="zh-CN"/>
                    </w:rPr>
                  </w:pPr>
                </w:p>
              </w:tc>
              <w:tc>
                <w:tcPr>
                  <w:tcW w:w="233" w:type="pct"/>
                  <w:vMerge w:val="continue"/>
                  <w:tcBorders>
                    <w:top w:val="single" w:color="auto" w:sz="4" w:space="0"/>
                    <w:left w:val="single" w:color="000000" w:sz="6" w:space="0"/>
                    <w:bottom w:val="single" w:color="auto" w:sz="4" w:space="0"/>
                    <w:right w:val="single" w:color="000000" w:sz="4" w:space="0"/>
                  </w:tcBorders>
                  <w:noWrap w:val="0"/>
                  <w:vAlign w:val="center"/>
                </w:tcPr>
                <w:p w14:paraId="6CD1D33D">
                  <w:pPr>
                    <w:pStyle w:val="58"/>
                    <w:adjustRightInd w:val="0"/>
                    <w:snapToGrid w:val="0"/>
                    <w:jc w:val="center"/>
                    <w:rPr>
                      <w:sz w:val="21"/>
                      <w:szCs w:val="21"/>
                      <w:lang w:eastAsia="zh-CN"/>
                    </w:rPr>
                  </w:pPr>
                </w:p>
              </w:tc>
              <w:tc>
                <w:tcPr>
                  <w:tcW w:w="618" w:type="pct"/>
                  <w:vMerge w:val="continue"/>
                  <w:tcBorders>
                    <w:top w:val="single" w:color="auto" w:sz="4" w:space="0"/>
                    <w:left w:val="single" w:color="000000" w:sz="4" w:space="0"/>
                    <w:bottom w:val="single" w:color="auto" w:sz="4" w:space="0"/>
                    <w:right w:val="single" w:color="auto" w:sz="4" w:space="0"/>
                  </w:tcBorders>
                  <w:noWrap w:val="0"/>
                  <w:vAlign w:val="center"/>
                </w:tcPr>
                <w:p w14:paraId="2D99B98B">
                  <w:pPr>
                    <w:pStyle w:val="58"/>
                    <w:adjustRightInd w:val="0"/>
                    <w:snapToGrid w:val="0"/>
                    <w:jc w:val="center"/>
                    <w:rPr>
                      <w:sz w:val="21"/>
                      <w:szCs w:val="21"/>
                      <w:lang w:eastAsia="zh-CN"/>
                    </w:rPr>
                  </w:pPr>
                </w:p>
              </w:tc>
              <w:tc>
                <w:tcPr>
                  <w:tcW w:w="347" w:type="pct"/>
                  <w:tcBorders>
                    <w:top w:val="single" w:color="auto" w:sz="4" w:space="0"/>
                    <w:left w:val="single" w:color="auto" w:sz="4" w:space="0"/>
                    <w:bottom w:val="single" w:color="auto" w:sz="4" w:space="0"/>
                    <w:right w:val="single" w:color="auto" w:sz="4" w:space="0"/>
                  </w:tcBorders>
                  <w:noWrap w:val="0"/>
                  <w:vAlign w:val="center"/>
                </w:tcPr>
                <w:p w14:paraId="59FC629B">
                  <w:pPr>
                    <w:jc w:val="center"/>
                    <w:rPr>
                      <w:szCs w:val="21"/>
                    </w:rPr>
                  </w:pPr>
                  <w:r>
                    <w:rPr>
                      <w:rFonts w:hint="eastAsia"/>
                      <w:szCs w:val="21"/>
                      <w:lang w:val="en-US" w:eastAsia="zh-CN"/>
                    </w:rPr>
                    <w:t>/</w:t>
                  </w:r>
                </w:p>
              </w:tc>
              <w:tc>
                <w:tcPr>
                  <w:tcW w:w="231" w:type="pct"/>
                  <w:vMerge w:val="continue"/>
                  <w:tcBorders>
                    <w:top w:val="single" w:color="auto" w:sz="4" w:space="0"/>
                    <w:left w:val="single" w:color="auto" w:sz="4" w:space="0"/>
                    <w:bottom w:val="single" w:color="auto" w:sz="4" w:space="0"/>
                    <w:right w:val="single" w:color="000000" w:sz="6" w:space="0"/>
                  </w:tcBorders>
                  <w:noWrap w:val="0"/>
                  <w:vAlign w:val="center"/>
                </w:tcPr>
                <w:p w14:paraId="628FA255">
                  <w:pPr>
                    <w:pStyle w:val="58"/>
                    <w:adjustRightInd w:val="0"/>
                    <w:snapToGrid w:val="0"/>
                    <w:jc w:val="center"/>
                    <w:rPr>
                      <w:sz w:val="21"/>
                      <w:szCs w:val="21"/>
                      <w:lang w:eastAsia="zh-CN"/>
                    </w:rPr>
                  </w:pPr>
                </w:p>
              </w:tc>
              <w:tc>
                <w:tcPr>
                  <w:tcW w:w="234" w:type="pct"/>
                  <w:vMerge w:val="continue"/>
                  <w:tcBorders>
                    <w:top w:val="single" w:color="auto" w:sz="4" w:space="0"/>
                    <w:left w:val="single" w:color="000000" w:sz="6" w:space="0"/>
                    <w:bottom w:val="single" w:color="auto" w:sz="4" w:space="0"/>
                    <w:right w:val="single" w:color="auto" w:sz="4" w:space="0"/>
                  </w:tcBorders>
                  <w:noWrap w:val="0"/>
                  <w:vAlign w:val="center"/>
                </w:tcPr>
                <w:p w14:paraId="25E58E4B">
                  <w:pPr>
                    <w:pStyle w:val="58"/>
                    <w:adjustRightInd w:val="0"/>
                    <w:snapToGrid w:val="0"/>
                    <w:jc w:val="center"/>
                    <w:rPr>
                      <w:sz w:val="21"/>
                      <w:szCs w:val="21"/>
                      <w:lang w:eastAsia="zh-CN"/>
                    </w:rPr>
                  </w:pPr>
                </w:p>
              </w:tc>
            </w:tr>
            <w:tr w14:paraId="7E2E4BA2">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31" w:hRule="atLeast"/>
              </w:trPr>
              <w:tc>
                <w:tcPr>
                  <w:tcW w:w="125" w:type="pct"/>
                  <w:vMerge w:val="continue"/>
                  <w:tcBorders>
                    <w:top w:val="single" w:color="auto" w:sz="4" w:space="0"/>
                    <w:bottom w:val="single" w:color="auto" w:sz="4" w:space="0"/>
                    <w:right w:val="single" w:color="000000" w:sz="4" w:space="0"/>
                  </w:tcBorders>
                  <w:noWrap w:val="0"/>
                  <w:vAlign w:val="center"/>
                </w:tcPr>
                <w:p w14:paraId="3A48E1FF">
                  <w:pPr>
                    <w:pStyle w:val="58"/>
                    <w:adjustRightInd w:val="0"/>
                    <w:snapToGrid w:val="0"/>
                    <w:jc w:val="center"/>
                    <w:rPr>
                      <w:sz w:val="21"/>
                      <w:szCs w:val="21"/>
                      <w:lang w:eastAsia="zh-CN"/>
                    </w:rPr>
                  </w:pPr>
                </w:p>
              </w:tc>
              <w:tc>
                <w:tcPr>
                  <w:tcW w:w="170" w:type="pct"/>
                  <w:vMerge w:val="continue"/>
                  <w:tcBorders>
                    <w:top w:val="single" w:color="auto" w:sz="4" w:space="0"/>
                    <w:left w:val="single" w:color="000000" w:sz="4" w:space="0"/>
                    <w:bottom w:val="single" w:color="auto" w:sz="4" w:space="0"/>
                    <w:right w:val="single" w:color="auto" w:sz="4" w:space="0"/>
                  </w:tcBorders>
                  <w:noWrap w:val="0"/>
                  <w:vAlign w:val="center"/>
                </w:tcPr>
                <w:p w14:paraId="4B1F7B9C">
                  <w:pPr>
                    <w:pStyle w:val="58"/>
                    <w:adjustRightInd w:val="0"/>
                    <w:snapToGrid w:val="0"/>
                    <w:jc w:val="center"/>
                    <w:rPr>
                      <w:sz w:val="21"/>
                      <w:szCs w:val="21"/>
                      <w:lang w:eastAsia="zh-CN"/>
                    </w:rPr>
                  </w:pPr>
                </w:p>
              </w:tc>
              <w:tc>
                <w:tcPr>
                  <w:tcW w:w="224" w:type="pct"/>
                  <w:tcBorders>
                    <w:top w:val="single" w:color="auto" w:sz="4" w:space="0"/>
                    <w:left w:val="single" w:color="auto" w:sz="4" w:space="0"/>
                    <w:bottom w:val="single" w:color="auto" w:sz="4" w:space="0"/>
                    <w:right w:val="single" w:color="auto" w:sz="4" w:space="0"/>
                  </w:tcBorders>
                  <w:noWrap w:val="0"/>
                  <w:vAlign w:val="center"/>
                </w:tcPr>
                <w:p w14:paraId="4317D6E1">
                  <w:pPr>
                    <w:jc w:val="center"/>
                    <w:rPr>
                      <w:szCs w:val="21"/>
                    </w:rPr>
                  </w:pPr>
                  <w:r>
                    <w:rPr>
                      <w:szCs w:val="21"/>
                    </w:rPr>
                    <w:t>NH</w:t>
                  </w:r>
                  <w:r>
                    <w:rPr>
                      <w:szCs w:val="21"/>
                      <w:vertAlign w:val="subscript"/>
                    </w:rPr>
                    <w:t>3</w:t>
                  </w:r>
                  <w:r>
                    <w:rPr>
                      <w:szCs w:val="21"/>
                    </w:rPr>
                    <w:t>-N</w:t>
                  </w:r>
                </w:p>
              </w:tc>
              <w:tc>
                <w:tcPr>
                  <w:tcW w:w="242" w:type="pct"/>
                  <w:vMerge w:val="continue"/>
                  <w:tcBorders>
                    <w:top w:val="single" w:color="auto" w:sz="4" w:space="0"/>
                    <w:left w:val="single" w:color="auto" w:sz="4" w:space="0"/>
                    <w:bottom w:val="single" w:color="auto" w:sz="4" w:space="0"/>
                    <w:right w:val="single" w:color="000000" w:sz="4" w:space="0"/>
                  </w:tcBorders>
                  <w:noWrap w:val="0"/>
                  <w:vAlign w:val="center"/>
                </w:tcPr>
                <w:p w14:paraId="17018413">
                  <w:pPr>
                    <w:pStyle w:val="58"/>
                    <w:adjustRightInd w:val="0"/>
                    <w:snapToGrid w:val="0"/>
                    <w:jc w:val="center"/>
                    <w:rPr>
                      <w:sz w:val="21"/>
                      <w:szCs w:val="21"/>
                      <w:lang w:eastAsia="zh-CN"/>
                    </w:rPr>
                  </w:pPr>
                </w:p>
              </w:tc>
              <w:tc>
                <w:tcPr>
                  <w:tcW w:w="448" w:type="pct"/>
                  <w:vMerge w:val="continue"/>
                  <w:tcBorders>
                    <w:top w:val="single" w:color="auto" w:sz="4" w:space="0"/>
                    <w:left w:val="single" w:color="000000" w:sz="4" w:space="0"/>
                    <w:bottom w:val="single" w:color="auto" w:sz="4" w:space="0"/>
                    <w:right w:val="single" w:color="000000" w:sz="4" w:space="0"/>
                  </w:tcBorders>
                  <w:noWrap w:val="0"/>
                  <w:vAlign w:val="center"/>
                </w:tcPr>
                <w:p w14:paraId="4063CE40">
                  <w:pPr>
                    <w:pStyle w:val="58"/>
                    <w:adjustRightInd w:val="0"/>
                    <w:snapToGrid w:val="0"/>
                    <w:jc w:val="center"/>
                    <w:rPr>
                      <w:sz w:val="21"/>
                      <w:szCs w:val="21"/>
                      <w:lang w:eastAsia="zh-CN"/>
                    </w:rPr>
                  </w:pPr>
                </w:p>
              </w:tc>
              <w:tc>
                <w:tcPr>
                  <w:tcW w:w="377" w:type="pct"/>
                  <w:vMerge w:val="continue"/>
                  <w:tcBorders>
                    <w:top w:val="single" w:color="auto" w:sz="4" w:space="0"/>
                    <w:left w:val="single" w:color="000000" w:sz="4" w:space="0"/>
                    <w:bottom w:val="single" w:color="auto" w:sz="4" w:space="0"/>
                    <w:right w:val="single" w:color="000000" w:sz="4" w:space="0"/>
                  </w:tcBorders>
                  <w:noWrap w:val="0"/>
                  <w:vAlign w:val="center"/>
                </w:tcPr>
                <w:p w14:paraId="276F1BDA">
                  <w:pPr>
                    <w:pStyle w:val="58"/>
                    <w:adjustRightInd w:val="0"/>
                    <w:snapToGrid w:val="0"/>
                    <w:jc w:val="center"/>
                    <w:rPr>
                      <w:sz w:val="21"/>
                      <w:szCs w:val="21"/>
                      <w:lang w:eastAsia="zh-CN"/>
                    </w:rPr>
                  </w:pPr>
                </w:p>
              </w:tc>
              <w:tc>
                <w:tcPr>
                  <w:tcW w:w="257" w:type="pct"/>
                  <w:vMerge w:val="continue"/>
                  <w:tcBorders>
                    <w:top w:val="single" w:color="auto" w:sz="4" w:space="0"/>
                    <w:left w:val="single" w:color="000000" w:sz="4" w:space="0"/>
                    <w:bottom w:val="single" w:color="auto" w:sz="4" w:space="0"/>
                    <w:right w:val="single" w:color="000000" w:sz="4" w:space="0"/>
                  </w:tcBorders>
                  <w:noWrap w:val="0"/>
                  <w:vAlign w:val="center"/>
                </w:tcPr>
                <w:p w14:paraId="5B797D23">
                  <w:pPr>
                    <w:pStyle w:val="58"/>
                    <w:adjustRightInd w:val="0"/>
                    <w:snapToGrid w:val="0"/>
                    <w:jc w:val="center"/>
                    <w:rPr>
                      <w:sz w:val="21"/>
                      <w:szCs w:val="21"/>
                      <w:lang w:eastAsia="zh-CN"/>
                    </w:rPr>
                  </w:pPr>
                </w:p>
              </w:tc>
              <w:tc>
                <w:tcPr>
                  <w:tcW w:w="329" w:type="pct"/>
                  <w:vMerge w:val="continue"/>
                  <w:tcBorders>
                    <w:top w:val="single" w:color="auto" w:sz="4" w:space="0"/>
                    <w:left w:val="single" w:color="000000" w:sz="4" w:space="0"/>
                    <w:bottom w:val="single" w:color="auto" w:sz="4" w:space="0"/>
                    <w:right w:val="single" w:color="000000" w:sz="4" w:space="0"/>
                  </w:tcBorders>
                  <w:noWrap w:val="0"/>
                  <w:vAlign w:val="center"/>
                </w:tcPr>
                <w:p w14:paraId="07955F64">
                  <w:pPr>
                    <w:pStyle w:val="58"/>
                    <w:adjustRightInd w:val="0"/>
                    <w:snapToGrid w:val="0"/>
                    <w:jc w:val="center"/>
                    <w:rPr>
                      <w:sz w:val="21"/>
                      <w:szCs w:val="21"/>
                      <w:lang w:eastAsia="zh-CN"/>
                    </w:rPr>
                  </w:pPr>
                </w:p>
              </w:tc>
              <w:tc>
                <w:tcPr>
                  <w:tcW w:w="186" w:type="pct"/>
                  <w:vMerge w:val="continue"/>
                  <w:tcBorders>
                    <w:top w:val="single" w:color="auto" w:sz="4" w:space="0"/>
                    <w:left w:val="single" w:color="000000" w:sz="4" w:space="0"/>
                    <w:bottom w:val="single" w:color="auto" w:sz="4" w:space="0"/>
                    <w:right w:val="single" w:color="000000" w:sz="6" w:space="0"/>
                  </w:tcBorders>
                  <w:noWrap w:val="0"/>
                  <w:vAlign w:val="center"/>
                </w:tcPr>
                <w:p w14:paraId="46E19931">
                  <w:pPr>
                    <w:pStyle w:val="58"/>
                    <w:adjustRightInd w:val="0"/>
                    <w:snapToGrid w:val="0"/>
                    <w:jc w:val="center"/>
                    <w:rPr>
                      <w:sz w:val="21"/>
                      <w:szCs w:val="21"/>
                      <w:lang w:eastAsia="zh-CN"/>
                    </w:rPr>
                  </w:pPr>
                </w:p>
              </w:tc>
              <w:tc>
                <w:tcPr>
                  <w:tcW w:w="163" w:type="pct"/>
                  <w:vMerge w:val="continue"/>
                  <w:tcBorders>
                    <w:top w:val="single" w:color="auto" w:sz="4" w:space="0"/>
                    <w:left w:val="single" w:color="000000" w:sz="6" w:space="0"/>
                    <w:bottom w:val="single" w:color="auto" w:sz="4" w:space="0"/>
                    <w:right w:val="single" w:color="000000" w:sz="6" w:space="0"/>
                  </w:tcBorders>
                  <w:noWrap w:val="0"/>
                  <w:vAlign w:val="center"/>
                </w:tcPr>
                <w:p w14:paraId="5B3B0AF2">
                  <w:pPr>
                    <w:pStyle w:val="58"/>
                    <w:adjustRightInd w:val="0"/>
                    <w:snapToGrid w:val="0"/>
                    <w:jc w:val="center"/>
                    <w:rPr>
                      <w:sz w:val="21"/>
                      <w:szCs w:val="21"/>
                      <w:lang w:eastAsia="zh-CN"/>
                    </w:rPr>
                  </w:pPr>
                </w:p>
              </w:tc>
              <w:tc>
                <w:tcPr>
                  <w:tcW w:w="177" w:type="pct"/>
                  <w:vMerge w:val="continue"/>
                  <w:tcBorders>
                    <w:top w:val="single" w:color="auto" w:sz="4" w:space="0"/>
                    <w:left w:val="single" w:color="000000" w:sz="6" w:space="0"/>
                    <w:bottom w:val="single" w:color="auto" w:sz="4" w:space="0"/>
                    <w:right w:val="single" w:color="000000" w:sz="6" w:space="0"/>
                  </w:tcBorders>
                  <w:noWrap w:val="0"/>
                  <w:vAlign w:val="center"/>
                </w:tcPr>
                <w:p w14:paraId="7B80465C">
                  <w:pPr>
                    <w:pStyle w:val="58"/>
                    <w:adjustRightInd w:val="0"/>
                    <w:snapToGrid w:val="0"/>
                    <w:jc w:val="center"/>
                    <w:rPr>
                      <w:sz w:val="21"/>
                      <w:szCs w:val="21"/>
                      <w:lang w:eastAsia="zh-CN"/>
                    </w:rPr>
                  </w:pPr>
                </w:p>
              </w:tc>
              <w:tc>
                <w:tcPr>
                  <w:tcW w:w="229" w:type="pct"/>
                  <w:vMerge w:val="continue"/>
                  <w:tcBorders>
                    <w:top w:val="single" w:color="auto" w:sz="4" w:space="0"/>
                    <w:left w:val="single" w:color="000000" w:sz="6" w:space="0"/>
                    <w:bottom w:val="single" w:color="auto" w:sz="4" w:space="0"/>
                    <w:right w:val="single" w:color="000000" w:sz="4" w:space="0"/>
                  </w:tcBorders>
                  <w:noWrap w:val="0"/>
                  <w:vAlign w:val="center"/>
                </w:tcPr>
                <w:p w14:paraId="4AE7585D">
                  <w:pPr>
                    <w:pStyle w:val="58"/>
                    <w:adjustRightInd w:val="0"/>
                    <w:snapToGrid w:val="0"/>
                    <w:jc w:val="center"/>
                    <w:rPr>
                      <w:sz w:val="21"/>
                      <w:szCs w:val="21"/>
                      <w:lang w:eastAsia="zh-CN"/>
                    </w:rPr>
                  </w:pPr>
                </w:p>
              </w:tc>
              <w:tc>
                <w:tcPr>
                  <w:tcW w:w="233" w:type="pct"/>
                  <w:vMerge w:val="continue"/>
                  <w:tcBorders>
                    <w:top w:val="single" w:color="auto" w:sz="4" w:space="0"/>
                    <w:left w:val="single" w:color="000000" w:sz="4" w:space="0"/>
                    <w:bottom w:val="single" w:color="auto" w:sz="4" w:space="0"/>
                    <w:right w:val="single" w:color="000000" w:sz="6" w:space="0"/>
                  </w:tcBorders>
                  <w:noWrap w:val="0"/>
                  <w:vAlign w:val="center"/>
                </w:tcPr>
                <w:p w14:paraId="231BAF10">
                  <w:pPr>
                    <w:pStyle w:val="58"/>
                    <w:adjustRightInd w:val="0"/>
                    <w:snapToGrid w:val="0"/>
                    <w:jc w:val="center"/>
                    <w:rPr>
                      <w:sz w:val="21"/>
                      <w:szCs w:val="21"/>
                      <w:lang w:eastAsia="zh-CN"/>
                    </w:rPr>
                  </w:pPr>
                </w:p>
              </w:tc>
              <w:tc>
                <w:tcPr>
                  <w:tcW w:w="169" w:type="pct"/>
                  <w:vMerge w:val="continue"/>
                  <w:tcBorders>
                    <w:top w:val="single" w:color="auto" w:sz="4" w:space="0"/>
                    <w:left w:val="single" w:color="000000" w:sz="6" w:space="0"/>
                    <w:bottom w:val="single" w:color="auto" w:sz="4" w:space="0"/>
                    <w:right w:val="single" w:color="000000" w:sz="6" w:space="0"/>
                  </w:tcBorders>
                  <w:noWrap w:val="0"/>
                  <w:vAlign w:val="center"/>
                </w:tcPr>
                <w:p w14:paraId="5DBDBA5C">
                  <w:pPr>
                    <w:pStyle w:val="58"/>
                    <w:adjustRightInd w:val="0"/>
                    <w:snapToGrid w:val="0"/>
                    <w:jc w:val="center"/>
                    <w:rPr>
                      <w:sz w:val="21"/>
                      <w:szCs w:val="21"/>
                      <w:lang w:eastAsia="zh-CN"/>
                    </w:rPr>
                  </w:pPr>
                </w:p>
              </w:tc>
              <w:tc>
                <w:tcPr>
                  <w:tcW w:w="233" w:type="pct"/>
                  <w:vMerge w:val="continue"/>
                  <w:tcBorders>
                    <w:top w:val="single" w:color="auto" w:sz="4" w:space="0"/>
                    <w:left w:val="single" w:color="000000" w:sz="6" w:space="0"/>
                    <w:bottom w:val="single" w:color="auto" w:sz="4" w:space="0"/>
                    <w:right w:val="single" w:color="000000" w:sz="4" w:space="0"/>
                  </w:tcBorders>
                  <w:noWrap w:val="0"/>
                  <w:vAlign w:val="center"/>
                </w:tcPr>
                <w:p w14:paraId="0F12057B">
                  <w:pPr>
                    <w:pStyle w:val="58"/>
                    <w:adjustRightInd w:val="0"/>
                    <w:snapToGrid w:val="0"/>
                    <w:jc w:val="center"/>
                    <w:rPr>
                      <w:sz w:val="21"/>
                      <w:szCs w:val="21"/>
                      <w:lang w:eastAsia="zh-CN"/>
                    </w:rPr>
                  </w:pPr>
                </w:p>
              </w:tc>
              <w:tc>
                <w:tcPr>
                  <w:tcW w:w="618" w:type="pct"/>
                  <w:vMerge w:val="continue"/>
                  <w:tcBorders>
                    <w:top w:val="single" w:color="auto" w:sz="4" w:space="0"/>
                    <w:left w:val="single" w:color="000000" w:sz="4" w:space="0"/>
                    <w:bottom w:val="single" w:color="auto" w:sz="4" w:space="0"/>
                    <w:right w:val="single" w:color="auto" w:sz="4" w:space="0"/>
                  </w:tcBorders>
                  <w:noWrap w:val="0"/>
                  <w:vAlign w:val="center"/>
                </w:tcPr>
                <w:p w14:paraId="77FDBCAB">
                  <w:pPr>
                    <w:pStyle w:val="58"/>
                    <w:adjustRightInd w:val="0"/>
                    <w:snapToGrid w:val="0"/>
                    <w:jc w:val="center"/>
                    <w:rPr>
                      <w:sz w:val="21"/>
                      <w:szCs w:val="21"/>
                      <w:lang w:eastAsia="zh-CN"/>
                    </w:rPr>
                  </w:pPr>
                </w:p>
              </w:tc>
              <w:tc>
                <w:tcPr>
                  <w:tcW w:w="347" w:type="pct"/>
                  <w:tcBorders>
                    <w:top w:val="single" w:color="auto" w:sz="4" w:space="0"/>
                    <w:left w:val="single" w:color="auto" w:sz="4" w:space="0"/>
                    <w:bottom w:val="single" w:color="auto" w:sz="4" w:space="0"/>
                    <w:right w:val="single" w:color="auto" w:sz="4" w:space="0"/>
                  </w:tcBorders>
                  <w:noWrap w:val="0"/>
                  <w:vAlign w:val="center"/>
                </w:tcPr>
                <w:p w14:paraId="6CE7B82E">
                  <w:pPr>
                    <w:jc w:val="center"/>
                    <w:rPr>
                      <w:szCs w:val="21"/>
                    </w:rPr>
                  </w:pPr>
                  <w:r>
                    <w:rPr>
                      <w:rFonts w:hint="eastAsia"/>
                      <w:szCs w:val="21"/>
                      <w:lang w:val="en-US" w:eastAsia="zh-CN"/>
                    </w:rPr>
                    <w:t>/</w:t>
                  </w:r>
                </w:p>
              </w:tc>
              <w:tc>
                <w:tcPr>
                  <w:tcW w:w="231" w:type="pct"/>
                  <w:vMerge w:val="continue"/>
                  <w:tcBorders>
                    <w:top w:val="single" w:color="auto" w:sz="4" w:space="0"/>
                    <w:left w:val="single" w:color="auto" w:sz="4" w:space="0"/>
                    <w:bottom w:val="single" w:color="auto" w:sz="4" w:space="0"/>
                    <w:right w:val="single" w:color="000000" w:sz="6" w:space="0"/>
                  </w:tcBorders>
                  <w:noWrap w:val="0"/>
                  <w:vAlign w:val="center"/>
                </w:tcPr>
                <w:p w14:paraId="394D6ECB">
                  <w:pPr>
                    <w:pStyle w:val="58"/>
                    <w:adjustRightInd w:val="0"/>
                    <w:snapToGrid w:val="0"/>
                    <w:jc w:val="center"/>
                    <w:rPr>
                      <w:sz w:val="21"/>
                      <w:szCs w:val="21"/>
                      <w:lang w:eastAsia="zh-CN"/>
                    </w:rPr>
                  </w:pPr>
                </w:p>
              </w:tc>
              <w:tc>
                <w:tcPr>
                  <w:tcW w:w="234" w:type="pct"/>
                  <w:vMerge w:val="continue"/>
                  <w:tcBorders>
                    <w:top w:val="single" w:color="auto" w:sz="4" w:space="0"/>
                    <w:left w:val="single" w:color="000000" w:sz="6" w:space="0"/>
                    <w:bottom w:val="single" w:color="auto" w:sz="4" w:space="0"/>
                    <w:right w:val="single" w:color="auto" w:sz="4" w:space="0"/>
                  </w:tcBorders>
                  <w:noWrap w:val="0"/>
                  <w:vAlign w:val="center"/>
                </w:tcPr>
                <w:p w14:paraId="0DB3633E">
                  <w:pPr>
                    <w:pStyle w:val="58"/>
                    <w:adjustRightInd w:val="0"/>
                    <w:snapToGrid w:val="0"/>
                    <w:jc w:val="center"/>
                    <w:rPr>
                      <w:sz w:val="21"/>
                      <w:szCs w:val="21"/>
                      <w:lang w:eastAsia="zh-CN"/>
                    </w:rPr>
                  </w:pPr>
                </w:p>
              </w:tc>
            </w:tr>
            <w:tr w14:paraId="7DD4770B">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31" w:hRule="atLeast"/>
              </w:trPr>
              <w:tc>
                <w:tcPr>
                  <w:tcW w:w="125" w:type="pct"/>
                  <w:vMerge w:val="continue"/>
                  <w:tcBorders>
                    <w:top w:val="single" w:color="auto" w:sz="4" w:space="0"/>
                    <w:bottom w:val="single" w:color="auto" w:sz="4" w:space="0"/>
                    <w:right w:val="single" w:color="000000" w:sz="4" w:space="0"/>
                  </w:tcBorders>
                  <w:noWrap w:val="0"/>
                  <w:vAlign w:val="center"/>
                </w:tcPr>
                <w:p w14:paraId="5D1302D5">
                  <w:pPr>
                    <w:jc w:val="center"/>
                  </w:pPr>
                </w:p>
              </w:tc>
              <w:tc>
                <w:tcPr>
                  <w:tcW w:w="170" w:type="pct"/>
                  <w:vMerge w:val="continue"/>
                  <w:tcBorders>
                    <w:top w:val="single" w:color="auto" w:sz="4" w:space="0"/>
                    <w:left w:val="single" w:color="000000" w:sz="4" w:space="0"/>
                    <w:bottom w:val="single" w:color="auto" w:sz="4" w:space="0"/>
                    <w:right w:val="single" w:color="auto" w:sz="4" w:space="0"/>
                  </w:tcBorders>
                  <w:noWrap w:val="0"/>
                  <w:vAlign w:val="center"/>
                </w:tcPr>
                <w:p w14:paraId="3DBD9FE8">
                  <w:pPr>
                    <w:jc w:val="center"/>
                  </w:pPr>
                </w:p>
              </w:tc>
              <w:tc>
                <w:tcPr>
                  <w:tcW w:w="224" w:type="pct"/>
                  <w:tcBorders>
                    <w:top w:val="single" w:color="auto" w:sz="4" w:space="0"/>
                    <w:left w:val="single" w:color="auto" w:sz="4" w:space="0"/>
                    <w:bottom w:val="single" w:color="auto" w:sz="4" w:space="0"/>
                    <w:right w:val="single" w:color="auto" w:sz="4" w:space="0"/>
                  </w:tcBorders>
                  <w:noWrap w:val="0"/>
                  <w:vAlign w:val="center"/>
                </w:tcPr>
                <w:p w14:paraId="10B76E65">
                  <w:pPr>
                    <w:jc w:val="center"/>
                    <w:rPr>
                      <w:rFonts w:hint="eastAsia"/>
                      <w:szCs w:val="21"/>
                    </w:rPr>
                  </w:pPr>
                  <w:r>
                    <w:rPr>
                      <w:rFonts w:hint="eastAsia"/>
                      <w:szCs w:val="21"/>
                    </w:rPr>
                    <w:t>动植物油</w:t>
                  </w:r>
                </w:p>
              </w:tc>
              <w:tc>
                <w:tcPr>
                  <w:tcW w:w="242" w:type="pct"/>
                  <w:vMerge w:val="continue"/>
                  <w:tcBorders>
                    <w:top w:val="single" w:color="auto" w:sz="4" w:space="0"/>
                    <w:left w:val="single" w:color="auto" w:sz="4" w:space="0"/>
                    <w:bottom w:val="single" w:color="auto" w:sz="4" w:space="0"/>
                    <w:right w:val="single" w:color="000000" w:sz="4" w:space="0"/>
                  </w:tcBorders>
                  <w:noWrap w:val="0"/>
                  <w:vAlign w:val="center"/>
                </w:tcPr>
                <w:p w14:paraId="49067324">
                  <w:pPr>
                    <w:jc w:val="center"/>
                    <w:rPr>
                      <w:szCs w:val="21"/>
                    </w:rPr>
                  </w:pPr>
                </w:p>
              </w:tc>
              <w:tc>
                <w:tcPr>
                  <w:tcW w:w="448" w:type="pct"/>
                  <w:vMerge w:val="continue"/>
                  <w:tcBorders>
                    <w:top w:val="single" w:color="auto" w:sz="4" w:space="0"/>
                    <w:left w:val="single" w:color="000000" w:sz="4" w:space="0"/>
                    <w:bottom w:val="single" w:color="auto" w:sz="4" w:space="0"/>
                    <w:right w:val="single" w:color="000000" w:sz="4" w:space="0"/>
                  </w:tcBorders>
                  <w:noWrap w:val="0"/>
                  <w:vAlign w:val="center"/>
                </w:tcPr>
                <w:p w14:paraId="7055AF78">
                  <w:pPr>
                    <w:jc w:val="center"/>
                    <w:rPr>
                      <w:szCs w:val="21"/>
                    </w:rPr>
                  </w:pPr>
                </w:p>
              </w:tc>
              <w:tc>
                <w:tcPr>
                  <w:tcW w:w="377" w:type="pct"/>
                  <w:vMerge w:val="continue"/>
                  <w:tcBorders>
                    <w:top w:val="single" w:color="auto" w:sz="4" w:space="0"/>
                    <w:left w:val="single" w:color="000000" w:sz="4" w:space="0"/>
                    <w:bottom w:val="single" w:color="auto" w:sz="4" w:space="0"/>
                    <w:right w:val="single" w:color="000000" w:sz="4" w:space="0"/>
                  </w:tcBorders>
                  <w:noWrap w:val="0"/>
                  <w:vAlign w:val="center"/>
                </w:tcPr>
                <w:p w14:paraId="1A41B9C4">
                  <w:pPr>
                    <w:jc w:val="center"/>
                    <w:rPr>
                      <w:szCs w:val="21"/>
                    </w:rPr>
                  </w:pPr>
                </w:p>
              </w:tc>
              <w:tc>
                <w:tcPr>
                  <w:tcW w:w="257" w:type="pct"/>
                  <w:vMerge w:val="continue"/>
                  <w:tcBorders>
                    <w:top w:val="single" w:color="auto" w:sz="4" w:space="0"/>
                    <w:left w:val="single" w:color="000000" w:sz="4" w:space="0"/>
                    <w:bottom w:val="single" w:color="auto" w:sz="4" w:space="0"/>
                    <w:right w:val="single" w:color="000000" w:sz="4" w:space="0"/>
                  </w:tcBorders>
                  <w:noWrap w:val="0"/>
                  <w:vAlign w:val="center"/>
                </w:tcPr>
                <w:p w14:paraId="50242BDA">
                  <w:pPr>
                    <w:jc w:val="center"/>
                    <w:rPr>
                      <w:szCs w:val="21"/>
                    </w:rPr>
                  </w:pPr>
                </w:p>
              </w:tc>
              <w:tc>
                <w:tcPr>
                  <w:tcW w:w="329" w:type="pct"/>
                  <w:vMerge w:val="continue"/>
                  <w:tcBorders>
                    <w:top w:val="single" w:color="auto" w:sz="4" w:space="0"/>
                    <w:left w:val="single" w:color="000000" w:sz="4" w:space="0"/>
                    <w:bottom w:val="single" w:color="auto" w:sz="4" w:space="0"/>
                    <w:right w:val="single" w:color="000000" w:sz="4" w:space="0"/>
                  </w:tcBorders>
                  <w:noWrap w:val="0"/>
                  <w:vAlign w:val="center"/>
                </w:tcPr>
                <w:p w14:paraId="756451FC">
                  <w:pPr>
                    <w:jc w:val="center"/>
                    <w:rPr>
                      <w:szCs w:val="21"/>
                    </w:rPr>
                  </w:pPr>
                </w:p>
              </w:tc>
              <w:tc>
                <w:tcPr>
                  <w:tcW w:w="186" w:type="pct"/>
                  <w:vMerge w:val="continue"/>
                  <w:tcBorders>
                    <w:top w:val="single" w:color="auto" w:sz="4" w:space="0"/>
                    <w:left w:val="single" w:color="000000" w:sz="4" w:space="0"/>
                    <w:bottom w:val="single" w:color="auto" w:sz="4" w:space="0"/>
                    <w:right w:val="single" w:color="000000" w:sz="6" w:space="0"/>
                  </w:tcBorders>
                  <w:noWrap w:val="0"/>
                  <w:vAlign w:val="center"/>
                </w:tcPr>
                <w:p w14:paraId="7D432DE6">
                  <w:pPr>
                    <w:jc w:val="center"/>
                    <w:rPr>
                      <w:szCs w:val="21"/>
                    </w:rPr>
                  </w:pPr>
                </w:p>
              </w:tc>
              <w:tc>
                <w:tcPr>
                  <w:tcW w:w="163" w:type="pct"/>
                  <w:vMerge w:val="continue"/>
                  <w:tcBorders>
                    <w:top w:val="single" w:color="auto" w:sz="4" w:space="0"/>
                    <w:left w:val="single" w:color="000000" w:sz="6" w:space="0"/>
                    <w:bottom w:val="single" w:color="auto" w:sz="4" w:space="0"/>
                    <w:right w:val="single" w:color="000000" w:sz="6" w:space="0"/>
                  </w:tcBorders>
                  <w:noWrap w:val="0"/>
                  <w:vAlign w:val="center"/>
                </w:tcPr>
                <w:p w14:paraId="10D9AC05">
                  <w:pPr>
                    <w:jc w:val="center"/>
                    <w:rPr>
                      <w:szCs w:val="21"/>
                    </w:rPr>
                  </w:pPr>
                </w:p>
              </w:tc>
              <w:tc>
                <w:tcPr>
                  <w:tcW w:w="177" w:type="pct"/>
                  <w:vMerge w:val="continue"/>
                  <w:tcBorders>
                    <w:top w:val="single" w:color="auto" w:sz="4" w:space="0"/>
                    <w:left w:val="single" w:color="000000" w:sz="6" w:space="0"/>
                    <w:bottom w:val="single" w:color="auto" w:sz="4" w:space="0"/>
                    <w:right w:val="single" w:color="000000" w:sz="6" w:space="0"/>
                  </w:tcBorders>
                  <w:noWrap w:val="0"/>
                  <w:vAlign w:val="center"/>
                </w:tcPr>
                <w:p w14:paraId="1DD5F39A">
                  <w:pPr>
                    <w:jc w:val="center"/>
                    <w:rPr>
                      <w:szCs w:val="21"/>
                    </w:rPr>
                  </w:pPr>
                </w:p>
              </w:tc>
              <w:tc>
                <w:tcPr>
                  <w:tcW w:w="229" w:type="pct"/>
                  <w:vMerge w:val="continue"/>
                  <w:tcBorders>
                    <w:top w:val="single" w:color="auto" w:sz="4" w:space="0"/>
                    <w:left w:val="single" w:color="000000" w:sz="6" w:space="0"/>
                    <w:bottom w:val="single" w:color="auto" w:sz="4" w:space="0"/>
                    <w:right w:val="single" w:color="000000" w:sz="4" w:space="0"/>
                  </w:tcBorders>
                  <w:noWrap w:val="0"/>
                  <w:vAlign w:val="center"/>
                </w:tcPr>
                <w:p w14:paraId="3BC598F1">
                  <w:pPr>
                    <w:jc w:val="center"/>
                    <w:rPr>
                      <w:szCs w:val="21"/>
                    </w:rPr>
                  </w:pPr>
                </w:p>
              </w:tc>
              <w:tc>
                <w:tcPr>
                  <w:tcW w:w="233" w:type="pct"/>
                  <w:vMerge w:val="continue"/>
                  <w:tcBorders>
                    <w:top w:val="single" w:color="auto" w:sz="4" w:space="0"/>
                    <w:left w:val="single" w:color="000000" w:sz="4" w:space="0"/>
                    <w:bottom w:val="single" w:color="auto" w:sz="4" w:space="0"/>
                    <w:right w:val="single" w:color="000000" w:sz="6" w:space="0"/>
                  </w:tcBorders>
                  <w:noWrap w:val="0"/>
                  <w:vAlign w:val="center"/>
                </w:tcPr>
                <w:p w14:paraId="16B67229">
                  <w:pPr>
                    <w:jc w:val="center"/>
                    <w:rPr>
                      <w:szCs w:val="21"/>
                    </w:rPr>
                  </w:pPr>
                </w:p>
              </w:tc>
              <w:tc>
                <w:tcPr>
                  <w:tcW w:w="169" w:type="pct"/>
                  <w:vMerge w:val="continue"/>
                  <w:tcBorders>
                    <w:top w:val="single" w:color="auto" w:sz="4" w:space="0"/>
                    <w:left w:val="single" w:color="000000" w:sz="6" w:space="0"/>
                    <w:bottom w:val="single" w:color="auto" w:sz="4" w:space="0"/>
                    <w:right w:val="single" w:color="000000" w:sz="6" w:space="0"/>
                  </w:tcBorders>
                  <w:noWrap w:val="0"/>
                  <w:vAlign w:val="center"/>
                </w:tcPr>
                <w:p w14:paraId="428E12B9">
                  <w:pPr>
                    <w:jc w:val="center"/>
                    <w:rPr>
                      <w:szCs w:val="21"/>
                    </w:rPr>
                  </w:pPr>
                </w:p>
              </w:tc>
              <w:tc>
                <w:tcPr>
                  <w:tcW w:w="233" w:type="pct"/>
                  <w:vMerge w:val="continue"/>
                  <w:tcBorders>
                    <w:top w:val="single" w:color="auto" w:sz="4" w:space="0"/>
                    <w:left w:val="single" w:color="000000" w:sz="6" w:space="0"/>
                    <w:bottom w:val="single" w:color="auto" w:sz="4" w:space="0"/>
                    <w:right w:val="single" w:color="000000" w:sz="4" w:space="0"/>
                  </w:tcBorders>
                  <w:noWrap w:val="0"/>
                  <w:vAlign w:val="center"/>
                </w:tcPr>
                <w:p w14:paraId="0F2AF7E2">
                  <w:pPr>
                    <w:jc w:val="center"/>
                    <w:rPr>
                      <w:szCs w:val="21"/>
                    </w:rPr>
                  </w:pPr>
                </w:p>
              </w:tc>
              <w:tc>
                <w:tcPr>
                  <w:tcW w:w="618" w:type="pct"/>
                  <w:vMerge w:val="continue"/>
                  <w:tcBorders>
                    <w:top w:val="single" w:color="auto" w:sz="4" w:space="0"/>
                    <w:left w:val="single" w:color="000000" w:sz="4" w:space="0"/>
                    <w:bottom w:val="single" w:color="auto" w:sz="4" w:space="0"/>
                    <w:right w:val="single" w:color="auto" w:sz="4" w:space="0"/>
                  </w:tcBorders>
                  <w:noWrap w:val="0"/>
                  <w:vAlign w:val="center"/>
                </w:tcPr>
                <w:p w14:paraId="3F41939A">
                  <w:pPr>
                    <w:jc w:val="center"/>
                    <w:rPr>
                      <w:szCs w:val="21"/>
                    </w:rPr>
                  </w:pPr>
                </w:p>
              </w:tc>
              <w:tc>
                <w:tcPr>
                  <w:tcW w:w="347" w:type="pct"/>
                  <w:tcBorders>
                    <w:top w:val="single" w:color="auto" w:sz="4" w:space="0"/>
                    <w:left w:val="single" w:color="auto" w:sz="4" w:space="0"/>
                    <w:bottom w:val="single" w:color="auto" w:sz="4" w:space="0"/>
                    <w:right w:val="single" w:color="auto" w:sz="4" w:space="0"/>
                  </w:tcBorders>
                  <w:noWrap w:val="0"/>
                  <w:vAlign w:val="center"/>
                </w:tcPr>
                <w:p w14:paraId="2B8478C4">
                  <w:pPr>
                    <w:jc w:val="center"/>
                    <w:rPr>
                      <w:szCs w:val="21"/>
                    </w:rPr>
                  </w:pPr>
                  <w:r>
                    <w:rPr>
                      <w:rFonts w:hint="eastAsia"/>
                      <w:szCs w:val="21"/>
                      <w:lang w:val="en-US" w:eastAsia="zh-CN"/>
                    </w:rPr>
                    <w:t>/</w:t>
                  </w:r>
                </w:p>
              </w:tc>
              <w:tc>
                <w:tcPr>
                  <w:tcW w:w="231" w:type="pct"/>
                  <w:vMerge w:val="continue"/>
                  <w:tcBorders>
                    <w:top w:val="single" w:color="auto" w:sz="4" w:space="0"/>
                    <w:left w:val="single" w:color="auto" w:sz="4" w:space="0"/>
                    <w:bottom w:val="single" w:color="auto" w:sz="4" w:space="0"/>
                    <w:right w:val="single" w:color="000000" w:sz="6" w:space="0"/>
                  </w:tcBorders>
                  <w:noWrap w:val="0"/>
                  <w:vAlign w:val="center"/>
                </w:tcPr>
                <w:p w14:paraId="3131F415">
                  <w:pPr>
                    <w:jc w:val="center"/>
                    <w:rPr>
                      <w:szCs w:val="21"/>
                    </w:rPr>
                  </w:pPr>
                </w:p>
              </w:tc>
              <w:tc>
                <w:tcPr>
                  <w:tcW w:w="234" w:type="pct"/>
                  <w:vMerge w:val="continue"/>
                  <w:tcBorders>
                    <w:top w:val="single" w:color="auto" w:sz="4" w:space="0"/>
                    <w:left w:val="single" w:color="000000" w:sz="6" w:space="0"/>
                    <w:bottom w:val="single" w:color="auto" w:sz="4" w:space="0"/>
                    <w:right w:val="single" w:color="auto" w:sz="4" w:space="0"/>
                  </w:tcBorders>
                  <w:noWrap w:val="0"/>
                  <w:vAlign w:val="center"/>
                </w:tcPr>
                <w:p w14:paraId="05F38B4A">
                  <w:pPr>
                    <w:jc w:val="center"/>
                    <w:rPr>
                      <w:szCs w:val="21"/>
                    </w:rPr>
                  </w:pPr>
                </w:p>
              </w:tc>
            </w:tr>
            <w:tr w14:paraId="21AA83F3">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25" w:type="pct"/>
                  <w:vMerge w:val="restart"/>
                  <w:tcBorders>
                    <w:top w:val="single" w:color="auto" w:sz="4" w:space="0"/>
                    <w:right w:val="single" w:color="000000" w:sz="4" w:space="0"/>
                  </w:tcBorders>
                  <w:noWrap w:val="0"/>
                  <w:vAlign w:val="center"/>
                </w:tcPr>
                <w:p w14:paraId="214B4FD6">
                  <w:pPr>
                    <w:jc w:val="center"/>
                    <w:rPr>
                      <w:rFonts w:hint="eastAsia" w:eastAsia="宋体"/>
                      <w:lang w:val="en-US" w:eastAsia="zh-CN"/>
                    </w:rPr>
                  </w:pPr>
                  <w:r>
                    <w:rPr>
                      <w:rFonts w:hint="eastAsia"/>
                      <w:lang w:val="en-US" w:eastAsia="zh-CN"/>
                    </w:rPr>
                    <w:t>2</w:t>
                  </w:r>
                </w:p>
              </w:tc>
              <w:tc>
                <w:tcPr>
                  <w:tcW w:w="170" w:type="pct"/>
                  <w:vMerge w:val="restart"/>
                  <w:tcBorders>
                    <w:top w:val="single" w:color="auto" w:sz="4" w:space="0"/>
                    <w:left w:val="single" w:color="000000" w:sz="4" w:space="0"/>
                    <w:right w:val="single" w:color="000000" w:sz="4" w:space="0"/>
                  </w:tcBorders>
                  <w:noWrap w:val="0"/>
                  <w:vAlign w:val="center"/>
                </w:tcPr>
                <w:p w14:paraId="3FF2FCEB">
                  <w:pPr>
                    <w:jc w:val="center"/>
                    <w:rPr>
                      <w:rFonts w:hint="default" w:eastAsia="宋体"/>
                      <w:lang w:val="en-US" w:eastAsia="zh-CN"/>
                    </w:rPr>
                  </w:pPr>
                  <w:r>
                    <w:rPr>
                      <w:rFonts w:hint="eastAsia"/>
                      <w:lang w:val="en-US" w:eastAsia="zh-CN"/>
                    </w:rPr>
                    <w:t>车辆冲洗废水</w:t>
                  </w:r>
                </w:p>
              </w:tc>
              <w:tc>
                <w:tcPr>
                  <w:tcW w:w="224" w:type="pct"/>
                  <w:tcBorders>
                    <w:top w:val="single" w:color="auto" w:sz="4" w:space="0"/>
                    <w:left w:val="single" w:color="000000" w:sz="4" w:space="0"/>
                    <w:bottom w:val="single" w:color="auto" w:sz="4" w:space="0"/>
                    <w:right w:val="single" w:color="000000" w:sz="4" w:space="0"/>
                  </w:tcBorders>
                  <w:noWrap w:val="0"/>
                  <w:vAlign w:val="center"/>
                </w:tcPr>
                <w:p w14:paraId="683427D3">
                  <w:pPr>
                    <w:jc w:val="center"/>
                    <w:rPr>
                      <w:rFonts w:hint="default" w:eastAsia="宋体"/>
                      <w:szCs w:val="21"/>
                      <w:lang w:val="en-US" w:eastAsia="zh-CN"/>
                    </w:rPr>
                  </w:pPr>
                  <w:r>
                    <w:rPr>
                      <w:rFonts w:hint="eastAsia"/>
                      <w:szCs w:val="21"/>
                      <w:lang w:val="en-US" w:eastAsia="zh-CN"/>
                    </w:rPr>
                    <w:t>COD</w:t>
                  </w:r>
                </w:p>
              </w:tc>
              <w:tc>
                <w:tcPr>
                  <w:tcW w:w="242" w:type="pct"/>
                  <w:vMerge w:val="restart"/>
                  <w:tcBorders>
                    <w:top w:val="single" w:color="auto" w:sz="4" w:space="0"/>
                    <w:left w:val="single" w:color="000000" w:sz="4" w:space="0"/>
                    <w:right w:val="single" w:color="auto" w:sz="4" w:space="0"/>
                  </w:tcBorders>
                  <w:noWrap w:val="0"/>
                  <w:vAlign w:val="center"/>
                </w:tcPr>
                <w:p w14:paraId="6C4CD5E9">
                  <w:pPr>
                    <w:jc w:val="center"/>
                    <w:rPr>
                      <w:rFonts w:hint="default" w:eastAsia="宋体"/>
                      <w:szCs w:val="21"/>
                      <w:lang w:val="en-US" w:eastAsia="zh-CN"/>
                    </w:rPr>
                  </w:pPr>
                  <w:r>
                    <w:rPr>
                      <w:rFonts w:hint="eastAsia"/>
                      <w:szCs w:val="21"/>
                      <w:lang w:val="en-US" w:eastAsia="zh-CN"/>
                    </w:rPr>
                    <w:t>TW002</w:t>
                  </w:r>
                </w:p>
              </w:tc>
              <w:tc>
                <w:tcPr>
                  <w:tcW w:w="448" w:type="pct"/>
                  <w:vMerge w:val="restart"/>
                  <w:tcBorders>
                    <w:top w:val="single" w:color="auto" w:sz="4" w:space="0"/>
                    <w:left w:val="single" w:color="auto" w:sz="4" w:space="0"/>
                    <w:right w:val="single" w:color="000000" w:sz="4" w:space="0"/>
                  </w:tcBorders>
                  <w:noWrap w:val="0"/>
                  <w:vAlign w:val="center"/>
                </w:tcPr>
                <w:p w14:paraId="5EF78C95">
                  <w:pPr>
                    <w:jc w:val="center"/>
                    <w:rPr>
                      <w:rFonts w:hint="default" w:eastAsia="宋体"/>
                      <w:szCs w:val="21"/>
                      <w:lang w:val="en-US" w:eastAsia="zh-CN"/>
                    </w:rPr>
                  </w:pPr>
                  <w:r>
                    <w:rPr>
                      <w:rFonts w:hint="eastAsia"/>
                      <w:szCs w:val="21"/>
                      <w:lang w:val="en-US" w:eastAsia="zh-CN"/>
                    </w:rPr>
                    <w:t>污水处理站</w:t>
                  </w:r>
                </w:p>
              </w:tc>
              <w:tc>
                <w:tcPr>
                  <w:tcW w:w="377" w:type="pct"/>
                  <w:vMerge w:val="restart"/>
                  <w:tcBorders>
                    <w:top w:val="single" w:color="auto" w:sz="4" w:space="0"/>
                    <w:left w:val="single" w:color="000000" w:sz="4" w:space="0"/>
                    <w:right w:val="single" w:color="000000" w:sz="4" w:space="0"/>
                  </w:tcBorders>
                  <w:noWrap w:val="0"/>
                  <w:vAlign w:val="center"/>
                </w:tcPr>
                <w:p w14:paraId="7FBF92A1">
                  <w:pPr>
                    <w:jc w:val="center"/>
                    <w:rPr>
                      <w:rFonts w:hint="eastAsia" w:eastAsia="宋体"/>
                      <w:szCs w:val="21"/>
                      <w:lang w:val="en-US" w:eastAsia="zh-CN"/>
                    </w:rPr>
                  </w:pPr>
                  <w:r>
                    <w:rPr>
                      <w:rFonts w:hint="default" w:ascii="Times New Roman" w:hAnsi="Times New Roman" w:cs="Times New Roman"/>
                      <w:sz w:val="21"/>
                      <w:szCs w:val="21"/>
                    </w:rPr>
                    <w:t>均质+油水分离器+絮凝沉淀+吸附过滤</w:t>
                  </w:r>
                </w:p>
              </w:tc>
              <w:tc>
                <w:tcPr>
                  <w:tcW w:w="257" w:type="pct"/>
                  <w:vMerge w:val="restart"/>
                  <w:tcBorders>
                    <w:top w:val="single" w:color="auto" w:sz="4" w:space="0"/>
                    <w:left w:val="single" w:color="000000" w:sz="4" w:space="0"/>
                    <w:right w:val="single" w:color="000000" w:sz="4" w:space="0"/>
                  </w:tcBorders>
                  <w:noWrap w:val="0"/>
                  <w:vAlign w:val="center"/>
                </w:tcPr>
                <w:p w14:paraId="02313619">
                  <w:pPr>
                    <w:jc w:val="center"/>
                    <w:rPr>
                      <w:rFonts w:hint="eastAsia" w:eastAsia="宋体"/>
                      <w:szCs w:val="21"/>
                      <w:lang w:val="en-US" w:eastAsia="zh-CN"/>
                    </w:rPr>
                  </w:pPr>
                  <w:r>
                    <w:rPr>
                      <w:rFonts w:hint="eastAsia"/>
                      <w:szCs w:val="21"/>
                      <w:lang w:val="en-US" w:eastAsia="zh-CN"/>
                    </w:rPr>
                    <w:t>是</w:t>
                  </w:r>
                </w:p>
              </w:tc>
              <w:tc>
                <w:tcPr>
                  <w:tcW w:w="329" w:type="pct"/>
                  <w:vMerge w:val="restart"/>
                  <w:tcBorders>
                    <w:top w:val="single" w:color="auto" w:sz="4" w:space="0"/>
                    <w:left w:val="single" w:color="000000" w:sz="4" w:space="0"/>
                    <w:right w:val="single" w:color="000000" w:sz="4" w:space="0"/>
                  </w:tcBorders>
                  <w:noWrap w:val="0"/>
                  <w:vAlign w:val="center"/>
                </w:tcPr>
                <w:p w14:paraId="0349AC40">
                  <w:pPr>
                    <w:jc w:val="center"/>
                    <w:rPr>
                      <w:rFonts w:hint="eastAsia" w:eastAsia="宋体"/>
                      <w:szCs w:val="21"/>
                      <w:lang w:val="en-US" w:eastAsia="zh-CN"/>
                    </w:rPr>
                  </w:pPr>
                  <w:r>
                    <w:rPr>
                      <w:rFonts w:hint="eastAsia"/>
                      <w:szCs w:val="21"/>
                      <w:lang w:val="en-US" w:eastAsia="zh-CN"/>
                    </w:rPr>
                    <w:t>/</w:t>
                  </w:r>
                </w:p>
              </w:tc>
              <w:tc>
                <w:tcPr>
                  <w:tcW w:w="186" w:type="pct"/>
                  <w:vMerge w:val="restart"/>
                  <w:tcBorders>
                    <w:top w:val="single" w:color="auto" w:sz="4" w:space="0"/>
                    <w:left w:val="single" w:color="000000" w:sz="4" w:space="0"/>
                    <w:right w:val="single" w:color="000000" w:sz="6" w:space="0"/>
                  </w:tcBorders>
                  <w:noWrap w:val="0"/>
                  <w:vAlign w:val="center"/>
                </w:tcPr>
                <w:p w14:paraId="43BCB6E0">
                  <w:pPr>
                    <w:jc w:val="center"/>
                    <w:rPr>
                      <w:rFonts w:hint="default" w:eastAsia="宋体"/>
                      <w:szCs w:val="21"/>
                      <w:lang w:val="en-US" w:eastAsia="zh-CN"/>
                    </w:rPr>
                  </w:pPr>
                  <w:r>
                    <w:rPr>
                      <w:rFonts w:hint="eastAsia"/>
                      <w:szCs w:val="21"/>
                      <w:lang w:val="en-US" w:eastAsia="zh-CN"/>
                    </w:rPr>
                    <w:t>不外排</w:t>
                  </w:r>
                </w:p>
              </w:tc>
              <w:tc>
                <w:tcPr>
                  <w:tcW w:w="163" w:type="pct"/>
                  <w:vMerge w:val="restart"/>
                  <w:tcBorders>
                    <w:top w:val="single" w:color="auto" w:sz="4" w:space="0"/>
                    <w:left w:val="single" w:color="000000" w:sz="6" w:space="0"/>
                    <w:right w:val="single" w:color="000000" w:sz="6" w:space="0"/>
                  </w:tcBorders>
                  <w:noWrap w:val="0"/>
                  <w:vAlign w:val="center"/>
                </w:tcPr>
                <w:p w14:paraId="53E93E8E">
                  <w:pPr>
                    <w:adjustRightInd w:val="0"/>
                    <w:snapToGrid w:val="0"/>
                    <w:jc w:val="center"/>
                    <w:rPr>
                      <w:szCs w:val="21"/>
                    </w:rPr>
                  </w:pPr>
                  <w:r>
                    <w:rPr>
                      <w:sz w:val="21"/>
                      <w:szCs w:val="21"/>
                      <w:lang w:eastAsia="zh-CN"/>
                    </w:rPr>
                    <w:t>/</w:t>
                  </w:r>
                </w:p>
              </w:tc>
              <w:tc>
                <w:tcPr>
                  <w:tcW w:w="177" w:type="pct"/>
                  <w:vMerge w:val="restart"/>
                  <w:tcBorders>
                    <w:top w:val="single" w:color="auto" w:sz="4" w:space="0"/>
                    <w:left w:val="single" w:color="000000" w:sz="6" w:space="0"/>
                    <w:right w:val="single" w:color="000000" w:sz="6" w:space="0"/>
                  </w:tcBorders>
                  <w:noWrap w:val="0"/>
                  <w:vAlign w:val="center"/>
                </w:tcPr>
                <w:p w14:paraId="0B64ADFF">
                  <w:pPr>
                    <w:adjustRightInd w:val="0"/>
                    <w:snapToGrid w:val="0"/>
                    <w:jc w:val="center"/>
                    <w:rPr>
                      <w:szCs w:val="21"/>
                    </w:rPr>
                  </w:pPr>
                  <w:r>
                    <w:rPr>
                      <w:sz w:val="21"/>
                      <w:szCs w:val="21"/>
                      <w:lang w:eastAsia="zh-CN"/>
                    </w:rPr>
                    <w:t>/</w:t>
                  </w:r>
                </w:p>
              </w:tc>
              <w:tc>
                <w:tcPr>
                  <w:tcW w:w="229" w:type="pct"/>
                  <w:vMerge w:val="restart"/>
                  <w:tcBorders>
                    <w:top w:val="single" w:color="auto" w:sz="4" w:space="0"/>
                    <w:left w:val="single" w:color="000000" w:sz="6" w:space="0"/>
                    <w:right w:val="single" w:color="000000" w:sz="4" w:space="0"/>
                  </w:tcBorders>
                  <w:noWrap w:val="0"/>
                  <w:vAlign w:val="center"/>
                </w:tcPr>
                <w:p w14:paraId="7A4B7DF1">
                  <w:pPr>
                    <w:adjustRightInd w:val="0"/>
                    <w:snapToGrid w:val="0"/>
                    <w:jc w:val="center"/>
                    <w:rPr>
                      <w:szCs w:val="21"/>
                    </w:rPr>
                  </w:pPr>
                  <w:r>
                    <w:rPr>
                      <w:sz w:val="21"/>
                      <w:szCs w:val="21"/>
                      <w:lang w:eastAsia="zh-CN"/>
                    </w:rPr>
                    <w:t>/</w:t>
                  </w:r>
                </w:p>
              </w:tc>
              <w:tc>
                <w:tcPr>
                  <w:tcW w:w="233" w:type="pct"/>
                  <w:vMerge w:val="restart"/>
                  <w:tcBorders>
                    <w:top w:val="single" w:color="auto" w:sz="4" w:space="0"/>
                    <w:left w:val="single" w:color="000000" w:sz="4" w:space="0"/>
                    <w:right w:val="single" w:color="000000" w:sz="6" w:space="0"/>
                  </w:tcBorders>
                  <w:noWrap w:val="0"/>
                  <w:vAlign w:val="center"/>
                </w:tcPr>
                <w:p w14:paraId="6F154F57">
                  <w:pPr>
                    <w:adjustRightInd w:val="0"/>
                    <w:snapToGrid w:val="0"/>
                    <w:jc w:val="center"/>
                    <w:rPr>
                      <w:szCs w:val="21"/>
                    </w:rPr>
                  </w:pPr>
                  <w:r>
                    <w:rPr>
                      <w:sz w:val="21"/>
                      <w:szCs w:val="21"/>
                      <w:lang w:eastAsia="zh-CN"/>
                    </w:rPr>
                    <w:t>/</w:t>
                  </w:r>
                </w:p>
              </w:tc>
              <w:tc>
                <w:tcPr>
                  <w:tcW w:w="169" w:type="pct"/>
                  <w:vMerge w:val="restart"/>
                  <w:tcBorders>
                    <w:top w:val="single" w:color="auto" w:sz="4" w:space="0"/>
                    <w:left w:val="single" w:color="000000" w:sz="6" w:space="0"/>
                    <w:right w:val="single" w:color="000000" w:sz="6" w:space="0"/>
                  </w:tcBorders>
                  <w:noWrap w:val="0"/>
                  <w:vAlign w:val="center"/>
                </w:tcPr>
                <w:p w14:paraId="0EDFC0E2">
                  <w:pPr>
                    <w:adjustRightInd w:val="0"/>
                    <w:snapToGrid w:val="0"/>
                    <w:jc w:val="center"/>
                    <w:rPr>
                      <w:szCs w:val="21"/>
                    </w:rPr>
                  </w:pPr>
                  <w:r>
                    <w:rPr>
                      <w:sz w:val="21"/>
                      <w:szCs w:val="21"/>
                      <w:lang w:eastAsia="zh-CN"/>
                    </w:rPr>
                    <w:t>/</w:t>
                  </w:r>
                </w:p>
              </w:tc>
              <w:tc>
                <w:tcPr>
                  <w:tcW w:w="233" w:type="pct"/>
                  <w:vMerge w:val="restart"/>
                  <w:tcBorders>
                    <w:top w:val="single" w:color="auto" w:sz="4" w:space="0"/>
                    <w:left w:val="single" w:color="000000" w:sz="6" w:space="0"/>
                    <w:right w:val="single" w:color="000000" w:sz="4" w:space="0"/>
                  </w:tcBorders>
                  <w:noWrap w:val="0"/>
                  <w:vAlign w:val="center"/>
                </w:tcPr>
                <w:p w14:paraId="3D4267D7">
                  <w:pPr>
                    <w:adjustRightInd w:val="0"/>
                    <w:snapToGrid w:val="0"/>
                    <w:jc w:val="center"/>
                    <w:rPr>
                      <w:szCs w:val="21"/>
                    </w:rPr>
                  </w:pPr>
                  <w:r>
                    <w:rPr>
                      <w:sz w:val="21"/>
                      <w:szCs w:val="21"/>
                      <w:lang w:eastAsia="zh-CN"/>
                    </w:rPr>
                    <w:t>/</w:t>
                  </w:r>
                </w:p>
              </w:tc>
              <w:tc>
                <w:tcPr>
                  <w:tcW w:w="618" w:type="pct"/>
                  <w:vMerge w:val="restart"/>
                  <w:tcBorders>
                    <w:top w:val="single" w:color="auto" w:sz="4" w:space="0"/>
                    <w:left w:val="single" w:color="000000" w:sz="4" w:space="0"/>
                    <w:right w:val="single" w:color="000000" w:sz="6" w:space="0"/>
                  </w:tcBorders>
                  <w:noWrap w:val="0"/>
                  <w:vAlign w:val="center"/>
                </w:tcPr>
                <w:p w14:paraId="53BE453E">
                  <w:pPr>
                    <w:adjustRightInd w:val="0"/>
                    <w:snapToGrid w:val="0"/>
                    <w:jc w:val="center"/>
                    <w:rPr>
                      <w:szCs w:val="21"/>
                    </w:rPr>
                  </w:pPr>
                  <w:r>
                    <w:rPr>
                      <w:sz w:val="21"/>
                      <w:szCs w:val="21"/>
                      <w:lang w:eastAsia="zh-CN"/>
                    </w:rPr>
                    <w:t>/</w:t>
                  </w:r>
                </w:p>
              </w:tc>
              <w:tc>
                <w:tcPr>
                  <w:tcW w:w="347" w:type="pct"/>
                  <w:tcBorders>
                    <w:top w:val="single" w:color="auto" w:sz="4" w:space="0"/>
                    <w:left w:val="single" w:color="auto" w:sz="4" w:space="0"/>
                    <w:bottom w:val="single" w:color="auto" w:sz="4" w:space="0"/>
                    <w:right w:val="single" w:color="auto" w:sz="4" w:space="0"/>
                  </w:tcBorders>
                  <w:noWrap w:val="0"/>
                  <w:vAlign w:val="center"/>
                </w:tcPr>
                <w:p w14:paraId="14E032A8">
                  <w:pPr>
                    <w:pStyle w:val="58"/>
                    <w:adjustRightInd w:val="0"/>
                    <w:snapToGrid w:val="0"/>
                    <w:jc w:val="center"/>
                    <w:rPr>
                      <w:rFonts w:hint="eastAsia"/>
                      <w:szCs w:val="21"/>
                      <w:lang w:val="en-US" w:eastAsia="zh-CN"/>
                    </w:rPr>
                  </w:pPr>
                  <w:r>
                    <w:rPr>
                      <w:sz w:val="21"/>
                      <w:szCs w:val="21"/>
                      <w:lang w:eastAsia="zh-CN"/>
                    </w:rPr>
                    <w:t>/</w:t>
                  </w:r>
                </w:p>
              </w:tc>
              <w:tc>
                <w:tcPr>
                  <w:tcW w:w="231" w:type="pct"/>
                  <w:vMerge w:val="restart"/>
                  <w:tcBorders>
                    <w:top w:val="single" w:color="auto" w:sz="4" w:space="0"/>
                    <w:left w:val="single" w:color="000000" w:sz="6" w:space="0"/>
                    <w:right w:val="single" w:color="000000" w:sz="6" w:space="0"/>
                  </w:tcBorders>
                  <w:noWrap w:val="0"/>
                  <w:vAlign w:val="center"/>
                </w:tcPr>
                <w:p w14:paraId="4293A916">
                  <w:pPr>
                    <w:pStyle w:val="58"/>
                    <w:adjustRightInd w:val="0"/>
                    <w:snapToGrid w:val="0"/>
                    <w:jc w:val="center"/>
                    <w:rPr>
                      <w:szCs w:val="21"/>
                    </w:rPr>
                  </w:pPr>
                  <w:r>
                    <w:rPr>
                      <w:sz w:val="21"/>
                      <w:szCs w:val="21"/>
                      <w:lang w:eastAsia="zh-CN"/>
                    </w:rPr>
                    <w:t>/</w:t>
                  </w:r>
                </w:p>
              </w:tc>
              <w:tc>
                <w:tcPr>
                  <w:tcW w:w="234" w:type="pct"/>
                  <w:vMerge w:val="restart"/>
                  <w:tcBorders>
                    <w:top w:val="single" w:color="auto" w:sz="4" w:space="0"/>
                    <w:left w:val="single" w:color="000000" w:sz="6" w:space="0"/>
                  </w:tcBorders>
                  <w:noWrap w:val="0"/>
                  <w:vAlign w:val="center"/>
                </w:tcPr>
                <w:p w14:paraId="610040C6">
                  <w:pPr>
                    <w:pStyle w:val="58"/>
                    <w:adjustRightInd w:val="0"/>
                    <w:snapToGrid w:val="0"/>
                    <w:jc w:val="center"/>
                    <w:rPr>
                      <w:szCs w:val="21"/>
                    </w:rPr>
                  </w:pPr>
                  <w:r>
                    <w:rPr>
                      <w:sz w:val="21"/>
                      <w:szCs w:val="21"/>
                      <w:lang w:eastAsia="zh-CN"/>
                    </w:rPr>
                    <w:t>/</w:t>
                  </w:r>
                </w:p>
              </w:tc>
            </w:tr>
            <w:tr w14:paraId="69540879">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25" w:type="pct"/>
                  <w:vMerge w:val="continue"/>
                  <w:tcBorders>
                    <w:right w:val="single" w:color="000000" w:sz="4" w:space="0"/>
                  </w:tcBorders>
                  <w:noWrap w:val="0"/>
                  <w:vAlign w:val="center"/>
                </w:tcPr>
                <w:p w14:paraId="0E921559">
                  <w:pPr>
                    <w:jc w:val="center"/>
                  </w:pPr>
                </w:p>
              </w:tc>
              <w:tc>
                <w:tcPr>
                  <w:tcW w:w="170" w:type="pct"/>
                  <w:vMerge w:val="continue"/>
                  <w:tcBorders>
                    <w:left w:val="single" w:color="000000" w:sz="4" w:space="0"/>
                    <w:right w:val="single" w:color="000000" w:sz="4" w:space="0"/>
                  </w:tcBorders>
                  <w:noWrap w:val="0"/>
                  <w:vAlign w:val="center"/>
                </w:tcPr>
                <w:p w14:paraId="21AB97F4">
                  <w:pPr>
                    <w:jc w:val="center"/>
                  </w:pPr>
                </w:p>
              </w:tc>
              <w:tc>
                <w:tcPr>
                  <w:tcW w:w="224" w:type="pct"/>
                  <w:tcBorders>
                    <w:top w:val="single" w:color="auto" w:sz="4" w:space="0"/>
                    <w:left w:val="single" w:color="000000" w:sz="4" w:space="0"/>
                    <w:bottom w:val="single" w:color="auto" w:sz="4" w:space="0"/>
                    <w:right w:val="single" w:color="000000" w:sz="4" w:space="0"/>
                  </w:tcBorders>
                  <w:noWrap w:val="0"/>
                  <w:vAlign w:val="center"/>
                </w:tcPr>
                <w:p w14:paraId="62454F24">
                  <w:pPr>
                    <w:jc w:val="center"/>
                    <w:rPr>
                      <w:rFonts w:hint="default"/>
                      <w:szCs w:val="21"/>
                      <w:lang w:val="en-US" w:eastAsia="zh-CN"/>
                    </w:rPr>
                  </w:pPr>
                  <w:r>
                    <w:rPr>
                      <w:rFonts w:hint="eastAsia"/>
                      <w:szCs w:val="21"/>
                      <w:lang w:val="en-US" w:eastAsia="zh-CN"/>
                    </w:rPr>
                    <w:t>SS</w:t>
                  </w:r>
                </w:p>
              </w:tc>
              <w:tc>
                <w:tcPr>
                  <w:tcW w:w="242" w:type="pct"/>
                  <w:vMerge w:val="continue"/>
                  <w:tcBorders>
                    <w:left w:val="single" w:color="000000" w:sz="4" w:space="0"/>
                    <w:right w:val="single" w:color="auto" w:sz="4" w:space="0"/>
                  </w:tcBorders>
                  <w:noWrap w:val="0"/>
                  <w:vAlign w:val="center"/>
                </w:tcPr>
                <w:p w14:paraId="646494A5">
                  <w:pPr>
                    <w:jc w:val="center"/>
                    <w:rPr>
                      <w:szCs w:val="21"/>
                    </w:rPr>
                  </w:pPr>
                </w:p>
              </w:tc>
              <w:tc>
                <w:tcPr>
                  <w:tcW w:w="448" w:type="pct"/>
                  <w:vMerge w:val="continue"/>
                  <w:tcBorders>
                    <w:left w:val="single" w:color="auto" w:sz="4" w:space="0"/>
                    <w:right w:val="single" w:color="000000" w:sz="4" w:space="0"/>
                  </w:tcBorders>
                  <w:noWrap w:val="0"/>
                  <w:vAlign w:val="center"/>
                </w:tcPr>
                <w:p w14:paraId="6A237123">
                  <w:pPr>
                    <w:jc w:val="center"/>
                    <w:rPr>
                      <w:szCs w:val="21"/>
                    </w:rPr>
                  </w:pPr>
                </w:p>
              </w:tc>
              <w:tc>
                <w:tcPr>
                  <w:tcW w:w="377" w:type="pct"/>
                  <w:vMerge w:val="continue"/>
                  <w:tcBorders>
                    <w:left w:val="single" w:color="000000" w:sz="4" w:space="0"/>
                    <w:right w:val="single" w:color="000000" w:sz="4" w:space="0"/>
                  </w:tcBorders>
                  <w:noWrap w:val="0"/>
                  <w:vAlign w:val="center"/>
                </w:tcPr>
                <w:p w14:paraId="6F102E07">
                  <w:pPr>
                    <w:jc w:val="center"/>
                    <w:rPr>
                      <w:szCs w:val="21"/>
                    </w:rPr>
                  </w:pPr>
                </w:p>
              </w:tc>
              <w:tc>
                <w:tcPr>
                  <w:tcW w:w="257" w:type="pct"/>
                  <w:vMerge w:val="continue"/>
                  <w:tcBorders>
                    <w:left w:val="single" w:color="000000" w:sz="4" w:space="0"/>
                    <w:right w:val="single" w:color="000000" w:sz="4" w:space="0"/>
                  </w:tcBorders>
                  <w:noWrap w:val="0"/>
                  <w:vAlign w:val="center"/>
                </w:tcPr>
                <w:p w14:paraId="56C7FC94">
                  <w:pPr>
                    <w:jc w:val="center"/>
                    <w:rPr>
                      <w:szCs w:val="21"/>
                    </w:rPr>
                  </w:pPr>
                </w:p>
              </w:tc>
              <w:tc>
                <w:tcPr>
                  <w:tcW w:w="329" w:type="pct"/>
                  <w:vMerge w:val="continue"/>
                  <w:tcBorders>
                    <w:left w:val="single" w:color="000000" w:sz="4" w:space="0"/>
                    <w:right w:val="single" w:color="000000" w:sz="4" w:space="0"/>
                  </w:tcBorders>
                  <w:noWrap w:val="0"/>
                  <w:vAlign w:val="center"/>
                </w:tcPr>
                <w:p w14:paraId="7FE30D88">
                  <w:pPr>
                    <w:jc w:val="center"/>
                    <w:rPr>
                      <w:szCs w:val="21"/>
                    </w:rPr>
                  </w:pPr>
                </w:p>
              </w:tc>
              <w:tc>
                <w:tcPr>
                  <w:tcW w:w="186" w:type="pct"/>
                  <w:vMerge w:val="continue"/>
                  <w:tcBorders>
                    <w:left w:val="single" w:color="000000" w:sz="4" w:space="0"/>
                    <w:right w:val="single" w:color="000000" w:sz="6" w:space="0"/>
                  </w:tcBorders>
                  <w:noWrap w:val="0"/>
                  <w:vAlign w:val="center"/>
                </w:tcPr>
                <w:p w14:paraId="629635F1">
                  <w:pPr>
                    <w:jc w:val="center"/>
                    <w:rPr>
                      <w:szCs w:val="21"/>
                    </w:rPr>
                  </w:pPr>
                </w:p>
              </w:tc>
              <w:tc>
                <w:tcPr>
                  <w:tcW w:w="163" w:type="pct"/>
                  <w:vMerge w:val="continue"/>
                  <w:tcBorders>
                    <w:left w:val="single" w:color="000000" w:sz="6" w:space="0"/>
                    <w:right w:val="single" w:color="000000" w:sz="6" w:space="0"/>
                  </w:tcBorders>
                  <w:noWrap w:val="0"/>
                  <w:vAlign w:val="center"/>
                </w:tcPr>
                <w:p w14:paraId="19601B4A">
                  <w:pPr>
                    <w:pStyle w:val="58"/>
                    <w:adjustRightInd w:val="0"/>
                    <w:snapToGrid w:val="0"/>
                    <w:jc w:val="center"/>
                    <w:rPr>
                      <w:szCs w:val="21"/>
                    </w:rPr>
                  </w:pPr>
                </w:p>
              </w:tc>
              <w:tc>
                <w:tcPr>
                  <w:tcW w:w="177" w:type="pct"/>
                  <w:vMerge w:val="continue"/>
                  <w:tcBorders>
                    <w:left w:val="single" w:color="000000" w:sz="6" w:space="0"/>
                    <w:right w:val="single" w:color="000000" w:sz="6" w:space="0"/>
                  </w:tcBorders>
                  <w:noWrap w:val="0"/>
                  <w:vAlign w:val="center"/>
                </w:tcPr>
                <w:p w14:paraId="63F1BCE7">
                  <w:pPr>
                    <w:pStyle w:val="58"/>
                    <w:adjustRightInd w:val="0"/>
                    <w:snapToGrid w:val="0"/>
                    <w:jc w:val="center"/>
                    <w:rPr>
                      <w:szCs w:val="21"/>
                    </w:rPr>
                  </w:pPr>
                </w:p>
              </w:tc>
              <w:tc>
                <w:tcPr>
                  <w:tcW w:w="229" w:type="pct"/>
                  <w:vMerge w:val="continue"/>
                  <w:tcBorders>
                    <w:left w:val="single" w:color="000000" w:sz="6" w:space="0"/>
                    <w:right w:val="single" w:color="000000" w:sz="4" w:space="0"/>
                  </w:tcBorders>
                  <w:noWrap w:val="0"/>
                  <w:vAlign w:val="center"/>
                </w:tcPr>
                <w:p w14:paraId="24BAB35A">
                  <w:pPr>
                    <w:adjustRightInd w:val="0"/>
                    <w:snapToGrid w:val="0"/>
                    <w:jc w:val="center"/>
                    <w:rPr>
                      <w:szCs w:val="21"/>
                    </w:rPr>
                  </w:pPr>
                </w:p>
              </w:tc>
              <w:tc>
                <w:tcPr>
                  <w:tcW w:w="233" w:type="pct"/>
                  <w:vMerge w:val="continue"/>
                  <w:tcBorders>
                    <w:left w:val="single" w:color="000000" w:sz="4" w:space="0"/>
                    <w:right w:val="single" w:color="000000" w:sz="6" w:space="0"/>
                  </w:tcBorders>
                  <w:noWrap w:val="0"/>
                  <w:vAlign w:val="center"/>
                </w:tcPr>
                <w:p w14:paraId="22904D54">
                  <w:pPr>
                    <w:adjustRightInd w:val="0"/>
                    <w:snapToGrid w:val="0"/>
                    <w:jc w:val="center"/>
                    <w:rPr>
                      <w:szCs w:val="21"/>
                    </w:rPr>
                  </w:pPr>
                </w:p>
              </w:tc>
              <w:tc>
                <w:tcPr>
                  <w:tcW w:w="169" w:type="pct"/>
                  <w:vMerge w:val="continue"/>
                  <w:tcBorders>
                    <w:left w:val="single" w:color="000000" w:sz="6" w:space="0"/>
                    <w:right w:val="single" w:color="000000" w:sz="6" w:space="0"/>
                  </w:tcBorders>
                  <w:noWrap w:val="0"/>
                  <w:vAlign w:val="center"/>
                </w:tcPr>
                <w:p w14:paraId="0E7F5502">
                  <w:pPr>
                    <w:adjustRightInd w:val="0"/>
                    <w:snapToGrid w:val="0"/>
                    <w:jc w:val="center"/>
                    <w:rPr>
                      <w:szCs w:val="21"/>
                    </w:rPr>
                  </w:pPr>
                </w:p>
              </w:tc>
              <w:tc>
                <w:tcPr>
                  <w:tcW w:w="233" w:type="pct"/>
                  <w:vMerge w:val="continue"/>
                  <w:tcBorders>
                    <w:left w:val="single" w:color="000000" w:sz="6" w:space="0"/>
                    <w:right w:val="single" w:color="000000" w:sz="4" w:space="0"/>
                  </w:tcBorders>
                  <w:noWrap w:val="0"/>
                  <w:vAlign w:val="center"/>
                </w:tcPr>
                <w:p w14:paraId="68856095">
                  <w:pPr>
                    <w:adjustRightInd w:val="0"/>
                    <w:snapToGrid w:val="0"/>
                    <w:jc w:val="center"/>
                    <w:rPr>
                      <w:szCs w:val="21"/>
                    </w:rPr>
                  </w:pPr>
                </w:p>
              </w:tc>
              <w:tc>
                <w:tcPr>
                  <w:tcW w:w="618" w:type="pct"/>
                  <w:vMerge w:val="continue"/>
                  <w:tcBorders>
                    <w:left w:val="single" w:color="000000" w:sz="4" w:space="0"/>
                    <w:right w:val="single" w:color="000000" w:sz="6" w:space="0"/>
                  </w:tcBorders>
                  <w:noWrap w:val="0"/>
                  <w:vAlign w:val="center"/>
                </w:tcPr>
                <w:p w14:paraId="5B50016D">
                  <w:pPr>
                    <w:pStyle w:val="58"/>
                    <w:adjustRightInd w:val="0"/>
                    <w:snapToGrid w:val="0"/>
                    <w:jc w:val="center"/>
                    <w:rPr>
                      <w:szCs w:val="21"/>
                    </w:rPr>
                  </w:pPr>
                </w:p>
              </w:tc>
              <w:tc>
                <w:tcPr>
                  <w:tcW w:w="347" w:type="pct"/>
                  <w:tcBorders>
                    <w:top w:val="single" w:color="auto" w:sz="4" w:space="0"/>
                    <w:left w:val="single" w:color="auto" w:sz="4" w:space="0"/>
                    <w:bottom w:val="single" w:color="auto" w:sz="4" w:space="0"/>
                    <w:right w:val="single" w:color="auto" w:sz="4" w:space="0"/>
                  </w:tcBorders>
                  <w:noWrap w:val="0"/>
                  <w:vAlign w:val="center"/>
                </w:tcPr>
                <w:p w14:paraId="5724EDA0">
                  <w:pPr>
                    <w:pStyle w:val="58"/>
                    <w:adjustRightInd w:val="0"/>
                    <w:snapToGrid w:val="0"/>
                    <w:jc w:val="center"/>
                    <w:rPr>
                      <w:rFonts w:hint="eastAsia"/>
                      <w:szCs w:val="21"/>
                      <w:lang w:val="en-US" w:eastAsia="zh-CN"/>
                    </w:rPr>
                  </w:pPr>
                  <w:r>
                    <w:rPr>
                      <w:sz w:val="21"/>
                      <w:szCs w:val="21"/>
                      <w:lang w:eastAsia="zh-CN"/>
                    </w:rPr>
                    <w:t>/</w:t>
                  </w:r>
                </w:p>
              </w:tc>
              <w:tc>
                <w:tcPr>
                  <w:tcW w:w="231" w:type="pct"/>
                  <w:vMerge w:val="continue"/>
                  <w:tcBorders>
                    <w:left w:val="single" w:color="000000" w:sz="6" w:space="0"/>
                    <w:right w:val="single" w:color="000000" w:sz="6" w:space="0"/>
                  </w:tcBorders>
                  <w:noWrap w:val="0"/>
                  <w:vAlign w:val="center"/>
                </w:tcPr>
                <w:p w14:paraId="5A97CC1B">
                  <w:pPr>
                    <w:jc w:val="center"/>
                    <w:rPr>
                      <w:szCs w:val="21"/>
                    </w:rPr>
                  </w:pPr>
                </w:p>
              </w:tc>
              <w:tc>
                <w:tcPr>
                  <w:tcW w:w="234" w:type="pct"/>
                  <w:vMerge w:val="continue"/>
                  <w:tcBorders>
                    <w:left w:val="single" w:color="000000" w:sz="6" w:space="0"/>
                  </w:tcBorders>
                  <w:noWrap w:val="0"/>
                  <w:vAlign w:val="center"/>
                </w:tcPr>
                <w:p w14:paraId="0DF4B380">
                  <w:pPr>
                    <w:jc w:val="center"/>
                    <w:rPr>
                      <w:szCs w:val="21"/>
                    </w:rPr>
                  </w:pPr>
                </w:p>
              </w:tc>
            </w:tr>
            <w:tr w14:paraId="49222531">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07" w:hRule="atLeast"/>
              </w:trPr>
              <w:tc>
                <w:tcPr>
                  <w:tcW w:w="125" w:type="pct"/>
                  <w:vMerge w:val="continue"/>
                  <w:tcBorders>
                    <w:bottom w:val="single" w:color="auto" w:sz="4" w:space="0"/>
                    <w:right w:val="single" w:color="000000" w:sz="4" w:space="0"/>
                  </w:tcBorders>
                  <w:noWrap w:val="0"/>
                  <w:vAlign w:val="center"/>
                </w:tcPr>
                <w:p w14:paraId="6EA10E5E">
                  <w:pPr>
                    <w:jc w:val="center"/>
                  </w:pPr>
                </w:p>
              </w:tc>
              <w:tc>
                <w:tcPr>
                  <w:tcW w:w="170" w:type="pct"/>
                  <w:vMerge w:val="continue"/>
                  <w:tcBorders>
                    <w:left w:val="single" w:color="000000" w:sz="4" w:space="0"/>
                    <w:bottom w:val="single" w:color="auto" w:sz="4" w:space="0"/>
                    <w:right w:val="single" w:color="000000" w:sz="4" w:space="0"/>
                  </w:tcBorders>
                  <w:noWrap w:val="0"/>
                  <w:vAlign w:val="center"/>
                </w:tcPr>
                <w:p w14:paraId="60C42B3E">
                  <w:pPr>
                    <w:jc w:val="center"/>
                  </w:pPr>
                </w:p>
              </w:tc>
              <w:tc>
                <w:tcPr>
                  <w:tcW w:w="224" w:type="pct"/>
                  <w:tcBorders>
                    <w:top w:val="single" w:color="auto" w:sz="4" w:space="0"/>
                    <w:left w:val="single" w:color="000000" w:sz="4" w:space="0"/>
                    <w:bottom w:val="single" w:color="auto" w:sz="4" w:space="0"/>
                    <w:right w:val="single" w:color="auto" w:sz="4" w:space="0"/>
                  </w:tcBorders>
                  <w:noWrap w:val="0"/>
                  <w:vAlign w:val="center"/>
                </w:tcPr>
                <w:p w14:paraId="4BE066A5">
                  <w:pPr>
                    <w:jc w:val="center"/>
                    <w:rPr>
                      <w:rFonts w:hint="default"/>
                      <w:szCs w:val="21"/>
                      <w:lang w:val="en-US" w:eastAsia="zh-CN"/>
                    </w:rPr>
                  </w:pPr>
                  <w:r>
                    <w:rPr>
                      <w:rFonts w:hint="eastAsia"/>
                      <w:szCs w:val="21"/>
                      <w:lang w:val="en-US" w:eastAsia="zh-CN"/>
                    </w:rPr>
                    <w:t>石油类</w:t>
                  </w:r>
                </w:p>
              </w:tc>
              <w:tc>
                <w:tcPr>
                  <w:tcW w:w="242" w:type="pct"/>
                  <w:vMerge w:val="continue"/>
                  <w:tcBorders>
                    <w:left w:val="single" w:color="000000" w:sz="4" w:space="0"/>
                    <w:right w:val="single" w:color="auto" w:sz="4" w:space="0"/>
                  </w:tcBorders>
                  <w:noWrap w:val="0"/>
                  <w:vAlign w:val="center"/>
                </w:tcPr>
                <w:p w14:paraId="4A8417DA">
                  <w:pPr>
                    <w:jc w:val="center"/>
                    <w:rPr>
                      <w:szCs w:val="21"/>
                    </w:rPr>
                  </w:pPr>
                </w:p>
              </w:tc>
              <w:tc>
                <w:tcPr>
                  <w:tcW w:w="448" w:type="pct"/>
                  <w:vMerge w:val="continue"/>
                  <w:tcBorders>
                    <w:left w:val="single" w:color="auto" w:sz="4" w:space="0"/>
                    <w:right w:val="single" w:color="000000" w:sz="4" w:space="0"/>
                  </w:tcBorders>
                  <w:noWrap w:val="0"/>
                  <w:vAlign w:val="center"/>
                </w:tcPr>
                <w:p w14:paraId="08A8E6F8">
                  <w:pPr>
                    <w:jc w:val="center"/>
                    <w:rPr>
                      <w:szCs w:val="21"/>
                    </w:rPr>
                  </w:pPr>
                </w:p>
              </w:tc>
              <w:tc>
                <w:tcPr>
                  <w:tcW w:w="377" w:type="pct"/>
                  <w:vMerge w:val="continue"/>
                  <w:tcBorders>
                    <w:left w:val="single" w:color="000000" w:sz="4" w:space="0"/>
                    <w:right w:val="single" w:color="000000" w:sz="4" w:space="0"/>
                  </w:tcBorders>
                  <w:noWrap w:val="0"/>
                  <w:vAlign w:val="center"/>
                </w:tcPr>
                <w:p w14:paraId="3D5D50D4">
                  <w:pPr>
                    <w:jc w:val="center"/>
                    <w:rPr>
                      <w:szCs w:val="21"/>
                    </w:rPr>
                  </w:pPr>
                </w:p>
              </w:tc>
              <w:tc>
                <w:tcPr>
                  <w:tcW w:w="257" w:type="pct"/>
                  <w:vMerge w:val="continue"/>
                  <w:tcBorders>
                    <w:left w:val="single" w:color="000000" w:sz="4" w:space="0"/>
                    <w:right w:val="single" w:color="000000" w:sz="4" w:space="0"/>
                  </w:tcBorders>
                  <w:noWrap w:val="0"/>
                  <w:vAlign w:val="center"/>
                </w:tcPr>
                <w:p w14:paraId="1421C67F">
                  <w:pPr>
                    <w:jc w:val="center"/>
                    <w:rPr>
                      <w:szCs w:val="21"/>
                    </w:rPr>
                  </w:pPr>
                </w:p>
              </w:tc>
              <w:tc>
                <w:tcPr>
                  <w:tcW w:w="329" w:type="pct"/>
                  <w:vMerge w:val="continue"/>
                  <w:tcBorders>
                    <w:left w:val="single" w:color="000000" w:sz="4" w:space="0"/>
                    <w:right w:val="single" w:color="000000" w:sz="4" w:space="0"/>
                  </w:tcBorders>
                  <w:noWrap w:val="0"/>
                  <w:vAlign w:val="center"/>
                </w:tcPr>
                <w:p w14:paraId="1806BF8E">
                  <w:pPr>
                    <w:jc w:val="center"/>
                    <w:rPr>
                      <w:szCs w:val="21"/>
                    </w:rPr>
                  </w:pPr>
                </w:p>
              </w:tc>
              <w:tc>
                <w:tcPr>
                  <w:tcW w:w="186" w:type="pct"/>
                  <w:vMerge w:val="continue"/>
                  <w:tcBorders>
                    <w:left w:val="single" w:color="000000" w:sz="4" w:space="0"/>
                    <w:right w:val="single" w:color="000000" w:sz="6" w:space="0"/>
                  </w:tcBorders>
                  <w:noWrap w:val="0"/>
                  <w:vAlign w:val="center"/>
                </w:tcPr>
                <w:p w14:paraId="2760FBE0">
                  <w:pPr>
                    <w:jc w:val="center"/>
                    <w:rPr>
                      <w:szCs w:val="21"/>
                    </w:rPr>
                  </w:pPr>
                </w:p>
              </w:tc>
              <w:tc>
                <w:tcPr>
                  <w:tcW w:w="163" w:type="pct"/>
                  <w:vMerge w:val="continue"/>
                  <w:tcBorders>
                    <w:left w:val="single" w:color="000000" w:sz="6" w:space="0"/>
                    <w:right w:val="single" w:color="000000" w:sz="6" w:space="0"/>
                  </w:tcBorders>
                  <w:noWrap w:val="0"/>
                  <w:vAlign w:val="center"/>
                </w:tcPr>
                <w:p w14:paraId="2F5F30AF">
                  <w:pPr>
                    <w:pStyle w:val="58"/>
                    <w:adjustRightInd w:val="0"/>
                    <w:snapToGrid w:val="0"/>
                    <w:jc w:val="center"/>
                    <w:rPr>
                      <w:szCs w:val="21"/>
                    </w:rPr>
                  </w:pPr>
                </w:p>
              </w:tc>
              <w:tc>
                <w:tcPr>
                  <w:tcW w:w="177" w:type="pct"/>
                  <w:vMerge w:val="continue"/>
                  <w:tcBorders>
                    <w:left w:val="single" w:color="000000" w:sz="6" w:space="0"/>
                    <w:right w:val="single" w:color="000000" w:sz="6" w:space="0"/>
                  </w:tcBorders>
                  <w:noWrap w:val="0"/>
                  <w:vAlign w:val="center"/>
                </w:tcPr>
                <w:p w14:paraId="2DD8C311">
                  <w:pPr>
                    <w:pStyle w:val="58"/>
                    <w:adjustRightInd w:val="0"/>
                    <w:snapToGrid w:val="0"/>
                    <w:jc w:val="center"/>
                    <w:rPr>
                      <w:szCs w:val="21"/>
                    </w:rPr>
                  </w:pPr>
                </w:p>
              </w:tc>
              <w:tc>
                <w:tcPr>
                  <w:tcW w:w="229" w:type="pct"/>
                  <w:vMerge w:val="continue"/>
                  <w:tcBorders>
                    <w:left w:val="single" w:color="000000" w:sz="6" w:space="0"/>
                    <w:right w:val="single" w:color="000000" w:sz="4" w:space="0"/>
                  </w:tcBorders>
                  <w:noWrap w:val="0"/>
                  <w:vAlign w:val="center"/>
                </w:tcPr>
                <w:p w14:paraId="35763870">
                  <w:pPr>
                    <w:adjustRightInd w:val="0"/>
                    <w:snapToGrid w:val="0"/>
                    <w:jc w:val="center"/>
                    <w:rPr>
                      <w:szCs w:val="21"/>
                    </w:rPr>
                  </w:pPr>
                </w:p>
              </w:tc>
              <w:tc>
                <w:tcPr>
                  <w:tcW w:w="233" w:type="pct"/>
                  <w:vMerge w:val="continue"/>
                  <w:tcBorders>
                    <w:left w:val="single" w:color="000000" w:sz="4" w:space="0"/>
                    <w:right w:val="single" w:color="000000" w:sz="6" w:space="0"/>
                  </w:tcBorders>
                  <w:noWrap w:val="0"/>
                  <w:vAlign w:val="center"/>
                </w:tcPr>
                <w:p w14:paraId="603FC88C">
                  <w:pPr>
                    <w:adjustRightInd w:val="0"/>
                    <w:snapToGrid w:val="0"/>
                    <w:jc w:val="center"/>
                    <w:rPr>
                      <w:szCs w:val="21"/>
                    </w:rPr>
                  </w:pPr>
                </w:p>
              </w:tc>
              <w:tc>
                <w:tcPr>
                  <w:tcW w:w="169" w:type="pct"/>
                  <w:vMerge w:val="continue"/>
                  <w:tcBorders>
                    <w:left w:val="single" w:color="000000" w:sz="6" w:space="0"/>
                    <w:right w:val="single" w:color="000000" w:sz="6" w:space="0"/>
                  </w:tcBorders>
                  <w:noWrap w:val="0"/>
                  <w:vAlign w:val="center"/>
                </w:tcPr>
                <w:p w14:paraId="368CF95D">
                  <w:pPr>
                    <w:adjustRightInd w:val="0"/>
                    <w:snapToGrid w:val="0"/>
                    <w:jc w:val="center"/>
                    <w:rPr>
                      <w:szCs w:val="21"/>
                    </w:rPr>
                  </w:pPr>
                </w:p>
              </w:tc>
              <w:tc>
                <w:tcPr>
                  <w:tcW w:w="233" w:type="pct"/>
                  <w:vMerge w:val="continue"/>
                  <w:tcBorders>
                    <w:left w:val="single" w:color="000000" w:sz="6" w:space="0"/>
                    <w:right w:val="single" w:color="000000" w:sz="4" w:space="0"/>
                  </w:tcBorders>
                  <w:noWrap w:val="0"/>
                  <w:vAlign w:val="center"/>
                </w:tcPr>
                <w:p w14:paraId="0D03B427">
                  <w:pPr>
                    <w:adjustRightInd w:val="0"/>
                    <w:snapToGrid w:val="0"/>
                    <w:jc w:val="center"/>
                    <w:rPr>
                      <w:szCs w:val="21"/>
                    </w:rPr>
                  </w:pPr>
                </w:p>
              </w:tc>
              <w:tc>
                <w:tcPr>
                  <w:tcW w:w="618" w:type="pct"/>
                  <w:vMerge w:val="continue"/>
                  <w:tcBorders>
                    <w:left w:val="single" w:color="000000" w:sz="4" w:space="0"/>
                    <w:right w:val="single" w:color="000000" w:sz="6" w:space="0"/>
                  </w:tcBorders>
                  <w:noWrap w:val="0"/>
                  <w:vAlign w:val="center"/>
                </w:tcPr>
                <w:p w14:paraId="1CD5B513">
                  <w:pPr>
                    <w:pStyle w:val="58"/>
                    <w:adjustRightInd w:val="0"/>
                    <w:snapToGrid w:val="0"/>
                    <w:jc w:val="center"/>
                    <w:rPr>
                      <w:szCs w:val="21"/>
                    </w:rPr>
                  </w:pPr>
                </w:p>
              </w:tc>
              <w:tc>
                <w:tcPr>
                  <w:tcW w:w="347" w:type="pct"/>
                  <w:tcBorders>
                    <w:top w:val="single" w:color="auto" w:sz="4" w:space="0"/>
                    <w:left w:val="single" w:color="auto" w:sz="4" w:space="0"/>
                    <w:bottom w:val="single" w:color="auto" w:sz="4" w:space="0"/>
                    <w:right w:val="single" w:color="auto" w:sz="4" w:space="0"/>
                  </w:tcBorders>
                  <w:noWrap w:val="0"/>
                  <w:vAlign w:val="center"/>
                </w:tcPr>
                <w:p w14:paraId="297ECC6A">
                  <w:pPr>
                    <w:adjustRightInd w:val="0"/>
                    <w:snapToGrid w:val="0"/>
                    <w:jc w:val="center"/>
                    <w:rPr>
                      <w:sz w:val="21"/>
                      <w:szCs w:val="21"/>
                      <w:lang w:eastAsia="zh-CN"/>
                    </w:rPr>
                  </w:pPr>
                  <w:r>
                    <w:rPr>
                      <w:sz w:val="21"/>
                      <w:szCs w:val="21"/>
                      <w:lang w:eastAsia="zh-CN"/>
                    </w:rPr>
                    <w:t>/</w:t>
                  </w:r>
                </w:p>
              </w:tc>
              <w:tc>
                <w:tcPr>
                  <w:tcW w:w="231" w:type="pct"/>
                  <w:vMerge w:val="continue"/>
                  <w:tcBorders>
                    <w:left w:val="single" w:color="000000" w:sz="6" w:space="0"/>
                    <w:right w:val="single" w:color="000000" w:sz="6" w:space="0"/>
                  </w:tcBorders>
                  <w:noWrap w:val="0"/>
                  <w:vAlign w:val="center"/>
                </w:tcPr>
                <w:p w14:paraId="1A6513F6">
                  <w:pPr>
                    <w:jc w:val="center"/>
                    <w:rPr>
                      <w:szCs w:val="21"/>
                    </w:rPr>
                  </w:pPr>
                </w:p>
              </w:tc>
              <w:tc>
                <w:tcPr>
                  <w:tcW w:w="234" w:type="pct"/>
                  <w:vMerge w:val="continue"/>
                  <w:tcBorders>
                    <w:left w:val="single" w:color="000000" w:sz="6" w:space="0"/>
                  </w:tcBorders>
                  <w:noWrap w:val="0"/>
                  <w:vAlign w:val="center"/>
                </w:tcPr>
                <w:p w14:paraId="7F1D804D">
                  <w:pPr>
                    <w:jc w:val="center"/>
                    <w:rPr>
                      <w:szCs w:val="21"/>
                    </w:rPr>
                  </w:pPr>
                </w:p>
              </w:tc>
            </w:tr>
            <w:tr w14:paraId="34173A74">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88" w:hRule="atLeast"/>
              </w:trPr>
              <w:tc>
                <w:tcPr>
                  <w:tcW w:w="125" w:type="pct"/>
                  <w:vMerge w:val="restart"/>
                  <w:tcBorders>
                    <w:top w:val="single" w:color="auto" w:sz="4" w:space="0"/>
                    <w:right w:val="single" w:color="000000" w:sz="4" w:space="0"/>
                  </w:tcBorders>
                  <w:noWrap w:val="0"/>
                  <w:vAlign w:val="center"/>
                </w:tcPr>
                <w:p w14:paraId="558E87A7">
                  <w:pPr>
                    <w:jc w:val="center"/>
                    <w:rPr>
                      <w:rFonts w:hint="eastAsia" w:eastAsia="宋体"/>
                      <w:lang w:val="en-US" w:eastAsia="zh-CN"/>
                    </w:rPr>
                  </w:pPr>
                  <w:r>
                    <w:rPr>
                      <w:rFonts w:hint="eastAsia"/>
                      <w:lang w:val="en-US" w:eastAsia="zh-CN"/>
                    </w:rPr>
                    <w:t>3</w:t>
                  </w:r>
                </w:p>
              </w:tc>
              <w:tc>
                <w:tcPr>
                  <w:tcW w:w="170" w:type="pct"/>
                  <w:vMerge w:val="restart"/>
                  <w:tcBorders>
                    <w:top w:val="single" w:color="auto" w:sz="4" w:space="0"/>
                    <w:left w:val="single" w:color="000000" w:sz="4" w:space="0"/>
                    <w:right w:val="single" w:color="000000" w:sz="4" w:space="0"/>
                  </w:tcBorders>
                  <w:noWrap w:val="0"/>
                  <w:vAlign w:val="center"/>
                </w:tcPr>
                <w:p w14:paraId="08D82D7E">
                  <w:pPr>
                    <w:jc w:val="center"/>
                    <w:rPr>
                      <w:rFonts w:hint="default" w:eastAsia="宋体"/>
                      <w:lang w:val="en-US" w:eastAsia="zh-CN"/>
                    </w:rPr>
                  </w:pPr>
                  <w:r>
                    <w:rPr>
                      <w:rFonts w:hint="eastAsia"/>
                      <w:lang w:val="en-US" w:eastAsia="zh-CN"/>
                    </w:rPr>
                    <w:t>初期雨水</w:t>
                  </w:r>
                </w:p>
              </w:tc>
              <w:tc>
                <w:tcPr>
                  <w:tcW w:w="224" w:type="pct"/>
                  <w:tcBorders>
                    <w:top w:val="single" w:color="auto" w:sz="4" w:space="0"/>
                    <w:left w:val="single" w:color="000000" w:sz="4" w:space="0"/>
                    <w:bottom w:val="single" w:color="auto" w:sz="4" w:space="0"/>
                    <w:right w:val="single" w:color="000000" w:sz="4" w:space="0"/>
                  </w:tcBorders>
                  <w:noWrap w:val="0"/>
                  <w:vAlign w:val="center"/>
                </w:tcPr>
                <w:p w14:paraId="4731F2E1">
                  <w:pPr>
                    <w:jc w:val="center"/>
                    <w:rPr>
                      <w:rFonts w:hint="default"/>
                      <w:szCs w:val="21"/>
                      <w:lang w:val="en-US" w:eastAsia="zh-CN"/>
                    </w:rPr>
                  </w:pPr>
                  <w:r>
                    <w:rPr>
                      <w:rFonts w:hint="eastAsia"/>
                      <w:szCs w:val="21"/>
                      <w:lang w:val="en-US" w:eastAsia="zh-CN"/>
                    </w:rPr>
                    <w:t>COD</w:t>
                  </w:r>
                </w:p>
              </w:tc>
              <w:tc>
                <w:tcPr>
                  <w:tcW w:w="242" w:type="pct"/>
                  <w:vMerge w:val="continue"/>
                  <w:tcBorders>
                    <w:left w:val="single" w:color="000000" w:sz="4" w:space="0"/>
                    <w:right w:val="single" w:color="auto" w:sz="4" w:space="0"/>
                  </w:tcBorders>
                  <w:noWrap w:val="0"/>
                  <w:vAlign w:val="center"/>
                </w:tcPr>
                <w:p w14:paraId="7BCC8C4D">
                  <w:pPr>
                    <w:jc w:val="center"/>
                    <w:rPr>
                      <w:szCs w:val="21"/>
                    </w:rPr>
                  </w:pPr>
                </w:p>
              </w:tc>
              <w:tc>
                <w:tcPr>
                  <w:tcW w:w="448" w:type="pct"/>
                  <w:vMerge w:val="continue"/>
                  <w:tcBorders>
                    <w:left w:val="single" w:color="auto" w:sz="4" w:space="0"/>
                    <w:right w:val="single" w:color="000000" w:sz="4" w:space="0"/>
                  </w:tcBorders>
                  <w:noWrap w:val="0"/>
                  <w:vAlign w:val="center"/>
                </w:tcPr>
                <w:p w14:paraId="2D3DAB8F">
                  <w:pPr>
                    <w:jc w:val="center"/>
                    <w:rPr>
                      <w:szCs w:val="21"/>
                    </w:rPr>
                  </w:pPr>
                </w:p>
              </w:tc>
              <w:tc>
                <w:tcPr>
                  <w:tcW w:w="377" w:type="pct"/>
                  <w:vMerge w:val="continue"/>
                  <w:tcBorders>
                    <w:left w:val="single" w:color="000000" w:sz="4" w:space="0"/>
                    <w:right w:val="single" w:color="000000" w:sz="4" w:space="0"/>
                  </w:tcBorders>
                  <w:noWrap w:val="0"/>
                  <w:vAlign w:val="center"/>
                </w:tcPr>
                <w:p w14:paraId="4CE74ECC">
                  <w:pPr>
                    <w:jc w:val="center"/>
                    <w:rPr>
                      <w:szCs w:val="21"/>
                    </w:rPr>
                  </w:pPr>
                </w:p>
              </w:tc>
              <w:tc>
                <w:tcPr>
                  <w:tcW w:w="257" w:type="pct"/>
                  <w:vMerge w:val="continue"/>
                  <w:tcBorders>
                    <w:left w:val="single" w:color="000000" w:sz="4" w:space="0"/>
                    <w:right w:val="single" w:color="000000" w:sz="4" w:space="0"/>
                  </w:tcBorders>
                  <w:noWrap w:val="0"/>
                  <w:vAlign w:val="center"/>
                </w:tcPr>
                <w:p w14:paraId="6E867317">
                  <w:pPr>
                    <w:jc w:val="center"/>
                    <w:rPr>
                      <w:szCs w:val="21"/>
                    </w:rPr>
                  </w:pPr>
                </w:p>
              </w:tc>
              <w:tc>
                <w:tcPr>
                  <w:tcW w:w="329" w:type="pct"/>
                  <w:vMerge w:val="continue"/>
                  <w:tcBorders>
                    <w:left w:val="single" w:color="000000" w:sz="4" w:space="0"/>
                    <w:right w:val="single" w:color="000000" w:sz="4" w:space="0"/>
                  </w:tcBorders>
                  <w:noWrap w:val="0"/>
                  <w:vAlign w:val="center"/>
                </w:tcPr>
                <w:p w14:paraId="0A24B83C">
                  <w:pPr>
                    <w:jc w:val="center"/>
                    <w:rPr>
                      <w:szCs w:val="21"/>
                    </w:rPr>
                  </w:pPr>
                </w:p>
              </w:tc>
              <w:tc>
                <w:tcPr>
                  <w:tcW w:w="186" w:type="pct"/>
                  <w:vMerge w:val="continue"/>
                  <w:tcBorders>
                    <w:left w:val="single" w:color="000000" w:sz="4" w:space="0"/>
                    <w:right w:val="single" w:color="000000" w:sz="6" w:space="0"/>
                  </w:tcBorders>
                  <w:noWrap w:val="0"/>
                  <w:vAlign w:val="center"/>
                </w:tcPr>
                <w:p w14:paraId="76816744">
                  <w:pPr>
                    <w:jc w:val="center"/>
                    <w:rPr>
                      <w:szCs w:val="21"/>
                    </w:rPr>
                  </w:pPr>
                </w:p>
              </w:tc>
              <w:tc>
                <w:tcPr>
                  <w:tcW w:w="163" w:type="pct"/>
                  <w:vMerge w:val="continue"/>
                  <w:tcBorders>
                    <w:left w:val="single" w:color="000000" w:sz="6" w:space="0"/>
                    <w:right w:val="single" w:color="000000" w:sz="6" w:space="0"/>
                  </w:tcBorders>
                  <w:noWrap w:val="0"/>
                  <w:vAlign w:val="center"/>
                </w:tcPr>
                <w:p w14:paraId="14F1EBFB">
                  <w:pPr>
                    <w:pStyle w:val="58"/>
                    <w:adjustRightInd w:val="0"/>
                    <w:snapToGrid w:val="0"/>
                    <w:jc w:val="center"/>
                    <w:rPr>
                      <w:szCs w:val="21"/>
                    </w:rPr>
                  </w:pPr>
                </w:p>
              </w:tc>
              <w:tc>
                <w:tcPr>
                  <w:tcW w:w="177" w:type="pct"/>
                  <w:vMerge w:val="continue"/>
                  <w:tcBorders>
                    <w:left w:val="single" w:color="000000" w:sz="6" w:space="0"/>
                    <w:right w:val="single" w:color="000000" w:sz="6" w:space="0"/>
                  </w:tcBorders>
                  <w:noWrap w:val="0"/>
                  <w:vAlign w:val="center"/>
                </w:tcPr>
                <w:p w14:paraId="180580EB">
                  <w:pPr>
                    <w:pStyle w:val="58"/>
                    <w:adjustRightInd w:val="0"/>
                    <w:snapToGrid w:val="0"/>
                    <w:jc w:val="center"/>
                    <w:rPr>
                      <w:szCs w:val="21"/>
                    </w:rPr>
                  </w:pPr>
                </w:p>
              </w:tc>
              <w:tc>
                <w:tcPr>
                  <w:tcW w:w="229" w:type="pct"/>
                  <w:vMerge w:val="continue"/>
                  <w:tcBorders>
                    <w:left w:val="single" w:color="000000" w:sz="6" w:space="0"/>
                    <w:right w:val="single" w:color="000000" w:sz="4" w:space="0"/>
                  </w:tcBorders>
                  <w:noWrap w:val="0"/>
                  <w:vAlign w:val="center"/>
                </w:tcPr>
                <w:p w14:paraId="5C9EBF2D">
                  <w:pPr>
                    <w:adjustRightInd w:val="0"/>
                    <w:snapToGrid w:val="0"/>
                    <w:jc w:val="center"/>
                    <w:rPr>
                      <w:szCs w:val="21"/>
                    </w:rPr>
                  </w:pPr>
                </w:p>
              </w:tc>
              <w:tc>
                <w:tcPr>
                  <w:tcW w:w="233" w:type="pct"/>
                  <w:vMerge w:val="continue"/>
                  <w:tcBorders>
                    <w:left w:val="single" w:color="000000" w:sz="4" w:space="0"/>
                    <w:right w:val="single" w:color="000000" w:sz="6" w:space="0"/>
                  </w:tcBorders>
                  <w:noWrap w:val="0"/>
                  <w:vAlign w:val="center"/>
                </w:tcPr>
                <w:p w14:paraId="552BC1F5">
                  <w:pPr>
                    <w:adjustRightInd w:val="0"/>
                    <w:snapToGrid w:val="0"/>
                    <w:jc w:val="center"/>
                    <w:rPr>
                      <w:szCs w:val="21"/>
                    </w:rPr>
                  </w:pPr>
                </w:p>
              </w:tc>
              <w:tc>
                <w:tcPr>
                  <w:tcW w:w="169" w:type="pct"/>
                  <w:vMerge w:val="continue"/>
                  <w:tcBorders>
                    <w:left w:val="single" w:color="000000" w:sz="6" w:space="0"/>
                    <w:right w:val="single" w:color="000000" w:sz="6" w:space="0"/>
                  </w:tcBorders>
                  <w:noWrap w:val="0"/>
                  <w:vAlign w:val="center"/>
                </w:tcPr>
                <w:p w14:paraId="50E48AF1">
                  <w:pPr>
                    <w:adjustRightInd w:val="0"/>
                    <w:snapToGrid w:val="0"/>
                    <w:jc w:val="center"/>
                    <w:rPr>
                      <w:szCs w:val="21"/>
                    </w:rPr>
                  </w:pPr>
                </w:p>
              </w:tc>
              <w:tc>
                <w:tcPr>
                  <w:tcW w:w="233" w:type="pct"/>
                  <w:vMerge w:val="continue"/>
                  <w:tcBorders>
                    <w:left w:val="single" w:color="000000" w:sz="6" w:space="0"/>
                    <w:right w:val="single" w:color="000000" w:sz="4" w:space="0"/>
                  </w:tcBorders>
                  <w:noWrap w:val="0"/>
                  <w:vAlign w:val="center"/>
                </w:tcPr>
                <w:p w14:paraId="47507216">
                  <w:pPr>
                    <w:adjustRightInd w:val="0"/>
                    <w:snapToGrid w:val="0"/>
                    <w:jc w:val="center"/>
                    <w:rPr>
                      <w:szCs w:val="21"/>
                    </w:rPr>
                  </w:pPr>
                </w:p>
              </w:tc>
              <w:tc>
                <w:tcPr>
                  <w:tcW w:w="618" w:type="pct"/>
                  <w:vMerge w:val="continue"/>
                  <w:tcBorders>
                    <w:left w:val="single" w:color="000000" w:sz="4" w:space="0"/>
                    <w:right w:val="single" w:color="000000" w:sz="6" w:space="0"/>
                  </w:tcBorders>
                  <w:noWrap w:val="0"/>
                  <w:vAlign w:val="center"/>
                </w:tcPr>
                <w:p w14:paraId="2FA5963E">
                  <w:pPr>
                    <w:pStyle w:val="58"/>
                    <w:adjustRightInd w:val="0"/>
                    <w:snapToGrid w:val="0"/>
                    <w:jc w:val="center"/>
                    <w:rPr>
                      <w:szCs w:val="21"/>
                    </w:rPr>
                  </w:pPr>
                </w:p>
              </w:tc>
              <w:tc>
                <w:tcPr>
                  <w:tcW w:w="347" w:type="pct"/>
                  <w:tcBorders>
                    <w:top w:val="single" w:color="auto" w:sz="4" w:space="0"/>
                    <w:left w:val="single" w:color="auto" w:sz="4" w:space="0"/>
                    <w:bottom w:val="single" w:color="auto" w:sz="4" w:space="0"/>
                    <w:right w:val="single" w:color="auto" w:sz="4" w:space="0"/>
                  </w:tcBorders>
                  <w:noWrap w:val="0"/>
                  <w:vAlign w:val="center"/>
                </w:tcPr>
                <w:p w14:paraId="620339A8">
                  <w:pPr>
                    <w:adjustRightInd w:val="0"/>
                    <w:snapToGrid w:val="0"/>
                    <w:jc w:val="center"/>
                    <w:rPr>
                      <w:sz w:val="21"/>
                      <w:szCs w:val="21"/>
                      <w:lang w:eastAsia="zh-CN"/>
                    </w:rPr>
                  </w:pPr>
                  <w:r>
                    <w:rPr>
                      <w:sz w:val="21"/>
                      <w:szCs w:val="21"/>
                      <w:lang w:eastAsia="zh-CN"/>
                    </w:rPr>
                    <w:t>/</w:t>
                  </w:r>
                </w:p>
              </w:tc>
              <w:tc>
                <w:tcPr>
                  <w:tcW w:w="231" w:type="pct"/>
                  <w:vMerge w:val="continue"/>
                  <w:tcBorders>
                    <w:left w:val="single" w:color="000000" w:sz="6" w:space="0"/>
                    <w:right w:val="single" w:color="000000" w:sz="6" w:space="0"/>
                  </w:tcBorders>
                  <w:noWrap w:val="0"/>
                  <w:vAlign w:val="center"/>
                </w:tcPr>
                <w:p w14:paraId="12ABB99D">
                  <w:pPr>
                    <w:jc w:val="center"/>
                    <w:rPr>
                      <w:szCs w:val="21"/>
                    </w:rPr>
                  </w:pPr>
                </w:p>
              </w:tc>
              <w:tc>
                <w:tcPr>
                  <w:tcW w:w="234" w:type="pct"/>
                  <w:vMerge w:val="continue"/>
                  <w:tcBorders>
                    <w:left w:val="single" w:color="000000" w:sz="6" w:space="0"/>
                  </w:tcBorders>
                  <w:noWrap w:val="0"/>
                  <w:vAlign w:val="center"/>
                </w:tcPr>
                <w:p w14:paraId="7700261F">
                  <w:pPr>
                    <w:jc w:val="center"/>
                    <w:rPr>
                      <w:szCs w:val="21"/>
                    </w:rPr>
                  </w:pPr>
                </w:p>
              </w:tc>
            </w:tr>
            <w:tr w14:paraId="1A9208C9">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88" w:hRule="atLeast"/>
              </w:trPr>
              <w:tc>
                <w:tcPr>
                  <w:tcW w:w="125" w:type="pct"/>
                  <w:vMerge w:val="continue"/>
                  <w:tcBorders>
                    <w:right w:val="single" w:color="000000" w:sz="4" w:space="0"/>
                  </w:tcBorders>
                  <w:noWrap w:val="0"/>
                  <w:vAlign w:val="center"/>
                </w:tcPr>
                <w:p w14:paraId="23949047">
                  <w:pPr>
                    <w:jc w:val="center"/>
                  </w:pPr>
                </w:p>
              </w:tc>
              <w:tc>
                <w:tcPr>
                  <w:tcW w:w="170" w:type="pct"/>
                  <w:vMerge w:val="continue"/>
                  <w:tcBorders>
                    <w:left w:val="single" w:color="000000" w:sz="4" w:space="0"/>
                    <w:right w:val="single" w:color="auto" w:sz="4" w:space="0"/>
                  </w:tcBorders>
                  <w:noWrap w:val="0"/>
                  <w:vAlign w:val="center"/>
                </w:tcPr>
                <w:p w14:paraId="39944A78">
                  <w:pPr>
                    <w:jc w:val="center"/>
                  </w:pPr>
                </w:p>
              </w:tc>
              <w:tc>
                <w:tcPr>
                  <w:tcW w:w="224" w:type="pct"/>
                  <w:tcBorders>
                    <w:top w:val="single" w:color="auto" w:sz="4" w:space="0"/>
                    <w:left w:val="single" w:color="auto" w:sz="4" w:space="0"/>
                    <w:bottom w:val="single" w:color="auto" w:sz="4" w:space="0"/>
                    <w:right w:val="single" w:color="auto" w:sz="4" w:space="0"/>
                  </w:tcBorders>
                  <w:noWrap w:val="0"/>
                  <w:vAlign w:val="center"/>
                </w:tcPr>
                <w:p w14:paraId="1D5DA4B1">
                  <w:pPr>
                    <w:jc w:val="center"/>
                    <w:rPr>
                      <w:rFonts w:hint="eastAsia"/>
                      <w:szCs w:val="21"/>
                      <w:lang w:val="en-US" w:eastAsia="zh-CN"/>
                    </w:rPr>
                  </w:pPr>
                  <w:r>
                    <w:rPr>
                      <w:rFonts w:hint="eastAsia"/>
                      <w:szCs w:val="21"/>
                      <w:lang w:val="en-US" w:eastAsia="zh-CN"/>
                    </w:rPr>
                    <w:t>SS</w:t>
                  </w:r>
                </w:p>
              </w:tc>
              <w:tc>
                <w:tcPr>
                  <w:tcW w:w="242" w:type="pct"/>
                  <w:vMerge w:val="continue"/>
                  <w:tcBorders>
                    <w:left w:val="single" w:color="000000" w:sz="4" w:space="0"/>
                    <w:right w:val="single" w:color="auto" w:sz="4" w:space="0"/>
                  </w:tcBorders>
                  <w:noWrap w:val="0"/>
                  <w:vAlign w:val="center"/>
                </w:tcPr>
                <w:p w14:paraId="68454752">
                  <w:pPr>
                    <w:jc w:val="center"/>
                    <w:rPr>
                      <w:rFonts w:hint="eastAsia"/>
                      <w:szCs w:val="21"/>
                      <w:lang w:val="en-US" w:eastAsia="zh-CN"/>
                    </w:rPr>
                  </w:pPr>
                </w:p>
              </w:tc>
              <w:tc>
                <w:tcPr>
                  <w:tcW w:w="448" w:type="pct"/>
                  <w:vMerge w:val="continue"/>
                  <w:tcBorders>
                    <w:left w:val="single" w:color="auto" w:sz="4" w:space="0"/>
                    <w:right w:val="single" w:color="000000" w:sz="4" w:space="0"/>
                  </w:tcBorders>
                  <w:noWrap w:val="0"/>
                  <w:vAlign w:val="center"/>
                </w:tcPr>
                <w:p w14:paraId="6B6E2C6E">
                  <w:pPr>
                    <w:jc w:val="center"/>
                    <w:rPr>
                      <w:rFonts w:hint="eastAsia"/>
                      <w:szCs w:val="21"/>
                      <w:lang w:val="en-US" w:eastAsia="zh-CN"/>
                    </w:rPr>
                  </w:pPr>
                </w:p>
              </w:tc>
              <w:tc>
                <w:tcPr>
                  <w:tcW w:w="377" w:type="pct"/>
                  <w:vMerge w:val="continue"/>
                  <w:tcBorders>
                    <w:left w:val="single" w:color="000000" w:sz="4" w:space="0"/>
                    <w:right w:val="single" w:color="000000" w:sz="4" w:space="0"/>
                  </w:tcBorders>
                  <w:noWrap w:val="0"/>
                  <w:vAlign w:val="center"/>
                </w:tcPr>
                <w:p w14:paraId="12D216B2">
                  <w:pPr>
                    <w:jc w:val="center"/>
                    <w:rPr>
                      <w:rFonts w:hint="eastAsia"/>
                      <w:szCs w:val="21"/>
                      <w:lang w:val="en-US" w:eastAsia="zh-CN"/>
                    </w:rPr>
                  </w:pPr>
                </w:p>
              </w:tc>
              <w:tc>
                <w:tcPr>
                  <w:tcW w:w="257" w:type="pct"/>
                  <w:vMerge w:val="continue"/>
                  <w:tcBorders>
                    <w:left w:val="single" w:color="000000" w:sz="4" w:space="0"/>
                    <w:right w:val="single" w:color="000000" w:sz="4" w:space="0"/>
                  </w:tcBorders>
                  <w:noWrap w:val="0"/>
                  <w:vAlign w:val="center"/>
                </w:tcPr>
                <w:p w14:paraId="7348E434">
                  <w:pPr>
                    <w:jc w:val="center"/>
                    <w:rPr>
                      <w:rFonts w:hint="eastAsia"/>
                      <w:szCs w:val="21"/>
                      <w:lang w:val="en-US" w:eastAsia="zh-CN"/>
                    </w:rPr>
                  </w:pPr>
                </w:p>
              </w:tc>
              <w:tc>
                <w:tcPr>
                  <w:tcW w:w="329" w:type="pct"/>
                  <w:vMerge w:val="continue"/>
                  <w:tcBorders>
                    <w:left w:val="single" w:color="000000" w:sz="4" w:space="0"/>
                    <w:right w:val="single" w:color="000000" w:sz="4" w:space="0"/>
                  </w:tcBorders>
                  <w:noWrap w:val="0"/>
                  <w:vAlign w:val="center"/>
                </w:tcPr>
                <w:p w14:paraId="6B28D1B7">
                  <w:pPr>
                    <w:jc w:val="center"/>
                    <w:rPr>
                      <w:rFonts w:hint="eastAsia"/>
                      <w:szCs w:val="21"/>
                      <w:lang w:val="en-US" w:eastAsia="zh-CN"/>
                    </w:rPr>
                  </w:pPr>
                </w:p>
              </w:tc>
              <w:tc>
                <w:tcPr>
                  <w:tcW w:w="186" w:type="pct"/>
                  <w:vMerge w:val="continue"/>
                  <w:tcBorders>
                    <w:left w:val="single" w:color="000000" w:sz="4" w:space="0"/>
                    <w:right w:val="single" w:color="000000" w:sz="6" w:space="0"/>
                  </w:tcBorders>
                  <w:noWrap w:val="0"/>
                  <w:vAlign w:val="center"/>
                </w:tcPr>
                <w:p w14:paraId="6D69CF8B">
                  <w:pPr>
                    <w:jc w:val="center"/>
                    <w:rPr>
                      <w:rFonts w:hint="eastAsia"/>
                      <w:szCs w:val="21"/>
                      <w:lang w:val="en-US" w:eastAsia="zh-CN"/>
                    </w:rPr>
                  </w:pPr>
                </w:p>
              </w:tc>
              <w:tc>
                <w:tcPr>
                  <w:tcW w:w="163" w:type="pct"/>
                  <w:vMerge w:val="continue"/>
                  <w:tcBorders>
                    <w:left w:val="single" w:color="000000" w:sz="6" w:space="0"/>
                    <w:right w:val="single" w:color="000000" w:sz="6" w:space="0"/>
                  </w:tcBorders>
                  <w:noWrap w:val="0"/>
                  <w:vAlign w:val="center"/>
                </w:tcPr>
                <w:p w14:paraId="5B197723">
                  <w:pPr>
                    <w:jc w:val="center"/>
                    <w:rPr>
                      <w:rFonts w:hint="eastAsia"/>
                      <w:szCs w:val="21"/>
                      <w:lang w:val="en-US" w:eastAsia="zh-CN"/>
                    </w:rPr>
                  </w:pPr>
                </w:p>
              </w:tc>
              <w:tc>
                <w:tcPr>
                  <w:tcW w:w="177" w:type="pct"/>
                  <w:vMerge w:val="continue"/>
                  <w:tcBorders>
                    <w:left w:val="single" w:color="000000" w:sz="6" w:space="0"/>
                    <w:right w:val="single" w:color="000000" w:sz="6" w:space="0"/>
                  </w:tcBorders>
                  <w:noWrap w:val="0"/>
                  <w:vAlign w:val="center"/>
                </w:tcPr>
                <w:p w14:paraId="66DDE301">
                  <w:pPr>
                    <w:jc w:val="center"/>
                    <w:rPr>
                      <w:rFonts w:hint="eastAsia"/>
                      <w:szCs w:val="21"/>
                      <w:lang w:val="en-US" w:eastAsia="zh-CN"/>
                    </w:rPr>
                  </w:pPr>
                </w:p>
              </w:tc>
              <w:tc>
                <w:tcPr>
                  <w:tcW w:w="229" w:type="pct"/>
                  <w:vMerge w:val="continue"/>
                  <w:tcBorders>
                    <w:left w:val="single" w:color="000000" w:sz="6" w:space="0"/>
                    <w:right w:val="single" w:color="000000" w:sz="4" w:space="0"/>
                  </w:tcBorders>
                  <w:noWrap w:val="0"/>
                  <w:vAlign w:val="center"/>
                </w:tcPr>
                <w:p w14:paraId="3F69BFB2">
                  <w:pPr>
                    <w:jc w:val="center"/>
                    <w:rPr>
                      <w:rFonts w:hint="eastAsia"/>
                      <w:szCs w:val="21"/>
                      <w:lang w:val="en-US" w:eastAsia="zh-CN"/>
                    </w:rPr>
                  </w:pPr>
                </w:p>
              </w:tc>
              <w:tc>
                <w:tcPr>
                  <w:tcW w:w="233" w:type="pct"/>
                  <w:vMerge w:val="continue"/>
                  <w:tcBorders>
                    <w:left w:val="single" w:color="000000" w:sz="4" w:space="0"/>
                    <w:right w:val="single" w:color="000000" w:sz="6" w:space="0"/>
                  </w:tcBorders>
                  <w:noWrap w:val="0"/>
                  <w:vAlign w:val="center"/>
                </w:tcPr>
                <w:p w14:paraId="2F2E3DFA">
                  <w:pPr>
                    <w:jc w:val="center"/>
                    <w:rPr>
                      <w:rFonts w:hint="eastAsia"/>
                      <w:szCs w:val="21"/>
                      <w:lang w:val="en-US" w:eastAsia="zh-CN"/>
                    </w:rPr>
                  </w:pPr>
                </w:p>
              </w:tc>
              <w:tc>
                <w:tcPr>
                  <w:tcW w:w="169" w:type="pct"/>
                  <w:vMerge w:val="continue"/>
                  <w:tcBorders>
                    <w:left w:val="single" w:color="000000" w:sz="6" w:space="0"/>
                    <w:right w:val="single" w:color="000000" w:sz="6" w:space="0"/>
                  </w:tcBorders>
                  <w:noWrap w:val="0"/>
                  <w:vAlign w:val="center"/>
                </w:tcPr>
                <w:p w14:paraId="746B686B">
                  <w:pPr>
                    <w:jc w:val="center"/>
                    <w:rPr>
                      <w:rFonts w:hint="eastAsia"/>
                      <w:szCs w:val="21"/>
                      <w:lang w:val="en-US" w:eastAsia="zh-CN"/>
                    </w:rPr>
                  </w:pPr>
                </w:p>
              </w:tc>
              <w:tc>
                <w:tcPr>
                  <w:tcW w:w="233" w:type="pct"/>
                  <w:vMerge w:val="continue"/>
                  <w:tcBorders>
                    <w:left w:val="single" w:color="000000" w:sz="6" w:space="0"/>
                    <w:right w:val="single" w:color="000000" w:sz="4" w:space="0"/>
                  </w:tcBorders>
                  <w:noWrap w:val="0"/>
                  <w:vAlign w:val="center"/>
                </w:tcPr>
                <w:p w14:paraId="32D3A6A5">
                  <w:pPr>
                    <w:jc w:val="center"/>
                    <w:rPr>
                      <w:rFonts w:hint="eastAsia"/>
                      <w:szCs w:val="21"/>
                      <w:lang w:val="en-US" w:eastAsia="zh-CN"/>
                    </w:rPr>
                  </w:pPr>
                </w:p>
              </w:tc>
              <w:tc>
                <w:tcPr>
                  <w:tcW w:w="618" w:type="pct"/>
                  <w:vMerge w:val="continue"/>
                  <w:tcBorders>
                    <w:left w:val="single" w:color="000000" w:sz="4" w:space="0"/>
                    <w:right w:val="single" w:color="000000" w:sz="6" w:space="0"/>
                  </w:tcBorders>
                  <w:noWrap w:val="0"/>
                  <w:vAlign w:val="center"/>
                </w:tcPr>
                <w:p w14:paraId="388150ED">
                  <w:pPr>
                    <w:jc w:val="center"/>
                    <w:rPr>
                      <w:rFonts w:hint="eastAsia"/>
                      <w:szCs w:val="21"/>
                      <w:lang w:val="en-US" w:eastAsia="zh-CN"/>
                    </w:rPr>
                  </w:pPr>
                </w:p>
              </w:tc>
              <w:tc>
                <w:tcPr>
                  <w:tcW w:w="347" w:type="pct"/>
                  <w:tcBorders>
                    <w:top w:val="single" w:color="auto" w:sz="4" w:space="0"/>
                    <w:left w:val="single" w:color="auto" w:sz="4" w:space="0"/>
                    <w:bottom w:val="single" w:color="auto" w:sz="4" w:space="0"/>
                    <w:right w:val="single" w:color="auto" w:sz="4" w:space="0"/>
                  </w:tcBorders>
                  <w:noWrap w:val="0"/>
                  <w:vAlign w:val="center"/>
                </w:tcPr>
                <w:p w14:paraId="2052AF9F">
                  <w:pPr>
                    <w:jc w:val="center"/>
                    <w:rPr>
                      <w:rFonts w:hint="eastAsia"/>
                      <w:szCs w:val="21"/>
                      <w:lang w:val="en-US" w:eastAsia="zh-CN"/>
                    </w:rPr>
                  </w:pPr>
                  <w:r>
                    <w:rPr>
                      <w:sz w:val="21"/>
                      <w:szCs w:val="21"/>
                      <w:lang w:eastAsia="zh-CN"/>
                    </w:rPr>
                    <w:t>/</w:t>
                  </w:r>
                </w:p>
              </w:tc>
              <w:tc>
                <w:tcPr>
                  <w:tcW w:w="231" w:type="pct"/>
                  <w:vMerge w:val="continue"/>
                  <w:tcBorders>
                    <w:left w:val="single" w:color="000000" w:sz="6" w:space="0"/>
                    <w:right w:val="single" w:color="000000" w:sz="6" w:space="0"/>
                  </w:tcBorders>
                  <w:noWrap w:val="0"/>
                  <w:vAlign w:val="center"/>
                </w:tcPr>
                <w:p w14:paraId="04BA37EC">
                  <w:pPr>
                    <w:jc w:val="center"/>
                    <w:rPr>
                      <w:rFonts w:hint="eastAsia"/>
                      <w:szCs w:val="21"/>
                      <w:lang w:val="en-US" w:eastAsia="zh-CN"/>
                    </w:rPr>
                  </w:pPr>
                </w:p>
              </w:tc>
              <w:tc>
                <w:tcPr>
                  <w:tcW w:w="234" w:type="pct"/>
                  <w:vMerge w:val="continue"/>
                  <w:tcBorders>
                    <w:left w:val="single" w:color="000000" w:sz="6" w:space="0"/>
                  </w:tcBorders>
                  <w:noWrap w:val="0"/>
                  <w:vAlign w:val="center"/>
                </w:tcPr>
                <w:p w14:paraId="537C0098">
                  <w:pPr>
                    <w:jc w:val="center"/>
                    <w:rPr>
                      <w:rFonts w:hint="eastAsia"/>
                      <w:szCs w:val="21"/>
                      <w:lang w:val="en-US" w:eastAsia="zh-CN"/>
                    </w:rPr>
                  </w:pPr>
                </w:p>
              </w:tc>
            </w:tr>
            <w:tr w14:paraId="63063DA5">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88" w:hRule="atLeast"/>
              </w:trPr>
              <w:tc>
                <w:tcPr>
                  <w:tcW w:w="125" w:type="pct"/>
                  <w:vMerge w:val="continue"/>
                  <w:tcBorders>
                    <w:bottom w:val="single" w:color="auto" w:sz="4" w:space="0"/>
                    <w:right w:val="single" w:color="000000" w:sz="4" w:space="0"/>
                  </w:tcBorders>
                  <w:noWrap w:val="0"/>
                  <w:vAlign w:val="center"/>
                </w:tcPr>
                <w:p w14:paraId="44820E9C">
                  <w:pPr>
                    <w:jc w:val="center"/>
                    <w:rPr>
                      <w:rFonts w:hint="eastAsia"/>
                      <w:szCs w:val="21"/>
                      <w:lang w:val="en-US" w:eastAsia="zh-CN"/>
                    </w:rPr>
                  </w:pPr>
                </w:p>
              </w:tc>
              <w:tc>
                <w:tcPr>
                  <w:tcW w:w="170" w:type="pct"/>
                  <w:vMerge w:val="continue"/>
                  <w:tcBorders>
                    <w:left w:val="single" w:color="000000" w:sz="4" w:space="0"/>
                    <w:bottom w:val="single" w:color="auto" w:sz="4" w:space="0"/>
                    <w:right w:val="single" w:color="000000" w:sz="4" w:space="0"/>
                  </w:tcBorders>
                  <w:noWrap w:val="0"/>
                  <w:vAlign w:val="center"/>
                </w:tcPr>
                <w:p w14:paraId="77852514">
                  <w:pPr>
                    <w:jc w:val="center"/>
                    <w:rPr>
                      <w:rFonts w:hint="eastAsia"/>
                      <w:szCs w:val="21"/>
                      <w:lang w:val="en-US" w:eastAsia="zh-CN"/>
                    </w:rPr>
                  </w:pPr>
                </w:p>
              </w:tc>
              <w:tc>
                <w:tcPr>
                  <w:tcW w:w="224" w:type="pct"/>
                  <w:tcBorders>
                    <w:top w:val="single" w:color="auto" w:sz="4" w:space="0"/>
                    <w:left w:val="single" w:color="000000" w:sz="4" w:space="0"/>
                    <w:right w:val="single" w:color="000000" w:sz="4" w:space="0"/>
                  </w:tcBorders>
                  <w:noWrap w:val="0"/>
                  <w:vAlign w:val="center"/>
                </w:tcPr>
                <w:p w14:paraId="2105F60F">
                  <w:pPr>
                    <w:jc w:val="center"/>
                    <w:rPr>
                      <w:rFonts w:hint="eastAsia"/>
                      <w:szCs w:val="21"/>
                      <w:lang w:val="en-US" w:eastAsia="zh-CN"/>
                    </w:rPr>
                  </w:pPr>
                  <w:r>
                    <w:rPr>
                      <w:rFonts w:hint="eastAsia"/>
                      <w:szCs w:val="21"/>
                      <w:lang w:val="en-US" w:eastAsia="zh-CN"/>
                    </w:rPr>
                    <w:t>石油类</w:t>
                  </w:r>
                </w:p>
              </w:tc>
              <w:tc>
                <w:tcPr>
                  <w:tcW w:w="242" w:type="pct"/>
                  <w:vMerge w:val="continue"/>
                  <w:tcBorders>
                    <w:left w:val="single" w:color="000000" w:sz="4" w:space="0"/>
                    <w:bottom w:val="single" w:color="auto" w:sz="4" w:space="0"/>
                    <w:right w:val="single" w:color="auto" w:sz="4" w:space="0"/>
                  </w:tcBorders>
                  <w:noWrap w:val="0"/>
                  <w:vAlign w:val="center"/>
                </w:tcPr>
                <w:p w14:paraId="516156AA">
                  <w:pPr>
                    <w:jc w:val="center"/>
                    <w:rPr>
                      <w:rFonts w:hint="eastAsia"/>
                      <w:szCs w:val="21"/>
                      <w:lang w:val="en-US" w:eastAsia="zh-CN"/>
                    </w:rPr>
                  </w:pPr>
                </w:p>
              </w:tc>
              <w:tc>
                <w:tcPr>
                  <w:tcW w:w="448" w:type="pct"/>
                  <w:vMerge w:val="continue"/>
                  <w:tcBorders>
                    <w:left w:val="single" w:color="auto" w:sz="4" w:space="0"/>
                    <w:bottom w:val="single" w:color="auto" w:sz="4" w:space="0"/>
                    <w:right w:val="single" w:color="000000" w:sz="4" w:space="0"/>
                  </w:tcBorders>
                  <w:noWrap w:val="0"/>
                  <w:vAlign w:val="center"/>
                </w:tcPr>
                <w:p w14:paraId="231B3D0B">
                  <w:pPr>
                    <w:jc w:val="center"/>
                    <w:rPr>
                      <w:rFonts w:hint="eastAsia"/>
                      <w:szCs w:val="21"/>
                      <w:lang w:val="en-US" w:eastAsia="zh-CN"/>
                    </w:rPr>
                  </w:pPr>
                </w:p>
              </w:tc>
              <w:tc>
                <w:tcPr>
                  <w:tcW w:w="377" w:type="pct"/>
                  <w:vMerge w:val="continue"/>
                  <w:tcBorders>
                    <w:left w:val="single" w:color="000000" w:sz="4" w:space="0"/>
                    <w:bottom w:val="single" w:color="auto" w:sz="4" w:space="0"/>
                    <w:right w:val="single" w:color="000000" w:sz="4" w:space="0"/>
                  </w:tcBorders>
                  <w:noWrap w:val="0"/>
                  <w:vAlign w:val="center"/>
                </w:tcPr>
                <w:p w14:paraId="0F1A8460">
                  <w:pPr>
                    <w:jc w:val="center"/>
                    <w:rPr>
                      <w:rFonts w:hint="eastAsia"/>
                      <w:szCs w:val="21"/>
                      <w:lang w:val="en-US" w:eastAsia="zh-CN"/>
                    </w:rPr>
                  </w:pPr>
                </w:p>
              </w:tc>
              <w:tc>
                <w:tcPr>
                  <w:tcW w:w="257" w:type="pct"/>
                  <w:vMerge w:val="continue"/>
                  <w:tcBorders>
                    <w:left w:val="single" w:color="000000" w:sz="4" w:space="0"/>
                    <w:bottom w:val="single" w:color="auto" w:sz="4" w:space="0"/>
                    <w:right w:val="single" w:color="000000" w:sz="4" w:space="0"/>
                  </w:tcBorders>
                  <w:noWrap w:val="0"/>
                  <w:vAlign w:val="center"/>
                </w:tcPr>
                <w:p w14:paraId="00B4ED5F">
                  <w:pPr>
                    <w:jc w:val="center"/>
                    <w:rPr>
                      <w:rFonts w:hint="eastAsia"/>
                      <w:szCs w:val="21"/>
                      <w:lang w:val="en-US" w:eastAsia="zh-CN"/>
                    </w:rPr>
                  </w:pPr>
                </w:p>
              </w:tc>
              <w:tc>
                <w:tcPr>
                  <w:tcW w:w="329" w:type="pct"/>
                  <w:vMerge w:val="continue"/>
                  <w:tcBorders>
                    <w:left w:val="single" w:color="000000" w:sz="4" w:space="0"/>
                    <w:bottom w:val="single" w:color="auto" w:sz="4" w:space="0"/>
                    <w:right w:val="single" w:color="000000" w:sz="4" w:space="0"/>
                  </w:tcBorders>
                  <w:noWrap w:val="0"/>
                  <w:vAlign w:val="center"/>
                </w:tcPr>
                <w:p w14:paraId="2BB8787D">
                  <w:pPr>
                    <w:jc w:val="center"/>
                    <w:rPr>
                      <w:rFonts w:hint="eastAsia"/>
                      <w:szCs w:val="21"/>
                      <w:lang w:val="en-US" w:eastAsia="zh-CN"/>
                    </w:rPr>
                  </w:pPr>
                </w:p>
              </w:tc>
              <w:tc>
                <w:tcPr>
                  <w:tcW w:w="186" w:type="pct"/>
                  <w:vMerge w:val="continue"/>
                  <w:tcBorders>
                    <w:left w:val="single" w:color="000000" w:sz="4" w:space="0"/>
                    <w:bottom w:val="single" w:color="auto" w:sz="4" w:space="0"/>
                    <w:right w:val="single" w:color="000000" w:sz="6" w:space="0"/>
                  </w:tcBorders>
                  <w:noWrap w:val="0"/>
                  <w:vAlign w:val="center"/>
                </w:tcPr>
                <w:p w14:paraId="50C4114B">
                  <w:pPr>
                    <w:jc w:val="center"/>
                    <w:rPr>
                      <w:rFonts w:hint="eastAsia"/>
                      <w:szCs w:val="21"/>
                      <w:lang w:val="en-US" w:eastAsia="zh-CN"/>
                    </w:rPr>
                  </w:pPr>
                </w:p>
              </w:tc>
              <w:tc>
                <w:tcPr>
                  <w:tcW w:w="163" w:type="pct"/>
                  <w:vMerge w:val="continue"/>
                  <w:tcBorders>
                    <w:left w:val="single" w:color="000000" w:sz="6" w:space="0"/>
                    <w:bottom w:val="single" w:color="auto" w:sz="4" w:space="0"/>
                    <w:right w:val="single" w:color="000000" w:sz="6" w:space="0"/>
                  </w:tcBorders>
                  <w:noWrap w:val="0"/>
                  <w:vAlign w:val="center"/>
                </w:tcPr>
                <w:p w14:paraId="40A20536">
                  <w:pPr>
                    <w:jc w:val="center"/>
                    <w:rPr>
                      <w:rFonts w:hint="eastAsia"/>
                      <w:szCs w:val="21"/>
                      <w:lang w:val="en-US" w:eastAsia="zh-CN"/>
                    </w:rPr>
                  </w:pPr>
                </w:p>
              </w:tc>
              <w:tc>
                <w:tcPr>
                  <w:tcW w:w="177" w:type="pct"/>
                  <w:vMerge w:val="continue"/>
                  <w:tcBorders>
                    <w:left w:val="single" w:color="000000" w:sz="6" w:space="0"/>
                    <w:bottom w:val="single" w:color="auto" w:sz="4" w:space="0"/>
                    <w:right w:val="single" w:color="000000" w:sz="6" w:space="0"/>
                  </w:tcBorders>
                  <w:noWrap w:val="0"/>
                  <w:vAlign w:val="center"/>
                </w:tcPr>
                <w:p w14:paraId="62D19788">
                  <w:pPr>
                    <w:jc w:val="center"/>
                    <w:rPr>
                      <w:rFonts w:hint="eastAsia"/>
                      <w:szCs w:val="21"/>
                      <w:lang w:val="en-US" w:eastAsia="zh-CN"/>
                    </w:rPr>
                  </w:pPr>
                </w:p>
              </w:tc>
              <w:tc>
                <w:tcPr>
                  <w:tcW w:w="229" w:type="pct"/>
                  <w:vMerge w:val="continue"/>
                  <w:tcBorders>
                    <w:left w:val="single" w:color="000000" w:sz="6" w:space="0"/>
                    <w:bottom w:val="single" w:color="auto" w:sz="4" w:space="0"/>
                    <w:right w:val="single" w:color="000000" w:sz="4" w:space="0"/>
                  </w:tcBorders>
                  <w:noWrap w:val="0"/>
                  <w:vAlign w:val="center"/>
                </w:tcPr>
                <w:p w14:paraId="68AA3408">
                  <w:pPr>
                    <w:jc w:val="center"/>
                    <w:rPr>
                      <w:rFonts w:hint="eastAsia"/>
                      <w:szCs w:val="21"/>
                      <w:lang w:val="en-US" w:eastAsia="zh-CN"/>
                    </w:rPr>
                  </w:pPr>
                </w:p>
              </w:tc>
              <w:tc>
                <w:tcPr>
                  <w:tcW w:w="233" w:type="pct"/>
                  <w:vMerge w:val="continue"/>
                  <w:tcBorders>
                    <w:left w:val="single" w:color="000000" w:sz="4" w:space="0"/>
                    <w:bottom w:val="single" w:color="auto" w:sz="4" w:space="0"/>
                    <w:right w:val="single" w:color="000000" w:sz="6" w:space="0"/>
                  </w:tcBorders>
                  <w:noWrap w:val="0"/>
                  <w:vAlign w:val="center"/>
                </w:tcPr>
                <w:p w14:paraId="1CB8FF93">
                  <w:pPr>
                    <w:jc w:val="center"/>
                    <w:rPr>
                      <w:rFonts w:hint="eastAsia"/>
                      <w:szCs w:val="21"/>
                      <w:lang w:val="en-US" w:eastAsia="zh-CN"/>
                    </w:rPr>
                  </w:pPr>
                </w:p>
              </w:tc>
              <w:tc>
                <w:tcPr>
                  <w:tcW w:w="169" w:type="pct"/>
                  <w:vMerge w:val="continue"/>
                  <w:tcBorders>
                    <w:left w:val="single" w:color="000000" w:sz="6" w:space="0"/>
                    <w:bottom w:val="single" w:color="auto" w:sz="4" w:space="0"/>
                    <w:right w:val="single" w:color="000000" w:sz="6" w:space="0"/>
                  </w:tcBorders>
                  <w:noWrap w:val="0"/>
                  <w:vAlign w:val="center"/>
                </w:tcPr>
                <w:p w14:paraId="1D0B61D1">
                  <w:pPr>
                    <w:jc w:val="center"/>
                    <w:rPr>
                      <w:rFonts w:hint="eastAsia"/>
                      <w:szCs w:val="21"/>
                      <w:lang w:val="en-US" w:eastAsia="zh-CN"/>
                    </w:rPr>
                  </w:pPr>
                </w:p>
              </w:tc>
              <w:tc>
                <w:tcPr>
                  <w:tcW w:w="233" w:type="pct"/>
                  <w:vMerge w:val="continue"/>
                  <w:tcBorders>
                    <w:left w:val="single" w:color="000000" w:sz="6" w:space="0"/>
                    <w:bottom w:val="single" w:color="auto" w:sz="4" w:space="0"/>
                    <w:right w:val="single" w:color="000000" w:sz="4" w:space="0"/>
                  </w:tcBorders>
                  <w:noWrap w:val="0"/>
                  <w:vAlign w:val="center"/>
                </w:tcPr>
                <w:p w14:paraId="7CC01D91">
                  <w:pPr>
                    <w:jc w:val="center"/>
                    <w:rPr>
                      <w:rFonts w:hint="eastAsia"/>
                      <w:szCs w:val="21"/>
                      <w:lang w:val="en-US" w:eastAsia="zh-CN"/>
                    </w:rPr>
                  </w:pPr>
                </w:p>
              </w:tc>
              <w:tc>
                <w:tcPr>
                  <w:tcW w:w="618" w:type="pct"/>
                  <w:vMerge w:val="continue"/>
                  <w:tcBorders>
                    <w:left w:val="single" w:color="000000" w:sz="4" w:space="0"/>
                    <w:bottom w:val="single" w:color="auto" w:sz="4" w:space="0"/>
                    <w:right w:val="single" w:color="000000" w:sz="6" w:space="0"/>
                  </w:tcBorders>
                  <w:noWrap w:val="0"/>
                  <w:vAlign w:val="center"/>
                </w:tcPr>
                <w:p w14:paraId="6312E5F6">
                  <w:pPr>
                    <w:jc w:val="center"/>
                    <w:rPr>
                      <w:rFonts w:hint="eastAsia"/>
                      <w:szCs w:val="21"/>
                      <w:lang w:val="en-US" w:eastAsia="zh-CN"/>
                    </w:rPr>
                  </w:pPr>
                </w:p>
              </w:tc>
              <w:tc>
                <w:tcPr>
                  <w:tcW w:w="347" w:type="pct"/>
                  <w:tcBorders>
                    <w:top w:val="single" w:color="auto" w:sz="4" w:space="0"/>
                    <w:left w:val="single" w:color="auto" w:sz="4" w:space="0"/>
                    <w:bottom w:val="single" w:color="auto" w:sz="4" w:space="0"/>
                    <w:right w:val="single" w:color="auto" w:sz="4" w:space="0"/>
                  </w:tcBorders>
                  <w:noWrap w:val="0"/>
                  <w:vAlign w:val="center"/>
                </w:tcPr>
                <w:p w14:paraId="0EFB6938">
                  <w:pPr>
                    <w:jc w:val="center"/>
                    <w:rPr>
                      <w:rFonts w:hint="eastAsia"/>
                      <w:szCs w:val="21"/>
                      <w:lang w:val="en-US" w:eastAsia="zh-CN"/>
                    </w:rPr>
                  </w:pPr>
                  <w:r>
                    <w:rPr>
                      <w:sz w:val="21"/>
                      <w:szCs w:val="21"/>
                      <w:lang w:eastAsia="zh-CN"/>
                    </w:rPr>
                    <w:t>/</w:t>
                  </w:r>
                </w:p>
              </w:tc>
              <w:tc>
                <w:tcPr>
                  <w:tcW w:w="231" w:type="pct"/>
                  <w:vMerge w:val="continue"/>
                  <w:tcBorders>
                    <w:left w:val="single" w:color="000000" w:sz="6" w:space="0"/>
                    <w:bottom w:val="single" w:color="auto" w:sz="4" w:space="0"/>
                    <w:right w:val="single" w:color="000000" w:sz="6" w:space="0"/>
                  </w:tcBorders>
                  <w:noWrap w:val="0"/>
                  <w:vAlign w:val="center"/>
                </w:tcPr>
                <w:p w14:paraId="52FB6541">
                  <w:pPr>
                    <w:jc w:val="center"/>
                    <w:rPr>
                      <w:rFonts w:hint="eastAsia"/>
                      <w:szCs w:val="21"/>
                      <w:lang w:val="en-US" w:eastAsia="zh-CN"/>
                    </w:rPr>
                  </w:pPr>
                </w:p>
              </w:tc>
              <w:tc>
                <w:tcPr>
                  <w:tcW w:w="234" w:type="pct"/>
                  <w:vMerge w:val="continue"/>
                  <w:tcBorders>
                    <w:left w:val="single" w:color="000000" w:sz="6" w:space="0"/>
                    <w:bottom w:val="single" w:color="auto" w:sz="4" w:space="0"/>
                  </w:tcBorders>
                  <w:noWrap w:val="0"/>
                  <w:vAlign w:val="center"/>
                </w:tcPr>
                <w:p w14:paraId="48B6615D">
                  <w:pPr>
                    <w:jc w:val="center"/>
                    <w:rPr>
                      <w:rFonts w:hint="eastAsia"/>
                      <w:szCs w:val="21"/>
                      <w:lang w:val="en-US" w:eastAsia="zh-CN"/>
                    </w:rPr>
                  </w:pPr>
                </w:p>
              </w:tc>
            </w:tr>
          </w:tbl>
          <w:p w14:paraId="1CD1C45C">
            <w:pPr>
              <w:adjustRightInd w:val="0"/>
              <w:snapToGrid w:val="0"/>
              <w:jc w:val="center"/>
              <w:rPr>
                <w:rFonts w:ascii="宋体" w:hAnsi="宋体"/>
                <w:b/>
                <w:sz w:val="24"/>
              </w:rPr>
            </w:pPr>
          </w:p>
          <w:p w14:paraId="0EC01698">
            <w:pPr>
              <w:adjustRightInd w:val="0"/>
              <w:snapToGrid w:val="0"/>
              <w:spacing w:line="240" w:lineRule="atLeast"/>
              <w:jc w:val="center"/>
              <w:rPr>
                <w:b/>
                <w:szCs w:val="21"/>
              </w:rPr>
            </w:pPr>
            <w:r>
              <w:rPr>
                <w:b/>
                <w:szCs w:val="21"/>
              </w:rPr>
              <w:t>表8  建设项目废水直接排放口基本情况表</w:t>
            </w:r>
          </w:p>
          <w:tbl>
            <w:tblPr>
              <w:tblStyle w:val="24"/>
              <w:tblW w:w="5000" w:type="pct"/>
              <w:tblInd w:w="10"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399"/>
              <w:gridCol w:w="805"/>
              <w:gridCol w:w="1169"/>
              <w:gridCol w:w="846"/>
              <w:gridCol w:w="1330"/>
              <w:gridCol w:w="983"/>
              <w:gridCol w:w="975"/>
              <w:gridCol w:w="853"/>
              <w:gridCol w:w="958"/>
              <w:gridCol w:w="979"/>
              <w:gridCol w:w="1345"/>
              <w:gridCol w:w="1515"/>
              <w:gridCol w:w="1294"/>
            </w:tblGrid>
            <w:tr w14:paraId="51FFEFE6">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PrEx>
              <w:tc>
                <w:tcPr>
                  <w:tcW w:w="148" w:type="pct"/>
                  <w:vMerge w:val="restart"/>
                  <w:tcBorders>
                    <w:bottom w:val="single" w:color="000000" w:sz="4" w:space="0"/>
                    <w:right w:val="single" w:color="000000" w:sz="4" w:space="0"/>
                  </w:tcBorders>
                  <w:noWrap w:val="0"/>
                  <w:vAlign w:val="center"/>
                </w:tcPr>
                <w:p w14:paraId="30ED4509">
                  <w:pPr>
                    <w:pStyle w:val="58"/>
                    <w:adjustRightInd w:val="0"/>
                    <w:snapToGrid w:val="0"/>
                    <w:jc w:val="center"/>
                    <w:rPr>
                      <w:b/>
                      <w:sz w:val="21"/>
                      <w:szCs w:val="21"/>
                    </w:rPr>
                  </w:pPr>
                  <w:r>
                    <w:rPr>
                      <w:rFonts w:hint="eastAsia"/>
                      <w:b/>
                      <w:sz w:val="21"/>
                      <w:szCs w:val="21"/>
                    </w:rPr>
                    <w:t>序号</w:t>
                  </w:r>
                </w:p>
              </w:tc>
              <w:tc>
                <w:tcPr>
                  <w:tcW w:w="299" w:type="pct"/>
                  <w:vMerge w:val="restart"/>
                  <w:tcBorders>
                    <w:left w:val="single" w:color="000000" w:sz="4" w:space="0"/>
                    <w:bottom w:val="single" w:color="000000" w:sz="4" w:space="0"/>
                    <w:right w:val="single" w:color="000000" w:sz="4" w:space="0"/>
                  </w:tcBorders>
                  <w:noWrap w:val="0"/>
                  <w:vAlign w:val="center"/>
                </w:tcPr>
                <w:p w14:paraId="31C1A483">
                  <w:pPr>
                    <w:pStyle w:val="58"/>
                    <w:adjustRightInd w:val="0"/>
                    <w:snapToGrid w:val="0"/>
                    <w:jc w:val="center"/>
                    <w:rPr>
                      <w:b/>
                      <w:sz w:val="21"/>
                      <w:szCs w:val="21"/>
                    </w:rPr>
                  </w:pPr>
                  <w:r>
                    <w:rPr>
                      <w:rFonts w:hint="eastAsia"/>
                      <w:b/>
                      <w:sz w:val="21"/>
                      <w:szCs w:val="21"/>
                    </w:rPr>
                    <w:t>排放口编号</w:t>
                  </w:r>
                </w:p>
              </w:tc>
              <w:tc>
                <w:tcPr>
                  <w:tcW w:w="434" w:type="pct"/>
                  <w:vMerge w:val="restart"/>
                  <w:tcBorders>
                    <w:left w:val="single" w:color="000000" w:sz="4" w:space="0"/>
                    <w:bottom w:val="single" w:color="000000" w:sz="4" w:space="0"/>
                    <w:right w:val="single" w:color="000000" w:sz="4" w:space="0"/>
                  </w:tcBorders>
                  <w:noWrap w:val="0"/>
                  <w:vAlign w:val="center"/>
                </w:tcPr>
                <w:p w14:paraId="7903409E">
                  <w:pPr>
                    <w:pStyle w:val="58"/>
                    <w:adjustRightInd w:val="0"/>
                    <w:snapToGrid w:val="0"/>
                    <w:jc w:val="center"/>
                    <w:rPr>
                      <w:b/>
                      <w:sz w:val="21"/>
                      <w:szCs w:val="21"/>
                    </w:rPr>
                  </w:pPr>
                  <w:r>
                    <w:rPr>
                      <w:rFonts w:hint="eastAsia"/>
                      <w:b/>
                      <w:sz w:val="21"/>
                      <w:szCs w:val="21"/>
                    </w:rPr>
                    <w:t>排放口名称</w:t>
                  </w:r>
                </w:p>
              </w:tc>
              <w:tc>
                <w:tcPr>
                  <w:tcW w:w="808" w:type="pct"/>
                  <w:gridSpan w:val="2"/>
                  <w:tcBorders>
                    <w:left w:val="single" w:color="000000" w:sz="4" w:space="0"/>
                    <w:bottom w:val="single" w:color="000000" w:sz="6" w:space="0"/>
                    <w:right w:val="single" w:color="000000" w:sz="4" w:space="0"/>
                  </w:tcBorders>
                  <w:noWrap w:val="0"/>
                  <w:vAlign w:val="center"/>
                </w:tcPr>
                <w:p w14:paraId="05CB858D">
                  <w:pPr>
                    <w:pStyle w:val="58"/>
                    <w:adjustRightInd w:val="0"/>
                    <w:snapToGrid w:val="0"/>
                    <w:jc w:val="center"/>
                    <w:rPr>
                      <w:b/>
                      <w:sz w:val="21"/>
                      <w:szCs w:val="21"/>
                    </w:rPr>
                  </w:pPr>
                  <w:r>
                    <w:rPr>
                      <w:rFonts w:hint="eastAsia"/>
                      <w:b/>
                      <w:sz w:val="21"/>
                      <w:szCs w:val="21"/>
                    </w:rPr>
                    <w:t>排放口地理坐标</w:t>
                  </w:r>
                </w:p>
              </w:tc>
              <w:tc>
                <w:tcPr>
                  <w:tcW w:w="365" w:type="pct"/>
                  <w:vMerge w:val="restart"/>
                  <w:tcBorders>
                    <w:left w:val="single" w:color="000000" w:sz="4" w:space="0"/>
                    <w:bottom w:val="single" w:color="000000" w:sz="4" w:space="0"/>
                    <w:right w:val="single" w:color="000000" w:sz="6" w:space="0"/>
                  </w:tcBorders>
                  <w:noWrap w:val="0"/>
                  <w:vAlign w:val="center"/>
                </w:tcPr>
                <w:p w14:paraId="015BA08E">
                  <w:pPr>
                    <w:pStyle w:val="58"/>
                    <w:adjustRightInd w:val="0"/>
                    <w:snapToGrid w:val="0"/>
                    <w:jc w:val="center"/>
                    <w:rPr>
                      <w:b/>
                      <w:sz w:val="21"/>
                      <w:szCs w:val="21"/>
                    </w:rPr>
                  </w:pPr>
                  <w:r>
                    <w:rPr>
                      <w:rFonts w:hint="eastAsia"/>
                      <w:b/>
                      <w:sz w:val="21"/>
                      <w:szCs w:val="21"/>
                    </w:rPr>
                    <w:t>排放去向</w:t>
                  </w:r>
                </w:p>
              </w:tc>
              <w:tc>
                <w:tcPr>
                  <w:tcW w:w="362" w:type="pct"/>
                  <w:vMerge w:val="restart"/>
                  <w:tcBorders>
                    <w:left w:val="single" w:color="000000" w:sz="6" w:space="0"/>
                    <w:bottom w:val="single" w:color="000000" w:sz="4" w:space="0"/>
                    <w:right w:val="single" w:color="000000" w:sz="6" w:space="0"/>
                  </w:tcBorders>
                  <w:noWrap w:val="0"/>
                  <w:vAlign w:val="center"/>
                </w:tcPr>
                <w:p w14:paraId="42EE3142">
                  <w:pPr>
                    <w:pStyle w:val="58"/>
                    <w:adjustRightInd w:val="0"/>
                    <w:snapToGrid w:val="0"/>
                    <w:jc w:val="center"/>
                    <w:rPr>
                      <w:b/>
                      <w:sz w:val="21"/>
                      <w:szCs w:val="21"/>
                    </w:rPr>
                  </w:pPr>
                  <w:r>
                    <w:rPr>
                      <w:rFonts w:hint="eastAsia"/>
                      <w:b/>
                      <w:sz w:val="21"/>
                      <w:szCs w:val="21"/>
                    </w:rPr>
                    <w:t>排放规律</w:t>
                  </w:r>
                </w:p>
              </w:tc>
              <w:tc>
                <w:tcPr>
                  <w:tcW w:w="317" w:type="pct"/>
                  <w:vMerge w:val="restart"/>
                  <w:tcBorders>
                    <w:left w:val="single" w:color="000000" w:sz="6" w:space="0"/>
                    <w:bottom w:val="single" w:color="000000" w:sz="4" w:space="0"/>
                    <w:right w:val="single" w:color="000000" w:sz="4" w:space="0"/>
                  </w:tcBorders>
                  <w:noWrap w:val="0"/>
                  <w:vAlign w:val="center"/>
                </w:tcPr>
                <w:p w14:paraId="4513244A">
                  <w:pPr>
                    <w:pStyle w:val="58"/>
                    <w:adjustRightInd w:val="0"/>
                    <w:snapToGrid w:val="0"/>
                    <w:jc w:val="center"/>
                    <w:rPr>
                      <w:b/>
                      <w:sz w:val="21"/>
                      <w:szCs w:val="21"/>
                    </w:rPr>
                  </w:pPr>
                  <w:r>
                    <w:rPr>
                      <w:rFonts w:hint="eastAsia"/>
                      <w:b/>
                      <w:sz w:val="21"/>
                      <w:szCs w:val="21"/>
                    </w:rPr>
                    <w:t>间歇排放时段</w:t>
                  </w:r>
                </w:p>
              </w:tc>
              <w:tc>
                <w:tcPr>
                  <w:tcW w:w="720" w:type="pct"/>
                  <w:gridSpan w:val="2"/>
                  <w:tcBorders>
                    <w:left w:val="single" w:color="000000" w:sz="4" w:space="0"/>
                    <w:bottom w:val="single" w:color="000000" w:sz="6" w:space="0"/>
                    <w:right w:val="single" w:color="000000" w:sz="4" w:space="0"/>
                  </w:tcBorders>
                  <w:noWrap w:val="0"/>
                  <w:vAlign w:val="center"/>
                </w:tcPr>
                <w:p w14:paraId="6DB8B22C">
                  <w:pPr>
                    <w:pStyle w:val="58"/>
                    <w:adjustRightInd w:val="0"/>
                    <w:snapToGrid w:val="0"/>
                    <w:jc w:val="center"/>
                    <w:rPr>
                      <w:b/>
                      <w:sz w:val="21"/>
                      <w:szCs w:val="21"/>
                    </w:rPr>
                  </w:pPr>
                  <w:r>
                    <w:rPr>
                      <w:rFonts w:hint="eastAsia"/>
                      <w:b/>
                      <w:sz w:val="21"/>
                      <w:szCs w:val="21"/>
                    </w:rPr>
                    <w:t>受纳自然水体信息</w:t>
                  </w:r>
                </w:p>
              </w:tc>
              <w:tc>
                <w:tcPr>
                  <w:tcW w:w="1063" w:type="pct"/>
                  <w:gridSpan w:val="2"/>
                  <w:tcBorders>
                    <w:left w:val="single" w:color="000000" w:sz="4" w:space="0"/>
                    <w:bottom w:val="single" w:color="000000" w:sz="6" w:space="0"/>
                    <w:right w:val="single" w:color="000000" w:sz="4" w:space="0"/>
                  </w:tcBorders>
                  <w:noWrap w:val="0"/>
                  <w:vAlign w:val="center"/>
                </w:tcPr>
                <w:p w14:paraId="6D32030B">
                  <w:pPr>
                    <w:pStyle w:val="58"/>
                    <w:adjustRightInd w:val="0"/>
                    <w:snapToGrid w:val="0"/>
                    <w:jc w:val="center"/>
                    <w:rPr>
                      <w:b/>
                      <w:sz w:val="21"/>
                      <w:szCs w:val="21"/>
                      <w:lang w:eastAsia="zh-CN"/>
                    </w:rPr>
                  </w:pPr>
                  <w:r>
                    <w:rPr>
                      <w:rFonts w:hint="eastAsia"/>
                      <w:b/>
                      <w:sz w:val="21"/>
                      <w:szCs w:val="21"/>
                      <w:lang w:eastAsia="zh-CN"/>
                    </w:rPr>
                    <w:t>汇入受纳自然水体处地理坐标</w:t>
                  </w:r>
                </w:p>
              </w:tc>
              <w:tc>
                <w:tcPr>
                  <w:tcW w:w="481" w:type="pct"/>
                  <w:vMerge w:val="restart"/>
                  <w:tcBorders>
                    <w:left w:val="single" w:color="000000" w:sz="4" w:space="0"/>
                    <w:bottom w:val="single" w:color="000000" w:sz="4" w:space="0"/>
                  </w:tcBorders>
                  <w:noWrap w:val="0"/>
                  <w:vAlign w:val="center"/>
                </w:tcPr>
                <w:p w14:paraId="2E95550B">
                  <w:pPr>
                    <w:pStyle w:val="58"/>
                    <w:adjustRightInd w:val="0"/>
                    <w:snapToGrid w:val="0"/>
                    <w:jc w:val="center"/>
                    <w:rPr>
                      <w:b/>
                      <w:sz w:val="21"/>
                      <w:szCs w:val="21"/>
                      <w:lang w:eastAsia="zh-CN"/>
                    </w:rPr>
                  </w:pPr>
                  <w:r>
                    <w:rPr>
                      <w:rFonts w:hint="eastAsia"/>
                      <w:b/>
                      <w:sz w:val="21"/>
                      <w:szCs w:val="21"/>
                      <w:lang w:eastAsia="zh-CN"/>
                    </w:rPr>
                    <w:t>其他信息</w:t>
                  </w:r>
                </w:p>
              </w:tc>
            </w:tr>
            <w:tr w14:paraId="584FBB34">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48" w:type="pct"/>
                  <w:vMerge w:val="continue"/>
                  <w:tcBorders>
                    <w:top w:val="nil"/>
                    <w:bottom w:val="single" w:color="000000" w:sz="4" w:space="0"/>
                    <w:right w:val="single" w:color="000000" w:sz="4" w:space="0"/>
                  </w:tcBorders>
                  <w:noWrap w:val="0"/>
                  <w:vAlign w:val="center"/>
                </w:tcPr>
                <w:p w14:paraId="5BDE435E">
                  <w:pPr>
                    <w:autoSpaceDE w:val="0"/>
                    <w:autoSpaceDN w:val="0"/>
                    <w:adjustRightInd w:val="0"/>
                    <w:snapToGrid w:val="0"/>
                    <w:jc w:val="center"/>
                    <w:rPr>
                      <w:rFonts w:ascii="宋体" w:hAnsi="宋体"/>
                      <w:szCs w:val="21"/>
                    </w:rPr>
                  </w:pPr>
                </w:p>
              </w:tc>
              <w:tc>
                <w:tcPr>
                  <w:tcW w:w="299" w:type="pct"/>
                  <w:vMerge w:val="continue"/>
                  <w:tcBorders>
                    <w:top w:val="nil"/>
                    <w:left w:val="single" w:color="000000" w:sz="4" w:space="0"/>
                    <w:bottom w:val="single" w:color="000000" w:sz="4" w:space="0"/>
                    <w:right w:val="single" w:color="000000" w:sz="4" w:space="0"/>
                  </w:tcBorders>
                  <w:noWrap w:val="0"/>
                  <w:vAlign w:val="center"/>
                </w:tcPr>
                <w:p w14:paraId="4CA0DB87">
                  <w:pPr>
                    <w:autoSpaceDE w:val="0"/>
                    <w:autoSpaceDN w:val="0"/>
                    <w:adjustRightInd w:val="0"/>
                    <w:snapToGrid w:val="0"/>
                    <w:jc w:val="center"/>
                    <w:rPr>
                      <w:rFonts w:ascii="宋体" w:hAnsi="宋体"/>
                      <w:szCs w:val="21"/>
                    </w:rPr>
                  </w:pPr>
                </w:p>
              </w:tc>
              <w:tc>
                <w:tcPr>
                  <w:tcW w:w="434" w:type="pct"/>
                  <w:vMerge w:val="continue"/>
                  <w:tcBorders>
                    <w:top w:val="nil"/>
                    <w:left w:val="single" w:color="000000" w:sz="4" w:space="0"/>
                    <w:bottom w:val="single" w:color="000000" w:sz="4" w:space="0"/>
                    <w:right w:val="single" w:color="000000" w:sz="4" w:space="0"/>
                  </w:tcBorders>
                  <w:noWrap w:val="0"/>
                  <w:vAlign w:val="center"/>
                </w:tcPr>
                <w:p w14:paraId="1361A953">
                  <w:pPr>
                    <w:autoSpaceDE w:val="0"/>
                    <w:autoSpaceDN w:val="0"/>
                    <w:adjustRightInd w:val="0"/>
                    <w:snapToGrid w:val="0"/>
                    <w:jc w:val="center"/>
                    <w:rPr>
                      <w:rFonts w:ascii="宋体" w:hAnsi="宋体"/>
                      <w:szCs w:val="21"/>
                    </w:rPr>
                  </w:pPr>
                </w:p>
              </w:tc>
              <w:tc>
                <w:tcPr>
                  <w:tcW w:w="314" w:type="pct"/>
                  <w:tcBorders>
                    <w:top w:val="single" w:color="000000" w:sz="6" w:space="0"/>
                    <w:left w:val="single" w:color="000000" w:sz="4" w:space="0"/>
                    <w:bottom w:val="single" w:color="000000" w:sz="4" w:space="0"/>
                    <w:right w:val="single" w:color="000000" w:sz="6" w:space="0"/>
                  </w:tcBorders>
                  <w:noWrap w:val="0"/>
                  <w:vAlign w:val="center"/>
                </w:tcPr>
                <w:p w14:paraId="0EEAD017">
                  <w:pPr>
                    <w:pStyle w:val="58"/>
                    <w:adjustRightInd w:val="0"/>
                    <w:snapToGrid w:val="0"/>
                    <w:jc w:val="center"/>
                    <w:rPr>
                      <w:b/>
                      <w:sz w:val="21"/>
                      <w:szCs w:val="21"/>
                      <w:lang w:eastAsia="zh-CN"/>
                    </w:rPr>
                  </w:pPr>
                  <w:r>
                    <w:rPr>
                      <w:rFonts w:hint="eastAsia"/>
                      <w:b/>
                      <w:sz w:val="21"/>
                      <w:szCs w:val="21"/>
                      <w:lang w:eastAsia="zh-CN"/>
                    </w:rPr>
                    <w:t>经度</w:t>
                  </w:r>
                </w:p>
              </w:tc>
              <w:tc>
                <w:tcPr>
                  <w:tcW w:w="494" w:type="pct"/>
                  <w:tcBorders>
                    <w:top w:val="single" w:color="000000" w:sz="6" w:space="0"/>
                    <w:left w:val="single" w:color="000000" w:sz="6" w:space="0"/>
                    <w:bottom w:val="single" w:color="000000" w:sz="4" w:space="0"/>
                    <w:right w:val="single" w:color="000000" w:sz="4" w:space="0"/>
                  </w:tcBorders>
                  <w:noWrap w:val="0"/>
                  <w:vAlign w:val="center"/>
                </w:tcPr>
                <w:p w14:paraId="082B0859">
                  <w:pPr>
                    <w:pStyle w:val="58"/>
                    <w:adjustRightInd w:val="0"/>
                    <w:snapToGrid w:val="0"/>
                    <w:jc w:val="center"/>
                    <w:rPr>
                      <w:b/>
                      <w:sz w:val="21"/>
                      <w:szCs w:val="21"/>
                      <w:lang w:eastAsia="zh-CN"/>
                    </w:rPr>
                  </w:pPr>
                  <w:r>
                    <w:rPr>
                      <w:rFonts w:hint="eastAsia"/>
                      <w:b/>
                      <w:sz w:val="21"/>
                      <w:szCs w:val="21"/>
                      <w:lang w:eastAsia="zh-CN"/>
                    </w:rPr>
                    <w:t>纬度</w:t>
                  </w:r>
                </w:p>
              </w:tc>
              <w:tc>
                <w:tcPr>
                  <w:tcW w:w="365" w:type="pct"/>
                  <w:vMerge w:val="continue"/>
                  <w:tcBorders>
                    <w:top w:val="nil"/>
                    <w:left w:val="single" w:color="000000" w:sz="4" w:space="0"/>
                    <w:bottom w:val="single" w:color="000000" w:sz="4" w:space="0"/>
                    <w:right w:val="single" w:color="000000" w:sz="6" w:space="0"/>
                  </w:tcBorders>
                  <w:noWrap w:val="0"/>
                  <w:vAlign w:val="center"/>
                </w:tcPr>
                <w:p w14:paraId="631E1AAF">
                  <w:pPr>
                    <w:autoSpaceDE w:val="0"/>
                    <w:autoSpaceDN w:val="0"/>
                    <w:adjustRightInd w:val="0"/>
                    <w:snapToGrid w:val="0"/>
                    <w:jc w:val="center"/>
                    <w:rPr>
                      <w:rFonts w:ascii="宋体" w:hAnsi="宋体"/>
                      <w:szCs w:val="21"/>
                    </w:rPr>
                  </w:pPr>
                </w:p>
              </w:tc>
              <w:tc>
                <w:tcPr>
                  <w:tcW w:w="362" w:type="pct"/>
                  <w:vMerge w:val="continue"/>
                  <w:tcBorders>
                    <w:top w:val="nil"/>
                    <w:left w:val="single" w:color="000000" w:sz="6" w:space="0"/>
                    <w:bottom w:val="single" w:color="000000" w:sz="4" w:space="0"/>
                    <w:right w:val="single" w:color="000000" w:sz="6" w:space="0"/>
                  </w:tcBorders>
                  <w:noWrap w:val="0"/>
                  <w:vAlign w:val="center"/>
                </w:tcPr>
                <w:p w14:paraId="3C26287B">
                  <w:pPr>
                    <w:autoSpaceDE w:val="0"/>
                    <w:autoSpaceDN w:val="0"/>
                    <w:adjustRightInd w:val="0"/>
                    <w:snapToGrid w:val="0"/>
                    <w:jc w:val="center"/>
                    <w:rPr>
                      <w:rFonts w:ascii="宋体" w:hAnsi="宋体"/>
                      <w:szCs w:val="21"/>
                    </w:rPr>
                  </w:pPr>
                </w:p>
              </w:tc>
              <w:tc>
                <w:tcPr>
                  <w:tcW w:w="317" w:type="pct"/>
                  <w:vMerge w:val="continue"/>
                  <w:tcBorders>
                    <w:top w:val="nil"/>
                    <w:left w:val="single" w:color="000000" w:sz="6" w:space="0"/>
                    <w:bottom w:val="single" w:color="000000" w:sz="4" w:space="0"/>
                    <w:right w:val="single" w:color="000000" w:sz="4" w:space="0"/>
                  </w:tcBorders>
                  <w:noWrap w:val="0"/>
                  <w:vAlign w:val="center"/>
                </w:tcPr>
                <w:p w14:paraId="647D0700">
                  <w:pPr>
                    <w:autoSpaceDE w:val="0"/>
                    <w:autoSpaceDN w:val="0"/>
                    <w:adjustRightInd w:val="0"/>
                    <w:snapToGrid w:val="0"/>
                    <w:jc w:val="center"/>
                    <w:rPr>
                      <w:rFonts w:ascii="宋体" w:hAnsi="宋体"/>
                      <w:szCs w:val="21"/>
                    </w:rPr>
                  </w:pPr>
                </w:p>
              </w:tc>
              <w:tc>
                <w:tcPr>
                  <w:tcW w:w="356" w:type="pct"/>
                  <w:tcBorders>
                    <w:top w:val="single" w:color="000000" w:sz="6" w:space="0"/>
                    <w:left w:val="single" w:color="000000" w:sz="4" w:space="0"/>
                    <w:bottom w:val="single" w:color="000000" w:sz="4" w:space="0"/>
                    <w:right w:val="single" w:color="000000" w:sz="4" w:space="0"/>
                  </w:tcBorders>
                  <w:noWrap w:val="0"/>
                  <w:vAlign w:val="center"/>
                </w:tcPr>
                <w:p w14:paraId="1984E3EA">
                  <w:pPr>
                    <w:pStyle w:val="58"/>
                    <w:adjustRightInd w:val="0"/>
                    <w:snapToGrid w:val="0"/>
                    <w:jc w:val="center"/>
                    <w:rPr>
                      <w:b/>
                      <w:sz w:val="21"/>
                      <w:szCs w:val="21"/>
                      <w:lang w:eastAsia="zh-CN"/>
                    </w:rPr>
                  </w:pPr>
                  <w:r>
                    <w:rPr>
                      <w:rFonts w:hint="eastAsia"/>
                      <w:b/>
                      <w:sz w:val="21"/>
                      <w:szCs w:val="21"/>
                      <w:lang w:eastAsia="zh-CN"/>
                    </w:rPr>
                    <w:t>水体名称</w:t>
                  </w:r>
                </w:p>
              </w:tc>
              <w:tc>
                <w:tcPr>
                  <w:tcW w:w="364" w:type="pct"/>
                  <w:tcBorders>
                    <w:top w:val="single" w:color="000000" w:sz="6" w:space="0"/>
                    <w:left w:val="single" w:color="000000" w:sz="4" w:space="0"/>
                    <w:bottom w:val="single" w:color="000000" w:sz="4" w:space="0"/>
                    <w:right w:val="single" w:color="000000" w:sz="4" w:space="0"/>
                  </w:tcBorders>
                  <w:noWrap w:val="0"/>
                  <w:vAlign w:val="center"/>
                </w:tcPr>
                <w:p w14:paraId="3A521A02">
                  <w:pPr>
                    <w:pStyle w:val="58"/>
                    <w:adjustRightInd w:val="0"/>
                    <w:snapToGrid w:val="0"/>
                    <w:jc w:val="center"/>
                    <w:rPr>
                      <w:b/>
                      <w:sz w:val="21"/>
                      <w:szCs w:val="21"/>
                      <w:lang w:eastAsia="zh-CN"/>
                    </w:rPr>
                  </w:pPr>
                  <w:r>
                    <w:rPr>
                      <w:rFonts w:hint="eastAsia"/>
                      <w:b/>
                      <w:sz w:val="21"/>
                      <w:szCs w:val="21"/>
                      <w:lang w:eastAsia="zh-CN"/>
                    </w:rPr>
                    <w:t>受纳水体</w:t>
                  </w:r>
                </w:p>
                <w:p w14:paraId="03134899">
                  <w:pPr>
                    <w:pStyle w:val="58"/>
                    <w:adjustRightInd w:val="0"/>
                    <w:snapToGrid w:val="0"/>
                    <w:jc w:val="center"/>
                    <w:rPr>
                      <w:b/>
                      <w:sz w:val="21"/>
                      <w:szCs w:val="21"/>
                      <w:lang w:eastAsia="zh-CN"/>
                    </w:rPr>
                  </w:pPr>
                  <w:r>
                    <w:rPr>
                      <w:rFonts w:hint="eastAsia"/>
                      <w:b/>
                      <w:sz w:val="21"/>
                      <w:szCs w:val="21"/>
                      <w:lang w:eastAsia="zh-CN"/>
                    </w:rPr>
                    <w:t>功能目标</w:t>
                  </w:r>
                </w:p>
              </w:tc>
              <w:tc>
                <w:tcPr>
                  <w:tcW w:w="500" w:type="pct"/>
                  <w:tcBorders>
                    <w:top w:val="single" w:color="000000" w:sz="6" w:space="0"/>
                    <w:left w:val="single" w:color="000000" w:sz="4" w:space="0"/>
                    <w:bottom w:val="single" w:color="000000" w:sz="4" w:space="0"/>
                    <w:right w:val="single" w:color="000000" w:sz="6" w:space="0"/>
                  </w:tcBorders>
                  <w:noWrap w:val="0"/>
                  <w:vAlign w:val="center"/>
                </w:tcPr>
                <w:p w14:paraId="1E7FEFDC">
                  <w:pPr>
                    <w:pStyle w:val="58"/>
                    <w:adjustRightInd w:val="0"/>
                    <w:snapToGrid w:val="0"/>
                    <w:jc w:val="center"/>
                    <w:rPr>
                      <w:b/>
                      <w:sz w:val="21"/>
                      <w:szCs w:val="21"/>
                      <w:lang w:eastAsia="zh-CN"/>
                    </w:rPr>
                  </w:pPr>
                  <w:r>
                    <w:rPr>
                      <w:rFonts w:hint="eastAsia"/>
                      <w:b/>
                      <w:sz w:val="21"/>
                      <w:szCs w:val="21"/>
                      <w:lang w:eastAsia="zh-CN"/>
                    </w:rPr>
                    <w:t>经度</w:t>
                  </w:r>
                </w:p>
              </w:tc>
              <w:tc>
                <w:tcPr>
                  <w:tcW w:w="563" w:type="pct"/>
                  <w:tcBorders>
                    <w:top w:val="single" w:color="000000" w:sz="6" w:space="0"/>
                    <w:left w:val="single" w:color="000000" w:sz="6" w:space="0"/>
                    <w:bottom w:val="single" w:color="000000" w:sz="4" w:space="0"/>
                    <w:right w:val="single" w:color="000000" w:sz="4" w:space="0"/>
                  </w:tcBorders>
                  <w:noWrap w:val="0"/>
                  <w:vAlign w:val="center"/>
                </w:tcPr>
                <w:p w14:paraId="5F6A6285">
                  <w:pPr>
                    <w:pStyle w:val="58"/>
                    <w:adjustRightInd w:val="0"/>
                    <w:snapToGrid w:val="0"/>
                    <w:jc w:val="center"/>
                    <w:rPr>
                      <w:b/>
                      <w:sz w:val="21"/>
                      <w:szCs w:val="21"/>
                      <w:lang w:eastAsia="zh-CN"/>
                    </w:rPr>
                  </w:pPr>
                  <w:r>
                    <w:rPr>
                      <w:rFonts w:hint="eastAsia"/>
                      <w:b/>
                      <w:sz w:val="21"/>
                      <w:szCs w:val="21"/>
                      <w:lang w:eastAsia="zh-CN"/>
                    </w:rPr>
                    <w:t>纬度</w:t>
                  </w:r>
                </w:p>
              </w:tc>
              <w:tc>
                <w:tcPr>
                  <w:tcW w:w="481" w:type="pct"/>
                  <w:vMerge w:val="continue"/>
                  <w:tcBorders>
                    <w:top w:val="nil"/>
                    <w:left w:val="single" w:color="000000" w:sz="4" w:space="0"/>
                    <w:bottom w:val="single" w:color="000000" w:sz="4" w:space="0"/>
                  </w:tcBorders>
                  <w:noWrap w:val="0"/>
                  <w:vAlign w:val="center"/>
                </w:tcPr>
                <w:p w14:paraId="34A08CCB">
                  <w:pPr>
                    <w:autoSpaceDE w:val="0"/>
                    <w:autoSpaceDN w:val="0"/>
                    <w:adjustRightInd w:val="0"/>
                    <w:snapToGrid w:val="0"/>
                    <w:jc w:val="center"/>
                    <w:rPr>
                      <w:rFonts w:ascii="宋体" w:hAnsi="宋体"/>
                      <w:szCs w:val="21"/>
                    </w:rPr>
                  </w:pPr>
                </w:p>
              </w:tc>
            </w:tr>
            <w:tr w14:paraId="2ED54E61">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48" w:type="pct"/>
                  <w:tcBorders>
                    <w:top w:val="single" w:color="000000" w:sz="4" w:space="0"/>
                    <w:right w:val="single" w:color="000000" w:sz="4" w:space="0"/>
                  </w:tcBorders>
                  <w:noWrap w:val="0"/>
                  <w:vAlign w:val="center"/>
                </w:tcPr>
                <w:p w14:paraId="26C99EFC">
                  <w:pPr>
                    <w:pStyle w:val="58"/>
                    <w:adjustRightInd w:val="0"/>
                    <w:snapToGrid w:val="0"/>
                    <w:jc w:val="center"/>
                    <w:rPr>
                      <w:sz w:val="21"/>
                      <w:szCs w:val="21"/>
                      <w:lang w:eastAsia="zh-CN"/>
                    </w:rPr>
                  </w:pPr>
                  <w:r>
                    <w:rPr>
                      <w:rFonts w:hint="eastAsia"/>
                      <w:sz w:val="21"/>
                      <w:szCs w:val="21"/>
                      <w:lang w:eastAsia="zh-CN"/>
                    </w:rPr>
                    <w:t>/</w:t>
                  </w:r>
                </w:p>
              </w:tc>
              <w:tc>
                <w:tcPr>
                  <w:tcW w:w="299" w:type="pct"/>
                  <w:tcBorders>
                    <w:top w:val="single" w:color="000000" w:sz="4" w:space="0"/>
                    <w:left w:val="single" w:color="000000" w:sz="4" w:space="0"/>
                    <w:right w:val="single" w:color="000000" w:sz="4" w:space="0"/>
                  </w:tcBorders>
                  <w:noWrap w:val="0"/>
                  <w:vAlign w:val="center"/>
                </w:tcPr>
                <w:p w14:paraId="6FD99885">
                  <w:pPr>
                    <w:pStyle w:val="58"/>
                    <w:adjustRightInd w:val="0"/>
                    <w:snapToGrid w:val="0"/>
                    <w:jc w:val="center"/>
                    <w:rPr>
                      <w:sz w:val="21"/>
                      <w:szCs w:val="21"/>
                      <w:lang w:eastAsia="zh-CN"/>
                    </w:rPr>
                  </w:pPr>
                  <w:r>
                    <w:rPr>
                      <w:rFonts w:hint="eastAsia"/>
                      <w:sz w:val="21"/>
                      <w:szCs w:val="21"/>
                      <w:lang w:eastAsia="zh-CN"/>
                    </w:rPr>
                    <w:t>/</w:t>
                  </w:r>
                </w:p>
              </w:tc>
              <w:tc>
                <w:tcPr>
                  <w:tcW w:w="434" w:type="pct"/>
                  <w:tcBorders>
                    <w:top w:val="single" w:color="000000" w:sz="4" w:space="0"/>
                    <w:left w:val="single" w:color="000000" w:sz="4" w:space="0"/>
                    <w:right w:val="single" w:color="000000" w:sz="4" w:space="0"/>
                  </w:tcBorders>
                  <w:noWrap w:val="0"/>
                  <w:vAlign w:val="center"/>
                </w:tcPr>
                <w:p w14:paraId="79AB1D26">
                  <w:pPr>
                    <w:pStyle w:val="58"/>
                    <w:adjustRightInd w:val="0"/>
                    <w:snapToGrid w:val="0"/>
                    <w:jc w:val="center"/>
                    <w:rPr>
                      <w:sz w:val="21"/>
                      <w:szCs w:val="21"/>
                      <w:lang w:eastAsia="zh-CN"/>
                    </w:rPr>
                  </w:pPr>
                  <w:r>
                    <w:rPr>
                      <w:rFonts w:hint="eastAsia"/>
                      <w:sz w:val="21"/>
                      <w:szCs w:val="21"/>
                      <w:lang w:eastAsia="zh-CN"/>
                    </w:rPr>
                    <w:t>/</w:t>
                  </w:r>
                </w:p>
              </w:tc>
              <w:tc>
                <w:tcPr>
                  <w:tcW w:w="314" w:type="pct"/>
                  <w:tcBorders>
                    <w:top w:val="single" w:color="000000" w:sz="4" w:space="0"/>
                    <w:left w:val="single" w:color="000000" w:sz="4" w:space="0"/>
                    <w:right w:val="single" w:color="000000" w:sz="6" w:space="0"/>
                  </w:tcBorders>
                  <w:noWrap w:val="0"/>
                  <w:vAlign w:val="center"/>
                </w:tcPr>
                <w:p w14:paraId="2037C0F4">
                  <w:pPr>
                    <w:pStyle w:val="58"/>
                    <w:adjustRightInd w:val="0"/>
                    <w:snapToGrid w:val="0"/>
                    <w:jc w:val="center"/>
                    <w:rPr>
                      <w:sz w:val="21"/>
                      <w:szCs w:val="21"/>
                      <w:lang w:eastAsia="zh-CN"/>
                    </w:rPr>
                  </w:pPr>
                  <w:r>
                    <w:rPr>
                      <w:rFonts w:hint="eastAsia"/>
                      <w:sz w:val="21"/>
                      <w:szCs w:val="21"/>
                      <w:lang w:eastAsia="zh-CN"/>
                    </w:rPr>
                    <w:t>/</w:t>
                  </w:r>
                </w:p>
              </w:tc>
              <w:tc>
                <w:tcPr>
                  <w:tcW w:w="494" w:type="pct"/>
                  <w:tcBorders>
                    <w:top w:val="single" w:color="000000" w:sz="4" w:space="0"/>
                    <w:left w:val="single" w:color="000000" w:sz="6" w:space="0"/>
                    <w:right w:val="single" w:color="000000" w:sz="4" w:space="0"/>
                  </w:tcBorders>
                  <w:noWrap w:val="0"/>
                  <w:vAlign w:val="center"/>
                </w:tcPr>
                <w:p w14:paraId="7F52A54B">
                  <w:pPr>
                    <w:pStyle w:val="58"/>
                    <w:adjustRightInd w:val="0"/>
                    <w:snapToGrid w:val="0"/>
                    <w:jc w:val="center"/>
                    <w:rPr>
                      <w:sz w:val="21"/>
                      <w:szCs w:val="21"/>
                      <w:lang w:eastAsia="zh-CN"/>
                    </w:rPr>
                  </w:pPr>
                  <w:r>
                    <w:rPr>
                      <w:rFonts w:hint="eastAsia"/>
                      <w:sz w:val="21"/>
                      <w:szCs w:val="21"/>
                      <w:lang w:eastAsia="zh-CN"/>
                    </w:rPr>
                    <w:t>/</w:t>
                  </w:r>
                </w:p>
              </w:tc>
              <w:tc>
                <w:tcPr>
                  <w:tcW w:w="365" w:type="pct"/>
                  <w:tcBorders>
                    <w:top w:val="single" w:color="000000" w:sz="4" w:space="0"/>
                    <w:left w:val="single" w:color="000000" w:sz="4" w:space="0"/>
                    <w:right w:val="single" w:color="000000" w:sz="6" w:space="0"/>
                  </w:tcBorders>
                  <w:noWrap w:val="0"/>
                  <w:vAlign w:val="center"/>
                </w:tcPr>
                <w:p w14:paraId="668ECFCE">
                  <w:pPr>
                    <w:pStyle w:val="58"/>
                    <w:adjustRightInd w:val="0"/>
                    <w:snapToGrid w:val="0"/>
                    <w:jc w:val="center"/>
                    <w:rPr>
                      <w:sz w:val="21"/>
                      <w:szCs w:val="21"/>
                      <w:lang w:eastAsia="zh-CN"/>
                    </w:rPr>
                  </w:pPr>
                  <w:r>
                    <w:rPr>
                      <w:rFonts w:hint="eastAsia"/>
                      <w:sz w:val="21"/>
                      <w:szCs w:val="21"/>
                      <w:lang w:eastAsia="zh-CN"/>
                    </w:rPr>
                    <w:t>/</w:t>
                  </w:r>
                </w:p>
              </w:tc>
              <w:tc>
                <w:tcPr>
                  <w:tcW w:w="362" w:type="pct"/>
                  <w:tcBorders>
                    <w:top w:val="single" w:color="000000" w:sz="4" w:space="0"/>
                    <w:left w:val="single" w:color="000000" w:sz="6" w:space="0"/>
                    <w:right w:val="single" w:color="000000" w:sz="6" w:space="0"/>
                  </w:tcBorders>
                  <w:noWrap w:val="0"/>
                  <w:vAlign w:val="center"/>
                </w:tcPr>
                <w:p w14:paraId="03CC18BC">
                  <w:pPr>
                    <w:pStyle w:val="58"/>
                    <w:adjustRightInd w:val="0"/>
                    <w:snapToGrid w:val="0"/>
                    <w:jc w:val="center"/>
                    <w:rPr>
                      <w:sz w:val="21"/>
                      <w:szCs w:val="21"/>
                      <w:lang w:eastAsia="zh-CN"/>
                    </w:rPr>
                  </w:pPr>
                  <w:r>
                    <w:rPr>
                      <w:rFonts w:hint="eastAsia"/>
                      <w:sz w:val="21"/>
                      <w:szCs w:val="21"/>
                      <w:lang w:eastAsia="zh-CN"/>
                    </w:rPr>
                    <w:t>/</w:t>
                  </w:r>
                </w:p>
              </w:tc>
              <w:tc>
                <w:tcPr>
                  <w:tcW w:w="317" w:type="pct"/>
                  <w:tcBorders>
                    <w:top w:val="single" w:color="000000" w:sz="4" w:space="0"/>
                    <w:left w:val="single" w:color="000000" w:sz="6" w:space="0"/>
                    <w:right w:val="single" w:color="000000" w:sz="4" w:space="0"/>
                  </w:tcBorders>
                  <w:noWrap w:val="0"/>
                  <w:vAlign w:val="center"/>
                </w:tcPr>
                <w:p w14:paraId="15A572E3">
                  <w:pPr>
                    <w:pStyle w:val="58"/>
                    <w:adjustRightInd w:val="0"/>
                    <w:snapToGrid w:val="0"/>
                    <w:jc w:val="center"/>
                    <w:rPr>
                      <w:sz w:val="21"/>
                      <w:szCs w:val="21"/>
                      <w:lang w:eastAsia="zh-CN"/>
                    </w:rPr>
                  </w:pPr>
                  <w:r>
                    <w:rPr>
                      <w:rFonts w:hint="eastAsia"/>
                      <w:sz w:val="21"/>
                      <w:szCs w:val="21"/>
                      <w:lang w:eastAsia="zh-CN"/>
                    </w:rPr>
                    <w:t>/</w:t>
                  </w:r>
                </w:p>
              </w:tc>
              <w:tc>
                <w:tcPr>
                  <w:tcW w:w="356" w:type="pct"/>
                  <w:tcBorders>
                    <w:top w:val="single" w:color="000000" w:sz="4" w:space="0"/>
                    <w:left w:val="single" w:color="000000" w:sz="4" w:space="0"/>
                    <w:right w:val="single" w:color="000000" w:sz="4" w:space="0"/>
                  </w:tcBorders>
                  <w:noWrap w:val="0"/>
                  <w:vAlign w:val="center"/>
                </w:tcPr>
                <w:p w14:paraId="530FF033">
                  <w:pPr>
                    <w:pStyle w:val="58"/>
                    <w:adjustRightInd w:val="0"/>
                    <w:snapToGrid w:val="0"/>
                    <w:jc w:val="center"/>
                    <w:rPr>
                      <w:sz w:val="21"/>
                      <w:szCs w:val="21"/>
                      <w:lang w:eastAsia="zh-CN"/>
                    </w:rPr>
                  </w:pPr>
                  <w:r>
                    <w:rPr>
                      <w:rFonts w:hint="eastAsia"/>
                      <w:sz w:val="21"/>
                      <w:szCs w:val="21"/>
                      <w:lang w:eastAsia="zh-CN"/>
                    </w:rPr>
                    <w:t>/</w:t>
                  </w:r>
                </w:p>
              </w:tc>
              <w:tc>
                <w:tcPr>
                  <w:tcW w:w="364" w:type="pct"/>
                  <w:tcBorders>
                    <w:top w:val="single" w:color="000000" w:sz="4" w:space="0"/>
                    <w:left w:val="single" w:color="000000" w:sz="4" w:space="0"/>
                    <w:right w:val="single" w:color="000000" w:sz="4" w:space="0"/>
                  </w:tcBorders>
                  <w:noWrap w:val="0"/>
                  <w:vAlign w:val="center"/>
                </w:tcPr>
                <w:p w14:paraId="42EF284B">
                  <w:pPr>
                    <w:pStyle w:val="58"/>
                    <w:adjustRightInd w:val="0"/>
                    <w:snapToGrid w:val="0"/>
                    <w:jc w:val="center"/>
                    <w:rPr>
                      <w:sz w:val="21"/>
                      <w:szCs w:val="21"/>
                      <w:lang w:eastAsia="zh-CN"/>
                    </w:rPr>
                  </w:pPr>
                  <w:r>
                    <w:rPr>
                      <w:rFonts w:hint="eastAsia"/>
                      <w:sz w:val="21"/>
                      <w:szCs w:val="21"/>
                      <w:lang w:eastAsia="zh-CN"/>
                    </w:rPr>
                    <w:t>/</w:t>
                  </w:r>
                </w:p>
              </w:tc>
              <w:tc>
                <w:tcPr>
                  <w:tcW w:w="500" w:type="pct"/>
                  <w:tcBorders>
                    <w:top w:val="single" w:color="000000" w:sz="4" w:space="0"/>
                    <w:left w:val="single" w:color="000000" w:sz="4" w:space="0"/>
                    <w:right w:val="single" w:color="000000" w:sz="6" w:space="0"/>
                  </w:tcBorders>
                  <w:noWrap w:val="0"/>
                  <w:vAlign w:val="center"/>
                </w:tcPr>
                <w:p w14:paraId="23703C40">
                  <w:pPr>
                    <w:pStyle w:val="58"/>
                    <w:adjustRightInd w:val="0"/>
                    <w:snapToGrid w:val="0"/>
                    <w:jc w:val="center"/>
                    <w:rPr>
                      <w:sz w:val="21"/>
                      <w:szCs w:val="21"/>
                      <w:lang w:eastAsia="zh-CN"/>
                    </w:rPr>
                  </w:pPr>
                  <w:r>
                    <w:rPr>
                      <w:rFonts w:hint="eastAsia"/>
                      <w:sz w:val="21"/>
                      <w:szCs w:val="21"/>
                      <w:lang w:eastAsia="zh-CN"/>
                    </w:rPr>
                    <w:t>/</w:t>
                  </w:r>
                </w:p>
              </w:tc>
              <w:tc>
                <w:tcPr>
                  <w:tcW w:w="563" w:type="pct"/>
                  <w:tcBorders>
                    <w:top w:val="single" w:color="000000" w:sz="4" w:space="0"/>
                    <w:left w:val="single" w:color="000000" w:sz="6" w:space="0"/>
                    <w:right w:val="single" w:color="000000" w:sz="4" w:space="0"/>
                  </w:tcBorders>
                  <w:noWrap w:val="0"/>
                  <w:vAlign w:val="center"/>
                </w:tcPr>
                <w:p w14:paraId="0656420A">
                  <w:pPr>
                    <w:pStyle w:val="58"/>
                    <w:adjustRightInd w:val="0"/>
                    <w:snapToGrid w:val="0"/>
                    <w:jc w:val="center"/>
                    <w:rPr>
                      <w:sz w:val="21"/>
                      <w:szCs w:val="21"/>
                      <w:lang w:eastAsia="zh-CN"/>
                    </w:rPr>
                  </w:pPr>
                  <w:r>
                    <w:rPr>
                      <w:rFonts w:hint="eastAsia"/>
                      <w:sz w:val="21"/>
                      <w:szCs w:val="21"/>
                      <w:lang w:eastAsia="zh-CN"/>
                    </w:rPr>
                    <w:t>/</w:t>
                  </w:r>
                </w:p>
              </w:tc>
              <w:tc>
                <w:tcPr>
                  <w:tcW w:w="481" w:type="pct"/>
                  <w:tcBorders>
                    <w:top w:val="single" w:color="000000" w:sz="4" w:space="0"/>
                    <w:left w:val="single" w:color="000000" w:sz="4" w:space="0"/>
                  </w:tcBorders>
                  <w:noWrap w:val="0"/>
                  <w:vAlign w:val="center"/>
                </w:tcPr>
                <w:p w14:paraId="57AD959E">
                  <w:pPr>
                    <w:pStyle w:val="58"/>
                    <w:adjustRightInd w:val="0"/>
                    <w:snapToGrid w:val="0"/>
                    <w:jc w:val="center"/>
                    <w:rPr>
                      <w:sz w:val="21"/>
                      <w:szCs w:val="21"/>
                      <w:lang w:eastAsia="zh-CN"/>
                    </w:rPr>
                  </w:pPr>
                  <w:r>
                    <w:rPr>
                      <w:rFonts w:hint="eastAsia"/>
                      <w:sz w:val="21"/>
                      <w:szCs w:val="21"/>
                      <w:lang w:eastAsia="zh-CN"/>
                    </w:rPr>
                    <w:t>/</w:t>
                  </w:r>
                </w:p>
              </w:tc>
            </w:tr>
          </w:tbl>
          <w:p w14:paraId="2A387A9D">
            <w:pPr>
              <w:adjustRightInd w:val="0"/>
              <w:snapToGrid w:val="0"/>
              <w:jc w:val="center"/>
              <w:rPr>
                <w:rFonts w:ascii="宋体" w:hAnsi="宋体"/>
                <w:b/>
                <w:sz w:val="24"/>
              </w:rPr>
            </w:pPr>
          </w:p>
          <w:p w14:paraId="220B4B39">
            <w:pPr>
              <w:adjustRightInd w:val="0"/>
              <w:snapToGrid w:val="0"/>
              <w:spacing w:line="240" w:lineRule="atLeast"/>
              <w:jc w:val="center"/>
              <w:rPr>
                <w:b/>
                <w:szCs w:val="21"/>
              </w:rPr>
            </w:pPr>
          </w:p>
          <w:p w14:paraId="2B00E560">
            <w:pPr>
              <w:adjustRightInd w:val="0"/>
              <w:snapToGrid w:val="0"/>
              <w:spacing w:line="240" w:lineRule="atLeast"/>
              <w:jc w:val="center"/>
              <w:rPr>
                <w:b/>
                <w:szCs w:val="21"/>
              </w:rPr>
            </w:pPr>
          </w:p>
          <w:p w14:paraId="17751DDC">
            <w:pPr>
              <w:adjustRightInd w:val="0"/>
              <w:snapToGrid w:val="0"/>
              <w:spacing w:line="240" w:lineRule="atLeast"/>
              <w:jc w:val="center"/>
              <w:rPr>
                <w:b/>
                <w:szCs w:val="21"/>
              </w:rPr>
            </w:pPr>
          </w:p>
          <w:p w14:paraId="76ECC806">
            <w:pPr>
              <w:adjustRightInd w:val="0"/>
              <w:snapToGrid w:val="0"/>
              <w:spacing w:line="240" w:lineRule="atLeast"/>
              <w:jc w:val="center"/>
              <w:rPr>
                <w:b/>
                <w:szCs w:val="21"/>
              </w:rPr>
            </w:pPr>
            <w:r>
              <w:rPr>
                <w:b/>
                <w:szCs w:val="21"/>
              </w:rPr>
              <w:t>表9  建设项目直接排放入河排污口信息表</w:t>
            </w:r>
          </w:p>
          <w:tbl>
            <w:tblPr>
              <w:tblStyle w:val="24"/>
              <w:tblW w:w="5000" w:type="pct"/>
              <w:tblInd w:w="10"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296"/>
              <w:gridCol w:w="705"/>
              <w:gridCol w:w="772"/>
              <w:gridCol w:w="3473"/>
              <w:gridCol w:w="1937"/>
              <w:gridCol w:w="3489"/>
              <w:gridCol w:w="2779"/>
            </w:tblGrid>
            <w:tr w14:paraId="30A9E294">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10" w:type="pct"/>
                  <w:vMerge w:val="restart"/>
                  <w:tcBorders>
                    <w:bottom w:val="single" w:color="000000" w:sz="4" w:space="0"/>
                    <w:right w:val="single" w:color="000000" w:sz="4" w:space="0"/>
                  </w:tcBorders>
                  <w:noWrap w:val="0"/>
                  <w:vAlign w:val="center"/>
                </w:tcPr>
                <w:p w14:paraId="40F94D67">
                  <w:pPr>
                    <w:pStyle w:val="58"/>
                    <w:adjustRightInd w:val="0"/>
                    <w:snapToGrid w:val="0"/>
                    <w:jc w:val="center"/>
                    <w:rPr>
                      <w:b/>
                      <w:sz w:val="21"/>
                      <w:szCs w:val="21"/>
                      <w:lang w:eastAsia="zh-CN"/>
                    </w:rPr>
                  </w:pPr>
                  <w:r>
                    <w:rPr>
                      <w:rFonts w:hint="eastAsia"/>
                      <w:b/>
                      <w:sz w:val="21"/>
                      <w:szCs w:val="21"/>
                      <w:lang w:eastAsia="zh-CN"/>
                    </w:rPr>
                    <w:t>序号</w:t>
                  </w:r>
                </w:p>
              </w:tc>
              <w:tc>
                <w:tcPr>
                  <w:tcW w:w="262" w:type="pct"/>
                  <w:vMerge w:val="restart"/>
                  <w:tcBorders>
                    <w:left w:val="single" w:color="000000" w:sz="4" w:space="0"/>
                    <w:bottom w:val="single" w:color="000000" w:sz="4" w:space="0"/>
                    <w:right w:val="single" w:color="000000" w:sz="4" w:space="0"/>
                  </w:tcBorders>
                  <w:noWrap w:val="0"/>
                  <w:vAlign w:val="center"/>
                </w:tcPr>
                <w:p w14:paraId="0B96B243">
                  <w:pPr>
                    <w:pStyle w:val="58"/>
                    <w:adjustRightInd w:val="0"/>
                    <w:snapToGrid w:val="0"/>
                    <w:jc w:val="center"/>
                    <w:rPr>
                      <w:b/>
                      <w:sz w:val="21"/>
                      <w:szCs w:val="21"/>
                      <w:lang w:eastAsia="zh-CN"/>
                    </w:rPr>
                  </w:pPr>
                  <w:r>
                    <w:rPr>
                      <w:rFonts w:hint="eastAsia"/>
                      <w:b/>
                      <w:sz w:val="21"/>
                      <w:szCs w:val="21"/>
                      <w:lang w:eastAsia="zh-CN"/>
                    </w:rPr>
                    <w:t>排放口编号</w:t>
                  </w:r>
                </w:p>
              </w:tc>
              <w:tc>
                <w:tcPr>
                  <w:tcW w:w="287" w:type="pct"/>
                  <w:vMerge w:val="restart"/>
                  <w:tcBorders>
                    <w:left w:val="single" w:color="000000" w:sz="4" w:space="0"/>
                    <w:bottom w:val="single" w:color="000000" w:sz="4" w:space="0"/>
                    <w:right w:val="single" w:color="000000" w:sz="4" w:space="0"/>
                  </w:tcBorders>
                  <w:noWrap w:val="0"/>
                  <w:vAlign w:val="center"/>
                </w:tcPr>
                <w:p w14:paraId="6268DC16">
                  <w:pPr>
                    <w:pStyle w:val="58"/>
                    <w:adjustRightInd w:val="0"/>
                    <w:snapToGrid w:val="0"/>
                    <w:jc w:val="center"/>
                    <w:rPr>
                      <w:b/>
                      <w:sz w:val="21"/>
                      <w:szCs w:val="21"/>
                      <w:lang w:eastAsia="zh-CN"/>
                    </w:rPr>
                  </w:pPr>
                  <w:r>
                    <w:rPr>
                      <w:rFonts w:hint="eastAsia"/>
                      <w:b/>
                      <w:sz w:val="21"/>
                      <w:szCs w:val="21"/>
                      <w:lang w:eastAsia="zh-CN"/>
                    </w:rPr>
                    <w:t>排放口名称</w:t>
                  </w:r>
                </w:p>
              </w:tc>
              <w:tc>
                <w:tcPr>
                  <w:tcW w:w="3306" w:type="pct"/>
                  <w:gridSpan w:val="3"/>
                  <w:tcBorders>
                    <w:left w:val="single" w:color="000000" w:sz="4" w:space="0"/>
                    <w:bottom w:val="single" w:color="000000" w:sz="6" w:space="0"/>
                    <w:right w:val="single" w:color="000000" w:sz="4" w:space="0"/>
                  </w:tcBorders>
                  <w:noWrap w:val="0"/>
                  <w:vAlign w:val="center"/>
                </w:tcPr>
                <w:p w14:paraId="24FF3E31">
                  <w:pPr>
                    <w:pStyle w:val="58"/>
                    <w:adjustRightInd w:val="0"/>
                    <w:snapToGrid w:val="0"/>
                    <w:jc w:val="center"/>
                    <w:rPr>
                      <w:b/>
                      <w:sz w:val="21"/>
                      <w:szCs w:val="21"/>
                      <w:lang w:eastAsia="zh-CN"/>
                    </w:rPr>
                  </w:pPr>
                  <w:r>
                    <w:rPr>
                      <w:rFonts w:hint="eastAsia"/>
                      <w:b/>
                      <w:sz w:val="21"/>
                      <w:szCs w:val="21"/>
                      <w:lang w:eastAsia="zh-CN"/>
                    </w:rPr>
                    <w:t>入河排污口</w:t>
                  </w:r>
                </w:p>
              </w:tc>
              <w:tc>
                <w:tcPr>
                  <w:tcW w:w="1033" w:type="pct"/>
                  <w:vMerge w:val="restart"/>
                  <w:tcBorders>
                    <w:left w:val="single" w:color="000000" w:sz="4" w:space="0"/>
                    <w:bottom w:val="single" w:color="000000" w:sz="4" w:space="0"/>
                  </w:tcBorders>
                  <w:noWrap w:val="0"/>
                  <w:vAlign w:val="center"/>
                </w:tcPr>
                <w:p w14:paraId="60F34107">
                  <w:pPr>
                    <w:pStyle w:val="58"/>
                    <w:adjustRightInd w:val="0"/>
                    <w:snapToGrid w:val="0"/>
                    <w:jc w:val="center"/>
                    <w:rPr>
                      <w:b/>
                      <w:sz w:val="21"/>
                      <w:szCs w:val="21"/>
                      <w:lang w:eastAsia="zh-CN"/>
                    </w:rPr>
                  </w:pPr>
                  <w:r>
                    <w:rPr>
                      <w:rFonts w:hint="eastAsia"/>
                      <w:b/>
                      <w:sz w:val="21"/>
                      <w:szCs w:val="21"/>
                      <w:lang w:eastAsia="zh-CN"/>
                    </w:rPr>
                    <w:t>其他信息</w:t>
                  </w:r>
                </w:p>
              </w:tc>
            </w:tr>
            <w:tr w14:paraId="61DAB569">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10" w:type="pct"/>
                  <w:vMerge w:val="continue"/>
                  <w:tcBorders>
                    <w:top w:val="nil"/>
                    <w:bottom w:val="single" w:color="000000" w:sz="4" w:space="0"/>
                    <w:right w:val="single" w:color="000000" w:sz="4" w:space="0"/>
                  </w:tcBorders>
                  <w:noWrap w:val="0"/>
                  <w:vAlign w:val="center"/>
                </w:tcPr>
                <w:p w14:paraId="5B234725">
                  <w:pPr>
                    <w:autoSpaceDE w:val="0"/>
                    <w:autoSpaceDN w:val="0"/>
                    <w:adjustRightInd w:val="0"/>
                    <w:snapToGrid w:val="0"/>
                    <w:jc w:val="center"/>
                    <w:rPr>
                      <w:rFonts w:ascii="宋体" w:hAnsi="宋体"/>
                      <w:szCs w:val="21"/>
                    </w:rPr>
                  </w:pPr>
                </w:p>
              </w:tc>
              <w:tc>
                <w:tcPr>
                  <w:tcW w:w="262" w:type="pct"/>
                  <w:vMerge w:val="continue"/>
                  <w:tcBorders>
                    <w:top w:val="nil"/>
                    <w:left w:val="single" w:color="000000" w:sz="4" w:space="0"/>
                    <w:bottom w:val="single" w:color="000000" w:sz="4" w:space="0"/>
                    <w:right w:val="single" w:color="000000" w:sz="4" w:space="0"/>
                  </w:tcBorders>
                  <w:noWrap w:val="0"/>
                  <w:vAlign w:val="center"/>
                </w:tcPr>
                <w:p w14:paraId="06DE72EB">
                  <w:pPr>
                    <w:autoSpaceDE w:val="0"/>
                    <w:autoSpaceDN w:val="0"/>
                    <w:adjustRightInd w:val="0"/>
                    <w:snapToGrid w:val="0"/>
                    <w:jc w:val="center"/>
                    <w:rPr>
                      <w:rFonts w:ascii="宋体" w:hAnsi="宋体"/>
                      <w:szCs w:val="21"/>
                    </w:rPr>
                  </w:pPr>
                </w:p>
              </w:tc>
              <w:tc>
                <w:tcPr>
                  <w:tcW w:w="287" w:type="pct"/>
                  <w:vMerge w:val="continue"/>
                  <w:tcBorders>
                    <w:top w:val="nil"/>
                    <w:left w:val="single" w:color="000000" w:sz="4" w:space="0"/>
                    <w:bottom w:val="single" w:color="000000" w:sz="4" w:space="0"/>
                    <w:right w:val="single" w:color="000000" w:sz="4" w:space="0"/>
                  </w:tcBorders>
                  <w:noWrap w:val="0"/>
                  <w:vAlign w:val="center"/>
                </w:tcPr>
                <w:p w14:paraId="431FE6DA">
                  <w:pPr>
                    <w:autoSpaceDE w:val="0"/>
                    <w:autoSpaceDN w:val="0"/>
                    <w:adjustRightInd w:val="0"/>
                    <w:snapToGrid w:val="0"/>
                    <w:jc w:val="center"/>
                    <w:rPr>
                      <w:rFonts w:ascii="宋体" w:hAnsi="宋体"/>
                      <w:szCs w:val="21"/>
                    </w:rPr>
                  </w:pPr>
                </w:p>
              </w:tc>
              <w:tc>
                <w:tcPr>
                  <w:tcW w:w="1290" w:type="pct"/>
                  <w:tcBorders>
                    <w:top w:val="single" w:color="000000" w:sz="6" w:space="0"/>
                    <w:left w:val="single" w:color="000000" w:sz="4" w:space="0"/>
                    <w:bottom w:val="single" w:color="000000" w:sz="4" w:space="0"/>
                    <w:right w:val="single" w:color="000000" w:sz="6" w:space="0"/>
                  </w:tcBorders>
                  <w:noWrap w:val="0"/>
                  <w:vAlign w:val="center"/>
                </w:tcPr>
                <w:p w14:paraId="1ECDCF44">
                  <w:pPr>
                    <w:pStyle w:val="58"/>
                    <w:adjustRightInd w:val="0"/>
                    <w:snapToGrid w:val="0"/>
                    <w:jc w:val="center"/>
                    <w:rPr>
                      <w:b/>
                      <w:sz w:val="21"/>
                      <w:szCs w:val="21"/>
                      <w:lang w:eastAsia="zh-CN"/>
                    </w:rPr>
                  </w:pPr>
                  <w:r>
                    <w:rPr>
                      <w:rFonts w:hint="eastAsia"/>
                      <w:b/>
                      <w:sz w:val="21"/>
                      <w:szCs w:val="21"/>
                      <w:lang w:eastAsia="zh-CN"/>
                    </w:rPr>
                    <w:t>水体名称</w:t>
                  </w:r>
                </w:p>
              </w:tc>
              <w:tc>
                <w:tcPr>
                  <w:tcW w:w="720" w:type="pct"/>
                  <w:tcBorders>
                    <w:top w:val="single" w:color="000000" w:sz="6" w:space="0"/>
                    <w:left w:val="single" w:color="000000" w:sz="6" w:space="0"/>
                    <w:bottom w:val="single" w:color="000000" w:sz="4" w:space="0"/>
                    <w:right w:val="single" w:color="000000" w:sz="4" w:space="0"/>
                  </w:tcBorders>
                  <w:noWrap w:val="0"/>
                  <w:vAlign w:val="center"/>
                </w:tcPr>
                <w:p w14:paraId="5B236CF2">
                  <w:pPr>
                    <w:pStyle w:val="58"/>
                    <w:adjustRightInd w:val="0"/>
                    <w:snapToGrid w:val="0"/>
                    <w:jc w:val="center"/>
                    <w:rPr>
                      <w:b/>
                      <w:sz w:val="21"/>
                      <w:szCs w:val="21"/>
                      <w:lang w:eastAsia="zh-CN"/>
                    </w:rPr>
                  </w:pPr>
                  <w:r>
                    <w:rPr>
                      <w:rFonts w:hint="eastAsia"/>
                      <w:b/>
                      <w:sz w:val="21"/>
                      <w:szCs w:val="21"/>
                      <w:lang w:eastAsia="zh-CN"/>
                    </w:rPr>
                    <w:t>编号</w:t>
                  </w:r>
                </w:p>
              </w:tc>
              <w:tc>
                <w:tcPr>
                  <w:tcW w:w="1294" w:type="pct"/>
                  <w:tcBorders>
                    <w:top w:val="single" w:color="000000" w:sz="6" w:space="0"/>
                    <w:left w:val="single" w:color="000000" w:sz="4" w:space="0"/>
                    <w:bottom w:val="single" w:color="000000" w:sz="4" w:space="0"/>
                    <w:right w:val="single" w:color="000000" w:sz="4" w:space="0"/>
                  </w:tcBorders>
                  <w:noWrap w:val="0"/>
                  <w:vAlign w:val="center"/>
                </w:tcPr>
                <w:p w14:paraId="32A2CCAC">
                  <w:pPr>
                    <w:pStyle w:val="58"/>
                    <w:adjustRightInd w:val="0"/>
                    <w:snapToGrid w:val="0"/>
                    <w:jc w:val="center"/>
                    <w:rPr>
                      <w:b/>
                      <w:sz w:val="21"/>
                      <w:szCs w:val="21"/>
                      <w:lang w:eastAsia="zh-CN"/>
                    </w:rPr>
                  </w:pPr>
                  <w:r>
                    <w:rPr>
                      <w:rFonts w:hint="eastAsia"/>
                      <w:b/>
                      <w:sz w:val="21"/>
                      <w:szCs w:val="21"/>
                      <w:lang w:eastAsia="zh-CN"/>
                    </w:rPr>
                    <w:t>批复文号</w:t>
                  </w:r>
                </w:p>
              </w:tc>
              <w:tc>
                <w:tcPr>
                  <w:tcW w:w="1033" w:type="pct"/>
                  <w:vMerge w:val="continue"/>
                  <w:tcBorders>
                    <w:top w:val="nil"/>
                    <w:left w:val="single" w:color="000000" w:sz="4" w:space="0"/>
                    <w:bottom w:val="single" w:color="000000" w:sz="4" w:space="0"/>
                  </w:tcBorders>
                  <w:noWrap w:val="0"/>
                  <w:vAlign w:val="center"/>
                </w:tcPr>
                <w:p w14:paraId="582C3490">
                  <w:pPr>
                    <w:autoSpaceDE w:val="0"/>
                    <w:autoSpaceDN w:val="0"/>
                    <w:adjustRightInd w:val="0"/>
                    <w:snapToGrid w:val="0"/>
                    <w:jc w:val="center"/>
                    <w:rPr>
                      <w:rFonts w:ascii="宋体" w:hAnsi="宋体"/>
                      <w:szCs w:val="21"/>
                    </w:rPr>
                  </w:pPr>
                </w:p>
              </w:tc>
            </w:tr>
            <w:tr w14:paraId="2A6F4E43">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10" w:type="pct"/>
                  <w:tcBorders>
                    <w:top w:val="single" w:color="000000" w:sz="4" w:space="0"/>
                    <w:right w:val="single" w:color="000000" w:sz="4" w:space="0"/>
                  </w:tcBorders>
                  <w:noWrap w:val="0"/>
                  <w:vAlign w:val="center"/>
                </w:tcPr>
                <w:p w14:paraId="6A6AD574">
                  <w:pPr>
                    <w:pStyle w:val="58"/>
                    <w:adjustRightInd w:val="0"/>
                    <w:snapToGrid w:val="0"/>
                    <w:jc w:val="center"/>
                    <w:rPr>
                      <w:sz w:val="21"/>
                      <w:szCs w:val="21"/>
                      <w:lang w:eastAsia="zh-CN"/>
                    </w:rPr>
                  </w:pPr>
                  <w:r>
                    <w:rPr>
                      <w:rFonts w:hint="eastAsia"/>
                      <w:sz w:val="21"/>
                      <w:szCs w:val="21"/>
                      <w:lang w:eastAsia="zh-CN"/>
                    </w:rPr>
                    <w:t>/</w:t>
                  </w:r>
                </w:p>
              </w:tc>
              <w:tc>
                <w:tcPr>
                  <w:tcW w:w="262" w:type="pct"/>
                  <w:tcBorders>
                    <w:top w:val="single" w:color="000000" w:sz="4" w:space="0"/>
                    <w:left w:val="single" w:color="000000" w:sz="4" w:space="0"/>
                    <w:right w:val="single" w:color="000000" w:sz="4" w:space="0"/>
                  </w:tcBorders>
                  <w:noWrap w:val="0"/>
                  <w:vAlign w:val="center"/>
                </w:tcPr>
                <w:p w14:paraId="618039B9">
                  <w:pPr>
                    <w:pStyle w:val="58"/>
                    <w:adjustRightInd w:val="0"/>
                    <w:snapToGrid w:val="0"/>
                    <w:jc w:val="center"/>
                    <w:rPr>
                      <w:sz w:val="21"/>
                      <w:szCs w:val="21"/>
                      <w:lang w:eastAsia="zh-CN"/>
                    </w:rPr>
                  </w:pPr>
                  <w:r>
                    <w:rPr>
                      <w:rFonts w:hint="eastAsia"/>
                      <w:sz w:val="21"/>
                      <w:szCs w:val="21"/>
                      <w:lang w:eastAsia="zh-CN"/>
                    </w:rPr>
                    <w:t>/</w:t>
                  </w:r>
                </w:p>
              </w:tc>
              <w:tc>
                <w:tcPr>
                  <w:tcW w:w="287" w:type="pct"/>
                  <w:tcBorders>
                    <w:top w:val="single" w:color="000000" w:sz="4" w:space="0"/>
                    <w:left w:val="single" w:color="000000" w:sz="4" w:space="0"/>
                    <w:right w:val="single" w:color="000000" w:sz="4" w:space="0"/>
                  </w:tcBorders>
                  <w:noWrap w:val="0"/>
                  <w:vAlign w:val="center"/>
                </w:tcPr>
                <w:p w14:paraId="2F3DF9D9">
                  <w:pPr>
                    <w:pStyle w:val="58"/>
                    <w:adjustRightInd w:val="0"/>
                    <w:snapToGrid w:val="0"/>
                    <w:jc w:val="center"/>
                    <w:rPr>
                      <w:sz w:val="21"/>
                      <w:szCs w:val="21"/>
                      <w:lang w:eastAsia="zh-CN"/>
                    </w:rPr>
                  </w:pPr>
                  <w:r>
                    <w:rPr>
                      <w:rFonts w:hint="eastAsia"/>
                      <w:sz w:val="21"/>
                      <w:szCs w:val="21"/>
                      <w:lang w:eastAsia="zh-CN"/>
                    </w:rPr>
                    <w:t>/</w:t>
                  </w:r>
                </w:p>
              </w:tc>
              <w:tc>
                <w:tcPr>
                  <w:tcW w:w="1290" w:type="pct"/>
                  <w:tcBorders>
                    <w:top w:val="single" w:color="000000" w:sz="4" w:space="0"/>
                    <w:left w:val="single" w:color="000000" w:sz="4" w:space="0"/>
                    <w:right w:val="single" w:color="000000" w:sz="6" w:space="0"/>
                  </w:tcBorders>
                  <w:noWrap w:val="0"/>
                  <w:vAlign w:val="center"/>
                </w:tcPr>
                <w:p w14:paraId="0A04744B">
                  <w:pPr>
                    <w:pStyle w:val="58"/>
                    <w:adjustRightInd w:val="0"/>
                    <w:snapToGrid w:val="0"/>
                    <w:jc w:val="center"/>
                    <w:rPr>
                      <w:sz w:val="21"/>
                      <w:szCs w:val="21"/>
                      <w:lang w:eastAsia="zh-CN"/>
                    </w:rPr>
                  </w:pPr>
                  <w:r>
                    <w:rPr>
                      <w:rFonts w:hint="eastAsia"/>
                      <w:sz w:val="21"/>
                      <w:szCs w:val="21"/>
                      <w:lang w:eastAsia="zh-CN"/>
                    </w:rPr>
                    <w:t>/</w:t>
                  </w:r>
                </w:p>
              </w:tc>
              <w:tc>
                <w:tcPr>
                  <w:tcW w:w="720" w:type="pct"/>
                  <w:tcBorders>
                    <w:top w:val="single" w:color="000000" w:sz="4" w:space="0"/>
                    <w:left w:val="single" w:color="000000" w:sz="6" w:space="0"/>
                    <w:right w:val="single" w:color="000000" w:sz="4" w:space="0"/>
                  </w:tcBorders>
                  <w:noWrap w:val="0"/>
                  <w:vAlign w:val="center"/>
                </w:tcPr>
                <w:p w14:paraId="30CAD23D">
                  <w:pPr>
                    <w:pStyle w:val="58"/>
                    <w:adjustRightInd w:val="0"/>
                    <w:snapToGrid w:val="0"/>
                    <w:jc w:val="center"/>
                    <w:rPr>
                      <w:sz w:val="21"/>
                      <w:szCs w:val="21"/>
                      <w:lang w:eastAsia="zh-CN"/>
                    </w:rPr>
                  </w:pPr>
                  <w:r>
                    <w:rPr>
                      <w:rFonts w:hint="eastAsia"/>
                      <w:sz w:val="21"/>
                      <w:szCs w:val="21"/>
                      <w:lang w:eastAsia="zh-CN"/>
                    </w:rPr>
                    <w:t>/</w:t>
                  </w:r>
                </w:p>
              </w:tc>
              <w:tc>
                <w:tcPr>
                  <w:tcW w:w="1294" w:type="pct"/>
                  <w:tcBorders>
                    <w:top w:val="single" w:color="000000" w:sz="4" w:space="0"/>
                    <w:left w:val="single" w:color="000000" w:sz="4" w:space="0"/>
                    <w:right w:val="single" w:color="000000" w:sz="4" w:space="0"/>
                  </w:tcBorders>
                  <w:noWrap w:val="0"/>
                  <w:vAlign w:val="center"/>
                </w:tcPr>
                <w:p w14:paraId="14C06DAB">
                  <w:pPr>
                    <w:pStyle w:val="58"/>
                    <w:adjustRightInd w:val="0"/>
                    <w:snapToGrid w:val="0"/>
                    <w:jc w:val="center"/>
                    <w:rPr>
                      <w:sz w:val="21"/>
                      <w:szCs w:val="21"/>
                      <w:lang w:eastAsia="zh-CN"/>
                    </w:rPr>
                  </w:pPr>
                  <w:r>
                    <w:rPr>
                      <w:rFonts w:hint="eastAsia"/>
                      <w:sz w:val="21"/>
                      <w:szCs w:val="21"/>
                      <w:lang w:eastAsia="zh-CN"/>
                    </w:rPr>
                    <w:t>/</w:t>
                  </w:r>
                </w:p>
              </w:tc>
              <w:tc>
                <w:tcPr>
                  <w:tcW w:w="1033" w:type="pct"/>
                  <w:tcBorders>
                    <w:top w:val="single" w:color="000000" w:sz="4" w:space="0"/>
                    <w:left w:val="single" w:color="000000" w:sz="4" w:space="0"/>
                  </w:tcBorders>
                  <w:noWrap w:val="0"/>
                  <w:vAlign w:val="center"/>
                </w:tcPr>
                <w:p w14:paraId="1701E437">
                  <w:pPr>
                    <w:pStyle w:val="58"/>
                    <w:adjustRightInd w:val="0"/>
                    <w:snapToGrid w:val="0"/>
                    <w:jc w:val="center"/>
                    <w:rPr>
                      <w:sz w:val="21"/>
                      <w:szCs w:val="21"/>
                      <w:lang w:eastAsia="zh-CN"/>
                    </w:rPr>
                  </w:pPr>
                  <w:r>
                    <w:rPr>
                      <w:rFonts w:hint="eastAsia"/>
                      <w:sz w:val="21"/>
                      <w:szCs w:val="21"/>
                      <w:lang w:eastAsia="zh-CN"/>
                    </w:rPr>
                    <w:t>/</w:t>
                  </w:r>
                </w:p>
              </w:tc>
            </w:tr>
          </w:tbl>
          <w:p w14:paraId="629BC7F1">
            <w:pPr>
              <w:adjustRightInd w:val="0"/>
              <w:snapToGrid w:val="0"/>
              <w:jc w:val="center"/>
              <w:rPr>
                <w:rFonts w:ascii="宋体" w:hAnsi="宋体"/>
                <w:b/>
                <w:sz w:val="24"/>
              </w:rPr>
            </w:pPr>
          </w:p>
          <w:p w14:paraId="27ABEFF3">
            <w:pPr>
              <w:adjustRightInd w:val="0"/>
              <w:snapToGrid w:val="0"/>
              <w:spacing w:line="240" w:lineRule="atLeast"/>
              <w:jc w:val="center"/>
              <w:rPr>
                <w:b/>
                <w:szCs w:val="21"/>
              </w:rPr>
            </w:pPr>
            <w:r>
              <w:rPr>
                <w:b/>
                <w:szCs w:val="21"/>
              </w:rPr>
              <w:t>表10  建设项目雨水排放口基本情况表</w:t>
            </w:r>
          </w:p>
          <w:tbl>
            <w:tblPr>
              <w:tblStyle w:val="24"/>
              <w:tblW w:w="5000" w:type="pct"/>
              <w:tblInd w:w="10"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370"/>
              <w:gridCol w:w="784"/>
              <w:gridCol w:w="1136"/>
              <w:gridCol w:w="1013"/>
              <w:gridCol w:w="1405"/>
              <w:gridCol w:w="959"/>
              <w:gridCol w:w="1849"/>
              <w:gridCol w:w="840"/>
              <w:gridCol w:w="1014"/>
              <w:gridCol w:w="985"/>
              <w:gridCol w:w="1176"/>
              <w:gridCol w:w="1065"/>
              <w:gridCol w:w="855"/>
            </w:tblGrid>
            <w:tr w14:paraId="6B56FC5C">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37" w:type="pct"/>
                  <w:vMerge w:val="restart"/>
                  <w:tcBorders>
                    <w:bottom w:val="single" w:color="000000" w:sz="4" w:space="0"/>
                    <w:right w:val="single" w:color="000000" w:sz="4" w:space="0"/>
                  </w:tcBorders>
                  <w:noWrap w:val="0"/>
                  <w:vAlign w:val="center"/>
                </w:tcPr>
                <w:p w14:paraId="1B9B3451">
                  <w:pPr>
                    <w:pStyle w:val="58"/>
                    <w:adjustRightInd w:val="0"/>
                    <w:snapToGrid w:val="0"/>
                    <w:jc w:val="center"/>
                    <w:rPr>
                      <w:b/>
                      <w:sz w:val="21"/>
                      <w:szCs w:val="21"/>
                    </w:rPr>
                  </w:pPr>
                  <w:r>
                    <w:rPr>
                      <w:b/>
                      <w:sz w:val="21"/>
                      <w:szCs w:val="21"/>
                    </w:rPr>
                    <w:t>序号</w:t>
                  </w:r>
                </w:p>
              </w:tc>
              <w:tc>
                <w:tcPr>
                  <w:tcW w:w="291" w:type="pct"/>
                  <w:vMerge w:val="restart"/>
                  <w:tcBorders>
                    <w:left w:val="single" w:color="000000" w:sz="4" w:space="0"/>
                    <w:bottom w:val="single" w:color="000000" w:sz="4" w:space="0"/>
                    <w:right w:val="single" w:color="000000" w:sz="4" w:space="0"/>
                  </w:tcBorders>
                  <w:noWrap w:val="0"/>
                  <w:vAlign w:val="center"/>
                </w:tcPr>
                <w:p w14:paraId="0FC35E4A">
                  <w:pPr>
                    <w:pStyle w:val="58"/>
                    <w:adjustRightInd w:val="0"/>
                    <w:snapToGrid w:val="0"/>
                    <w:jc w:val="center"/>
                    <w:rPr>
                      <w:b/>
                      <w:sz w:val="21"/>
                      <w:szCs w:val="21"/>
                    </w:rPr>
                  </w:pPr>
                  <w:r>
                    <w:rPr>
                      <w:b/>
                      <w:sz w:val="21"/>
                      <w:szCs w:val="21"/>
                    </w:rPr>
                    <w:t>排放口编号</w:t>
                  </w:r>
                </w:p>
              </w:tc>
              <w:tc>
                <w:tcPr>
                  <w:tcW w:w="422" w:type="pct"/>
                  <w:vMerge w:val="restart"/>
                  <w:tcBorders>
                    <w:left w:val="single" w:color="000000" w:sz="4" w:space="0"/>
                    <w:bottom w:val="single" w:color="000000" w:sz="4" w:space="0"/>
                    <w:right w:val="single" w:color="000000" w:sz="4" w:space="0"/>
                  </w:tcBorders>
                  <w:noWrap w:val="0"/>
                  <w:vAlign w:val="center"/>
                </w:tcPr>
                <w:p w14:paraId="5FBDE5F2">
                  <w:pPr>
                    <w:pStyle w:val="58"/>
                    <w:adjustRightInd w:val="0"/>
                    <w:snapToGrid w:val="0"/>
                    <w:jc w:val="center"/>
                    <w:rPr>
                      <w:b/>
                      <w:sz w:val="21"/>
                      <w:szCs w:val="21"/>
                    </w:rPr>
                  </w:pPr>
                  <w:r>
                    <w:rPr>
                      <w:b/>
                      <w:sz w:val="21"/>
                      <w:szCs w:val="21"/>
                    </w:rPr>
                    <w:t>排放口名称</w:t>
                  </w:r>
                </w:p>
              </w:tc>
              <w:tc>
                <w:tcPr>
                  <w:tcW w:w="897" w:type="pct"/>
                  <w:gridSpan w:val="2"/>
                  <w:tcBorders>
                    <w:left w:val="single" w:color="000000" w:sz="4" w:space="0"/>
                    <w:bottom w:val="single" w:color="000000" w:sz="6" w:space="0"/>
                    <w:right w:val="single" w:color="000000" w:sz="4" w:space="0"/>
                  </w:tcBorders>
                  <w:noWrap w:val="0"/>
                  <w:vAlign w:val="center"/>
                </w:tcPr>
                <w:p w14:paraId="75B439B4">
                  <w:pPr>
                    <w:pStyle w:val="58"/>
                    <w:adjustRightInd w:val="0"/>
                    <w:snapToGrid w:val="0"/>
                    <w:jc w:val="center"/>
                    <w:rPr>
                      <w:b/>
                      <w:sz w:val="21"/>
                      <w:szCs w:val="21"/>
                    </w:rPr>
                  </w:pPr>
                  <w:r>
                    <w:rPr>
                      <w:b/>
                      <w:sz w:val="21"/>
                      <w:szCs w:val="21"/>
                    </w:rPr>
                    <w:t>排放口地理坐标</w:t>
                  </w:r>
                </w:p>
              </w:tc>
              <w:tc>
                <w:tcPr>
                  <w:tcW w:w="356" w:type="pct"/>
                  <w:vMerge w:val="restart"/>
                  <w:tcBorders>
                    <w:left w:val="single" w:color="000000" w:sz="4" w:space="0"/>
                    <w:bottom w:val="single" w:color="000000" w:sz="4" w:space="0"/>
                    <w:right w:val="single" w:color="000000" w:sz="6" w:space="0"/>
                  </w:tcBorders>
                  <w:noWrap w:val="0"/>
                  <w:vAlign w:val="center"/>
                </w:tcPr>
                <w:p w14:paraId="0A4BB7DA">
                  <w:pPr>
                    <w:pStyle w:val="58"/>
                    <w:adjustRightInd w:val="0"/>
                    <w:snapToGrid w:val="0"/>
                    <w:jc w:val="center"/>
                    <w:rPr>
                      <w:b/>
                      <w:sz w:val="21"/>
                      <w:szCs w:val="21"/>
                    </w:rPr>
                  </w:pPr>
                  <w:r>
                    <w:rPr>
                      <w:b/>
                      <w:sz w:val="21"/>
                      <w:szCs w:val="21"/>
                    </w:rPr>
                    <w:t>排放去向</w:t>
                  </w:r>
                </w:p>
              </w:tc>
              <w:tc>
                <w:tcPr>
                  <w:tcW w:w="686" w:type="pct"/>
                  <w:vMerge w:val="restart"/>
                  <w:tcBorders>
                    <w:left w:val="single" w:color="000000" w:sz="6" w:space="0"/>
                    <w:bottom w:val="single" w:color="000000" w:sz="4" w:space="0"/>
                    <w:right w:val="single" w:color="000000" w:sz="6" w:space="0"/>
                  </w:tcBorders>
                  <w:noWrap w:val="0"/>
                  <w:vAlign w:val="center"/>
                </w:tcPr>
                <w:p w14:paraId="721AE4C0">
                  <w:pPr>
                    <w:pStyle w:val="58"/>
                    <w:adjustRightInd w:val="0"/>
                    <w:snapToGrid w:val="0"/>
                    <w:jc w:val="center"/>
                    <w:rPr>
                      <w:b/>
                      <w:sz w:val="21"/>
                      <w:szCs w:val="21"/>
                    </w:rPr>
                  </w:pPr>
                  <w:r>
                    <w:rPr>
                      <w:b/>
                      <w:sz w:val="21"/>
                      <w:szCs w:val="21"/>
                    </w:rPr>
                    <w:t>排放规律</w:t>
                  </w:r>
                </w:p>
              </w:tc>
              <w:tc>
                <w:tcPr>
                  <w:tcW w:w="312" w:type="pct"/>
                  <w:vMerge w:val="restart"/>
                  <w:tcBorders>
                    <w:left w:val="single" w:color="000000" w:sz="6" w:space="0"/>
                    <w:bottom w:val="single" w:color="000000" w:sz="4" w:space="0"/>
                    <w:right w:val="single" w:color="000000" w:sz="4" w:space="0"/>
                  </w:tcBorders>
                  <w:noWrap w:val="0"/>
                  <w:vAlign w:val="center"/>
                </w:tcPr>
                <w:p w14:paraId="09CF9A74">
                  <w:pPr>
                    <w:pStyle w:val="58"/>
                    <w:adjustRightInd w:val="0"/>
                    <w:snapToGrid w:val="0"/>
                    <w:jc w:val="center"/>
                    <w:rPr>
                      <w:b/>
                      <w:sz w:val="21"/>
                      <w:szCs w:val="21"/>
                    </w:rPr>
                  </w:pPr>
                  <w:r>
                    <w:rPr>
                      <w:b/>
                      <w:sz w:val="21"/>
                      <w:szCs w:val="21"/>
                    </w:rPr>
                    <w:t>间歇排放时段</w:t>
                  </w:r>
                </w:p>
              </w:tc>
              <w:tc>
                <w:tcPr>
                  <w:tcW w:w="743" w:type="pct"/>
                  <w:gridSpan w:val="2"/>
                  <w:tcBorders>
                    <w:left w:val="single" w:color="000000" w:sz="4" w:space="0"/>
                    <w:bottom w:val="single" w:color="000000" w:sz="6" w:space="0"/>
                    <w:right w:val="single" w:color="000000" w:sz="4" w:space="0"/>
                  </w:tcBorders>
                  <w:noWrap w:val="0"/>
                  <w:vAlign w:val="center"/>
                </w:tcPr>
                <w:p w14:paraId="17FD90F2">
                  <w:pPr>
                    <w:pStyle w:val="58"/>
                    <w:adjustRightInd w:val="0"/>
                    <w:snapToGrid w:val="0"/>
                    <w:jc w:val="center"/>
                    <w:rPr>
                      <w:b/>
                      <w:sz w:val="21"/>
                      <w:szCs w:val="21"/>
                    </w:rPr>
                  </w:pPr>
                  <w:r>
                    <w:rPr>
                      <w:b/>
                      <w:sz w:val="21"/>
                      <w:szCs w:val="21"/>
                    </w:rPr>
                    <w:t>受纳自然水体信息</w:t>
                  </w:r>
                </w:p>
              </w:tc>
              <w:tc>
                <w:tcPr>
                  <w:tcW w:w="833" w:type="pct"/>
                  <w:gridSpan w:val="2"/>
                  <w:tcBorders>
                    <w:left w:val="single" w:color="000000" w:sz="4" w:space="0"/>
                    <w:bottom w:val="single" w:color="000000" w:sz="6" w:space="0"/>
                    <w:right w:val="single" w:color="000000" w:sz="4" w:space="0"/>
                  </w:tcBorders>
                  <w:noWrap w:val="0"/>
                  <w:vAlign w:val="center"/>
                </w:tcPr>
                <w:p w14:paraId="5D76B8DF">
                  <w:pPr>
                    <w:pStyle w:val="58"/>
                    <w:adjustRightInd w:val="0"/>
                    <w:snapToGrid w:val="0"/>
                    <w:jc w:val="center"/>
                    <w:rPr>
                      <w:b/>
                      <w:sz w:val="21"/>
                      <w:szCs w:val="21"/>
                      <w:lang w:eastAsia="zh-CN"/>
                    </w:rPr>
                  </w:pPr>
                  <w:r>
                    <w:rPr>
                      <w:b/>
                      <w:sz w:val="21"/>
                      <w:szCs w:val="21"/>
                      <w:lang w:eastAsia="zh-CN"/>
                    </w:rPr>
                    <w:t>汇入受纳自然水体处地理坐标</w:t>
                  </w:r>
                </w:p>
              </w:tc>
              <w:tc>
                <w:tcPr>
                  <w:tcW w:w="318" w:type="pct"/>
                  <w:vMerge w:val="restart"/>
                  <w:tcBorders>
                    <w:left w:val="single" w:color="000000" w:sz="4" w:space="0"/>
                    <w:bottom w:val="single" w:color="000000" w:sz="4" w:space="0"/>
                  </w:tcBorders>
                  <w:noWrap w:val="0"/>
                  <w:vAlign w:val="center"/>
                </w:tcPr>
                <w:p w14:paraId="457BAF7C">
                  <w:pPr>
                    <w:pStyle w:val="58"/>
                    <w:adjustRightInd w:val="0"/>
                    <w:snapToGrid w:val="0"/>
                    <w:jc w:val="center"/>
                    <w:rPr>
                      <w:b/>
                      <w:sz w:val="21"/>
                      <w:szCs w:val="21"/>
                      <w:lang w:eastAsia="zh-CN"/>
                    </w:rPr>
                  </w:pPr>
                  <w:r>
                    <w:rPr>
                      <w:b/>
                      <w:sz w:val="21"/>
                      <w:szCs w:val="21"/>
                      <w:lang w:eastAsia="zh-CN"/>
                    </w:rPr>
                    <w:t>其他信息</w:t>
                  </w:r>
                </w:p>
              </w:tc>
            </w:tr>
            <w:tr w14:paraId="58717EE2">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37" w:type="pct"/>
                  <w:vMerge w:val="continue"/>
                  <w:tcBorders>
                    <w:top w:val="nil"/>
                    <w:bottom w:val="single" w:color="000000" w:sz="4" w:space="0"/>
                    <w:right w:val="single" w:color="000000" w:sz="4" w:space="0"/>
                  </w:tcBorders>
                  <w:noWrap w:val="0"/>
                  <w:vAlign w:val="center"/>
                </w:tcPr>
                <w:p w14:paraId="66E2778A">
                  <w:pPr>
                    <w:autoSpaceDE w:val="0"/>
                    <w:autoSpaceDN w:val="0"/>
                    <w:adjustRightInd w:val="0"/>
                    <w:snapToGrid w:val="0"/>
                    <w:jc w:val="center"/>
                    <w:rPr>
                      <w:szCs w:val="21"/>
                    </w:rPr>
                  </w:pPr>
                </w:p>
              </w:tc>
              <w:tc>
                <w:tcPr>
                  <w:tcW w:w="291" w:type="pct"/>
                  <w:vMerge w:val="continue"/>
                  <w:tcBorders>
                    <w:top w:val="nil"/>
                    <w:left w:val="single" w:color="000000" w:sz="4" w:space="0"/>
                    <w:bottom w:val="single" w:color="000000" w:sz="4" w:space="0"/>
                    <w:right w:val="single" w:color="000000" w:sz="4" w:space="0"/>
                  </w:tcBorders>
                  <w:noWrap w:val="0"/>
                  <w:vAlign w:val="center"/>
                </w:tcPr>
                <w:p w14:paraId="6BBBA493">
                  <w:pPr>
                    <w:autoSpaceDE w:val="0"/>
                    <w:autoSpaceDN w:val="0"/>
                    <w:adjustRightInd w:val="0"/>
                    <w:snapToGrid w:val="0"/>
                    <w:jc w:val="center"/>
                    <w:rPr>
                      <w:szCs w:val="21"/>
                    </w:rPr>
                  </w:pPr>
                </w:p>
              </w:tc>
              <w:tc>
                <w:tcPr>
                  <w:tcW w:w="422" w:type="pct"/>
                  <w:vMerge w:val="continue"/>
                  <w:tcBorders>
                    <w:top w:val="nil"/>
                    <w:left w:val="single" w:color="000000" w:sz="4" w:space="0"/>
                    <w:bottom w:val="single" w:color="000000" w:sz="4" w:space="0"/>
                    <w:right w:val="single" w:color="000000" w:sz="4" w:space="0"/>
                  </w:tcBorders>
                  <w:noWrap w:val="0"/>
                  <w:vAlign w:val="center"/>
                </w:tcPr>
                <w:p w14:paraId="105DF571">
                  <w:pPr>
                    <w:autoSpaceDE w:val="0"/>
                    <w:autoSpaceDN w:val="0"/>
                    <w:adjustRightInd w:val="0"/>
                    <w:snapToGrid w:val="0"/>
                    <w:jc w:val="center"/>
                    <w:rPr>
                      <w:szCs w:val="21"/>
                    </w:rPr>
                  </w:pPr>
                </w:p>
              </w:tc>
              <w:tc>
                <w:tcPr>
                  <w:tcW w:w="376" w:type="pct"/>
                  <w:tcBorders>
                    <w:top w:val="single" w:color="000000" w:sz="6" w:space="0"/>
                    <w:left w:val="single" w:color="000000" w:sz="4" w:space="0"/>
                    <w:bottom w:val="single" w:color="000000" w:sz="4" w:space="0"/>
                    <w:right w:val="single" w:color="000000" w:sz="6" w:space="0"/>
                  </w:tcBorders>
                  <w:noWrap w:val="0"/>
                  <w:vAlign w:val="center"/>
                </w:tcPr>
                <w:p w14:paraId="7B63D668">
                  <w:pPr>
                    <w:pStyle w:val="58"/>
                    <w:adjustRightInd w:val="0"/>
                    <w:snapToGrid w:val="0"/>
                    <w:jc w:val="center"/>
                    <w:rPr>
                      <w:b/>
                      <w:sz w:val="21"/>
                      <w:szCs w:val="21"/>
                      <w:lang w:eastAsia="zh-CN"/>
                    </w:rPr>
                  </w:pPr>
                  <w:r>
                    <w:rPr>
                      <w:b/>
                      <w:sz w:val="21"/>
                      <w:szCs w:val="21"/>
                      <w:lang w:eastAsia="zh-CN"/>
                    </w:rPr>
                    <w:t>经度</w:t>
                  </w:r>
                </w:p>
              </w:tc>
              <w:tc>
                <w:tcPr>
                  <w:tcW w:w="521" w:type="pct"/>
                  <w:tcBorders>
                    <w:top w:val="single" w:color="000000" w:sz="6" w:space="0"/>
                    <w:left w:val="single" w:color="000000" w:sz="6" w:space="0"/>
                    <w:bottom w:val="single" w:color="000000" w:sz="4" w:space="0"/>
                    <w:right w:val="single" w:color="000000" w:sz="4" w:space="0"/>
                  </w:tcBorders>
                  <w:noWrap w:val="0"/>
                  <w:vAlign w:val="center"/>
                </w:tcPr>
                <w:p w14:paraId="0D1EFA46">
                  <w:pPr>
                    <w:pStyle w:val="58"/>
                    <w:adjustRightInd w:val="0"/>
                    <w:snapToGrid w:val="0"/>
                    <w:jc w:val="center"/>
                    <w:rPr>
                      <w:b/>
                      <w:sz w:val="21"/>
                      <w:szCs w:val="21"/>
                      <w:lang w:eastAsia="zh-CN"/>
                    </w:rPr>
                  </w:pPr>
                  <w:r>
                    <w:rPr>
                      <w:b/>
                      <w:sz w:val="21"/>
                      <w:szCs w:val="21"/>
                      <w:lang w:eastAsia="zh-CN"/>
                    </w:rPr>
                    <w:t>纬度</w:t>
                  </w:r>
                </w:p>
              </w:tc>
              <w:tc>
                <w:tcPr>
                  <w:tcW w:w="356" w:type="pct"/>
                  <w:vMerge w:val="continue"/>
                  <w:tcBorders>
                    <w:top w:val="nil"/>
                    <w:left w:val="single" w:color="000000" w:sz="4" w:space="0"/>
                    <w:bottom w:val="single" w:color="000000" w:sz="4" w:space="0"/>
                    <w:right w:val="single" w:color="000000" w:sz="6" w:space="0"/>
                  </w:tcBorders>
                  <w:noWrap w:val="0"/>
                  <w:vAlign w:val="center"/>
                </w:tcPr>
                <w:p w14:paraId="21D2277A">
                  <w:pPr>
                    <w:autoSpaceDE w:val="0"/>
                    <w:autoSpaceDN w:val="0"/>
                    <w:adjustRightInd w:val="0"/>
                    <w:snapToGrid w:val="0"/>
                    <w:jc w:val="center"/>
                    <w:rPr>
                      <w:szCs w:val="21"/>
                    </w:rPr>
                  </w:pPr>
                </w:p>
              </w:tc>
              <w:tc>
                <w:tcPr>
                  <w:tcW w:w="686" w:type="pct"/>
                  <w:vMerge w:val="continue"/>
                  <w:tcBorders>
                    <w:top w:val="nil"/>
                    <w:left w:val="single" w:color="000000" w:sz="6" w:space="0"/>
                    <w:bottom w:val="single" w:color="000000" w:sz="4" w:space="0"/>
                    <w:right w:val="single" w:color="000000" w:sz="6" w:space="0"/>
                  </w:tcBorders>
                  <w:noWrap w:val="0"/>
                  <w:vAlign w:val="center"/>
                </w:tcPr>
                <w:p w14:paraId="097C6D29">
                  <w:pPr>
                    <w:autoSpaceDE w:val="0"/>
                    <w:autoSpaceDN w:val="0"/>
                    <w:adjustRightInd w:val="0"/>
                    <w:snapToGrid w:val="0"/>
                    <w:jc w:val="center"/>
                    <w:rPr>
                      <w:szCs w:val="21"/>
                    </w:rPr>
                  </w:pPr>
                </w:p>
              </w:tc>
              <w:tc>
                <w:tcPr>
                  <w:tcW w:w="312" w:type="pct"/>
                  <w:vMerge w:val="continue"/>
                  <w:tcBorders>
                    <w:top w:val="nil"/>
                    <w:left w:val="single" w:color="000000" w:sz="6" w:space="0"/>
                    <w:bottom w:val="single" w:color="000000" w:sz="4" w:space="0"/>
                    <w:right w:val="single" w:color="000000" w:sz="4" w:space="0"/>
                  </w:tcBorders>
                  <w:noWrap w:val="0"/>
                  <w:vAlign w:val="center"/>
                </w:tcPr>
                <w:p w14:paraId="2232BA44">
                  <w:pPr>
                    <w:autoSpaceDE w:val="0"/>
                    <w:autoSpaceDN w:val="0"/>
                    <w:adjustRightInd w:val="0"/>
                    <w:snapToGrid w:val="0"/>
                    <w:jc w:val="center"/>
                    <w:rPr>
                      <w:szCs w:val="21"/>
                    </w:rPr>
                  </w:pPr>
                </w:p>
              </w:tc>
              <w:tc>
                <w:tcPr>
                  <w:tcW w:w="377" w:type="pct"/>
                  <w:tcBorders>
                    <w:top w:val="single" w:color="000000" w:sz="6" w:space="0"/>
                    <w:left w:val="single" w:color="000000" w:sz="4" w:space="0"/>
                    <w:bottom w:val="single" w:color="000000" w:sz="4" w:space="0"/>
                    <w:right w:val="single" w:color="000000" w:sz="4" w:space="0"/>
                  </w:tcBorders>
                  <w:noWrap w:val="0"/>
                  <w:vAlign w:val="center"/>
                </w:tcPr>
                <w:p w14:paraId="1723CF7A">
                  <w:pPr>
                    <w:pStyle w:val="58"/>
                    <w:adjustRightInd w:val="0"/>
                    <w:snapToGrid w:val="0"/>
                    <w:jc w:val="center"/>
                    <w:rPr>
                      <w:b/>
                      <w:sz w:val="21"/>
                      <w:szCs w:val="21"/>
                      <w:lang w:eastAsia="zh-CN"/>
                    </w:rPr>
                  </w:pPr>
                  <w:r>
                    <w:rPr>
                      <w:b/>
                      <w:sz w:val="21"/>
                      <w:szCs w:val="21"/>
                      <w:lang w:eastAsia="zh-CN"/>
                    </w:rPr>
                    <w:t>水体名称</w:t>
                  </w:r>
                </w:p>
              </w:tc>
              <w:tc>
                <w:tcPr>
                  <w:tcW w:w="366" w:type="pct"/>
                  <w:tcBorders>
                    <w:top w:val="single" w:color="000000" w:sz="6" w:space="0"/>
                    <w:left w:val="single" w:color="000000" w:sz="4" w:space="0"/>
                    <w:bottom w:val="single" w:color="000000" w:sz="4" w:space="0"/>
                    <w:right w:val="single" w:color="000000" w:sz="4" w:space="0"/>
                  </w:tcBorders>
                  <w:noWrap w:val="0"/>
                  <w:vAlign w:val="center"/>
                </w:tcPr>
                <w:p w14:paraId="1A134AFC">
                  <w:pPr>
                    <w:pStyle w:val="58"/>
                    <w:adjustRightInd w:val="0"/>
                    <w:snapToGrid w:val="0"/>
                    <w:jc w:val="center"/>
                    <w:rPr>
                      <w:b/>
                      <w:sz w:val="21"/>
                      <w:szCs w:val="21"/>
                      <w:lang w:eastAsia="zh-CN"/>
                    </w:rPr>
                  </w:pPr>
                  <w:r>
                    <w:rPr>
                      <w:b/>
                      <w:sz w:val="21"/>
                      <w:szCs w:val="21"/>
                      <w:lang w:eastAsia="zh-CN"/>
                    </w:rPr>
                    <w:t>受纳水体</w:t>
                  </w:r>
                </w:p>
                <w:p w14:paraId="0D01788F">
                  <w:pPr>
                    <w:pStyle w:val="58"/>
                    <w:adjustRightInd w:val="0"/>
                    <w:snapToGrid w:val="0"/>
                    <w:jc w:val="center"/>
                    <w:rPr>
                      <w:b/>
                      <w:sz w:val="21"/>
                      <w:szCs w:val="21"/>
                      <w:lang w:eastAsia="zh-CN"/>
                    </w:rPr>
                  </w:pPr>
                  <w:r>
                    <w:rPr>
                      <w:b/>
                      <w:sz w:val="21"/>
                      <w:szCs w:val="21"/>
                      <w:lang w:eastAsia="zh-CN"/>
                    </w:rPr>
                    <w:t>功能目标</w:t>
                  </w:r>
                </w:p>
              </w:tc>
              <w:tc>
                <w:tcPr>
                  <w:tcW w:w="437" w:type="pct"/>
                  <w:tcBorders>
                    <w:top w:val="single" w:color="000000" w:sz="6" w:space="0"/>
                    <w:left w:val="single" w:color="000000" w:sz="4" w:space="0"/>
                    <w:bottom w:val="single" w:color="000000" w:sz="4" w:space="0"/>
                    <w:right w:val="single" w:color="000000" w:sz="6" w:space="0"/>
                  </w:tcBorders>
                  <w:noWrap w:val="0"/>
                  <w:vAlign w:val="center"/>
                </w:tcPr>
                <w:p w14:paraId="7777A417">
                  <w:pPr>
                    <w:pStyle w:val="58"/>
                    <w:adjustRightInd w:val="0"/>
                    <w:snapToGrid w:val="0"/>
                    <w:jc w:val="center"/>
                    <w:rPr>
                      <w:b/>
                      <w:sz w:val="21"/>
                      <w:szCs w:val="21"/>
                      <w:lang w:eastAsia="zh-CN"/>
                    </w:rPr>
                  </w:pPr>
                  <w:r>
                    <w:rPr>
                      <w:b/>
                      <w:sz w:val="21"/>
                      <w:szCs w:val="21"/>
                      <w:lang w:eastAsia="zh-CN"/>
                    </w:rPr>
                    <w:t>经度</w:t>
                  </w:r>
                </w:p>
              </w:tc>
              <w:tc>
                <w:tcPr>
                  <w:tcW w:w="396" w:type="pct"/>
                  <w:tcBorders>
                    <w:top w:val="single" w:color="000000" w:sz="6" w:space="0"/>
                    <w:left w:val="single" w:color="000000" w:sz="6" w:space="0"/>
                    <w:bottom w:val="single" w:color="000000" w:sz="4" w:space="0"/>
                    <w:right w:val="single" w:color="000000" w:sz="4" w:space="0"/>
                  </w:tcBorders>
                  <w:noWrap w:val="0"/>
                  <w:vAlign w:val="center"/>
                </w:tcPr>
                <w:p w14:paraId="7EC50E91">
                  <w:pPr>
                    <w:pStyle w:val="58"/>
                    <w:adjustRightInd w:val="0"/>
                    <w:snapToGrid w:val="0"/>
                    <w:jc w:val="center"/>
                    <w:rPr>
                      <w:b/>
                      <w:sz w:val="21"/>
                      <w:szCs w:val="21"/>
                      <w:lang w:eastAsia="zh-CN"/>
                    </w:rPr>
                  </w:pPr>
                  <w:r>
                    <w:rPr>
                      <w:b/>
                      <w:sz w:val="21"/>
                      <w:szCs w:val="21"/>
                      <w:lang w:eastAsia="zh-CN"/>
                    </w:rPr>
                    <w:t>纬度</w:t>
                  </w:r>
                </w:p>
              </w:tc>
              <w:tc>
                <w:tcPr>
                  <w:tcW w:w="318" w:type="pct"/>
                  <w:vMerge w:val="continue"/>
                  <w:tcBorders>
                    <w:top w:val="nil"/>
                    <w:left w:val="single" w:color="000000" w:sz="4" w:space="0"/>
                    <w:bottom w:val="single" w:color="000000" w:sz="4" w:space="0"/>
                  </w:tcBorders>
                  <w:noWrap w:val="0"/>
                  <w:vAlign w:val="center"/>
                </w:tcPr>
                <w:p w14:paraId="08E16893">
                  <w:pPr>
                    <w:autoSpaceDE w:val="0"/>
                    <w:autoSpaceDN w:val="0"/>
                    <w:adjustRightInd w:val="0"/>
                    <w:snapToGrid w:val="0"/>
                    <w:jc w:val="center"/>
                    <w:rPr>
                      <w:szCs w:val="21"/>
                    </w:rPr>
                  </w:pPr>
                </w:p>
              </w:tc>
            </w:tr>
            <w:tr w14:paraId="020ED781">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37" w:type="pct"/>
                  <w:tcBorders>
                    <w:top w:val="single" w:color="000000" w:sz="4" w:space="0"/>
                    <w:right w:val="single" w:color="000000" w:sz="4" w:space="0"/>
                  </w:tcBorders>
                  <w:noWrap w:val="0"/>
                  <w:vAlign w:val="center"/>
                </w:tcPr>
                <w:p w14:paraId="7535F564">
                  <w:pPr>
                    <w:pStyle w:val="58"/>
                    <w:adjustRightInd w:val="0"/>
                    <w:snapToGrid w:val="0"/>
                    <w:jc w:val="center"/>
                    <w:rPr>
                      <w:sz w:val="21"/>
                      <w:szCs w:val="21"/>
                      <w:lang w:eastAsia="zh-CN"/>
                    </w:rPr>
                  </w:pPr>
                  <w:r>
                    <w:rPr>
                      <w:sz w:val="21"/>
                      <w:szCs w:val="21"/>
                      <w:lang w:eastAsia="zh-CN"/>
                    </w:rPr>
                    <w:t>1</w:t>
                  </w:r>
                </w:p>
              </w:tc>
              <w:tc>
                <w:tcPr>
                  <w:tcW w:w="291" w:type="pct"/>
                  <w:tcBorders>
                    <w:top w:val="single" w:color="000000" w:sz="4" w:space="0"/>
                    <w:left w:val="single" w:color="000000" w:sz="4" w:space="0"/>
                    <w:right w:val="single" w:color="000000" w:sz="4" w:space="0"/>
                  </w:tcBorders>
                  <w:noWrap w:val="0"/>
                  <w:vAlign w:val="center"/>
                </w:tcPr>
                <w:p w14:paraId="5810B2AC">
                  <w:pPr>
                    <w:pStyle w:val="58"/>
                    <w:adjustRightInd w:val="0"/>
                    <w:snapToGrid w:val="0"/>
                    <w:jc w:val="center"/>
                    <w:rPr>
                      <w:sz w:val="21"/>
                      <w:szCs w:val="21"/>
                      <w:lang w:eastAsia="zh-CN"/>
                    </w:rPr>
                  </w:pPr>
                  <w:r>
                    <w:rPr>
                      <w:sz w:val="21"/>
                      <w:szCs w:val="21"/>
                      <w:lang w:eastAsia="zh-CN"/>
                    </w:rPr>
                    <w:t>YS001</w:t>
                  </w:r>
                </w:p>
              </w:tc>
              <w:tc>
                <w:tcPr>
                  <w:tcW w:w="422" w:type="pct"/>
                  <w:tcBorders>
                    <w:top w:val="single" w:color="000000" w:sz="4" w:space="0"/>
                    <w:left w:val="single" w:color="000000" w:sz="4" w:space="0"/>
                    <w:right w:val="single" w:color="000000" w:sz="4" w:space="0"/>
                  </w:tcBorders>
                  <w:noWrap w:val="0"/>
                  <w:vAlign w:val="center"/>
                </w:tcPr>
                <w:p w14:paraId="46CB6264">
                  <w:pPr>
                    <w:pStyle w:val="58"/>
                    <w:adjustRightInd w:val="0"/>
                    <w:snapToGrid w:val="0"/>
                    <w:jc w:val="center"/>
                    <w:rPr>
                      <w:sz w:val="21"/>
                      <w:szCs w:val="21"/>
                      <w:lang w:eastAsia="zh-CN"/>
                    </w:rPr>
                  </w:pPr>
                  <w:r>
                    <w:rPr>
                      <w:sz w:val="21"/>
                      <w:szCs w:val="21"/>
                      <w:lang w:eastAsia="zh-CN"/>
                    </w:rPr>
                    <w:t>雨水排放口</w:t>
                  </w:r>
                </w:p>
              </w:tc>
              <w:tc>
                <w:tcPr>
                  <w:tcW w:w="376" w:type="pct"/>
                  <w:tcBorders>
                    <w:top w:val="single" w:color="000000" w:sz="4" w:space="0"/>
                    <w:left w:val="single" w:color="000000" w:sz="4" w:space="0"/>
                    <w:right w:val="single" w:color="000000" w:sz="6" w:space="0"/>
                  </w:tcBorders>
                  <w:noWrap w:val="0"/>
                  <w:vAlign w:val="center"/>
                </w:tcPr>
                <w:p w14:paraId="33CB3EE4">
                  <w:pPr>
                    <w:pStyle w:val="58"/>
                    <w:adjustRightInd w:val="0"/>
                    <w:snapToGrid w:val="0"/>
                    <w:jc w:val="center"/>
                    <w:rPr>
                      <w:rFonts w:hint="default"/>
                      <w:bCs/>
                      <w:sz w:val="21"/>
                      <w:szCs w:val="21"/>
                      <w:lang w:val="en-US" w:eastAsia="zh-CN"/>
                    </w:rPr>
                  </w:pPr>
                  <w:r>
                    <w:rPr>
                      <w:bCs/>
                      <w:sz w:val="21"/>
                      <w:szCs w:val="21"/>
                      <w:lang w:eastAsia="zh-CN"/>
                    </w:rPr>
                    <w:t>1</w:t>
                  </w:r>
                  <w:r>
                    <w:rPr>
                      <w:rFonts w:hint="eastAsia"/>
                      <w:bCs/>
                      <w:sz w:val="21"/>
                      <w:szCs w:val="21"/>
                      <w:lang w:eastAsia="zh-CN"/>
                    </w:rPr>
                    <w:t>1</w:t>
                  </w:r>
                  <w:r>
                    <w:rPr>
                      <w:rFonts w:hint="eastAsia"/>
                      <w:bCs/>
                      <w:sz w:val="21"/>
                      <w:szCs w:val="21"/>
                      <w:lang w:val="en-US" w:eastAsia="zh-CN"/>
                    </w:rPr>
                    <w:t>7</w:t>
                  </w:r>
                  <w:r>
                    <w:rPr>
                      <w:rFonts w:hint="eastAsia"/>
                      <w:bCs/>
                      <w:sz w:val="21"/>
                      <w:szCs w:val="21"/>
                      <w:lang w:eastAsia="zh-CN"/>
                    </w:rPr>
                    <w:t>.</w:t>
                  </w:r>
                  <w:r>
                    <w:rPr>
                      <w:rFonts w:hint="eastAsia"/>
                      <w:bCs/>
                      <w:sz w:val="21"/>
                      <w:szCs w:val="21"/>
                      <w:lang w:val="en-US" w:eastAsia="zh-CN"/>
                    </w:rPr>
                    <w:t>085279</w:t>
                  </w:r>
                </w:p>
              </w:tc>
              <w:tc>
                <w:tcPr>
                  <w:tcW w:w="521" w:type="pct"/>
                  <w:tcBorders>
                    <w:top w:val="single" w:color="000000" w:sz="4" w:space="0"/>
                    <w:left w:val="single" w:color="000000" w:sz="6" w:space="0"/>
                    <w:right w:val="single" w:color="000000" w:sz="4" w:space="0"/>
                  </w:tcBorders>
                  <w:noWrap w:val="0"/>
                  <w:vAlign w:val="center"/>
                </w:tcPr>
                <w:p w14:paraId="6759716E">
                  <w:pPr>
                    <w:pStyle w:val="58"/>
                    <w:adjustRightInd w:val="0"/>
                    <w:snapToGrid w:val="0"/>
                    <w:jc w:val="center"/>
                    <w:rPr>
                      <w:rFonts w:hint="default"/>
                      <w:bCs/>
                      <w:sz w:val="21"/>
                      <w:szCs w:val="21"/>
                      <w:lang w:val="en-US" w:eastAsia="zh-CN"/>
                    </w:rPr>
                  </w:pPr>
                  <w:r>
                    <w:rPr>
                      <w:rFonts w:hint="eastAsia"/>
                      <w:bCs/>
                      <w:sz w:val="21"/>
                      <w:szCs w:val="21"/>
                      <w:lang w:val="en-US" w:eastAsia="zh-CN"/>
                    </w:rPr>
                    <w:t>33.614378</w:t>
                  </w:r>
                </w:p>
              </w:tc>
              <w:tc>
                <w:tcPr>
                  <w:tcW w:w="356" w:type="pct"/>
                  <w:tcBorders>
                    <w:top w:val="single" w:color="000000" w:sz="4" w:space="0"/>
                    <w:left w:val="single" w:color="000000" w:sz="4" w:space="0"/>
                    <w:right w:val="single" w:color="000000" w:sz="6" w:space="0"/>
                  </w:tcBorders>
                  <w:noWrap w:val="0"/>
                  <w:vAlign w:val="center"/>
                </w:tcPr>
                <w:p w14:paraId="446F8329">
                  <w:pPr>
                    <w:pStyle w:val="58"/>
                    <w:adjustRightInd w:val="0"/>
                    <w:snapToGrid w:val="0"/>
                    <w:jc w:val="center"/>
                    <w:rPr>
                      <w:sz w:val="21"/>
                      <w:szCs w:val="21"/>
                      <w:lang w:eastAsia="zh-CN"/>
                    </w:rPr>
                  </w:pPr>
                  <w:r>
                    <w:rPr>
                      <w:sz w:val="21"/>
                      <w:szCs w:val="21"/>
                      <w:lang w:eastAsia="zh-CN"/>
                    </w:rPr>
                    <w:t>雨水</w:t>
                  </w:r>
                  <w:r>
                    <w:rPr>
                      <w:rFonts w:hint="eastAsia"/>
                      <w:sz w:val="21"/>
                      <w:szCs w:val="21"/>
                      <w:lang w:eastAsia="zh-CN"/>
                    </w:rPr>
                    <w:t>管</w:t>
                  </w:r>
                  <w:r>
                    <w:rPr>
                      <w:sz w:val="21"/>
                      <w:szCs w:val="21"/>
                      <w:lang w:eastAsia="zh-CN"/>
                    </w:rPr>
                    <w:t>网</w:t>
                  </w:r>
                </w:p>
              </w:tc>
              <w:tc>
                <w:tcPr>
                  <w:tcW w:w="686" w:type="pct"/>
                  <w:tcBorders>
                    <w:top w:val="single" w:color="000000" w:sz="4" w:space="0"/>
                    <w:left w:val="single" w:color="000000" w:sz="6" w:space="0"/>
                    <w:right w:val="single" w:color="000000" w:sz="6" w:space="0"/>
                  </w:tcBorders>
                  <w:noWrap w:val="0"/>
                  <w:vAlign w:val="center"/>
                </w:tcPr>
                <w:p w14:paraId="24E7AFF8">
                  <w:pPr>
                    <w:pStyle w:val="58"/>
                    <w:adjustRightInd w:val="0"/>
                    <w:snapToGrid w:val="0"/>
                    <w:jc w:val="center"/>
                    <w:rPr>
                      <w:sz w:val="21"/>
                      <w:szCs w:val="21"/>
                      <w:lang w:eastAsia="zh-CN"/>
                    </w:rPr>
                  </w:pPr>
                  <w:r>
                    <w:rPr>
                      <w:sz w:val="21"/>
                      <w:szCs w:val="21"/>
                      <w:lang w:eastAsia="zh-CN"/>
                    </w:rPr>
                    <w:t>间断排放，排放期间流量不稳定，但有规律，且不属于非周期性规律</w:t>
                  </w:r>
                </w:p>
              </w:tc>
              <w:tc>
                <w:tcPr>
                  <w:tcW w:w="312" w:type="pct"/>
                  <w:tcBorders>
                    <w:top w:val="single" w:color="000000" w:sz="4" w:space="0"/>
                    <w:left w:val="single" w:color="000000" w:sz="6" w:space="0"/>
                    <w:right w:val="single" w:color="000000" w:sz="4" w:space="0"/>
                  </w:tcBorders>
                  <w:noWrap w:val="0"/>
                  <w:vAlign w:val="center"/>
                </w:tcPr>
                <w:p w14:paraId="4ED0BC18">
                  <w:pPr>
                    <w:pStyle w:val="58"/>
                    <w:adjustRightInd w:val="0"/>
                    <w:snapToGrid w:val="0"/>
                    <w:jc w:val="center"/>
                    <w:rPr>
                      <w:sz w:val="21"/>
                      <w:szCs w:val="21"/>
                      <w:lang w:eastAsia="zh-CN"/>
                    </w:rPr>
                  </w:pPr>
                  <w:r>
                    <w:rPr>
                      <w:rFonts w:hint="eastAsia"/>
                      <w:sz w:val="21"/>
                      <w:szCs w:val="21"/>
                      <w:lang w:eastAsia="zh-CN"/>
                    </w:rPr>
                    <w:t>雨水流动时</w:t>
                  </w:r>
                </w:p>
              </w:tc>
              <w:tc>
                <w:tcPr>
                  <w:tcW w:w="377" w:type="pct"/>
                  <w:tcBorders>
                    <w:top w:val="single" w:color="000000" w:sz="4" w:space="0"/>
                    <w:left w:val="single" w:color="000000" w:sz="4" w:space="0"/>
                    <w:right w:val="single" w:color="000000" w:sz="4" w:space="0"/>
                  </w:tcBorders>
                  <w:noWrap w:val="0"/>
                  <w:vAlign w:val="center"/>
                </w:tcPr>
                <w:p w14:paraId="04A18CA6">
                  <w:pPr>
                    <w:pStyle w:val="58"/>
                    <w:adjustRightInd w:val="0"/>
                    <w:snapToGrid w:val="0"/>
                    <w:jc w:val="center"/>
                    <w:rPr>
                      <w:sz w:val="21"/>
                      <w:szCs w:val="21"/>
                      <w:lang w:eastAsia="zh-CN"/>
                    </w:rPr>
                  </w:pPr>
                  <w:r>
                    <w:rPr>
                      <w:rFonts w:hint="eastAsia"/>
                      <w:sz w:val="21"/>
                      <w:szCs w:val="21"/>
                      <w:lang w:val="en-US" w:eastAsia="zh-CN"/>
                    </w:rPr>
                    <w:t>沱河</w:t>
                  </w:r>
                </w:p>
              </w:tc>
              <w:tc>
                <w:tcPr>
                  <w:tcW w:w="366" w:type="pct"/>
                  <w:tcBorders>
                    <w:top w:val="single" w:color="000000" w:sz="4" w:space="0"/>
                    <w:left w:val="single" w:color="000000" w:sz="4" w:space="0"/>
                    <w:right w:val="single" w:color="000000" w:sz="4" w:space="0"/>
                  </w:tcBorders>
                  <w:noWrap w:val="0"/>
                  <w:vAlign w:val="center"/>
                </w:tcPr>
                <w:p w14:paraId="4F6CA405">
                  <w:pPr>
                    <w:pStyle w:val="58"/>
                    <w:adjustRightInd w:val="0"/>
                    <w:snapToGrid w:val="0"/>
                    <w:jc w:val="center"/>
                    <w:rPr>
                      <w:rFonts w:hint="eastAsia"/>
                      <w:sz w:val="21"/>
                      <w:szCs w:val="21"/>
                      <w:lang w:eastAsia="zh-CN"/>
                    </w:rPr>
                  </w:pPr>
                  <w:r>
                    <w:rPr>
                      <w:rFonts w:hint="default" w:ascii="Times New Roman" w:hAnsi="Times New Roman" w:cs="Times New Roman"/>
                      <w:sz w:val="21"/>
                      <w:szCs w:val="21"/>
                      <w:lang w:val="en-US" w:eastAsia="zh-CN"/>
                    </w:rPr>
                    <w:t>Ⅳ</w:t>
                  </w:r>
                </w:p>
              </w:tc>
              <w:tc>
                <w:tcPr>
                  <w:tcW w:w="437" w:type="pct"/>
                  <w:tcBorders>
                    <w:top w:val="single" w:color="000000" w:sz="4" w:space="0"/>
                    <w:left w:val="single" w:color="000000" w:sz="4" w:space="0"/>
                    <w:right w:val="single" w:color="000000" w:sz="6" w:space="0"/>
                  </w:tcBorders>
                  <w:noWrap w:val="0"/>
                  <w:vAlign w:val="center"/>
                </w:tcPr>
                <w:p w14:paraId="1F624D53">
                  <w:pPr>
                    <w:pStyle w:val="58"/>
                    <w:adjustRightInd w:val="0"/>
                    <w:snapToGrid w:val="0"/>
                    <w:jc w:val="center"/>
                    <w:rPr>
                      <w:rFonts w:hint="default"/>
                      <w:bCs/>
                      <w:sz w:val="21"/>
                      <w:szCs w:val="21"/>
                      <w:lang w:val="en-US" w:eastAsia="zh-CN"/>
                    </w:rPr>
                  </w:pPr>
                  <w:r>
                    <w:rPr>
                      <w:bCs/>
                      <w:sz w:val="21"/>
                      <w:szCs w:val="21"/>
                      <w:lang w:eastAsia="zh-CN"/>
                    </w:rPr>
                    <w:t>11</w:t>
                  </w:r>
                  <w:r>
                    <w:rPr>
                      <w:rFonts w:hint="eastAsia"/>
                      <w:bCs/>
                      <w:sz w:val="21"/>
                      <w:szCs w:val="21"/>
                      <w:lang w:val="en-US" w:eastAsia="zh-CN"/>
                    </w:rPr>
                    <w:t>7</w:t>
                  </w:r>
                  <w:r>
                    <w:rPr>
                      <w:rFonts w:hint="eastAsia"/>
                      <w:bCs/>
                      <w:sz w:val="21"/>
                      <w:szCs w:val="21"/>
                      <w:lang w:eastAsia="zh-CN"/>
                    </w:rPr>
                    <w:t>.</w:t>
                  </w:r>
                  <w:r>
                    <w:rPr>
                      <w:rFonts w:hint="eastAsia"/>
                      <w:bCs/>
                      <w:sz w:val="21"/>
                      <w:szCs w:val="21"/>
                      <w:lang w:val="en-US" w:eastAsia="zh-CN"/>
                    </w:rPr>
                    <w:t>068424</w:t>
                  </w:r>
                </w:p>
              </w:tc>
              <w:tc>
                <w:tcPr>
                  <w:tcW w:w="396" w:type="pct"/>
                  <w:tcBorders>
                    <w:top w:val="single" w:color="000000" w:sz="4" w:space="0"/>
                    <w:left w:val="single" w:color="000000" w:sz="6" w:space="0"/>
                    <w:right w:val="single" w:color="000000" w:sz="4" w:space="0"/>
                  </w:tcBorders>
                  <w:noWrap w:val="0"/>
                  <w:vAlign w:val="center"/>
                </w:tcPr>
                <w:p w14:paraId="77B22C75">
                  <w:pPr>
                    <w:pStyle w:val="58"/>
                    <w:adjustRightInd w:val="0"/>
                    <w:snapToGrid w:val="0"/>
                    <w:jc w:val="center"/>
                    <w:rPr>
                      <w:rFonts w:hint="default"/>
                      <w:bCs/>
                      <w:sz w:val="21"/>
                      <w:szCs w:val="21"/>
                      <w:lang w:val="en-US" w:eastAsia="zh-CN"/>
                    </w:rPr>
                  </w:pPr>
                  <w:r>
                    <w:rPr>
                      <w:rFonts w:hint="eastAsia"/>
                      <w:bCs/>
                      <w:sz w:val="21"/>
                      <w:szCs w:val="21"/>
                      <w:lang w:val="en-US" w:eastAsia="zh-CN"/>
                    </w:rPr>
                    <w:t>33.585523</w:t>
                  </w:r>
                </w:p>
              </w:tc>
              <w:tc>
                <w:tcPr>
                  <w:tcW w:w="318" w:type="pct"/>
                  <w:tcBorders>
                    <w:top w:val="single" w:color="000000" w:sz="4" w:space="0"/>
                    <w:left w:val="single" w:color="000000" w:sz="4" w:space="0"/>
                  </w:tcBorders>
                  <w:noWrap w:val="0"/>
                  <w:vAlign w:val="center"/>
                </w:tcPr>
                <w:p w14:paraId="70EF0418">
                  <w:pPr>
                    <w:pStyle w:val="58"/>
                    <w:adjustRightInd w:val="0"/>
                    <w:snapToGrid w:val="0"/>
                    <w:jc w:val="center"/>
                    <w:rPr>
                      <w:sz w:val="21"/>
                      <w:szCs w:val="21"/>
                      <w:lang w:eastAsia="zh-CN"/>
                    </w:rPr>
                  </w:pPr>
                  <w:r>
                    <w:rPr>
                      <w:rFonts w:hint="eastAsia"/>
                      <w:sz w:val="21"/>
                      <w:szCs w:val="21"/>
                      <w:lang w:eastAsia="zh-CN"/>
                    </w:rPr>
                    <w:t>/</w:t>
                  </w:r>
                </w:p>
              </w:tc>
            </w:tr>
          </w:tbl>
          <w:p w14:paraId="183AD524">
            <w:pPr>
              <w:adjustRightInd w:val="0"/>
              <w:snapToGrid w:val="0"/>
              <w:spacing w:line="240" w:lineRule="atLeast"/>
              <w:jc w:val="center"/>
              <w:rPr>
                <w:b/>
                <w:szCs w:val="21"/>
              </w:rPr>
            </w:pPr>
          </w:p>
          <w:p w14:paraId="2AF12D21">
            <w:pPr>
              <w:adjustRightInd w:val="0"/>
              <w:snapToGrid w:val="0"/>
              <w:spacing w:line="240" w:lineRule="atLeast"/>
              <w:jc w:val="center"/>
              <w:rPr>
                <w:rFonts w:ascii="宋体" w:hAnsi="宋体"/>
                <w:b/>
                <w:sz w:val="24"/>
              </w:rPr>
            </w:pPr>
            <w:r>
              <w:rPr>
                <w:b/>
                <w:szCs w:val="21"/>
              </w:rPr>
              <w:t>表11  建设项目废水间接排放口基本情况表</w:t>
            </w:r>
          </w:p>
          <w:tbl>
            <w:tblPr>
              <w:tblStyle w:val="24"/>
              <w:tblW w:w="5000" w:type="pct"/>
              <w:tblInd w:w="10"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380"/>
              <w:gridCol w:w="773"/>
              <w:gridCol w:w="1101"/>
              <w:gridCol w:w="1150"/>
              <w:gridCol w:w="1244"/>
              <w:gridCol w:w="932"/>
              <w:gridCol w:w="916"/>
              <w:gridCol w:w="816"/>
              <w:gridCol w:w="1077"/>
              <w:gridCol w:w="943"/>
              <w:gridCol w:w="1353"/>
              <w:gridCol w:w="1539"/>
              <w:gridCol w:w="1227"/>
            </w:tblGrid>
            <w:tr w14:paraId="09E128A1">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41" w:type="pct"/>
                  <w:vMerge w:val="restart"/>
                  <w:tcBorders>
                    <w:bottom w:val="single" w:color="000000" w:sz="4" w:space="0"/>
                    <w:right w:val="single" w:color="000000" w:sz="4" w:space="0"/>
                  </w:tcBorders>
                  <w:noWrap w:val="0"/>
                  <w:vAlign w:val="center"/>
                </w:tcPr>
                <w:p w14:paraId="086079C4">
                  <w:pPr>
                    <w:pStyle w:val="58"/>
                    <w:adjustRightInd w:val="0"/>
                    <w:snapToGrid w:val="0"/>
                    <w:jc w:val="center"/>
                    <w:rPr>
                      <w:b/>
                      <w:sz w:val="21"/>
                      <w:szCs w:val="21"/>
                    </w:rPr>
                  </w:pPr>
                  <w:r>
                    <w:rPr>
                      <w:rFonts w:hint="eastAsia"/>
                      <w:b/>
                      <w:sz w:val="21"/>
                      <w:szCs w:val="21"/>
                    </w:rPr>
                    <w:t>序号</w:t>
                  </w:r>
                </w:p>
              </w:tc>
              <w:tc>
                <w:tcPr>
                  <w:tcW w:w="287" w:type="pct"/>
                  <w:vMerge w:val="restart"/>
                  <w:tcBorders>
                    <w:left w:val="single" w:color="000000" w:sz="4" w:space="0"/>
                    <w:bottom w:val="single" w:color="000000" w:sz="4" w:space="0"/>
                    <w:right w:val="single" w:color="000000" w:sz="4" w:space="0"/>
                  </w:tcBorders>
                  <w:noWrap w:val="0"/>
                  <w:vAlign w:val="center"/>
                </w:tcPr>
                <w:p w14:paraId="47F032C8">
                  <w:pPr>
                    <w:pStyle w:val="58"/>
                    <w:adjustRightInd w:val="0"/>
                    <w:snapToGrid w:val="0"/>
                    <w:jc w:val="center"/>
                    <w:rPr>
                      <w:b/>
                      <w:sz w:val="21"/>
                      <w:szCs w:val="21"/>
                    </w:rPr>
                  </w:pPr>
                  <w:r>
                    <w:rPr>
                      <w:rFonts w:hint="eastAsia"/>
                      <w:b/>
                      <w:sz w:val="21"/>
                      <w:szCs w:val="21"/>
                    </w:rPr>
                    <w:t>排放口编号</w:t>
                  </w:r>
                </w:p>
              </w:tc>
              <w:tc>
                <w:tcPr>
                  <w:tcW w:w="409" w:type="pct"/>
                  <w:vMerge w:val="restart"/>
                  <w:tcBorders>
                    <w:left w:val="single" w:color="000000" w:sz="4" w:space="0"/>
                    <w:bottom w:val="single" w:color="000000" w:sz="4" w:space="0"/>
                    <w:right w:val="single" w:color="000000" w:sz="4" w:space="0"/>
                  </w:tcBorders>
                  <w:noWrap w:val="0"/>
                  <w:vAlign w:val="center"/>
                </w:tcPr>
                <w:p w14:paraId="7ECBE9BD">
                  <w:pPr>
                    <w:pStyle w:val="58"/>
                    <w:adjustRightInd w:val="0"/>
                    <w:snapToGrid w:val="0"/>
                    <w:jc w:val="center"/>
                    <w:rPr>
                      <w:b/>
                      <w:sz w:val="21"/>
                      <w:szCs w:val="21"/>
                    </w:rPr>
                  </w:pPr>
                  <w:r>
                    <w:rPr>
                      <w:rFonts w:hint="eastAsia"/>
                      <w:b/>
                      <w:sz w:val="21"/>
                      <w:szCs w:val="21"/>
                    </w:rPr>
                    <w:t>排放口名称</w:t>
                  </w:r>
                </w:p>
              </w:tc>
              <w:tc>
                <w:tcPr>
                  <w:tcW w:w="889" w:type="pct"/>
                  <w:gridSpan w:val="2"/>
                  <w:tcBorders>
                    <w:left w:val="single" w:color="000000" w:sz="4" w:space="0"/>
                    <w:bottom w:val="single" w:color="000000" w:sz="6" w:space="0"/>
                    <w:right w:val="single" w:color="000000" w:sz="4" w:space="0"/>
                  </w:tcBorders>
                  <w:noWrap w:val="0"/>
                  <w:vAlign w:val="center"/>
                </w:tcPr>
                <w:p w14:paraId="1E5E0F76">
                  <w:pPr>
                    <w:pStyle w:val="58"/>
                    <w:adjustRightInd w:val="0"/>
                    <w:snapToGrid w:val="0"/>
                    <w:jc w:val="center"/>
                    <w:rPr>
                      <w:b/>
                      <w:sz w:val="21"/>
                      <w:szCs w:val="21"/>
                    </w:rPr>
                  </w:pPr>
                  <w:r>
                    <w:rPr>
                      <w:rFonts w:hint="eastAsia"/>
                      <w:b/>
                      <w:sz w:val="21"/>
                      <w:szCs w:val="21"/>
                    </w:rPr>
                    <w:t>排放口地理坐标</w:t>
                  </w:r>
                </w:p>
              </w:tc>
              <w:tc>
                <w:tcPr>
                  <w:tcW w:w="346" w:type="pct"/>
                  <w:vMerge w:val="restart"/>
                  <w:tcBorders>
                    <w:left w:val="single" w:color="000000" w:sz="4" w:space="0"/>
                    <w:bottom w:val="single" w:color="000000" w:sz="4" w:space="0"/>
                    <w:right w:val="single" w:color="000000" w:sz="6" w:space="0"/>
                  </w:tcBorders>
                  <w:noWrap w:val="0"/>
                  <w:vAlign w:val="center"/>
                </w:tcPr>
                <w:p w14:paraId="5A7E1459">
                  <w:pPr>
                    <w:pStyle w:val="58"/>
                    <w:adjustRightInd w:val="0"/>
                    <w:snapToGrid w:val="0"/>
                    <w:jc w:val="center"/>
                    <w:rPr>
                      <w:b/>
                      <w:sz w:val="21"/>
                      <w:szCs w:val="21"/>
                    </w:rPr>
                  </w:pPr>
                  <w:r>
                    <w:rPr>
                      <w:rFonts w:hint="eastAsia"/>
                      <w:b/>
                      <w:sz w:val="21"/>
                      <w:szCs w:val="21"/>
                    </w:rPr>
                    <w:t>排放去向</w:t>
                  </w:r>
                </w:p>
              </w:tc>
              <w:tc>
                <w:tcPr>
                  <w:tcW w:w="340" w:type="pct"/>
                  <w:vMerge w:val="restart"/>
                  <w:tcBorders>
                    <w:left w:val="single" w:color="000000" w:sz="6" w:space="0"/>
                    <w:bottom w:val="single" w:color="000000" w:sz="4" w:space="0"/>
                    <w:right w:val="single" w:color="000000" w:sz="6" w:space="0"/>
                  </w:tcBorders>
                  <w:noWrap w:val="0"/>
                  <w:vAlign w:val="center"/>
                </w:tcPr>
                <w:p w14:paraId="16019DC2">
                  <w:pPr>
                    <w:pStyle w:val="58"/>
                    <w:adjustRightInd w:val="0"/>
                    <w:snapToGrid w:val="0"/>
                    <w:jc w:val="center"/>
                    <w:rPr>
                      <w:b/>
                      <w:sz w:val="21"/>
                      <w:szCs w:val="21"/>
                    </w:rPr>
                  </w:pPr>
                  <w:r>
                    <w:rPr>
                      <w:rFonts w:hint="eastAsia"/>
                      <w:b/>
                      <w:sz w:val="21"/>
                      <w:szCs w:val="21"/>
                    </w:rPr>
                    <w:t>排放规律</w:t>
                  </w:r>
                </w:p>
              </w:tc>
              <w:tc>
                <w:tcPr>
                  <w:tcW w:w="303" w:type="pct"/>
                  <w:vMerge w:val="restart"/>
                  <w:tcBorders>
                    <w:left w:val="single" w:color="000000" w:sz="6" w:space="0"/>
                    <w:bottom w:val="single" w:color="000000" w:sz="4" w:space="0"/>
                    <w:right w:val="single" w:color="000000" w:sz="4" w:space="0"/>
                  </w:tcBorders>
                  <w:noWrap w:val="0"/>
                  <w:vAlign w:val="center"/>
                </w:tcPr>
                <w:p w14:paraId="029A18B2">
                  <w:pPr>
                    <w:pStyle w:val="58"/>
                    <w:adjustRightInd w:val="0"/>
                    <w:snapToGrid w:val="0"/>
                    <w:jc w:val="center"/>
                    <w:rPr>
                      <w:b/>
                      <w:sz w:val="21"/>
                      <w:szCs w:val="21"/>
                    </w:rPr>
                  </w:pPr>
                  <w:r>
                    <w:rPr>
                      <w:rFonts w:hint="eastAsia"/>
                      <w:b/>
                      <w:sz w:val="21"/>
                      <w:szCs w:val="21"/>
                    </w:rPr>
                    <w:t>间歇排放时段</w:t>
                  </w:r>
                </w:p>
              </w:tc>
              <w:tc>
                <w:tcPr>
                  <w:tcW w:w="1825" w:type="pct"/>
                  <w:gridSpan w:val="4"/>
                  <w:tcBorders>
                    <w:left w:val="single" w:color="000000" w:sz="4" w:space="0"/>
                    <w:bottom w:val="single" w:color="000000" w:sz="6" w:space="0"/>
                    <w:right w:val="single" w:color="000000" w:sz="4" w:space="0"/>
                  </w:tcBorders>
                  <w:noWrap w:val="0"/>
                  <w:vAlign w:val="center"/>
                </w:tcPr>
                <w:p w14:paraId="4EBE2A5B">
                  <w:pPr>
                    <w:pStyle w:val="58"/>
                    <w:adjustRightInd w:val="0"/>
                    <w:snapToGrid w:val="0"/>
                    <w:jc w:val="center"/>
                    <w:rPr>
                      <w:b/>
                      <w:sz w:val="21"/>
                      <w:szCs w:val="21"/>
                    </w:rPr>
                  </w:pPr>
                  <w:r>
                    <w:rPr>
                      <w:rFonts w:hint="eastAsia"/>
                      <w:b/>
                      <w:sz w:val="21"/>
                      <w:szCs w:val="21"/>
                    </w:rPr>
                    <w:t>受纳污水处理厂信息</w:t>
                  </w:r>
                </w:p>
              </w:tc>
              <w:tc>
                <w:tcPr>
                  <w:tcW w:w="456" w:type="pct"/>
                  <w:vMerge w:val="restart"/>
                  <w:tcBorders>
                    <w:left w:val="single" w:color="000000" w:sz="4" w:space="0"/>
                    <w:bottom w:val="single" w:color="000000" w:sz="4" w:space="0"/>
                  </w:tcBorders>
                  <w:noWrap w:val="0"/>
                  <w:vAlign w:val="center"/>
                </w:tcPr>
                <w:p w14:paraId="6EB71F69">
                  <w:pPr>
                    <w:pStyle w:val="58"/>
                    <w:adjustRightInd w:val="0"/>
                    <w:snapToGrid w:val="0"/>
                    <w:jc w:val="center"/>
                    <w:rPr>
                      <w:b/>
                      <w:sz w:val="21"/>
                      <w:szCs w:val="21"/>
                    </w:rPr>
                  </w:pPr>
                  <w:r>
                    <w:rPr>
                      <w:rFonts w:hint="eastAsia"/>
                      <w:b/>
                      <w:sz w:val="21"/>
                      <w:szCs w:val="21"/>
                    </w:rPr>
                    <w:t>其他信息</w:t>
                  </w:r>
                </w:p>
              </w:tc>
            </w:tr>
            <w:tr w14:paraId="1AD5BFD6">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141" w:type="pct"/>
                  <w:vMerge w:val="continue"/>
                  <w:tcBorders>
                    <w:top w:val="nil"/>
                    <w:bottom w:val="single" w:color="000000" w:sz="4" w:space="0"/>
                    <w:right w:val="single" w:color="000000" w:sz="4" w:space="0"/>
                  </w:tcBorders>
                  <w:noWrap w:val="0"/>
                  <w:vAlign w:val="center"/>
                </w:tcPr>
                <w:p w14:paraId="4DABE051">
                  <w:pPr>
                    <w:autoSpaceDE w:val="0"/>
                    <w:autoSpaceDN w:val="0"/>
                    <w:adjustRightInd w:val="0"/>
                    <w:snapToGrid w:val="0"/>
                    <w:jc w:val="center"/>
                    <w:rPr>
                      <w:rFonts w:ascii="宋体" w:hAnsi="宋体"/>
                      <w:szCs w:val="21"/>
                    </w:rPr>
                  </w:pPr>
                </w:p>
              </w:tc>
              <w:tc>
                <w:tcPr>
                  <w:tcW w:w="287" w:type="pct"/>
                  <w:vMerge w:val="continue"/>
                  <w:tcBorders>
                    <w:top w:val="nil"/>
                    <w:left w:val="single" w:color="000000" w:sz="4" w:space="0"/>
                    <w:bottom w:val="single" w:color="000000" w:sz="4" w:space="0"/>
                    <w:right w:val="single" w:color="000000" w:sz="4" w:space="0"/>
                  </w:tcBorders>
                  <w:noWrap w:val="0"/>
                  <w:vAlign w:val="center"/>
                </w:tcPr>
                <w:p w14:paraId="1653694B">
                  <w:pPr>
                    <w:autoSpaceDE w:val="0"/>
                    <w:autoSpaceDN w:val="0"/>
                    <w:adjustRightInd w:val="0"/>
                    <w:snapToGrid w:val="0"/>
                    <w:jc w:val="center"/>
                    <w:rPr>
                      <w:rFonts w:ascii="宋体" w:hAnsi="宋体"/>
                      <w:szCs w:val="21"/>
                    </w:rPr>
                  </w:pPr>
                </w:p>
              </w:tc>
              <w:tc>
                <w:tcPr>
                  <w:tcW w:w="409" w:type="pct"/>
                  <w:vMerge w:val="continue"/>
                  <w:tcBorders>
                    <w:top w:val="nil"/>
                    <w:left w:val="single" w:color="000000" w:sz="4" w:space="0"/>
                    <w:bottom w:val="single" w:color="000000" w:sz="4" w:space="0"/>
                    <w:right w:val="single" w:color="000000" w:sz="4" w:space="0"/>
                  </w:tcBorders>
                  <w:noWrap w:val="0"/>
                  <w:vAlign w:val="center"/>
                </w:tcPr>
                <w:p w14:paraId="1075CA0D">
                  <w:pPr>
                    <w:autoSpaceDE w:val="0"/>
                    <w:autoSpaceDN w:val="0"/>
                    <w:adjustRightInd w:val="0"/>
                    <w:snapToGrid w:val="0"/>
                    <w:jc w:val="center"/>
                    <w:rPr>
                      <w:rFonts w:ascii="宋体" w:hAnsi="宋体"/>
                      <w:szCs w:val="21"/>
                    </w:rPr>
                  </w:pPr>
                </w:p>
              </w:tc>
              <w:tc>
                <w:tcPr>
                  <w:tcW w:w="427" w:type="pct"/>
                  <w:tcBorders>
                    <w:top w:val="single" w:color="000000" w:sz="6" w:space="0"/>
                    <w:left w:val="single" w:color="000000" w:sz="4" w:space="0"/>
                    <w:bottom w:val="single" w:color="000000" w:sz="4" w:space="0"/>
                    <w:right w:val="single" w:color="000000" w:sz="6" w:space="0"/>
                  </w:tcBorders>
                  <w:noWrap w:val="0"/>
                  <w:vAlign w:val="center"/>
                </w:tcPr>
                <w:p w14:paraId="4D83A5B1">
                  <w:pPr>
                    <w:pStyle w:val="58"/>
                    <w:adjustRightInd w:val="0"/>
                    <w:snapToGrid w:val="0"/>
                    <w:jc w:val="center"/>
                    <w:rPr>
                      <w:b/>
                      <w:sz w:val="21"/>
                      <w:szCs w:val="21"/>
                    </w:rPr>
                  </w:pPr>
                  <w:r>
                    <w:rPr>
                      <w:rFonts w:hint="eastAsia"/>
                      <w:b/>
                      <w:sz w:val="21"/>
                      <w:szCs w:val="21"/>
                    </w:rPr>
                    <w:t>经度</w:t>
                  </w:r>
                </w:p>
              </w:tc>
              <w:tc>
                <w:tcPr>
                  <w:tcW w:w="462" w:type="pct"/>
                  <w:tcBorders>
                    <w:top w:val="single" w:color="000000" w:sz="6" w:space="0"/>
                    <w:left w:val="single" w:color="000000" w:sz="6" w:space="0"/>
                    <w:bottom w:val="single" w:color="000000" w:sz="4" w:space="0"/>
                    <w:right w:val="single" w:color="000000" w:sz="4" w:space="0"/>
                  </w:tcBorders>
                  <w:noWrap w:val="0"/>
                  <w:vAlign w:val="center"/>
                </w:tcPr>
                <w:p w14:paraId="711C8280">
                  <w:pPr>
                    <w:pStyle w:val="58"/>
                    <w:adjustRightInd w:val="0"/>
                    <w:snapToGrid w:val="0"/>
                    <w:jc w:val="center"/>
                    <w:rPr>
                      <w:b/>
                      <w:sz w:val="21"/>
                      <w:szCs w:val="21"/>
                    </w:rPr>
                  </w:pPr>
                  <w:r>
                    <w:rPr>
                      <w:rFonts w:hint="eastAsia"/>
                      <w:b/>
                      <w:sz w:val="21"/>
                      <w:szCs w:val="21"/>
                    </w:rPr>
                    <w:t>纬度</w:t>
                  </w:r>
                </w:p>
              </w:tc>
              <w:tc>
                <w:tcPr>
                  <w:tcW w:w="346" w:type="pct"/>
                  <w:vMerge w:val="continue"/>
                  <w:tcBorders>
                    <w:top w:val="nil"/>
                    <w:left w:val="single" w:color="000000" w:sz="4" w:space="0"/>
                    <w:bottom w:val="single" w:color="000000" w:sz="4" w:space="0"/>
                    <w:right w:val="single" w:color="000000" w:sz="6" w:space="0"/>
                  </w:tcBorders>
                  <w:noWrap w:val="0"/>
                  <w:vAlign w:val="center"/>
                </w:tcPr>
                <w:p w14:paraId="1B859783">
                  <w:pPr>
                    <w:autoSpaceDE w:val="0"/>
                    <w:autoSpaceDN w:val="0"/>
                    <w:adjustRightInd w:val="0"/>
                    <w:snapToGrid w:val="0"/>
                    <w:jc w:val="center"/>
                    <w:rPr>
                      <w:rFonts w:ascii="宋体" w:hAnsi="宋体"/>
                      <w:szCs w:val="21"/>
                    </w:rPr>
                  </w:pPr>
                </w:p>
              </w:tc>
              <w:tc>
                <w:tcPr>
                  <w:tcW w:w="340" w:type="pct"/>
                  <w:vMerge w:val="continue"/>
                  <w:tcBorders>
                    <w:top w:val="nil"/>
                    <w:left w:val="single" w:color="000000" w:sz="6" w:space="0"/>
                    <w:bottom w:val="single" w:color="000000" w:sz="4" w:space="0"/>
                    <w:right w:val="single" w:color="000000" w:sz="6" w:space="0"/>
                  </w:tcBorders>
                  <w:noWrap w:val="0"/>
                  <w:vAlign w:val="center"/>
                </w:tcPr>
                <w:p w14:paraId="34C332CF">
                  <w:pPr>
                    <w:autoSpaceDE w:val="0"/>
                    <w:autoSpaceDN w:val="0"/>
                    <w:adjustRightInd w:val="0"/>
                    <w:snapToGrid w:val="0"/>
                    <w:jc w:val="center"/>
                    <w:rPr>
                      <w:rFonts w:ascii="宋体" w:hAnsi="宋体"/>
                      <w:szCs w:val="21"/>
                    </w:rPr>
                  </w:pPr>
                </w:p>
              </w:tc>
              <w:tc>
                <w:tcPr>
                  <w:tcW w:w="303" w:type="pct"/>
                  <w:vMerge w:val="continue"/>
                  <w:tcBorders>
                    <w:top w:val="nil"/>
                    <w:left w:val="single" w:color="000000" w:sz="6" w:space="0"/>
                    <w:bottom w:val="single" w:color="000000" w:sz="4" w:space="0"/>
                    <w:right w:val="single" w:color="000000" w:sz="4" w:space="0"/>
                  </w:tcBorders>
                  <w:noWrap w:val="0"/>
                  <w:vAlign w:val="center"/>
                </w:tcPr>
                <w:p w14:paraId="6F5DB468">
                  <w:pPr>
                    <w:autoSpaceDE w:val="0"/>
                    <w:autoSpaceDN w:val="0"/>
                    <w:adjustRightInd w:val="0"/>
                    <w:snapToGrid w:val="0"/>
                    <w:jc w:val="center"/>
                    <w:rPr>
                      <w:rFonts w:ascii="宋体" w:hAnsi="宋体"/>
                      <w:szCs w:val="21"/>
                    </w:rPr>
                  </w:pPr>
                </w:p>
              </w:tc>
              <w:tc>
                <w:tcPr>
                  <w:tcW w:w="400" w:type="pct"/>
                  <w:tcBorders>
                    <w:top w:val="single" w:color="000000" w:sz="6" w:space="0"/>
                    <w:left w:val="single" w:color="000000" w:sz="4" w:space="0"/>
                    <w:bottom w:val="single" w:color="000000" w:sz="4" w:space="0"/>
                    <w:right w:val="single" w:color="000000" w:sz="4" w:space="0"/>
                  </w:tcBorders>
                  <w:noWrap w:val="0"/>
                  <w:vAlign w:val="center"/>
                </w:tcPr>
                <w:p w14:paraId="17CF737B">
                  <w:pPr>
                    <w:pStyle w:val="58"/>
                    <w:adjustRightInd w:val="0"/>
                    <w:snapToGrid w:val="0"/>
                    <w:jc w:val="center"/>
                    <w:rPr>
                      <w:b/>
                      <w:sz w:val="21"/>
                      <w:szCs w:val="21"/>
                    </w:rPr>
                  </w:pPr>
                  <w:r>
                    <w:rPr>
                      <w:rFonts w:hint="eastAsia"/>
                      <w:b/>
                      <w:sz w:val="21"/>
                      <w:szCs w:val="21"/>
                    </w:rPr>
                    <w:t>污水处理厂名称</w:t>
                  </w:r>
                </w:p>
              </w:tc>
              <w:tc>
                <w:tcPr>
                  <w:tcW w:w="350" w:type="pct"/>
                  <w:tcBorders>
                    <w:top w:val="single" w:color="000000" w:sz="6" w:space="0"/>
                    <w:left w:val="single" w:color="000000" w:sz="4" w:space="0"/>
                    <w:bottom w:val="single" w:color="000000" w:sz="4" w:space="0"/>
                    <w:right w:val="single" w:color="000000" w:sz="4" w:space="0"/>
                  </w:tcBorders>
                  <w:noWrap w:val="0"/>
                  <w:vAlign w:val="center"/>
                </w:tcPr>
                <w:p w14:paraId="5C4FC271">
                  <w:pPr>
                    <w:pStyle w:val="58"/>
                    <w:adjustRightInd w:val="0"/>
                    <w:snapToGrid w:val="0"/>
                    <w:jc w:val="center"/>
                    <w:rPr>
                      <w:b/>
                      <w:sz w:val="21"/>
                      <w:szCs w:val="21"/>
                    </w:rPr>
                  </w:pPr>
                  <w:r>
                    <w:rPr>
                      <w:rFonts w:hint="eastAsia"/>
                      <w:b/>
                      <w:sz w:val="21"/>
                      <w:szCs w:val="21"/>
                    </w:rPr>
                    <w:t>污染物种类</w:t>
                  </w:r>
                </w:p>
              </w:tc>
              <w:tc>
                <w:tcPr>
                  <w:tcW w:w="502" w:type="pct"/>
                  <w:tcBorders>
                    <w:top w:val="single" w:color="000000" w:sz="6" w:space="0"/>
                    <w:left w:val="single" w:color="000000" w:sz="4" w:space="0"/>
                    <w:bottom w:val="single" w:color="000000" w:sz="4" w:space="0"/>
                    <w:right w:val="single" w:color="000000" w:sz="6" w:space="0"/>
                  </w:tcBorders>
                  <w:noWrap w:val="0"/>
                  <w:vAlign w:val="center"/>
                </w:tcPr>
                <w:p w14:paraId="019ABD2E">
                  <w:pPr>
                    <w:pStyle w:val="58"/>
                    <w:adjustRightInd w:val="0"/>
                    <w:snapToGrid w:val="0"/>
                    <w:jc w:val="center"/>
                    <w:rPr>
                      <w:b/>
                      <w:sz w:val="21"/>
                      <w:szCs w:val="21"/>
                      <w:lang w:eastAsia="zh-CN"/>
                    </w:rPr>
                  </w:pPr>
                  <w:r>
                    <w:rPr>
                      <w:rFonts w:hint="eastAsia"/>
                      <w:b/>
                      <w:sz w:val="21"/>
                      <w:szCs w:val="21"/>
                      <w:lang w:eastAsia="zh-CN"/>
                    </w:rPr>
                    <w:t>排水协议规定的浓度限值</w:t>
                  </w:r>
                </w:p>
              </w:tc>
              <w:tc>
                <w:tcPr>
                  <w:tcW w:w="572" w:type="pct"/>
                  <w:tcBorders>
                    <w:top w:val="single" w:color="000000" w:sz="6" w:space="0"/>
                    <w:left w:val="single" w:color="000000" w:sz="6" w:space="0"/>
                    <w:bottom w:val="single" w:color="000000" w:sz="4" w:space="0"/>
                    <w:right w:val="single" w:color="000000" w:sz="4" w:space="0"/>
                  </w:tcBorders>
                  <w:noWrap w:val="0"/>
                  <w:vAlign w:val="center"/>
                </w:tcPr>
                <w:p w14:paraId="0A48CCD8">
                  <w:pPr>
                    <w:pStyle w:val="58"/>
                    <w:adjustRightInd w:val="0"/>
                    <w:snapToGrid w:val="0"/>
                    <w:jc w:val="center"/>
                    <w:rPr>
                      <w:b/>
                      <w:sz w:val="21"/>
                      <w:szCs w:val="21"/>
                      <w:lang w:eastAsia="zh-CN"/>
                    </w:rPr>
                  </w:pPr>
                  <w:r>
                    <w:rPr>
                      <w:rFonts w:hint="eastAsia"/>
                      <w:b/>
                      <w:sz w:val="21"/>
                      <w:szCs w:val="21"/>
                      <w:lang w:eastAsia="zh-CN"/>
                    </w:rPr>
                    <w:t>国家或地方污染物排放标准浓度限值</w:t>
                  </w:r>
                </w:p>
              </w:tc>
              <w:tc>
                <w:tcPr>
                  <w:tcW w:w="456" w:type="pct"/>
                  <w:vMerge w:val="continue"/>
                  <w:tcBorders>
                    <w:top w:val="nil"/>
                    <w:left w:val="single" w:color="000000" w:sz="4" w:space="0"/>
                    <w:bottom w:val="single" w:color="000000" w:sz="4" w:space="0"/>
                  </w:tcBorders>
                  <w:noWrap w:val="0"/>
                  <w:vAlign w:val="center"/>
                </w:tcPr>
                <w:p w14:paraId="2BD7A725">
                  <w:pPr>
                    <w:autoSpaceDE w:val="0"/>
                    <w:autoSpaceDN w:val="0"/>
                    <w:adjustRightInd w:val="0"/>
                    <w:snapToGrid w:val="0"/>
                    <w:jc w:val="center"/>
                    <w:rPr>
                      <w:rFonts w:ascii="宋体" w:hAnsi="宋体"/>
                      <w:szCs w:val="21"/>
                    </w:rPr>
                  </w:pPr>
                </w:p>
              </w:tc>
            </w:tr>
            <w:tr w14:paraId="3E89BE2B">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41" w:type="pct"/>
                  <w:tcBorders>
                    <w:top w:val="single" w:color="000000" w:sz="4" w:space="0"/>
                    <w:right w:val="single" w:color="000000" w:sz="4" w:space="0"/>
                  </w:tcBorders>
                  <w:noWrap w:val="0"/>
                  <w:vAlign w:val="center"/>
                </w:tcPr>
                <w:p w14:paraId="4202EE26">
                  <w:pPr>
                    <w:pStyle w:val="58"/>
                    <w:adjustRightInd w:val="0"/>
                    <w:snapToGrid w:val="0"/>
                    <w:jc w:val="center"/>
                    <w:rPr>
                      <w:sz w:val="21"/>
                      <w:szCs w:val="21"/>
                      <w:lang w:eastAsia="zh-CN"/>
                    </w:rPr>
                  </w:pPr>
                  <w:r>
                    <w:rPr>
                      <w:rFonts w:hint="eastAsia"/>
                      <w:sz w:val="21"/>
                      <w:szCs w:val="21"/>
                      <w:lang w:val="en-US" w:eastAsia="zh-CN"/>
                    </w:rPr>
                    <w:t>/</w:t>
                  </w:r>
                </w:p>
              </w:tc>
              <w:tc>
                <w:tcPr>
                  <w:tcW w:w="287" w:type="pct"/>
                  <w:tcBorders>
                    <w:top w:val="single" w:color="000000" w:sz="4" w:space="0"/>
                    <w:left w:val="single" w:color="000000" w:sz="4" w:space="0"/>
                    <w:right w:val="single" w:color="000000" w:sz="4" w:space="0"/>
                  </w:tcBorders>
                  <w:noWrap w:val="0"/>
                  <w:vAlign w:val="center"/>
                </w:tcPr>
                <w:p w14:paraId="40952160">
                  <w:pPr>
                    <w:adjustRightInd w:val="0"/>
                    <w:snapToGrid w:val="0"/>
                    <w:jc w:val="center"/>
                    <w:rPr>
                      <w:sz w:val="21"/>
                      <w:szCs w:val="21"/>
                      <w:lang w:eastAsia="zh-CN"/>
                    </w:rPr>
                  </w:pPr>
                  <w:r>
                    <w:rPr>
                      <w:rFonts w:hint="eastAsia"/>
                      <w:szCs w:val="21"/>
                      <w:lang w:val="en-US" w:eastAsia="zh-CN"/>
                    </w:rPr>
                    <w:t>/</w:t>
                  </w:r>
                </w:p>
              </w:tc>
              <w:tc>
                <w:tcPr>
                  <w:tcW w:w="409" w:type="pct"/>
                  <w:tcBorders>
                    <w:top w:val="single" w:color="000000" w:sz="4" w:space="0"/>
                    <w:left w:val="single" w:color="000000" w:sz="4" w:space="0"/>
                    <w:right w:val="single" w:color="000000" w:sz="4" w:space="0"/>
                  </w:tcBorders>
                  <w:noWrap w:val="0"/>
                  <w:vAlign w:val="center"/>
                </w:tcPr>
                <w:p w14:paraId="32A943B4">
                  <w:pPr>
                    <w:adjustRightInd w:val="0"/>
                    <w:snapToGrid w:val="0"/>
                    <w:jc w:val="center"/>
                    <w:rPr>
                      <w:sz w:val="21"/>
                      <w:szCs w:val="21"/>
                      <w:lang w:eastAsia="zh-CN"/>
                    </w:rPr>
                  </w:pPr>
                  <w:r>
                    <w:rPr>
                      <w:rFonts w:hint="eastAsia"/>
                      <w:szCs w:val="21"/>
                      <w:lang w:val="en-US" w:eastAsia="zh-CN"/>
                    </w:rPr>
                    <w:t>/</w:t>
                  </w:r>
                </w:p>
              </w:tc>
              <w:tc>
                <w:tcPr>
                  <w:tcW w:w="427" w:type="pct"/>
                  <w:tcBorders>
                    <w:top w:val="single" w:color="000000" w:sz="4" w:space="0"/>
                    <w:left w:val="single" w:color="000000" w:sz="4" w:space="0"/>
                    <w:right w:val="single" w:color="000000" w:sz="6" w:space="0"/>
                  </w:tcBorders>
                  <w:noWrap w:val="0"/>
                  <w:vAlign w:val="center"/>
                </w:tcPr>
                <w:p w14:paraId="616F5780">
                  <w:pPr>
                    <w:jc w:val="center"/>
                    <w:outlineLvl w:val="0"/>
                    <w:rPr>
                      <w:sz w:val="21"/>
                      <w:szCs w:val="21"/>
                      <w:lang w:val="en-US" w:eastAsia="zh-CN"/>
                    </w:rPr>
                  </w:pPr>
                  <w:r>
                    <w:rPr>
                      <w:rFonts w:hint="eastAsia"/>
                      <w:szCs w:val="21"/>
                      <w:lang w:val="en-US" w:eastAsia="zh-CN"/>
                    </w:rPr>
                    <w:t>/</w:t>
                  </w:r>
                </w:p>
              </w:tc>
              <w:tc>
                <w:tcPr>
                  <w:tcW w:w="462" w:type="pct"/>
                  <w:tcBorders>
                    <w:top w:val="single" w:color="000000" w:sz="4" w:space="0"/>
                    <w:left w:val="single" w:color="000000" w:sz="6" w:space="0"/>
                    <w:right w:val="single" w:color="000000" w:sz="4" w:space="0"/>
                  </w:tcBorders>
                  <w:noWrap w:val="0"/>
                  <w:vAlign w:val="center"/>
                </w:tcPr>
                <w:p w14:paraId="35C053FB">
                  <w:pPr>
                    <w:jc w:val="center"/>
                    <w:outlineLvl w:val="0"/>
                    <w:rPr>
                      <w:sz w:val="21"/>
                      <w:szCs w:val="21"/>
                      <w:lang w:val="en-US" w:eastAsia="zh-CN"/>
                    </w:rPr>
                  </w:pPr>
                  <w:r>
                    <w:rPr>
                      <w:rFonts w:hint="eastAsia"/>
                      <w:szCs w:val="21"/>
                      <w:lang w:val="en-US" w:eastAsia="zh-CN"/>
                    </w:rPr>
                    <w:t>/</w:t>
                  </w:r>
                </w:p>
              </w:tc>
              <w:tc>
                <w:tcPr>
                  <w:tcW w:w="346" w:type="pct"/>
                  <w:tcBorders>
                    <w:top w:val="single" w:color="000000" w:sz="4" w:space="0"/>
                    <w:left w:val="single" w:color="000000" w:sz="4" w:space="0"/>
                    <w:right w:val="single" w:color="000000" w:sz="6" w:space="0"/>
                  </w:tcBorders>
                  <w:noWrap w:val="0"/>
                  <w:vAlign w:val="center"/>
                </w:tcPr>
                <w:p w14:paraId="5D2326B6">
                  <w:pPr>
                    <w:adjustRightInd w:val="0"/>
                    <w:snapToGrid w:val="0"/>
                    <w:jc w:val="center"/>
                    <w:rPr>
                      <w:sz w:val="21"/>
                      <w:szCs w:val="21"/>
                      <w:lang w:eastAsia="zh-CN"/>
                    </w:rPr>
                  </w:pPr>
                  <w:r>
                    <w:rPr>
                      <w:rFonts w:hint="eastAsia"/>
                      <w:szCs w:val="21"/>
                      <w:lang w:val="en-US" w:eastAsia="zh-CN"/>
                    </w:rPr>
                    <w:t>/</w:t>
                  </w:r>
                </w:p>
              </w:tc>
              <w:tc>
                <w:tcPr>
                  <w:tcW w:w="340" w:type="pct"/>
                  <w:tcBorders>
                    <w:top w:val="single" w:color="000000" w:sz="4" w:space="0"/>
                    <w:left w:val="single" w:color="000000" w:sz="6" w:space="0"/>
                    <w:right w:val="single" w:color="000000" w:sz="6" w:space="0"/>
                  </w:tcBorders>
                  <w:noWrap w:val="0"/>
                  <w:vAlign w:val="center"/>
                </w:tcPr>
                <w:p w14:paraId="64887B2F">
                  <w:pPr>
                    <w:adjustRightInd w:val="0"/>
                    <w:snapToGrid w:val="0"/>
                    <w:jc w:val="center"/>
                    <w:rPr>
                      <w:sz w:val="21"/>
                      <w:szCs w:val="21"/>
                      <w:lang w:eastAsia="zh-CN"/>
                    </w:rPr>
                  </w:pPr>
                  <w:r>
                    <w:rPr>
                      <w:rFonts w:hint="eastAsia"/>
                      <w:szCs w:val="21"/>
                      <w:lang w:val="en-US" w:eastAsia="zh-CN"/>
                    </w:rPr>
                    <w:t>/</w:t>
                  </w:r>
                </w:p>
              </w:tc>
              <w:tc>
                <w:tcPr>
                  <w:tcW w:w="303" w:type="pct"/>
                  <w:tcBorders>
                    <w:top w:val="single" w:color="000000" w:sz="4" w:space="0"/>
                    <w:left w:val="single" w:color="000000" w:sz="6" w:space="0"/>
                    <w:right w:val="single" w:color="000000" w:sz="4" w:space="0"/>
                  </w:tcBorders>
                  <w:noWrap w:val="0"/>
                  <w:vAlign w:val="center"/>
                </w:tcPr>
                <w:p w14:paraId="762DA7AA">
                  <w:pPr>
                    <w:adjustRightInd w:val="0"/>
                    <w:snapToGrid w:val="0"/>
                    <w:jc w:val="center"/>
                    <w:rPr>
                      <w:sz w:val="21"/>
                      <w:szCs w:val="21"/>
                      <w:lang w:eastAsia="zh-CN"/>
                    </w:rPr>
                  </w:pPr>
                  <w:r>
                    <w:rPr>
                      <w:rFonts w:hint="eastAsia"/>
                      <w:szCs w:val="21"/>
                      <w:lang w:val="en-US" w:eastAsia="zh-CN"/>
                    </w:rPr>
                    <w:t>/</w:t>
                  </w:r>
                </w:p>
              </w:tc>
              <w:tc>
                <w:tcPr>
                  <w:tcW w:w="400" w:type="pct"/>
                  <w:tcBorders>
                    <w:top w:val="single" w:color="000000" w:sz="4" w:space="0"/>
                    <w:left w:val="single" w:color="000000" w:sz="4" w:space="0"/>
                    <w:right w:val="single" w:color="000000" w:sz="4" w:space="0"/>
                  </w:tcBorders>
                  <w:noWrap w:val="0"/>
                  <w:vAlign w:val="center"/>
                </w:tcPr>
                <w:p w14:paraId="15A35FF0">
                  <w:pPr>
                    <w:adjustRightInd w:val="0"/>
                    <w:snapToGrid w:val="0"/>
                    <w:jc w:val="center"/>
                    <w:rPr>
                      <w:sz w:val="21"/>
                      <w:szCs w:val="21"/>
                      <w:lang w:eastAsia="zh-CN"/>
                    </w:rPr>
                  </w:pPr>
                  <w:r>
                    <w:rPr>
                      <w:rFonts w:hint="eastAsia"/>
                      <w:szCs w:val="21"/>
                      <w:lang w:val="en-US" w:eastAsia="zh-CN"/>
                    </w:rPr>
                    <w:t>/</w:t>
                  </w:r>
                </w:p>
              </w:tc>
              <w:tc>
                <w:tcPr>
                  <w:tcW w:w="350" w:type="pct"/>
                  <w:tcBorders>
                    <w:top w:val="single" w:color="000000" w:sz="4" w:space="0"/>
                    <w:left w:val="single" w:color="000000" w:sz="4" w:space="0"/>
                    <w:right w:val="single" w:color="000000" w:sz="4" w:space="0"/>
                  </w:tcBorders>
                  <w:noWrap w:val="0"/>
                  <w:vAlign w:val="center"/>
                </w:tcPr>
                <w:p w14:paraId="78EA5FD3">
                  <w:pPr>
                    <w:jc w:val="center"/>
                    <w:rPr>
                      <w:rFonts w:hint="eastAsia"/>
                      <w:szCs w:val="21"/>
                    </w:rPr>
                  </w:pPr>
                  <w:r>
                    <w:rPr>
                      <w:rFonts w:hint="eastAsia"/>
                      <w:szCs w:val="21"/>
                      <w:lang w:val="en-US" w:eastAsia="zh-CN"/>
                    </w:rPr>
                    <w:t>/</w:t>
                  </w:r>
                </w:p>
              </w:tc>
              <w:tc>
                <w:tcPr>
                  <w:tcW w:w="502" w:type="pct"/>
                  <w:tcBorders>
                    <w:top w:val="single" w:color="000000" w:sz="4" w:space="0"/>
                    <w:left w:val="single" w:color="000000" w:sz="4" w:space="0"/>
                    <w:right w:val="single" w:color="000000" w:sz="6" w:space="0"/>
                  </w:tcBorders>
                  <w:noWrap w:val="0"/>
                  <w:vAlign w:val="center"/>
                </w:tcPr>
                <w:p w14:paraId="047FF11E">
                  <w:pPr>
                    <w:adjustRightInd w:val="0"/>
                    <w:snapToGrid w:val="0"/>
                    <w:jc w:val="center"/>
                    <w:rPr>
                      <w:rFonts w:hint="eastAsia"/>
                      <w:szCs w:val="21"/>
                    </w:rPr>
                  </w:pPr>
                  <w:r>
                    <w:rPr>
                      <w:rFonts w:hint="eastAsia"/>
                      <w:szCs w:val="21"/>
                      <w:lang w:val="en-US" w:eastAsia="zh-CN"/>
                    </w:rPr>
                    <w:t>/</w:t>
                  </w:r>
                </w:p>
              </w:tc>
              <w:tc>
                <w:tcPr>
                  <w:tcW w:w="572" w:type="pct"/>
                  <w:tcBorders>
                    <w:top w:val="single" w:color="000000" w:sz="4" w:space="0"/>
                    <w:left w:val="single" w:color="000000" w:sz="6" w:space="0"/>
                    <w:right w:val="single" w:color="000000" w:sz="4" w:space="0"/>
                  </w:tcBorders>
                  <w:noWrap w:val="0"/>
                  <w:vAlign w:val="center"/>
                </w:tcPr>
                <w:p w14:paraId="073F247C">
                  <w:pPr>
                    <w:adjustRightInd w:val="0"/>
                    <w:snapToGrid w:val="0"/>
                    <w:jc w:val="center"/>
                    <w:rPr>
                      <w:sz w:val="21"/>
                      <w:szCs w:val="21"/>
                      <w:lang w:eastAsia="zh-CN"/>
                    </w:rPr>
                  </w:pPr>
                  <w:r>
                    <w:rPr>
                      <w:rFonts w:hint="eastAsia"/>
                      <w:szCs w:val="21"/>
                      <w:lang w:val="en-US" w:eastAsia="zh-CN"/>
                    </w:rPr>
                    <w:t>/</w:t>
                  </w:r>
                </w:p>
              </w:tc>
              <w:tc>
                <w:tcPr>
                  <w:tcW w:w="456" w:type="pct"/>
                  <w:tcBorders>
                    <w:top w:val="single" w:color="000000" w:sz="4" w:space="0"/>
                    <w:left w:val="single" w:color="000000" w:sz="4" w:space="0"/>
                  </w:tcBorders>
                  <w:noWrap w:val="0"/>
                  <w:vAlign w:val="center"/>
                </w:tcPr>
                <w:p w14:paraId="17D45B81">
                  <w:pPr>
                    <w:adjustRightInd w:val="0"/>
                    <w:snapToGrid w:val="0"/>
                    <w:jc w:val="center"/>
                    <w:rPr>
                      <w:sz w:val="21"/>
                      <w:szCs w:val="21"/>
                      <w:lang w:eastAsia="zh-CN"/>
                    </w:rPr>
                  </w:pPr>
                  <w:r>
                    <w:rPr>
                      <w:rFonts w:hint="eastAsia"/>
                      <w:szCs w:val="21"/>
                      <w:lang w:val="en-US" w:eastAsia="zh-CN"/>
                    </w:rPr>
                    <w:t>/</w:t>
                  </w:r>
                </w:p>
              </w:tc>
            </w:tr>
          </w:tbl>
          <w:p w14:paraId="72987FA8">
            <w:pPr>
              <w:adjustRightInd w:val="0"/>
              <w:snapToGrid w:val="0"/>
              <w:spacing w:line="240" w:lineRule="atLeast"/>
              <w:jc w:val="center"/>
              <w:rPr>
                <w:b/>
                <w:szCs w:val="21"/>
              </w:rPr>
            </w:pPr>
          </w:p>
          <w:p w14:paraId="6D593C6B">
            <w:pPr>
              <w:adjustRightInd w:val="0"/>
              <w:snapToGrid w:val="0"/>
              <w:spacing w:line="240" w:lineRule="atLeast"/>
              <w:jc w:val="center"/>
              <w:rPr>
                <w:b/>
                <w:szCs w:val="21"/>
              </w:rPr>
            </w:pPr>
            <w:r>
              <w:rPr>
                <w:b/>
                <w:szCs w:val="21"/>
              </w:rPr>
              <w:t>表12  建设项目噪声排放信息表</w:t>
            </w:r>
          </w:p>
          <w:tbl>
            <w:tblPr>
              <w:tblStyle w:val="24"/>
              <w:tblW w:w="5000" w:type="pct"/>
              <w:tblInd w:w="10"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1244"/>
              <w:gridCol w:w="1556"/>
              <w:gridCol w:w="1566"/>
              <w:gridCol w:w="3573"/>
              <w:gridCol w:w="1837"/>
              <w:gridCol w:w="2034"/>
              <w:gridCol w:w="1641"/>
            </w:tblGrid>
            <w:tr w14:paraId="7CF5839D">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462" w:type="pct"/>
                  <w:vMerge w:val="restart"/>
                  <w:tcBorders>
                    <w:bottom w:val="single" w:color="000000" w:sz="4" w:space="0"/>
                    <w:right w:val="single" w:color="000000" w:sz="4" w:space="0"/>
                  </w:tcBorders>
                  <w:noWrap w:val="0"/>
                  <w:vAlign w:val="center"/>
                </w:tcPr>
                <w:p w14:paraId="4FCE7922">
                  <w:pPr>
                    <w:pStyle w:val="58"/>
                    <w:adjustRightInd w:val="0"/>
                    <w:snapToGrid w:val="0"/>
                    <w:jc w:val="center"/>
                    <w:rPr>
                      <w:b/>
                      <w:sz w:val="21"/>
                      <w:szCs w:val="21"/>
                    </w:rPr>
                  </w:pPr>
                  <w:r>
                    <w:rPr>
                      <w:rFonts w:hint="eastAsia"/>
                      <w:b/>
                      <w:sz w:val="21"/>
                      <w:szCs w:val="21"/>
                    </w:rPr>
                    <w:t>噪声类别</w:t>
                  </w:r>
                </w:p>
              </w:tc>
              <w:tc>
                <w:tcPr>
                  <w:tcW w:w="1160" w:type="pct"/>
                  <w:gridSpan w:val="2"/>
                  <w:tcBorders>
                    <w:left w:val="single" w:color="000000" w:sz="4" w:space="0"/>
                    <w:bottom w:val="single" w:color="000000" w:sz="6" w:space="0"/>
                    <w:right w:val="single" w:color="000000" w:sz="4" w:space="0"/>
                  </w:tcBorders>
                  <w:noWrap w:val="0"/>
                  <w:vAlign w:val="center"/>
                </w:tcPr>
                <w:p w14:paraId="50C023EE">
                  <w:pPr>
                    <w:pStyle w:val="58"/>
                    <w:adjustRightInd w:val="0"/>
                    <w:snapToGrid w:val="0"/>
                    <w:jc w:val="center"/>
                    <w:rPr>
                      <w:b/>
                      <w:sz w:val="21"/>
                      <w:szCs w:val="21"/>
                    </w:rPr>
                  </w:pPr>
                  <w:r>
                    <w:rPr>
                      <w:rFonts w:hint="eastAsia"/>
                      <w:b/>
                      <w:sz w:val="21"/>
                      <w:szCs w:val="21"/>
                    </w:rPr>
                    <w:t>生产时段</w:t>
                  </w:r>
                </w:p>
              </w:tc>
              <w:tc>
                <w:tcPr>
                  <w:tcW w:w="1327" w:type="pct"/>
                  <w:vMerge w:val="restart"/>
                  <w:tcBorders>
                    <w:left w:val="single" w:color="000000" w:sz="4" w:space="0"/>
                    <w:bottom w:val="single" w:color="000000" w:sz="4" w:space="0"/>
                    <w:right w:val="single" w:color="000000" w:sz="4" w:space="0"/>
                  </w:tcBorders>
                  <w:noWrap w:val="0"/>
                  <w:vAlign w:val="center"/>
                </w:tcPr>
                <w:p w14:paraId="174264A6">
                  <w:pPr>
                    <w:pStyle w:val="58"/>
                    <w:adjustRightInd w:val="0"/>
                    <w:snapToGrid w:val="0"/>
                    <w:jc w:val="center"/>
                    <w:rPr>
                      <w:b/>
                      <w:sz w:val="21"/>
                      <w:szCs w:val="21"/>
                    </w:rPr>
                  </w:pPr>
                  <w:r>
                    <w:rPr>
                      <w:rFonts w:hint="eastAsia"/>
                      <w:b/>
                      <w:sz w:val="21"/>
                      <w:szCs w:val="21"/>
                    </w:rPr>
                    <w:t>执行排放标准名称</w:t>
                  </w:r>
                </w:p>
              </w:tc>
              <w:tc>
                <w:tcPr>
                  <w:tcW w:w="1439" w:type="pct"/>
                  <w:gridSpan w:val="2"/>
                  <w:tcBorders>
                    <w:left w:val="single" w:color="000000" w:sz="4" w:space="0"/>
                    <w:bottom w:val="single" w:color="000000" w:sz="6" w:space="0"/>
                    <w:right w:val="single" w:color="000000" w:sz="4" w:space="0"/>
                  </w:tcBorders>
                  <w:noWrap w:val="0"/>
                  <w:vAlign w:val="center"/>
                </w:tcPr>
                <w:p w14:paraId="6220A45B">
                  <w:pPr>
                    <w:pStyle w:val="58"/>
                    <w:adjustRightInd w:val="0"/>
                    <w:snapToGrid w:val="0"/>
                    <w:jc w:val="center"/>
                    <w:rPr>
                      <w:b/>
                      <w:sz w:val="21"/>
                      <w:szCs w:val="21"/>
                    </w:rPr>
                  </w:pPr>
                  <w:r>
                    <w:rPr>
                      <w:rFonts w:hint="eastAsia"/>
                      <w:b/>
                      <w:sz w:val="21"/>
                      <w:szCs w:val="21"/>
                    </w:rPr>
                    <w:t>厂界噪声排放限值</w:t>
                  </w:r>
                </w:p>
              </w:tc>
              <w:tc>
                <w:tcPr>
                  <w:tcW w:w="610" w:type="pct"/>
                  <w:vMerge w:val="restart"/>
                  <w:tcBorders>
                    <w:left w:val="single" w:color="000000" w:sz="4" w:space="0"/>
                    <w:bottom w:val="single" w:color="000000" w:sz="4" w:space="0"/>
                  </w:tcBorders>
                  <w:noWrap w:val="0"/>
                  <w:vAlign w:val="center"/>
                </w:tcPr>
                <w:p w14:paraId="69948D49">
                  <w:pPr>
                    <w:pStyle w:val="58"/>
                    <w:adjustRightInd w:val="0"/>
                    <w:snapToGrid w:val="0"/>
                    <w:jc w:val="center"/>
                    <w:rPr>
                      <w:b/>
                      <w:sz w:val="21"/>
                      <w:szCs w:val="21"/>
                    </w:rPr>
                  </w:pPr>
                  <w:r>
                    <w:rPr>
                      <w:rFonts w:hint="eastAsia"/>
                      <w:b/>
                      <w:sz w:val="21"/>
                      <w:szCs w:val="21"/>
                    </w:rPr>
                    <w:t>备注</w:t>
                  </w:r>
                </w:p>
              </w:tc>
            </w:tr>
            <w:tr w14:paraId="712898C6">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462" w:type="pct"/>
                  <w:vMerge w:val="continue"/>
                  <w:tcBorders>
                    <w:top w:val="nil"/>
                    <w:bottom w:val="single" w:color="auto" w:sz="4" w:space="0"/>
                    <w:right w:val="single" w:color="000000" w:sz="4" w:space="0"/>
                  </w:tcBorders>
                  <w:noWrap w:val="0"/>
                  <w:vAlign w:val="center"/>
                </w:tcPr>
                <w:p w14:paraId="599DCF2C">
                  <w:pPr>
                    <w:autoSpaceDE w:val="0"/>
                    <w:autoSpaceDN w:val="0"/>
                    <w:adjustRightInd w:val="0"/>
                    <w:snapToGrid w:val="0"/>
                    <w:jc w:val="center"/>
                    <w:rPr>
                      <w:rFonts w:ascii="宋体" w:hAnsi="宋体"/>
                      <w:szCs w:val="21"/>
                    </w:rPr>
                  </w:pPr>
                </w:p>
              </w:tc>
              <w:tc>
                <w:tcPr>
                  <w:tcW w:w="578" w:type="pct"/>
                  <w:tcBorders>
                    <w:top w:val="single" w:color="000000" w:sz="6" w:space="0"/>
                    <w:left w:val="single" w:color="000000" w:sz="4" w:space="0"/>
                    <w:bottom w:val="single" w:color="000000" w:sz="4" w:space="0"/>
                    <w:right w:val="single" w:color="000000" w:sz="4" w:space="0"/>
                  </w:tcBorders>
                  <w:noWrap w:val="0"/>
                  <w:vAlign w:val="center"/>
                </w:tcPr>
                <w:p w14:paraId="18F2E797">
                  <w:pPr>
                    <w:pStyle w:val="58"/>
                    <w:adjustRightInd w:val="0"/>
                    <w:snapToGrid w:val="0"/>
                    <w:jc w:val="center"/>
                    <w:rPr>
                      <w:b/>
                      <w:sz w:val="21"/>
                      <w:szCs w:val="21"/>
                    </w:rPr>
                  </w:pPr>
                  <w:r>
                    <w:rPr>
                      <w:rFonts w:hint="eastAsia"/>
                      <w:b/>
                      <w:sz w:val="21"/>
                      <w:szCs w:val="21"/>
                    </w:rPr>
                    <w:t>昼间</w:t>
                  </w:r>
                </w:p>
              </w:tc>
              <w:tc>
                <w:tcPr>
                  <w:tcW w:w="582" w:type="pct"/>
                  <w:tcBorders>
                    <w:top w:val="single" w:color="000000" w:sz="6" w:space="0"/>
                    <w:left w:val="single" w:color="000000" w:sz="4" w:space="0"/>
                    <w:bottom w:val="single" w:color="000000" w:sz="4" w:space="0"/>
                    <w:right w:val="single" w:color="000000" w:sz="4" w:space="0"/>
                  </w:tcBorders>
                  <w:noWrap w:val="0"/>
                  <w:vAlign w:val="center"/>
                </w:tcPr>
                <w:p w14:paraId="2A96FF6D">
                  <w:pPr>
                    <w:pStyle w:val="58"/>
                    <w:adjustRightInd w:val="0"/>
                    <w:snapToGrid w:val="0"/>
                    <w:jc w:val="center"/>
                    <w:rPr>
                      <w:b/>
                      <w:sz w:val="21"/>
                      <w:szCs w:val="21"/>
                    </w:rPr>
                  </w:pPr>
                  <w:r>
                    <w:rPr>
                      <w:rFonts w:hint="eastAsia"/>
                      <w:b/>
                      <w:sz w:val="21"/>
                      <w:szCs w:val="21"/>
                    </w:rPr>
                    <w:t>夜间</w:t>
                  </w:r>
                </w:p>
              </w:tc>
              <w:tc>
                <w:tcPr>
                  <w:tcW w:w="1327" w:type="pct"/>
                  <w:vMerge w:val="continue"/>
                  <w:tcBorders>
                    <w:top w:val="nil"/>
                    <w:left w:val="single" w:color="000000" w:sz="4" w:space="0"/>
                    <w:bottom w:val="single" w:color="000000" w:sz="4" w:space="0"/>
                    <w:right w:val="single" w:color="000000" w:sz="4" w:space="0"/>
                  </w:tcBorders>
                  <w:noWrap w:val="0"/>
                  <w:vAlign w:val="center"/>
                </w:tcPr>
                <w:p w14:paraId="3E052015">
                  <w:pPr>
                    <w:autoSpaceDE w:val="0"/>
                    <w:autoSpaceDN w:val="0"/>
                    <w:adjustRightInd w:val="0"/>
                    <w:snapToGrid w:val="0"/>
                    <w:jc w:val="center"/>
                    <w:rPr>
                      <w:rFonts w:ascii="宋体" w:hAnsi="宋体"/>
                      <w:szCs w:val="21"/>
                    </w:rPr>
                  </w:pPr>
                </w:p>
              </w:tc>
              <w:tc>
                <w:tcPr>
                  <w:tcW w:w="683" w:type="pct"/>
                  <w:tcBorders>
                    <w:top w:val="single" w:color="000000" w:sz="6" w:space="0"/>
                    <w:left w:val="single" w:color="000000" w:sz="4" w:space="0"/>
                    <w:bottom w:val="single" w:color="000000" w:sz="4" w:space="0"/>
                    <w:right w:val="single" w:color="000000" w:sz="4" w:space="0"/>
                  </w:tcBorders>
                  <w:noWrap w:val="0"/>
                  <w:vAlign w:val="center"/>
                </w:tcPr>
                <w:p w14:paraId="3B9576BA">
                  <w:pPr>
                    <w:pStyle w:val="58"/>
                    <w:adjustRightInd w:val="0"/>
                    <w:snapToGrid w:val="0"/>
                    <w:jc w:val="center"/>
                    <w:rPr>
                      <w:b/>
                      <w:sz w:val="21"/>
                      <w:szCs w:val="21"/>
                    </w:rPr>
                  </w:pPr>
                  <w:r>
                    <w:rPr>
                      <w:rFonts w:hint="eastAsia"/>
                      <w:b/>
                      <w:sz w:val="21"/>
                      <w:szCs w:val="21"/>
                    </w:rPr>
                    <w:t>昼间</w:t>
                  </w:r>
                  <w:r>
                    <w:rPr>
                      <w:b/>
                      <w:sz w:val="21"/>
                      <w:szCs w:val="21"/>
                    </w:rPr>
                    <w:t>dB(A)</w:t>
                  </w:r>
                </w:p>
              </w:tc>
              <w:tc>
                <w:tcPr>
                  <w:tcW w:w="756" w:type="pct"/>
                  <w:tcBorders>
                    <w:top w:val="single" w:color="000000" w:sz="6" w:space="0"/>
                    <w:left w:val="single" w:color="000000" w:sz="4" w:space="0"/>
                    <w:bottom w:val="single" w:color="000000" w:sz="4" w:space="0"/>
                    <w:right w:val="single" w:color="000000" w:sz="4" w:space="0"/>
                  </w:tcBorders>
                  <w:noWrap w:val="0"/>
                  <w:vAlign w:val="center"/>
                </w:tcPr>
                <w:p w14:paraId="3CD4E280">
                  <w:pPr>
                    <w:pStyle w:val="58"/>
                    <w:adjustRightInd w:val="0"/>
                    <w:snapToGrid w:val="0"/>
                    <w:jc w:val="center"/>
                    <w:rPr>
                      <w:b/>
                      <w:sz w:val="21"/>
                      <w:szCs w:val="21"/>
                    </w:rPr>
                  </w:pPr>
                  <w:r>
                    <w:rPr>
                      <w:rFonts w:hint="eastAsia"/>
                      <w:b/>
                      <w:sz w:val="21"/>
                      <w:szCs w:val="21"/>
                    </w:rPr>
                    <w:t>夜间</w:t>
                  </w:r>
                  <w:r>
                    <w:rPr>
                      <w:b/>
                      <w:sz w:val="21"/>
                      <w:szCs w:val="21"/>
                    </w:rPr>
                    <w:t>dB(A)</w:t>
                  </w:r>
                </w:p>
              </w:tc>
              <w:tc>
                <w:tcPr>
                  <w:tcW w:w="610" w:type="pct"/>
                  <w:vMerge w:val="continue"/>
                  <w:tcBorders>
                    <w:top w:val="nil"/>
                    <w:left w:val="single" w:color="000000" w:sz="4" w:space="0"/>
                    <w:bottom w:val="single" w:color="000000" w:sz="4" w:space="0"/>
                  </w:tcBorders>
                  <w:noWrap w:val="0"/>
                  <w:vAlign w:val="center"/>
                </w:tcPr>
                <w:p w14:paraId="14405340">
                  <w:pPr>
                    <w:autoSpaceDE w:val="0"/>
                    <w:autoSpaceDN w:val="0"/>
                    <w:adjustRightInd w:val="0"/>
                    <w:snapToGrid w:val="0"/>
                    <w:jc w:val="center"/>
                    <w:rPr>
                      <w:rFonts w:ascii="宋体" w:hAnsi="宋体"/>
                      <w:szCs w:val="21"/>
                    </w:rPr>
                  </w:pPr>
                </w:p>
              </w:tc>
            </w:tr>
            <w:tr w14:paraId="71EF71B4">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462" w:type="pct"/>
                  <w:tcBorders>
                    <w:top w:val="single" w:color="auto" w:sz="4" w:space="0"/>
                    <w:bottom w:val="single" w:color="auto" w:sz="4" w:space="0"/>
                    <w:right w:val="single" w:color="auto" w:sz="4" w:space="0"/>
                  </w:tcBorders>
                  <w:noWrap w:val="0"/>
                  <w:vAlign w:val="center"/>
                </w:tcPr>
                <w:p w14:paraId="055B92E8">
                  <w:pPr>
                    <w:pStyle w:val="58"/>
                    <w:adjustRightInd w:val="0"/>
                    <w:snapToGrid w:val="0"/>
                    <w:jc w:val="center"/>
                    <w:rPr>
                      <w:b/>
                      <w:sz w:val="21"/>
                      <w:szCs w:val="21"/>
                    </w:rPr>
                  </w:pPr>
                  <w:r>
                    <w:rPr>
                      <w:rFonts w:hint="eastAsia"/>
                      <w:b/>
                      <w:sz w:val="21"/>
                      <w:szCs w:val="21"/>
                    </w:rPr>
                    <w:t>稳态噪声</w:t>
                  </w:r>
                </w:p>
              </w:tc>
              <w:tc>
                <w:tcPr>
                  <w:tcW w:w="578" w:type="pct"/>
                  <w:tcBorders>
                    <w:top w:val="single" w:color="000000" w:sz="4" w:space="0"/>
                    <w:left w:val="single" w:color="auto" w:sz="4" w:space="0"/>
                    <w:bottom w:val="single" w:color="000000" w:sz="4" w:space="0"/>
                    <w:right w:val="single" w:color="000000" w:sz="4" w:space="0"/>
                  </w:tcBorders>
                  <w:noWrap w:val="0"/>
                  <w:vAlign w:val="center"/>
                </w:tcPr>
                <w:p w14:paraId="3DBBBF19">
                  <w:pPr>
                    <w:pStyle w:val="58"/>
                    <w:adjustRightInd w:val="0"/>
                    <w:snapToGrid w:val="0"/>
                    <w:jc w:val="center"/>
                    <w:rPr>
                      <w:sz w:val="21"/>
                      <w:szCs w:val="21"/>
                      <w:lang w:eastAsia="zh-CN"/>
                    </w:rPr>
                  </w:pPr>
                  <w:r>
                    <w:rPr>
                      <w:rFonts w:hint="eastAsia"/>
                      <w:sz w:val="21"/>
                      <w:szCs w:val="21"/>
                      <w:lang w:eastAsia="zh-CN"/>
                    </w:rPr>
                    <w:t>6：00-22：00</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14:paraId="4C32052B">
                  <w:pPr>
                    <w:pStyle w:val="58"/>
                    <w:adjustRightInd w:val="0"/>
                    <w:snapToGrid w:val="0"/>
                    <w:jc w:val="center"/>
                    <w:rPr>
                      <w:sz w:val="21"/>
                      <w:szCs w:val="21"/>
                    </w:rPr>
                  </w:pPr>
                  <w:r>
                    <w:rPr>
                      <w:rFonts w:hint="eastAsia"/>
                      <w:sz w:val="21"/>
                      <w:szCs w:val="21"/>
                      <w:lang w:eastAsia="zh-CN"/>
                    </w:rPr>
                    <w:t>22：00-6：00</w:t>
                  </w:r>
                </w:p>
              </w:tc>
              <w:tc>
                <w:tcPr>
                  <w:tcW w:w="1327" w:type="pct"/>
                  <w:tcBorders>
                    <w:top w:val="single" w:color="000000" w:sz="4" w:space="0"/>
                    <w:left w:val="single" w:color="000000" w:sz="4" w:space="0"/>
                    <w:bottom w:val="single" w:color="000000" w:sz="4" w:space="0"/>
                    <w:right w:val="single" w:color="000000" w:sz="4" w:space="0"/>
                  </w:tcBorders>
                  <w:noWrap w:val="0"/>
                  <w:vAlign w:val="center"/>
                </w:tcPr>
                <w:p w14:paraId="5E4EC1DF">
                  <w:pPr>
                    <w:pStyle w:val="58"/>
                    <w:adjustRightInd w:val="0"/>
                    <w:snapToGrid w:val="0"/>
                    <w:jc w:val="center"/>
                    <w:rPr>
                      <w:sz w:val="21"/>
                      <w:szCs w:val="21"/>
                      <w:lang w:eastAsia="zh-CN"/>
                    </w:rPr>
                  </w:pPr>
                  <w:r>
                    <w:rPr>
                      <w:rFonts w:hint="eastAsia"/>
                      <w:sz w:val="21"/>
                      <w:szCs w:val="21"/>
                      <w:lang w:eastAsia="zh-CN"/>
                    </w:rPr>
                    <w:t>《工业企业厂界环境噪声排放标准》（GB12348-2008）中</w:t>
                  </w:r>
                  <w:r>
                    <w:rPr>
                      <w:rFonts w:hint="eastAsia"/>
                      <w:sz w:val="21"/>
                      <w:szCs w:val="21"/>
                      <w:lang w:val="en-US" w:eastAsia="zh-CN"/>
                    </w:rPr>
                    <w:t>2</w:t>
                  </w:r>
                  <w:r>
                    <w:rPr>
                      <w:rFonts w:hint="eastAsia"/>
                      <w:sz w:val="21"/>
                      <w:szCs w:val="21"/>
                      <w:lang w:eastAsia="zh-CN"/>
                    </w:rPr>
                    <w:t>类标准</w:t>
                  </w:r>
                </w:p>
              </w:tc>
              <w:tc>
                <w:tcPr>
                  <w:tcW w:w="683" w:type="pct"/>
                  <w:tcBorders>
                    <w:top w:val="single" w:color="000000" w:sz="4" w:space="0"/>
                    <w:left w:val="single" w:color="000000" w:sz="4" w:space="0"/>
                    <w:bottom w:val="single" w:color="000000" w:sz="4" w:space="0"/>
                    <w:right w:val="single" w:color="000000" w:sz="4" w:space="0"/>
                  </w:tcBorders>
                  <w:noWrap w:val="0"/>
                  <w:vAlign w:val="center"/>
                </w:tcPr>
                <w:p w14:paraId="3E1F0EE1">
                  <w:pPr>
                    <w:pStyle w:val="58"/>
                    <w:adjustRightInd w:val="0"/>
                    <w:snapToGrid w:val="0"/>
                    <w:jc w:val="center"/>
                    <w:rPr>
                      <w:rFonts w:hint="default"/>
                      <w:sz w:val="21"/>
                      <w:szCs w:val="21"/>
                      <w:lang w:val="en-US" w:eastAsia="zh-CN"/>
                    </w:rPr>
                  </w:pPr>
                  <w:r>
                    <w:rPr>
                      <w:rFonts w:hint="eastAsia"/>
                      <w:sz w:val="21"/>
                      <w:szCs w:val="21"/>
                      <w:lang w:val="en-US" w:eastAsia="zh-CN"/>
                    </w:rPr>
                    <w:t>60</w:t>
                  </w:r>
                </w:p>
              </w:tc>
              <w:tc>
                <w:tcPr>
                  <w:tcW w:w="756" w:type="pct"/>
                  <w:tcBorders>
                    <w:top w:val="single" w:color="000000" w:sz="4" w:space="0"/>
                    <w:left w:val="single" w:color="000000" w:sz="4" w:space="0"/>
                    <w:bottom w:val="single" w:color="000000" w:sz="4" w:space="0"/>
                    <w:right w:val="single" w:color="000000" w:sz="4" w:space="0"/>
                  </w:tcBorders>
                  <w:noWrap w:val="0"/>
                  <w:vAlign w:val="center"/>
                </w:tcPr>
                <w:p w14:paraId="2CA64F84">
                  <w:pPr>
                    <w:pStyle w:val="58"/>
                    <w:adjustRightInd w:val="0"/>
                    <w:snapToGrid w:val="0"/>
                    <w:jc w:val="center"/>
                    <w:rPr>
                      <w:rFonts w:hint="default"/>
                      <w:sz w:val="21"/>
                      <w:szCs w:val="21"/>
                      <w:lang w:val="en-US" w:eastAsia="zh-CN"/>
                    </w:rPr>
                  </w:pPr>
                  <w:r>
                    <w:rPr>
                      <w:rFonts w:hint="eastAsia"/>
                      <w:sz w:val="21"/>
                      <w:szCs w:val="21"/>
                      <w:lang w:val="en-US" w:eastAsia="zh-CN"/>
                    </w:rPr>
                    <w:t>50</w:t>
                  </w:r>
                </w:p>
              </w:tc>
              <w:tc>
                <w:tcPr>
                  <w:tcW w:w="610" w:type="pct"/>
                  <w:tcBorders>
                    <w:top w:val="single" w:color="000000" w:sz="4" w:space="0"/>
                    <w:left w:val="single" w:color="000000" w:sz="4" w:space="0"/>
                    <w:bottom w:val="single" w:color="000000" w:sz="4" w:space="0"/>
                  </w:tcBorders>
                  <w:noWrap w:val="0"/>
                  <w:vAlign w:val="center"/>
                </w:tcPr>
                <w:p w14:paraId="1CA14405">
                  <w:pPr>
                    <w:pStyle w:val="58"/>
                    <w:adjustRightInd w:val="0"/>
                    <w:snapToGrid w:val="0"/>
                    <w:jc w:val="center"/>
                    <w:rPr>
                      <w:sz w:val="21"/>
                      <w:szCs w:val="21"/>
                      <w:lang w:eastAsia="zh-CN"/>
                    </w:rPr>
                  </w:pPr>
                  <w:r>
                    <w:rPr>
                      <w:rFonts w:hint="eastAsia"/>
                      <w:sz w:val="21"/>
                      <w:szCs w:val="21"/>
                      <w:lang w:eastAsia="zh-CN"/>
                    </w:rPr>
                    <w:t>/</w:t>
                  </w:r>
                </w:p>
              </w:tc>
            </w:tr>
            <w:tr w14:paraId="4DD1F3B8">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462" w:type="pct"/>
                  <w:tcBorders>
                    <w:top w:val="single" w:color="auto" w:sz="4" w:space="0"/>
                    <w:bottom w:val="single" w:color="000000" w:sz="4" w:space="0"/>
                    <w:right w:val="single" w:color="000000" w:sz="4" w:space="0"/>
                  </w:tcBorders>
                  <w:noWrap w:val="0"/>
                  <w:vAlign w:val="center"/>
                </w:tcPr>
                <w:p w14:paraId="7FB431CC">
                  <w:pPr>
                    <w:pStyle w:val="58"/>
                    <w:adjustRightInd w:val="0"/>
                    <w:snapToGrid w:val="0"/>
                    <w:jc w:val="center"/>
                    <w:rPr>
                      <w:b/>
                      <w:sz w:val="21"/>
                      <w:szCs w:val="21"/>
                      <w:lang w:eastAsia="zh-CN"/>
                    </w:rPr>
                  </w:pPr>
                  <w:r>
                    <w:rPr>
                      <w:rFonts w:hint="eastAsia"/>
                      <w:b/>
                      <w:sz w:val="21"/>
                      <w:szCs w:val="21"/>
                      <w:lang w:eastAsia="zh-CN"/>
                    </w:rPr>
                    <w:t>频发噪声</w:t>
                  </w:r>
                </w:p>
              </w:tc>
              <w:tc>
                <w:tcPr>
                  <w:tcW w:w="578" w:type="pct"/>
                  <w:tcBorders>
                    <w:top w:val="single" w:color="000000" w:sz="4" w:space="0"/>
                    <w:left w:val="single" w:color="000000" w:sz="4" w:space="0"/>
                    <w:bottom w:val="single" w:color="000000" w:sz="4" w:space="0"/>
                    <w:right w:val="single" w:color="000000" w:sz="4" w:space="0"/>
                  </w:tcBorders>
                  <w:noWrap w:val="0"/>
                  <w:vAlign w:val="center"/>
                </w:tcPr>
                <w:p w14:paraId="1AE33A8B">
                  <w:pPr>
                    <w:pStyle w:val="58"/>
                    <w:adjustRightInd w:val="0"/>
                    <w:snapToGrid w:val="0"/>
                    <w:jc w:val="center"/>
                    <w:rPr>
                      <w:sz w:val="21"/>
                      <w:szCs w:val="21"/>
                      <w:lang w:eastAsia="zh-CN"/>
                    </w:rPr>
                  </w:pPr>
                </w:p>
              </w:tc>
              <w:tc>
                <w:tcPr>
                  <w:tcW w:w="582" w:type="pct"/>
                  <w:tcBorders>
                    <w:top w:val="single" w:color="000000" w:sz="4" w:space="0"/>
                    <w:left w:val="single" w:color="000000" w:sz="4" w:space="0"/>
                    <w:bottom w:val="single" w:color="000000" w:sz="4" w:space="0"/>
                    <w:right w:val="single" w:color="000000" w:sz="4" w:space="0"/>
                  </w:tcBorders>
                  <w:noWrap w:val="0"/>
                  <w:vAlign w:val="center"/>
                </w:tcPr>
                <w:p w14:paraId="746A7BEF">
                  <w:pPr>
                    <w:pStyle w:val="58"/>
                    <w:adjustRightInd w:val="0"/>
                    <w:snapToGrid w:val="0"/>
                    <w:jc w:val="center"/>
                    <w:rPr>
                      <w:sz w:val="21"/>
                      <w:szCs w:val="21"/>
                      <w:lang w:eastAsia="zh-CN"/>
                    </w:rPr>
                  </w:pPr>
                </w:p>
              </w:tc>
              <w:tc>
                <w:tcPr>
                  <w:tcW w:w="1327" w:type="pct"/>
                  <w:tcBorders>
                    <w:top w:val="single" w:color="000000" w:sz="4" w:space="0"/>
                    <w:left w:val="single" w:color="000000" w:sz="4" w:space="0"/>
                    <w:bottom w:val="single" w:color="000000" w:sz="4" w:space="0"/>
                    <w:right w:val="single" w:color="000000" w:sz="4" w:space="0"/>
                  </w:tcBorders>
                  <w:noWrap w:val="0"/>
                  <w:vAlign w:val="center"/>
                </w:tcPr>
                <w:p w14:paraId="4587E3A7">
                  <w:pPr>
                    <w:pStyle w:val="58"/>
                    <w:adjustRightInd w:val="0"/>
                    <w:snapToGrid w:val="0"/>
                    <w:jc w:val="center"/>
                    <w:rPr>
                      <w:sz w:val="21"/>
                      <w:szCs w:val="21"/>
                      <w:lang w:eastAsia="zh-CN"/>
                    </w:rPr>
                  </w:pPr>
                </w:p>
              </w:tc>
              <w:tc>
                <w:tcPr>
                  <w:tcW w:w="683" w:type="pct"/>
                  <w:tcBorders>
                    <w:top w:val="single" w:color="000000" w:sz="4" w:space="0"/>
                    <w:left w:val="single" w:color="000000" w:sz="4" w:space="0"/>
                    <w:bottom w:val="single" w:color="000000" w:sz="4" w:space="0"/>
                    <w:right w:val="single" w:color="000000" w:sz="4" w:space="0"/>
                  </w:tcBorders>
                  <w:noWrap w:val="0"/>
                  <w:vAlign w:val="center"/>
                </w:tcPr>
                <w:p w14:paraId="038FFF30">
                  <w:pPr>
                    <w:pStyle w:val="58"/>
                    <w:adjustRightInd w:val="0"/>
                    <w:snapToGrid w:val="0"/>
                    <w:jc w:val="center"/>
                    <w:rPr>
                      <w:sz w:val="21"/>
                      <w:szCs w:val="21"/>
                      <w:lang w:eastAsia="zh-CN"/>
                    </w:rPr>
                  </w:pPr>
                </w:p>
              </w:tc>
              <w:tc>
                <w:tcPr>
                  <w:tcW w:w="756" w:type="pct"/>
                  <w:tcBorders>
                    <w:top w:val="single" w:color="000000" w:sz="4" w:space="0"/>
                    <w:left w:val="single" w:color="000000" w:sz="4" w:space="0"/>
                    <w:bottom w:val="single" w:color="000000" w:sz="4" w:space="0"/>
                    <w:right w:val="single" w:color="000000" w:sz="4" w:space="0"/>
                  </w:tcBorders>
                  <w:noWrap w:val="0"/>
                  <w:vAlign w:val="center"/>
                </w:tcPr>
                <w:p w14:paraId="332881F5">
                  <w:pPr>
                    <w:pStyle w:val="58"/>
                    <w:adjustRightInd w:val="0"/>
                    <w:snapToGrid w:val="0"/>
                    <w:jc w:val="center"/>
                    <w:rPr>
                      <w:sz w:val="21"/>
                      <w:szCs w:val="21"/>
                      <w:lang w:eastAsia="zh-CN"/>
                    </w:rPr>
                  </w:pPr>
                </w:p>
              </w:tc>
              <w:tc>
                <w:tcPr>
                  <w:tcW w:w="610" w:type="pct"/>
                  <w:tcBorders>
                    <w:top w:val="single" w:color="000000" w:sz="4" w:space="0"/>
                    <w:left w:val="single" w:color="000000" w:sz="4" w:space="0"/>
                    <w:bottom w:val="single" w:color="000000" w:sz="4" w:space="0"/>
                  </w:tcBorders>
                  <w:noWrap w:val="0"/>
                  <w:vAlign w:val="center"/>
                </w:tcPr>
                <w:p w14:paraId="14ACEBB4">
                  <w:pPr>
                    <w:pStyle w:val="58"/>
                    <w:adjustRightInd w:val="0"/>
                    <w:snapToGrid w:val="0"/>
                    <w:jc w:val="center"/>
                    <w:rPr>
                      <w:sz w:val="21"/>
                      <w:szCs w:val="21"/>
                      <w:lang w:eastAsia="zh-CN"/>
                    </w:rPr>
                  </w:pPr>
                </w:p>
              </w:tc>
            </w:tr>
            <w:tr w14:paraId="1C731C35">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c>
                <w:tcPr>
                  <w:tcW w:w="462" w:type="pct"/>
                  <w:tcBorders>
                    <w:top w:val="single" w:color="000000" w:sz="4" w:space="0"/>
                    <w:right w:val="single" w:color="000000" w:sz="4" w:space="0"/>
                  </w:tcBorders>
                  <w:noWrap w:val="0"/>
                  <w:vAlign w:val="center"/>
                </w:tcPr>
                <w:p w14:paraId="2D1530B2">
                  <w:pPr>
                    <w:pStyle w:val="58"/>
                    <w:adjustRightInd w:val="0"/>
                    <w:snapToGrid w:val="0"/>
                    <w:jc w:val="center"/>
                    <w:rPr>
                      <w:b/>
                      <w:sz w:val="21"/>
                      <w:szCs w:val="21"/>
                      <w:lang w:eastAsia="zh-CN"/>
                    </w:rPr>
                  </w:pPr>
                  <w:r>
                    <w:rPr>
                      <w:rFonts w:hint="eastAsia"/>
                      <w:b/>
                      <w:sz w:val="21"/>
                      <w:szCs w:val="21"/>
                      <w:lang w:eastAsia="zh-CN"/>
                    </w:rPr>
                    <w:t>偶发噪声</w:t>
                  </w:r>
                </w:p>
              </w:tc>
              <w:tc>
                <w:tcPr>
                  <w:tcW w:w="578" w:type="pct"/>
                  <w:tcBorders>
                    <w:top w:val="single" w:color="000000" w:sz="4" w:space="0"/>
                    <w:left w:val="single" w:color="000000" w:sz="4" w:space="0"/>
                    <w:right w:val="single" w:color="000000" w:sz="4" w:space="0"/>
                  </w:tcBorders>
                  <w:noWrap w:val="0"/>
                  <w:vAlign w:val="center"/>
                </w:tcPr>
                <w:p w14:paraId="78FCA3F5">
                  <w:pPr>
                    <w:pStyle w:val="58"/>
                    <w:adjustRightInd w:val="0"/>
                    <w:snapToGrid w:val="0"/>
                    <w:jc w:val="center"/>
                    <w:rPr>
                      <w:sz w:val="21"/>
                      <w:szCs w:val="21"/>
                      <w:lang w:eastAsia="zh-CN"/>
                    </w:rPr>
                  </w:pPr>
                </w:p>
              </w:tc>
              <w:tc>
                <w:tcPr>
                  <w:tcW w:w="582" w:type="pct"/>
                  <w:tcBorders>
                    <w:top w:val="single" w:color="000000" w:sz="4" w:space="0"/>
                    <w:left w:val="single" w:color="000000" w:sz="4" w:space="0"/>
                    <w:right w:val="single" w:color="000000" w:sz="4" w:space="0"/>
                  </w:tcBorders>
                  <w:noWrap w:val="0"/>
                  <w:vAlign w:val="center"/>
                </w:tcPr>
                <w:p w14:paraId="25A0AF3A">
                  <w:pPr>
                    <w:pStyle w:val="58"/>
                    <w:adjustRightInd w:val="0"/>
                    <w:snapToGrid w:val="0"/>
                    <w:jc w:val="center"/>
                    <w:rPr>
                      <w:sz w:val="21"/>
                      <w:szCs w:val="21"/>
                      <w:lang w:eastAsia="zh-CN"/>
                    </w:rPr>
                  </w:pPr>
                </w:p>
              </w:tc>
              <w:tc>
                <w:tcPr>
                  <w:tcW w:w="1327" w:type="pct"/>
                  <w:tcBorders>
                    <w:top w:val="single" w:color="000000" w:sz="4" w:space="0"/>
                    <w:left w:val="single" w:color="000000" w:sz="4" w:space="0"/>
                    <w:right w:val="single" w:color="000000" w:sz="4" w:space="0"/>
                  </w:tcBorders>
                  <w:noWrap w:val="0"/>
                  <w:vAlign w:val="center"/>
                </w:tcPr>
                <w:p w14:paraId="7450AFA9">
                  <w:pPr>
                    <w:pStyle w:val="58"/>
                    <w:adjustRightInd w:val="0"/>
                    <w:snapToGrid w:val="0"/>
                    <w:jc w:val="center"/>
                    <w:rPr>
                      <w:sz w:val="21"/>
                      <w:szCs w:val="21"/>
                      <w:lang w:eastAsia="zh-CN"/>
                    </w:rPr>
                  </w:pPr>
                </w:p>
              </w:tc>
              <w:tc>
                <w:tcPr>
                  <w:tcW w:w="683" w:type="pct"/>
                  <w:tcBorders>
                    <w:top w:val="single" w:color="000000" w:sz="4" w:space="0"/>
                    <w:left w:val="single" w:color="000000" w:sz="4" w:space="0"/>
                    <w:right w:val="single" w:color="000000" w:sz="4" w:space="0"/>
                  </w:tcBorders>
                  <w:noWrap w:val="0"/>
                  <w:vAlign w:val="center"/>
                </w:tcPr>
                <w:p w14:paraId="1FFCD4FA">
                  <w:pPr>
                    <w:pStyle w:val="58"/>
                    <w:adjustRightInd w:val="0"/>
                    <w:snapToGrid w:val="0"/>
                    <w:jc w:val="center"/>
                    <w:rPr>
                      <w:sz w:val="21"/>
                      <w:szCs w:val="21"/>
                      <w:lang w:eastAsia="zh-CN"/>
                    </w:rPr>
                  </w:pPr>
                </w:p>
              </w:tc>
              <w:tc>
                <w:tcPr>
                  <w:tcW w:w="756" w:type="pct"/>
                  <w:tcBorders>
                    <w:top w:val="single" w:color="000000" w:sz="4" w:space="0"/>
                    <w:left w:val="single" w:color="000000" w:sz="4" w:space="0"/>
                    <w:right w:val="single" w:color="000000" w:sz="4" w:space="0"/>
                  </w:tcBorders>
                  <w:noWrap w:val="0"/>
                  <w:vAlign w:val="center"/>
                </w:tcPr>
                <w:p w14:paraId="3976C6A2">
                  <w:pPr>
                    <w:pStyle w:val="58"/>
                    <w:adjustRightInd w:val="0"/>
                    <w:snapToGrid w:val="0"/>
                    <w:jc w:val="center"/>
                    <w:rPr>
                      <w:sz w:val="21"/>
                      <w:szCs w:val="21"/>
                      <w:lang w:eastAsia="zh-CN"/>
                    </w:rPr>
                  </w:pPr>
                </w:p>
              </w:tc>
              <w:tc>
                <w:tcPr>
                  <w:tcW w:w="610" w:type="pct"/>
                  <w:tcBorders>
                    <w:top w:val="single" w:color="000000" w:sz="4" w:space="0"/>
                    <w:left w:val="single" w:color="000000" w:sz="4" w:space="0"/>
                  </w:tcBorders>
                  <w:noWrap w:val="0"/>
                  <w:vAlign w:val="center"/>
                </w:tcPr>
                <w:p w14:paraId="67A3AB24">
                  <w:pPr>
                    <w:pStyle w:val="58"/>
                    <w:adjustRightInd w:val="0"/>
                    <w:snapToGrid w:val="0"/>
                    <w:jc w:val="center"/>
                    <w:rPr>
                      <w:sz w:val="21"/>
                      <w:szCs w:val="21"/>
                      <w:lang w:eastAsia="zh-CN"/>
                    </w:rPr>
                  </w:pPr>
                </w:p>
              </w:tc>
            </w:tr>
          </w:tbl>
          <w:p w14:paraId="5DBDA753">
            <w:pPr>
              <w:adjustRightInd w:val="0"/>
              <w:snapToGrid w:val="0"/>
              <w:spacing w:line="240" w:lineRule="atLeast"/>
              <w:jc w:val="center"/>
              <w:rPr>
                <w:b/>
                <w:szCs w:val="21"/>
              </w:rPr>
            </w:pPr>
          </w:p>
          <w:p w14:paraId="4BBC098B">
            <w:pPr>
              <w:adjustRightInd w:val="0"/>
              <w:snapToGrid w:val="0"/>
              <w:spacing w:line="240" w:lineRule="atLeast"/>
              <w:jc w:val="center"/>
              <w:rPr>
                <w:b/>
                <w:szCs w:val="21"/>
              </w:rPr>
            </w:pPr>
          </w:p>
          <w:p w14:paraId="12F66A42">
            <w:pPr>
              <w:adjustRightInd w:val="0"/>
              <w:snapToGrid w:val="0"/>
              <w:spacing w:line="240" w:lineRule="atLeast"/>
              <w:jc w:val="center"/>
              <w:rPr>
                <w:b/>
                <w:szCs w:val="21"/>
              </w:rPr>
            </w:pPr>
          </w:p>
          <w:p w14:paraId="4EF6EA03">
            <w:pPr>
              <w:adjustRightInd w:val="0"/>
              <w:snapToGrid w:val="0"/>
              <w:spacing w:line="240" w:lineRule="atLeast"/>
              <w:jc w:val="center"/>
              <w:rPr>
                <w:rFonts w:ascii="宋体" w:hAnsi="宋体"/>
                <w:b/>
                <w:sz w:val="24"/>
              </w:rPr>
            </w:pPr>
            <w:r>
              <w:rPr>
                <w:b/>
                <w:szCs w:val="21"/>
              </w:rPr>
              <w:t>表13  建设项目固体废物（一般固体废物和危险固体废物）排放信息表</w:t>
            </w:r>
          </w:p>
          <w:tbl>
            <w:tblPr>
              <w:tblStyle w:val="24"/>
              <w:tblW w:w="1345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8"/>
              <w:gridCol w:w="654"/>
              <w:gridCol w:w="1066"/>
              <w:gridCol w:w="1070"/>
              <w:gridCol w:w="915"/>
              <w:gridCol w:w="796"/>
              <w:gridCol w:w="1302"/>
              <w:gridCol w:w="1177"/>
              <w:gridCol w:w="1227"/>
              <w:gridCol w:w="1062"/>
              <w:gridCol w:w="1004"/>
              <w:gridCol w:w="850"/>
              <w:gridCol w:w="791"/>
              <w:gridCol w:w="666"/>
              <w:gridCol w:w="543"/>
            </w:tblGrid>
            <w:tr w14:paraId="7FE4D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8" w:type="dxa"/>
                  <w:vMerge w:val="restart"/>
                  <w:noWrap w:val="0"/>
                  <w:vAlign w:val="center"/>
                </w:tcPr>
                <w:p w14:paraId="1D505C8C">
                  <w:pPr>
                    <w:pStyle w:val="58"/>
                    <w:adjustRightInd w:val="0"/>
                    <w:snapToGrid w:val="0"/>
                    <w:jc w:val="center"/>
                    <w:rPr>
                      <w:b/>
                      <w:sz w:val="21"/>
                      <w:szCs w:val="21"/>
                    </w:rPr>
                  </w:pPr>
                  <w:r>
                    <w:rPr>
                      <w:b/>
                      <w:sz w:val="21"/>
                      <w:szCs w:val="21"/>
                    </w:rPr>
                    <w:t>序号</w:t>
                  </w:r>
                </w:p>
              </w:tc>
              <w:tc>
                <w:tcPr>
                  <w:tcW w:w="654" w:type="dxa"/>
                  <w:vMerge w:val="restart"/>
                  <w:noWrap w:val="0"/>
                  <w:vAlign w:val="center"/>
                </w:tcPr>
                <w:p w14:paraId="5CEB6743">
                  <w:pPr>
                    <w:pStyle w:val="58"/>
                    <w:adjustRightInd w:val="0"/>
                    <w:snapToGrid w:val="0"/>
                    <w:jc w:val="center"/>
                    <w:rPr>
                      <w:b/>
                      <w:sz w:val="21"/>
                      <w:szCs w:val="21"/>
                    </w:rPr>
                  </w:pPr>
                  <w:r>
                    <w:rPr>
                      <w:b/>
                      <w:sz w:val="21"/>
                      <w:szCs w:val="21"/>
                    </w:rPr>
                    <w:t>固体废物来源</w:t>
                  </w:r>
                </w:p>
              </w:tc>
              <w:tc>
                <w:tcPr>
                  <w:tcW w:w="1066" w:type="dxa"/>
                  <w:vMerge w:val="restart"/>
                  <w:noWrap w:val="0"/>
                  <w:vAlign w:val="center"/>
                </w:tcPr>
                <w:p w14:paraId="1C4B7E06">
                  <w:pPr>
                    <w:pStyle w:val="58"/>
                    <w:adjustRightInd w:val="0"/>
                    <w:snapToGrid w:val="0"/>
                    <w:jc w:val="center"/>
                    <w:rPr>
                      <w:b/>
                      <w:sz w:val="21"/>
                      <w:szCs w:val="21"/>
                    </w:rPr>
                  </w:pPr>
                  <w:r>
                    <w:rPr>
                      <w:b/>
                      <w:sz w:val="21"/>
                      <w:szCs w:val="21"/>
                    </w:rPr>
                    <w:t>固体废物名称</w:t>
                  </w:r>
                </w:p>
              </w:tc>
              <w:tc>
                <w:tcPr>
                  <w:tcW w:w="1070" w:type="dxa"/>
                  <w:vMerge w:val="restart"/>
                  <w:noWrap w:val="0"/>
                  <w:vAlign w:val="center"/>
                </w:tcPr>
                <w:p w14:paraId="4202DBE5">
                  <w:pPr>
                    <w:pStyle w:val="58"/>
                    <w:adjustRightInd w:val="0"/>
                    <w:snapToGrid w:val="0"/>
                    <w:jc w:val="center"/>
                    <w:rPr>
                      <w:b/>
                      <w:sz w:val="21"/>
                      <w:szCs w:val="21"/>
                    </w:rPr>
                  </w:pPr>
                  <w:r>
                    <w:rPr>
                      <w:b/>
                      <w:sz w:val="21"/>
                      <w:szCs w:val="21"/>
                    </w:rPr>
                    <w:t>固体废物种类</w:t>
                  </w:r>
                </w:p>
              </w:tc>
              <w:tc>
                <w:tcPr>
                  <w:tcW w:w="915" w:type="dxa"/>
                  <w:vMerge w:val="restart"/>
                  <w:noWrap w:val="0"/>
                  <w:vAlign w:val="center"/>
                </w:tcPr>
                <w:p w14:paraId="1A6DB671">
                  <w:pPr>
                    <w:pStyle w:val="58"/>
                    <w:adjustRightInd w:val="0"/>
                    <w:snapToGrid w:val="0"/>
                    <w:jc w:val="center"/>
                    <w:rPr>
                      <w:b/>
                      <w:sz w:val="21"/>
                      <w:szCs w:val="21"/>
                    </w:rPr>
                  </w:pPr>
                  <w:r>
                    <w:rPr>
                      <w:b/>
                      <w:sz w:val="21"/>
                      <w:szCs w:val="21"/>
                    </w:rPr>
                    <w:t>固体废物类别</w:t>
                  </w:r>
                </w:p>
              </w:tc>
              <w:tc>
                <w:tcPr>
                  <w:tcW w:w="796" w:type="dxa"/>
                  <w:vMerge w:val="restart"/>
                  <w:noWrap w:val="0"/>
                  <w:vAlign w:val="center"/>
                </w:tcPr>
                <w:p w14:paraId="552B0171">
                  <w:pPr>
                    <w:pStyle w:val="58"/>
                    <w:adjustRightInd w:val="0"/>
                    <w:snapToGrid w:val="0"/>
                    <w:jc w:val="center"/>
                    <w:rPr>
                      <w:b/>
                      <w:sz w:val="21"/>
                      <w:szCs w:val="21"/>
                    </w:rPr>
                  </w:pPr>
                  <w:r>
                    <w:rPr>
                      <w:b/>
                      <w:sz w:val="21"/>
                      <w:szCs w:val="21"/>
                    </w:rPr>
                    <w:t>固体废物描述</w:t>
                  </w:r>
                </w:p>
              </w:tc>
              <w:tc>
                <w:tcPr>
                  <w:tcW w:w="1302" w:type="dxa"/>
                  <w:vMerge w:val="restart"/>
                  <w:noWrap w:val="0"/>
                  <w:vAlign w:val="center"/>
                </w:tcPr>
                <w:p w14:paraId="7CED7C9A">
                  <w:pPr>
                    <w:pStyle w:val="58"/>
                    <w:adjustRightInd w:val="0"/>
                    <w:snapToGrid w:val="0"/>
                    <w:jc w:val="center"/>
                    <w:rPr>
                      <w:b/>
                      <w:sz w:val="21"/>
                      <w:szCs w:val="21"/>
                      <w:lang w:eastAsia="zh-CN"/>
                    </w:rPr>
                  </w:pPr>
                  <w:r>
                    <w:rPr>
                      <w:b/>
                      <w:sz w:val="21"/>
                      <w:szCs w:val="21"/>
                      <w:lang w:eastAsia="zh-CN"/>
                    </w:rPr>
                    <w:t>固体废物产生量（t/a）</w:t>
                  </w:r>
                </w:p>
              </w:tc>
              <w:tc>
                <w:tcPr>
                  <w:tcW w:w="1177" w:type="dxa"/>
                  <w:vMerge w:val="restart"/>
                  <w:noWrap w:val="0"/>
                  <w:vAlign w:val="center"/>
                </w:tcPr>
                <w:p w14:paraId="59A8AF69">
                  <w:pPr>
                    <w:pStyle w:val="58"/>
                    <w:adjustRightInd w:val="0"/>
                    <w:snapToGrid w:val="0"/>
                    <w:jc w:val="center"/>
                    <w:rPr>
                      <w:b/>
                      <w:sz w:val="21"/>
                      <w:szCs w:val="21"/>
                      <w:lang w:eastAsia="zh-CN"/>
                    </w:rPr>
                  </w:pPr>
                  <w:r>
                    <w:rPr>
                      <w:b/>
                      <w:sz w:val="21"/>
                      <w:szCs w:val="21"/>
                      <w:lang w:eastAsia="zh-CN"/>
                    </w:rPr>
                    <w:t>处理方式</w:t>
                  </w:r>
                </w:p>
              </w:tc>
              <w:tc>
                <w:tcPr>
                  <w:tcW w:w="5600" w:type="dxa"/>
                  <w:gridSpan w:val="6"/>
                  <w:noWrap w:val="0"/>
                  <w:vAlign w:val="center"/>
                </w:tcPr>
                <w:p w14:paraId="314B2787">
                  <w:pPr>
                    <w:pStyle w:val="58"/>
                    <w:adjustRightInd w:val="0"/>
                    <w:snapToGrid w:val="0"/>
                    <w:jc w:val="center"/>
                    <w:rPr>
                      <w:b/>
                      <w:sz w:val="21"/>
                      <w:szCs w:val="21"/>
                      <w:lang w:eastAsia="zh-CN"/>
                    </w:rPr>
                  </w:pPr>
                  <w:r>
                    <w:rPr>
                      <w:b/>
                      <w:sz w:val="21"/>
                      <w:szCs w:val="21"/>
                      <w:lang w:eastAsia="zh-CN"/>
                    </w:rPr>
                    <w:t>处理去向</w:t>
                  </w:r>
                </w:p>
              </w:tc>
              <w:tc>
                <w:tcPr>
                  <w:tcW w:w="543" w:type="dxa"/>
                  <w:vMerge w:val="restart"/>
                  <w:noWrap w:val="0"/>
                  <w:vAlign w:val="center"/>
                </w:tcPr>
                <w:p w14:paraId="5407654C">
                  <w:pPr>
                    <w:pStyle w:val="58"/>
                    <w:adjustRightInd w:val="0"/>
                    <w:snapToGrid w:val="0"/>
                    <w:jc w:val="center"/>
                    <w:rPr>
                      <w:b/>
                      <w:sz w:val="21"/>
                      <w:szCs w:val="21"/>
                      <w:lang w:eastAsia="zh-CN"/>
                    </w:rPr>
                  </w:pPr>
                  <w:r>
                    <w:rPr>
                      <w:b/>
                      <w:sz w:val="21"/>
                      <w:szCs w:val="21"/>
                      <w:lang w:eastAsia="zh-CN"/>
                    </w:rPr>
                    <w:t>其他信息</w:t>
                  </w:r>
                </w:p>
              </w:tc>
            </w:tr>
            <w:tr w14:paraId="23703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8" w:type="dxa"/>
                  <w:vMerge w:val="continue"/>
                  <w:noWrap w:val="0"/>
                  <w:vAlign w:val="center"/>
                </w:tcPr>
                <w:p w14:paraId="4BDF8053">
                  <w:pPr>
                    <w:autoSpaceDE w:val="0"/>
                    <w:autoSpaceDN w:val="0"/>
                    <w:adjustRightInd w:val="0"/>
                    <w:snapToGrid w:val="0"/>
                    <w:jc w:val="center"/>
                    <w:rPr>
                      <w:szCs w:val="21"/>
                    </w:rPr>
                  </w:pPr>
                </w:p>
              </w:tc>
              <w:tc>
                <w:tcPr>
                  <w:tcW w:w="654" w:type="dxa"/>
                  <w:vMerge w:val="continue"/>
                  <w:noWrap w:val="0"/>
                  <w:vAlign w:val="center"/>
                </w:tcPr>
                <w:p w14:paraId="71DE2C17">
                  <w:pPr>
                    <w:autoSpaceDE w:val="0"/>
                    <w:autoSpaceDN w:val="0"/>
                    <w:adjustRightInd w:val="0"/>
                    <w:snapToGrid w:val="0"/>
                    <w:jc w:val="center"/>
                    <w:rPr>
                      <w:szCs w:val="21"/>
                    </w:rPr>
                  </w:pPr>
                </w:p>
              </w:tc>
              <w:tc>
                <w:tcPr>
                  <w:tcW w:w="1066" w:type="dxa"/>
                  <w:vMerge w:val="continue"/>
                  <w:noWrap w:val="0"/>
                  <w:vAlign w:val="center"/>
                </w:tcPr>
                <w:p w14:paraId="642C39C2">
                  <w:pPr>
                    <w:autoSpaceDE w:val="0"/>
                    <w:autoSpaceDN w:val="0"/>
                    <w:adjustRightInd w:val="0"/>
                    <w:snapToGrid w:val="0"/>
                    <w:jc w:val="center"/>
                    <w:rPr>
                      <w:szCs w:val="21"/>
                    </w:rPr>
                  </w:pPr>
                </w:p>
              </w:tc>
              <w:tc>
                <w:tcPr>
                  <w:tcW w:w="1070" w:type="dxa"/>
                  <w:vMerge w:val="continue"/>
                  <w:noWrap w:val="0"/>
                  <w:vAlign w:val="center"/>
                </w:tcPr>
                <w:p w14:paraId="2F2AA890">
                  <w:pPr>
                    <w:autoSpaceDE w:val="0"/>
                    <w:autoSpaceDN w:val="0"/>
                    <w:adjustRightInd w:val="0"/>
                    <w:snapToGrid w:val="0"/>
                    <w:jc w:val="center"/>
                    <w:rPr>
                      <w:szCs w:val="21"/>
                    </w:rPr>
                  </w:pPr>
                </w:p>
              </w:tc>
              <w:tc>
                <w:tcPr>
                  <w:tcW w:w="915" w:type="dxa"/>
                  <w:vMerge w:val="continue"/>
                  <w:noWrap w:val="0"/>
                  <w:vAlign w:val="center"/>
                </w:tcPr>
                <w:p w14:paraId="0007663D">
                  <w:pPr>
                    <w:autoSpaceDE w:val="0"/>
                    <w:autoSpaceDN w:val="0"/>
                    <w:adjustRightInd w:val="0"/>
                    <w:snapToGrid w:val="0"/>
                    <w:jc w:val="center"/>
                    <w:rPr>
                      <w:szCs w:val="21"/>
                    </w:rPr>
                  </w:pPr>
                </w:p>
              </w:tc>
              <w:tc>
                <w:tcPr>
                  <w:tcW w:w="796" w:type="dxa"/>
                  <w:vMerge w:val="continue"/>
                  <w:noWrap w:val="0"/>
                  <w:vAlign w:val="center"/>
                </w:tcPr>
                <w:p w14:paraId="0B01A8F6">
                  <w:pPr>
                    <w:autoSpaceDE w:val="0"/>
                    <w:autoSpaceDN w:val="0"/>
                    <w:adjustRightInd w:val="0"/>
                    <w:snapToGrid w:val="0"/>
                    <w:jc w:val="center"/>
                    <w:rPr>
                      <w:szCs w:val="21"/>
                    </w:rPr>
                  </w:pPr>
                </w:p>
              </w:tc>
              <w:tc>
                <w:tcPr>
                  <w:tcW w:w="1302" w:type="dxa"/>
                  <w:vMerge w:val="continue"/>
                  <w:noWrap w:val="0"/>
                  <w:vAlign w:val="center"/>
                </w:tcPr>
                <w:p w14:paraId="2FEC0AD7">
                  <w:pPr>
                    <w:autoSpaceDE w:val="0"/>
                    <w:autoSpaceDN w:val="0"/>
                    <w:adjustRightInd w:val="0"/>
                    <w:snapToGrid w:val="0"/>
                    <w:jc w:val="center"/>
                    <w:rPr>
                      <w:szCs w:val="21"/>
                    </w:rPr>
                  </w:pPr>
                </w:p>
              </w:tc>
              <w:tc>
                <w:tcPr>
                  <w:tcW w:w="1177" w:type="dxa"/>
                  <w:vMerge w:val="continue"/>
                  <w:noWrap w:val="0"/>
                  <w:vAlign w:val="center"/>
                </w:tcPr>
                <w:p w14:paraId="7429B1AB">
                  <w:pPr>
                    <w:autoSpaceDE w:val="0"/>
                    <w:autoSpaceDN w:val="0"/>
                    <w:adjustRightInd w:val="0"/>
                    <w:snapToGrid w:val="0"/>
                    <w:jc w:val="center"/>
                    <w:rPr>
                      <w:szCs w:val="21"/>
                    </w:rPr>
                  </w:pPr>
                </w:p>
              </w:tc>
              <w:tc>
                <w:tcPr>
                  <w:tcW w:w="1227" w:type="dxa"/>
                  <w:vMerge w:val="restart"/>
                  <w:noWrap w:val="0"/>
                  <w:vAlign w:val="center"/>
                </w:tcPr>
                <w:p w14:paraId="38962A9A">
                  <w:pPr>
                    <w:pStyle w:val="58"/>
                    <w:adjustRightInd w:val="0"/>
                    <w:snapToGrid w:val="0"/>
                    <w:jc w:val="center"/>
                    <w:rPr>
                      <w:b/>
                      <w:sz w:val="21"/>
                      <w:szCs w:val="21"/>
                      <w:lang w:eastAsia="zh-CN"/>
                    </w:rPr>
                  </w:pPr>
                  <w:r>
                    <w:rPr>
                      <w:b/>
                      <w:sz w:val="21"/>
                      <w:szCs w:val="21"/>
                      <w:lang w:eastAsia="zh-CN"/>
                    </w:rPr>
                    <w:t>自行贮存量（t/a）</w:t>
                  </w:r>
                </w:p>
              </w:tc>
              <w:tc>
                <w:tcPr>
                  <w:tcW w:w="1062" w:type="dxa"/>
                  <w:vMerge w:val="restart"/>
                  <w:noWrap w:val="0"/>
                  <w:vAlign w:val="center"/>
                </w:tcPr>
                <w:p w14:paraId="7E17CDB9">
                  <w:pPr>
                    <w:pStyle w:val="58"/>
                    <w:adjustRightInd w:val="0"/>
                    <w:snapToGrid w:val="0"/>
                    <w:jc w:val="center"/>
                    <w:rPr>
                      <w:b/>
                      <w:sz w:val="21"/>
                      <w:szCs w:val="21"/>
                      <w:lang w:eastAsia="zh-CN"/>
                    </w:rPr>
                  </w:pPr>
                  <w:r>
                    <w:rPr>
                      <w:b/>
                      <w:sz w:val="21"/>
                      <w:szCs w:val="21"/>
                      <w:lang w:eastAsia="zh-CN"/>
                    </w:rPr>
                    <w:t>自行利</w:t>
                  </w:r>
                  <w:r>
                    <w:rPr>
                      <w:b/>
                      <w:spacing w:val="-32"/>
                      <w:sz w:val="21"/>
                      <w:szCs w:val="21"/>
                      <w:lang w:eastAsia="zh-CN"/>
                    </w:rPr>
                    <w:t>用</w:t>
                  </w:r>
                  <w:r>
                    <w:rPr>
                      <w:b/>
                      <w:sz w:val="21"/>
                      <w:szCs w:val="21"/>
                      <w:lang w:eastAsia="zh-CN"/>
                    </w:rPr>
                    <w:t>（t/a）</w:t>
                  </w:r>
                </w:p>
              </w:tc>
              <w:tc>
                <w:tcPr>
                  <w:tcW w:w="1004" w:type="dxa"/>
                  <w:vMerge w:val="restart"/>
                  <w:noWrap w:val="0"/>
                  <w:vAlign w:val="center"/>
                </w:tcPr>
                <w:p w14:paraId="38138B8C">
                  <w:pPr>
                    <w:pStyle w:val="58"/>
                    <w:adjustRightInd w:val="0"/>
                    <w:snapToGrid w:val="0"/>
                    <w:jc w:val="center"/>
                    <w:rPr>
                      <w:b/>
                      <w:sz w:val="21"/>
                      <w:szCs w:val="21"/>
                      <w:lang w:eastAsia="zh-CN"/>
                    </w:rPr>
                  </w:pPr>
                  <w:r>
                    <w:rPr>
                      <w:b/>
                      <w:sz w:val="21"/>
                      <w:szCs w:val="21"/>
                      <w:lang w:eastAsia="zh-CN"/>
                    </w:rPr>
                    <w:t>自行处</w:t>
                  </w:r>
                  <w:r>
                    <w:rPr>
                      <w:b/>
                      <w:spacing w:val="-89"/>
                      <w:sz w:val="21"/>
                      <w:szCs w:val="21"/>
                      <w:lang w:eastAsia="zh-CN"/>
                    </w:rPr>
                    <w:t>置</w:t>
                  </w:r>
                  <w:r>
                    <w:rPr>
                      <w:b/>
                      <w:sz w:val="21"/>
                      <w:szCs w:val="21"/>
                      <w:lang w:eastAsia="zh-CN"/>
                    </w:rPr>
                    <w:t>（t/a）</w:t>
                  </w:r>
                </w:p>
              </w:tc>
              <w:tc>
                <w:tcPr>
                  <w:tcW w:w="1641" w:type="dxa"/>
                  <w:gridSpan w:val="2"/>
                  <w:noWrap w:val="0"/>
                  <w:vAlign w:val="center"/>
                </w:tcPr>
                <w:p w14:paraId="6D0FF89F">
                  <w:pPr>
                    <w:pStyle w:val="58"/>
                    <w:adjustRightInd w:val="0"/>
                    <w:snapToGrid w:val="0"/>
                    <w:jc w:val="center"/>
                    <w:rPr>
                      <w:b/>
                      <w:sz w:val="21"/>
                      <w:szCs w:val="21"/>
                      <w:lang w:eastAsia="zh-CN"/>
                    </w:rPr>
                  </w:pPr>
                  <w:r>
                    <w:rPr>
                      <w:b/>
                      <w:sz w:val="21"/>
                      <w:szCs w:val="21"/>
                      <w:lang w:eastAsia="zh-CN"/>
                    </w:rPr>
                    <w:t>转移量（t/a）</w:t>
                  </w:r>
                </w:p>
              </w:tc>
              <w:tc>
                <w:tcPr>
                  <w:tcW w:w="666" w:type="dxa"/>
                  <w:vMerge w:val="restart"/>
                  <w:noWrap w:val="0"/>
                  <w:vAlign w:val="center"/>
                </w:tcPr>
                <w:p w14:paraId="4E6D59DE">
                  <w:pPr>
                    <w:pStyle w:val="58"/>
                    <w:adjustRightInd w:val="0"/>
                    <w:snapToGrid w:val="0"/>
                    <w:jc w:val="center"/>
                    <w:rPr>
                      <w:b/>
                      <w:sz w:val="21"/>
                      <w:szCs w:val="21"/>
                      <w:lang w:eastAsia="zh-CN"/>
                    </w:rPr>
                  </w:pPr>
                  <w:r>
                    <w:rPr>
                      <w:b/>
                      <w:sz w:val="21"/>
                      <w:szCs w:val="21"/>
                      <w:lang w:eastAsia="zh-CN"/>
                    </w:rPr>
                    <w:t>排放量</w:t>
                  </w:r>
                </w:p>
                <w:p w14:paraId="4E3EB7CA">
                  <w:pPr>
                    <w:pStyle w:val="58"/>
                    <w:adjustRightInd w:val="0"/>
                    <w:snapToGrid w:val="0"/>
                    <w:jc w:val="center"/>
                    <w:rPr>
                      <w:b/>
                      <w:sz w:val="21"/>
                      <w:szCs w:val="21"/>
                      <w:lang w:eastAsia="zh-CN"/>
                    </w:rPr>
                  </w:pPr>
                  <w:r>
                    <w:rPr>
                      <w:b/>
                      <w:sz w:val="21"/>
                      <w:szCs w:val="21"/>
                      <w:lang w:eastAsia="zh-CN"/>
                    </w:rPr>
                    <w:t>（t/a）</w:t>
                  </w:r>
                </w:p>
              </w:tc>
              <w:tc>
                <w:tcPr>
                  <w:tcW w:w="543" w:type="dxa"/>
                  <w:vMerge w:val="continue"/>
                  <w:noWrap w:val="0"/>
                  <w:vAlign w:val="center"/>
                </w:tcPr>
                <w:p w14:paraId="21702951">
                  <w:pPr>
                    <w:autoSpaceDE w:val="0"/>
                    <w:autoSpaceDN w:val="0"/>
                    <w:adjustRightInd w:val="0"/>
                    <w:snapToGrid w:val="0"/>
                    <w:jc w:val="center"/>
                    <w:rPr>
                      <w:szCs w:val="21"/>
                    </w:rPr>
                  </w:pPr>
                </w:p>
              </w:tc>
            </w:tr>
            <w:tr w14:paraId="3F3A2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28" w:type="dxa"/>
                  <w:vMerge w:val="continue"/>
                  <w:noWrap w:val="0"/>
                  <w:vAlign w:val="center"/>
                </w:tcPr>
                <w:p w14:paraId="01913C59">
                  <w:pPr>
                    <w:autoSpaceDE w:val="0"/>
                    <w:autoSpaceDN w:val="0"/>
                    <w:adjustRightInd w:val="0"/>
                    <w:snapToGrid w:val="0"/>
                    <w:jc w:val="center"/>
                    <w:rPr>
                      <w:szCs w:val="21"/>
                    </w:rPr>
                  </w:pPr>
                </w:p>
              </w:tc>
              <w:tc>
                <w:tcPr>
                  <w:tcW w:w="654" w:type="dxa"/>
                  <w:vMerge w:val="continue"/>
                  <w:noWrap w:val="0"/>
                  <w:vAlign w:val="center"/>
                </w:tcPr>
                <w:p w14:paraId="0A2BF330">
                  <w:pPr>
                    <w:autoSpaceDE w:val="0"/>
                    <w:autoSpaceDN w:val="0"/>
                    <w:adjustRightInd w:val="0"/>
                    <w:snapToGrid w:val="0"/>
                    <w:jc w:val="center"/>
                    <w:rPr>
                      <w:szCs w:val="21"/>
                    </w:rPr>
                  </w:pPr>
                </w:p>
              </w:tc>
              <w:tc>
                <w:tcPr>
                  <w:tcW w:w="1066" w:type="dxa"/>
                  <w:vMerge w:val="continue"/>
                  <w:noWrap w:val="0"/>
                  <w:vAlign w:val="center"/>
                </w:tcPr>
                <w:p w14:paraId="48ABBC03">
                  <w:pPr>
                    <w:autoSpaceDE w:val="0"/>
                    <w:autoSpaceDN w:val="0"/>
                    <w:adjustRightInd w:val="0"/>
                    <w:snapToGrid w:val="0"/>
                    <w:jc w:val="center"/>
                    <w:rPr>
                      <w:szCs w:val="21"/>
                    </w:rPr>
                  </w:pPr>
                </w:p>
              </w:tc>
              <w:tc>
                <w:tcPr>
                  <w:tcW w:w="1070" w:type="dxa"/>
                  <w:vMerge w:val="continue"/>
                  <w:noWrap w:val="0"/>
                  <w:vAlign w:val="center"/>
                </w:tcPr>
                <w:p w14:paraId="16BA13FA">
                  <w:pPr>
                    <w:autoSpaceDE w:val="0"/>
                    <w:autoSpaceDN w:val="0"/>
                    <w:adjustRightInd w:val="0"/>
                    <w:snapToGrid w:val="0"/>
                    <w:jc w:val="center"/>
                    <w:rPr>
                      <w:szCs w:val="21"/>
                    </w:rPr>
                  </w:pPr>
                </w:p>
              </w:tc>
              <w:tc>
                <w:tcPr>
                  <w:tcW w:w="915" w:type="dxa"/>
                  <w:vMerge w:val="continue"/>
                  <w:noWrap w:val="0"/>
                  <w:vAlign w:val="center"/>
                </w:tcPr>
                <w:p w14:paraId="04467A77">
                  <w:pPr>
                    <w:autoSpaceDE w:val="0"/>
                    <w:autoSpaceDN w:val="0"/>
                    <w:adjustRightInd w:val="0"/>
                    <w:snapToGrid w:val="0"/>
                    <w:jc w:val="center"/>
                    <w:rPr>
                      <w:szCs w:val="21"/>
                    </w:rPr>
                  </w:pPr>
                </w:p>
              </w:tc>
              <w:tc>
                <w:tcPr>
                  <w:tcW w:w="796" w:type="dxa"/>
                  <w:vMerge w:val="continue"/>
                  <w:noWrap w:val="0"/>
                  <w:vAlign w:val="center"/>
                </w:tcPr>
                <w:p w14:paraId="4A92FA1E">
                  <w:pPr>
                    <w:autoSpaceDE w:val="0"/>
                    <w:autoSpaceDN w:val="0"/>
                    <w:adjustRightInd w:val="0"/>
                    <w:snapToGrid w:val="0"/>
                    <w:jc w:val="center"/>
                    <w:rPr>
                      <w:szCs w:val="21"/>
                    </w:rPr>
                  </w:pPr>
                </w:p>
              </w:tc>
              <w:tc>
                <w:tcPr>
                  <w:tcW w:w="1302" w:type="dxa"/>
                  <w:vMerge w:val="continue"/>
                  <w:noWrap w:val="0"/>
                  <w:vAlign w:val="center"/>
                </w:tcPr>
                <w:p w14:paraId="232E3C45">
                  <w:pPr>
                    <w:autoSpaceDE w:val="0"/>
                    <w:autoSpaceDN w:val="0"/>
                    <w:adjustRightInd w:val="0"/>
                    <w:snapToGrid w:val="0"/>
                    <w:jc w:val="center"/>
                    <w:rPr>
                      <w:szCs w:val="21"/>
                    </w:rPr>
                  </w:pPr>
                </w:p>
              </w:tc>
              <w:tc>
                <w:tcPr>
                  <w:tcW w:w="1177" w:type="dxa"/>
                  <w:vMerge w:val="continue"/>
                  <w:noWrap w:val="0"/>
                  <w:vAlign w:val="center"/>
                </w:tcPr>
                <w:p w14:paraId="1BB03804">
                  <w:pPr>
                    <w:autoSpaceDE w:val="0"/>
                    <w:autoSpaceDN w:val="0"/>
                    <w:adjustRightInd w:val="0"/>
                    <w:snapToGrid w:val="0"/>
                    <w:jc w:val="center"/>
                    <w:rPr>
                      <w:szCs w:val="21"/>
                    </w:rPr>
                  </w:pPr>
                </w:p>
              </w:tc>
              <w:tc>
                <w:tcPr>
                  <w:tcW w:w="1227" w:type="dxa"/>
                  <w:vMerge w:val="continue"/>
                  <w:noWrap w:val="0"/>
                  <w:vAlign w:val="center"/>
                </w:tcPr>
                <w:p w14:paraId="7ECD4B5D">
                  <w:pPr>
                    <w:autoSpaceDE w:val="0"/>
                    <w:autoSpaceDN w:val="0"/>
                    <w:adjustRightInd w:val="0"/>
                    <w:snapToGrid w:val="0"/>
                    <w:jc w:val="center"/>
                    <w:rPr>
                      <w:szCs w:val="21"/>
                    </w:rPr>
                  </w:pPr>
                </w:p>
              </w:tc>
              <w:tc>
                <w:tcPr>
                  <w:tcW w:w="1062" w:type="dxa"/>
                  <w:vMerge w:val="continue"/>
                  <w:noWrap w:val="0"/>
                  <w:vAlign w:val="center"/>
                </w:tcPr>
                <w:p w14:paraId="4BC3A928">
                  <w:pPr>
                    <w:autoSpaceDE w:val="0"/>
                    <w:autoSpaceDN w:val="0"/>
                    <w:adjustRightInd w:val="0"/>
                    <w:snapToGrid w:val="0"/>
                    <w:jc w:val="center"/>
                    <w:rPr>
                      <w:szCs w:val="21"/>
                    </w:rPr>
                  </w:pPr>
                </w:p>
              </w:tc>
              <w:tc>
                <w:tcPr>
                  <w:tcW w:w="1004" w:type="dxa"/>
                  <w:vMerge w:val="continue"/>
                  <w:noWrap w:val="0"/>
                  <w:vAlign w:val="center"/>
                </w:tcPr>
                <w:p w14:paraId="18F1F978">
                  <w:pPr>
                    <w:autoSpaceDE w:val="0"/>
                    <w:autoSpaceDN w:val="0"/>
                    <w:adjustRightInd w:val="0"/>
                    <w:snapToGrid w:val="0"/>
                    <w:jc w:val="center"/>
                    <w:rPr>
                      <w:szCs w:val="21"/>
                    </w:rPr>
                  </w:pPr>
                </w:p>
              </w:tc>
              <w:tc>
                <w:tcPr>
                  <w:tcW w:w="850" w:type="dxa"/>
                  <w:noWrap w:val="0"/>
                  <w:vAlign w:val="center"/>
                </w:tcPr>
                <w:p w14:paraId="413344AA">
                  <w:pPr>
                    <w:pStyle w:val="58"/>
                    <w:adjustRightInd w:val="0"/>
                    <w:snapToGrid w:val="0"/>
                    <w:jc w:val="center"/>
                    <w:rPr>
                      <w:b/>
                      <w:sz w:val="21"/>
                      <w:szCs w:val="21"/>
                      <w:lang w:eastAsia="zh-CN"/>
                    </w:rPr>
                  </w:pPr>
                  <w:r>
                    <w:rPr>
                      <w:b/>
                      <w:sz w:val="21"/>
                      <w:szCs w:val="21"/>
                      <w:lang w:eastAsia="zh-CN"/>
                    </w:rPr>
                    <w:t>委托利用量</w:t>
                  </w:r>
                </w:p>
              </w:tc>
              <w:tc>
                <w:tcPr>
                  <w:tcW w:w="791" w:type="dxa"/>
                  <w:noWrap w:val="0"/>
                  <w:vAlign w:val="center"/>
                </w:tcPr>
                <w:p w14:paraId="60C49A5B">
                  <w:pPr>
                    <w:pStyle w:val="58"/>
                    <w:adjustRightInd w:val="0"/>
                    <w:snapToGrid w:val="0"/>
                    <w:jc w:val="center"/>
                    <w:rPr>
                      <w:b/>
                      <w:sz w:val="21"/>
                      <w:szCs w:val="21"/>
                      <w:lang w:eastAsia="zh-CN"/>
                    </w:rPr>
                  </w:pPr>
                  <w:r>
                    <w:rPr>
                      <w:b/>
                      <w:sz w:val="21"/>
                      <w:szCs w:val="21"/>
                      <w:lang w:eastAsia="zh-CN"/>
                    </w:rPr>
                    <w:t>委托处置量</w:t>
                  </w:r>
                </w:p>
              </w:tc>
              <w:tc>
                <w:tcPr>
                  <w:tcW w:w="666" w:type="dxa"/>
                  <w:vMerge w:val="continue"/>
                  <w:noWrap w:val="0"/>
                  <w:vAlign w:val="center"/>
                </w:tcPr>
                <w:p w14:paraId="3ABC4376">
                  <w:pPr>
                    <w:autoSpaceDE w:val="0"/>
                    <w:autoSpaceDN w:val="0"/>
                    <w:adjustRightInd w:val="0"/>
                    <w:snapToGrid w:val="0"/>
                    <w:jc w:val="center"/>
                    <w:rPr>
                      <w:szCs w:val="21"/>
                    </w:rPr>
                  </w:pPr>
                </w:p>
              </w:tc>
              <w:tc>
                <w:tcPr>
                  <w:tcW w:w="543" w:type="dxa"/>
                  <w:vMerge w:val="continue"/>
                  <w:noWrap w:val="0"/>
                  <w:vAlign w:val="center"/>
                </w:tcPr>
                <w:p w14:paraId="02A68F39">
                  <w:pPr>
                    <w:autoSpaceDE w:val="0"/>
                    <w:autoSpaceDN w:val="0"/>
                    <w:adjustRightInd w:val="0"/>
                    <w:snapToGrid w:val="0"/>
                    <w:jc w:val="center"/>
                    <w:rPr>
                      <w:szCs w:val="21"/>
                    </w:rPr>
                  </w:pPr>
                </w:p>
              </w:tc>
            </w:tr>
            <w:tr w14:paraId="6AD3F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8" w:type="dxa"/>
                  <w:noWrap w:val="0"/>
                  <w:vAlign w:val="center"/>
                </w:tcPr>
                <w:p w14:paraId="403F3EE9">
                  <w:pPr>
                    <w:pStyle w:val="58"/>
                    <w:adjustRightInd w:val="0"/>
                    <w:snapToGrid w:val="0"/>
                    <w:jc w:val="center"/>
                    <w:rPr>
                      <w:sz w:val="21"/>
                      <w:szCs w:val="21"/>
                      <w:lang w:eastAsia="zh-CN"/>
                    </w:rPr>
                  </w:pPr>
                  <w:r>
                    <w:rPr>
                      <w:sz w:val="21"/>
                      <w:szCs w:val="21"/>
                      <w:lang w:eastAsia="zh-CN"/>
                    </w:rPr>
                    <w:t>1</w:t>
                  </w:r>
                </w:p>
              </w:tc>
              <w:tc>
                <w:tcPr>
                  <w:tcW w:w="654" w:type="dxa"/>
                  <w:vMerge w:val="restart"/>
                  <w:noWrap w:val="0"/>
                  <w:vAlign w:val="center"/>
                </w:tcPr>
                <w:p w14:paraId="45870B95">
                  <w:pPr>
                    <w:pStyle w:val="58"/>
                    <w:adjustRightInd w:val="0"/>
                    <w:snapToGrid w:val="0"/>
                    <w:jc w:val="center"/>
                    <w:rPr>
                      <w:sz w:val="21"/>
                      <w:szCs w:val="21"/>
                      <w:lang w:eastAsia="zh-CN"/>
                    </w:rPr>
                  </w:pPr>
                  <w:r>
                    <w:rPr>
                      <w:rFonts w:hint="eastAsia"/>
                      <w:sz w:val="21"/>
                      <w:szCs w:val="21"/>
                      <w:lang w:val="en-US" w:eastAsia="zh-CN"/>
                    </w:rPr>
                    <w:t>拆解</w:t>
                  </w:r>
                  <w:r>
                    <w:rPr>
                      <w:rFonts w:hint="eastAsia"/>
                      <w:sz w:val="21"/>
                      <w:szCs w:val="21"/>
                      <w:lang w:eastAsia="zh-CN"/>
                    </w:rPr>
                    <w:t>过程</w:t>
                  </w:r>
                </w:p>
              </w:tc>
              <w:tc>
                <w:tcPr>
                  <w:tcW w:w="1066" w:type="dxa"/>
                  <w:noWrap w:val="0"/>
                  <w:vAlign w:val="center"/>
                </w:tcPr>
                <w:p w14:paraId="0A44E8A3">
                  <w:pPr>
                    <w:jc w:val="center"/>
                    <w:rPr>
                      <w:rFonts w:hint="default" w:ascii="Times New Roman" w:hAnsi="Times New Roman" w:eastAsia="宋体" w:cs="Times New Roman"/>
                      <w:b w:val="0"/>
                      <w:bCs/>
                      <w:sz w:val="21"/>
                      <w:szCs w:val="21"/>
                      <w:lang w:val="en-US" w:eastAsia="zh-CN"/>
                    </w:rPr>
                  </w:pPr>
                  <w:r>
                    <w:rPr>
                      <w:rFonts w:hint="eastAsia"/>
                      <w:color w:val="auto"/>
                      <w:lang w:val="en-US" w:eastAsia="zh-CN"/>
                    </w:rPr>
                    <w:t>废燃料油</w:t>
                  </w:r>
                </w:p>
              </w:tc>
              <w:tc>
                <w:tcPr>
                  <w:tcW w:w="1070" w:type="dxa"/>
                  <w:noWrap w:val="0"/>
                  <w:vAlign w:val="center"/>
                </w:tcPr>
                <w:p w14:paraId="51AE9D7C">
                  <w:pPr>
                    <w:jc w:val="center"/>
                    <w:rPr>
                      <w:rFonts w:hint="default"/>
                      <w:sz w:val="21"/>
                      <w:szCs w:val="21"/>
                      <w:lang w:val="en-US" w:eastAsia="zh-CN"/>
                    </w:rPr>
                  </w:pPr>
                  <w:r>
                    <w:rPr>
                      <w:rFonts w:hint="eastAsia"/>
                      <w:sz w:val="21"/>
                      <w:szCs w:val="21"/>
                      <w:lang w:val="en-US" w:eastAsia="zh-CN"/>
                    </w:rPr>
                    <w:t>危险废物</w:t>
                  </w:r>
                </w:p>
              </w:tc>
              <w:tc>
                <w:tcPr>
                  <w:tcW w:w="915" w:type="dxa"/>
                  <w:noWrap w:val="0"/>
                  <w:vAlign w:val="center"/>
                </w:tcPr>
                <w:p w14:paraId="0C43F30D">
                  <w:pPr>
                    <w:jc w:val="center"/>
                    <w:rPr>
                      <w:szCs w:val="21"/>
                    </w:rPr>
                  </w:pPr>
                  <w:r>
                    <w:rPr>
                      <w:rFonts w:hint="eastAsia"/>
                      <w:color w:val="auto"/>
                      <w:lang w:val="en-US" w:eastAsia="zh-CN"/>
                    </w:rPr>
                    <w:t>HW08</w:t>
                  </w:r>
                </w:p>
              </w:tc>
              <w:tc>
                <w:tcPr>
                  <w:tcW w:w="796" w:type="dxa"/>
                  <w:noWrap w:val="0"/>
                  <w:vAlign w:val="center"/>
                </w:tcPr>
                <w:p w14:paraId="0A75A58D">
                  <w:pPr>
                    <w:jc w:val="center"/>
                    <w:rPr>
                      <w:rFonts w:hint="eastAsia"/>
                      <w:kern w:val="0"/>
                      <w:szCs w:val="21"/>
                    </w:rPr>
                  </w:pPr>
                  <w:r>
                    <w:rPr>
                      <w:rFonts w:hint="eastAsia"/>
                      <w:color w:val="auto"/>
                      <w:lang w:val="en-US" w:eastAsia="zh-CN"/>
                    </w:rPr>
                    <w:t>液</w:t>
                  </w:r>
                  <w:r>
                    <w:rPr>
                      <w:color w:val="auto"/>
                    </w:rPr>
                    <w:t>态</w:t>
                  </w:r>
                </w:p>
              </w:tc>
              <w:tc>
                <w:tcPr>
                  <w:tcW w:w="1302" w:type="dxa"/>
                  <w:noWrap w:val="0"/>
                  <w:vAlign w:val="center"/>
                </w:tcPr>
                <w:p w14:paraId="6BB41A38">
                  <w:pPr>
                    <w:jc w:val="center"/>
                    <w:rPr>
                      <w:rFonts w:hint="default"/>
                      <w:lang w:val="en-US" w:eastAsia="zh-CN"/>
                    </w:rPr>
                  </w:pPr>
                  <w:r>
                    <w:rPr>
                      <w:rFonts w:hint="eastAsia"/>
                      <w:color w:val="auto"/>
                      <w:lang w:val="en-US" w:eastAsia="zh-CN"/>
                    </w:rPr>
                    <w:t>11.4</w:t>
                  </w:r>
                </w:p>
              </w:tc>
              <w:tc>
                <w:tcPr>
                  <w:tcW w:w="1177" w:type="dxa"/>
                  <w:vMerge w:val="restart"/>
                  <w:noWrap w:val="0"/>
                  <w:vAlign w:val="center"/>
                </w:tcPr>
                <w:p w14:paraId="24588521">
                  <w:pPr>
                    <w:pStyle w:val="58"/>
                    <w:adjustRightInd w:val="0"/>
                    <w:snapToGrid w:val="0"/>
                    <w:jc w:val="center"/>
                    <w:rPr>
                      <w:sz w:val="21"/>
                      <w:szCs w:val="21"/>
                      <w:lang w:eastAsia="zh-CN"/>
                    </w:rPr>
                  </w:pPr>
                  <w:r>
                    <w:rPr>
                      <w:rFonts w:hint="eastAsia" w:ascii="Times New Roman" w:hAnsi="Times New Roman" w:eastAsia="宋体" w:cs="Times New Roman"/>
                      <w:b w:val="0"/>
                      <w:bCs/>
                      <w:sz w:val="21"/>
                      <w:szCs w:val="21"/>
                    </w:rPr>
                    <w:t>委托处置</w:t>
                  </w:r>
                </w:p>
              </w:tc>
              <w:tc>
                <w:tcPr>
                  <w:tcW w:w="1227" w:type="dxa"/>
                  <w:noWrap w:val="0"/>
                  <w:vAlign w:val="center"/>
                </w:tcPr>
                <w:p w14:paraId="32B2F976">
                  <w:pPr>
                    <w:pStyle w:val="20"/>
                    <w:adjustRightInd w:val="0"/>
                    <w:snapToGrid w:val="0"/>
                    <w:spacing w:before="0" w:beforeAutospacing="0" w:after="0" w:afterAutospacing="0"/>
                    <w:jc w:val="center"/>
                    <w:outlineLvl w:val="0"/>
                    <w:rPr>
                      <w:rFonts w:ascii="Times New Roman" w:hAnsi="Times New Roman"/>
                      <w:snapToGrid w:val="0"/>
                      <w:sz w:val="21"/>
                      <w:szCs w:val="21"/>
                      <w:lang w:val="en-US" w:eastAsia="zh-CN"/>
                    </w:rPr>
                  </w:pPr>
                  <w:r>
                    <w:rPr>
                      <w:rFonts w:hint="eastAsia" w:ascii="Times New Roman" w:hAnsi="Times New Roman"/>
                      <w:snapToGrid w:val="0"/>
                      <w:sz w:val="21"/>
                      <w:szCs w:val="21"/>
                      <w:lang w:val="en-US" w:eastAsia="zh-CN"/>
                    </w:rPr>
                    <w:t>0</w:t>
                  </w:r>
                </w:p>
              </w:tc>
              <w:tc>
                <w:tcPr>
                  <w:tcW w:w="1062" w:type="dxa"/>
                  <w:noWrap w:val="0"/>
                  <w:vAlign w:val="center"/>
                </w:tcPr>
                <w:p w14:paraId="2F69274C">
                  <w:pPr>
                    <w:pStyle w:val="58"/>
                    <w:adjustRightInd w:val="0"/>
                    <w:snapToGrid w:val="0"/>
                    <w:jc w:val="center"/>
                    <w:rPr>
                      <w:sz w:val="21"/>
                      <w:szCs w:val="21"/>
                      <w:lang w:eastAsia="zh-CN"/>
                    </w:rPr>
                  </w:pPr>
                  <w:r>
                    <w:rPr>
                      <w:sz w:val="21"/>
                      <w:szCs w:val="21"/>
                      <w:lang w:eastAsia="zh-CN"/>
                    </w:rPr>
                    <w:t>0</w:t>
                  </w:r>
                </w:p>
              </w:tc>
              <w:tc>
                <w:tcPr>
                  <w:tcW w:w="1004" w:type="dxa"/>
                  <w:noWrap w:val="0"/>
                  <w:vAlign w:val="center"/>
                </w:tcPr>
                <w:p w14:paraId="5ACDD4D9">
                  <w:pPr>
                    <w:pStyle w:val="58"/>
                    <w:adjustRightInd w:val="0"/>
                    <w:snapToGrid w:val="0"/>
                    <w:jc w:val="center"/>
                    <w:rPr>
                      <w:sz w:val="21"/>
                      <w:szCs w:val="21"/>
                      <w:lang w:eastAsia="zh-CN"/>
                    </w:rPr>
                  </w:pPr>
                  <w:r>
                    <w:rPr>
                      <w:sz w:val="21"/>
                      <w:szCs w:val="21"/>
                      <w:lang w:eastAsia="zh-CN"/>
                    </w:rPr>
                    <w:t>0</w:t>
                  </w:r>
                </w:p>
              </w:tc>
              <w:tc>
                <w:tcPr>
                  <w:tcW w:w="850" w:type="dxa"/>
                  <w:noWrap w:val="0"/>
                  <w:vAlign w:val="center"/>
                </w:tcPr>
                <w:p w14:paraId="4273E293">
                  <w:pPr>
                    <w:pStyle w:val="58"/>
                    <w:adjustRightInd w:val="0"/>
                    <w:snapToGrid w:val="0"/>
                    <w:jc w:val="center"/>
                    <w:rPr>
                      <w:sz w:val="21"/>
                      <w:szCs w:val="21"/>
                      <w:lang w:eastAsia="zh-CN"/>
                    </w:rPr>
                  </w:pPr>
                  <w:r>
                    <w:rPr>
                      <w:sz w:val="21"/>
                      <w:szCs w:val="21"/>
                      <w:lang w:eastAsia="zh-CN"/>
                    </w:rPr>
                    <w:t>0</w:t>
                  </w:r>
                </w:p>
              </w:tc>
              <w:tc>
                <w:tcPr>
                  <w:tcW w:w="791" w:type="dxa"/>
                  <w:noWrap w:val="0"/>
                  <w:vAlign w:val="center"/>
                </w:tcPr>
                <w:p w14:paraId="5840DB05">
                  <w:pPr>
                    <w:jc w:val="center"/>
                    <w:rPr>
                      <w:rFonts w:hint="default" w:ascii="Times New Roman" w:hAnsi="Times New Roman" w:eastAsia="宋体" w:cs="Times New Roman"/>
                      <w:snapToGrid w:val="0"/>
                      <w:color w:val="auto"/>
                      <w:sz w:val="21"/>
                      <w:szCs w:val="21"/>
                      <w:lang w:val="en-US"/>
                    </w:rPr>
                  </w:pPr>
                  <w:r>
                    <w:rPr>
                      <w:rFonts w:hint="eastAsia"/>
                      <w:color w:val="auto"/>
                      <w:lang w:val="en-US" w:eastAsia="zh-CN"/>
                    </w:rPr>
                    <w:t>11.4</w:t>
                  </w:r>
                </w:p>
              </w:tc>
              <w:tc>
                <w:tcPr>
                  <w:tcW w:w="666" w:type="dxa"/>
                  <w:noWrap w:val="0"/>
                  <w:vAlign w:val="center"/>
                </w:tcPr>
                <w:p w14:paraId="0DCB9D5A">
                  <w:pPr>
                    <w:pStyle w:val="58"/>
                    <w:adjustRightInd w:val="0"/>
                    <w:snapToGrid w:val="0"/>
                    <w:jc w:val="center"/>
                    <w:rPr>
                      <w:sz w:val="21"/>
                      <w:szCs w:val="21"/>
                      <w:lang w:eastAsia="zh-CN"/>
                    </w:rPr>
                  </w:pPr>
                  <w:r>
                    <w:rPr>
                      <w:sz w:val="21"/>
                      <w:szCs w:val="21"/>
                      <w:lang w:eastAsia="zh-CN"/>
                    </w:rPr>
                    <w:t>0</w:t>
                  </w:r>
                </w:p>
              </w:tc>
              <w:tc>
                <w:tcPr>
                  <w:tcW w:w="543" w:type="dxa"/>
                  <w:noWrap w:val="0"/>
                  <w:vAlign w:val="center"/>
                </w:tcPr>
                <w:p w14:paraId="6EAEE745">
                  <w:pPr>
                    <w:pStyle w:val="58"/>
                    <w:adjustRightInd w:val="0"/>
                    <w:snapToGrid w:val="0"/>
                    <w:jc w:val="center"/>
                    <w:rPr>
                      <w:sz w:val="21"/>
                      <w:szCs w:val="21"/>
                      <w:lang w:eastAsia="zh-CN"/>
                    </w:rPr>
                  </w:pPr>
                  <w:r>
                    <w:rPr>
                      <w:rFonts w:hint="eastAsia"/>
                      <w:sz w:val="21"/>
                      <w:szCs w:val="21"/>
                      <w:lang w:eastAsia="zh-CN"/>
                    </w:rPr>
                    <w:t>/</w:t>
                  </w:r>
                </w:p>
              </w:tc>
            </w:tr>
            <w:tr w14:paraId="3D93B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8" w:type="dxa"/>
                  <w:noWrap w:val="0"/>
                  <w:vAlign w:val="center"/>
                </w:tcPr>
                <w:p w14:paraId="4DF57A42">
                  <w:pPr>
                    <w:pStyle w:val="58"/>
                    <w:adjustRightInd w:val="0"/>
                    <w:snapToGrid w:val="0"/>
                    <w:jc w:val="center"/>
                    <w:rPr>
                      <w:sz w:val="21"/>
                      <w:szCs w:val="21"/>
                      <w:lang w:eastAsia="zh-CN"/>
                    </w:rPr>
                  </w:pPr>
                  <w:r>
                    <w:rPr>
                      <w:rFonts w:hint="eastAsia"/>
                      <w:sz w:val="21"/>
                      <w:szCs w:val="21"/>
                      <w:lang w:eastAsia="zh-CN"/>
                    </w:rPr>
                    <w:t>2</w:t>
                  </w:r>
                </w:p>
              </w:tc>
              <w:tc>
                <w:tcPr>
                  <w:tcW w:w="654" w:type="dxa"/>
                  <w:vMerge w:val="continue"/>
                  <w:noWrap w:val="0"/>
                  <w:vAlign w:val="center"/>
                </w:tcPr>
                <w:p w14:paraId="5314FFF0">
                  <w:pPr>
                    <w:pStyle w:val="58"/>
                    <w:adjustRightInd w:val="0"/>
                    <w:snapToGrid w:val="0"/>
                    <w:jc w:val="center"/>
                    <w:rPr>
                      <w:rFonts w:hint="eastAsia"/>
                      <w:sz w:val="21"/>
                      <w:szCs w:val="21"/>
                      <w:lang w:eastAsia="zh-CN"/>
                    </w:rPr>
                  </w:pPr>
                </w:p>
              </w:tc>
              <w:tc>
                <w:tcPr>
                  <w:tcW w:w="1066" w:type="dxa"/>
                  <w:noWrap w:val="0"/>
                  <w:vAlign w:val="center"/>
                </w:tcPr>
                <w:p w14:paraId="6AC63FC8">
                  <w:pPr>
                    <w:jc w:val="center"/>
                    <w:rPr>
                      <w:rFonts w:hint="eastAsia" w:ascii="Times New Roman" w:hAnsi="Times New Roman" w:eastAsia="宋体" w:cs="Times New Roman"/>
                      <w:b w:val="0"/>
                      <w:bCs/>
                      <w:sz w:val="21"/>
                      <w:szCs w:val="21"/>
                      <w:lang w:val="en-US" w:eastAsia="zh-CN"/>
                    </w:rPr>
                  </w:pPr>
                  <w:r>
                    <w:rPr>
                      <w:rFonts w:hint="eastAsia"/>
                      <w:color w:val="auto"/>
                      <w:lang w:val="en-US" w:eastAsia="zh-CN"/>
                    </w:rPr>
                    <w:t>非燃料类废油液</w:t>
                  </w:r>
                </w:p>
              </w:tc>
              <w:tc>
                <w:tcPr>
                  <w:tcW w:w="1070" w:type="dxa"/>
                  <w:noWrap w:val="0"/>
                  <w:vAlign w:val="center"/>
                </w:tcPr>
                <w:p w14:paraId="0BCE2883">
                  <w:pPr>
                    <w:jc w:val="center"/>
                    <w:rPr>
                      <w:szCs w:val="21"/>
                    </w:rPr>
                  </w:pPr>
                  <w:r>
                    <w:rPr>
                      <w:rFonts w:hint="eastAsia"/>
                      <w:sz w:val="21"/>
                      <w:szCs w:val="21"/>
                      <w:lang w:val="en-US" w:eastAsia="zh-CN"/>
                    </w:rPr>
                    <w:t>危险废物</w:t>
                  </w:r>
                </w:p>
              </w:tc>
              <w:tc>
                <w:tcPr>
                  <w:tcW w:w="915" w:type="dxa"/>
                  <w:noWrap w:val="0"/>
                  <w:vAlign w:val="center"/>
                </w:tcPr>
                <w:p w14:paraId="3EE91490">
                  <w:pPr>
                    <w:jc w:val="center"/>
                    <w:rPr>
                      <w:rFonts w:hint="default" w:eastAsia="宋体"/>
                      <w:szCs w:val="21"/>
                      <w:lang w:val="en-US" w:eastAsia="zh-CN"/>
                    </w:rPr>
                  </w:pPr>
                  <w:r>
                    <w:rPr>
                      <w:rFonts w:hint="eastAsia"/>
                      <w:color w:val="auto"/>
                      <w:lang w:val="en-US" w:eastAsia="zh-CN"/>
                    </w:rPr>
                    <w:t>HW08</w:t>
                  </w:r>
                </w:p>
              </w:tc>
              <w:tc>
                <w:tcPr>
                  <w:tcW w:w="796" w:type="dxa"/>
                  <w:noWrap w:val="0"/>
                  <w:vAlign w:val="center"/>
                </w:tcPr>
                <w:p w14:paraId="1C1749AA">
                  <w:pPr>
                    <w:jc w:val="center"/>
                    <w:rPr>
                      <w:rFonts w:hint="eastAsia"/>
                      <w:kern w:val="0"/>
                      <w:szCs w:val="21"/>
                    </w:rPr>
                  </w:pPr>
                  <w:r>
                    <w:rPr>
                      <w:rFonts w:hint="eastAsia"/>
                      <w:color w:val="auto"/>
                      <w:lang w:val="en-US" w:eastAsia="zh-CN"/>
                    </w:rPr>
                    <w:t>液态</w:t>
                  </w:r>
                </w:p>
              </w:tc>
              <w:tc>
                <w:tcPr>
                  <w:tcW w:w="1302" w:type="dxa"/>
                  <w:noWrap w:val="0"/>
                  <w:vAlign w:val="center"/>
                </w:tcPr>
                <w:p w14:paraId="31602D79">
                  <w:pPr>
                    <w:jc w:val="center"/>
                    <w:rPr>
                      <w:rFonts w:hint="eastAsia" w:eastAsia="宋体"/>
                      <w:snapToGrid w:val="0"/>
                      <w:szCs w:val="21"/>
                      <w:lang w:val="en-US" w:eastAsia="zh-CN"/>
                    </w:rPr>
                  </w:pPr>
                  <w:r>
                    <w:rPr>
                      <w:rFonts w:hint="eastAsia"/>
                      <w:color w:val="auto"/>
                      <w:lang w:val="en-US" w:eastAsia="zh-CN"/>
                    </w:rPr>
                    <w:t>31.95</w:t>
                  </w:r>
                </w:p>
              </w:tc>
              <w:tc>
                <w:tcPr>
                  <w:tcW w:w="1177" w:type="dxa"/>
                  <w:vMerge w:val="continue"/>
                  <w:noWrap w:val="0"/>
                  <w:vAlign w:val="center"/>
                </w:tcPr>
                <w:p w14:paraId="6BBA2FC3">
                  <w:pPr>
                    <w:pStyle w:val="29"/>
                    <w:spacing w:line="240" w:lineRule="auto"/>
                    <w:jc w:val="center"/>
                    <w:rPr>
                      <w:rFonts w:hint="eastAsia" w:cs="Times New Roman"/>
                      <w:color w:val="auto"/>
                      <w:sz w:val="21"/>
                      <w:szCs w:val="21"/>
                    </w:rPr>
                  </w:pPr>
                </w:p>
              </w:tc>
              <w:tc>
                <w:tcPr>
                  <w:tcW w:w="1227" w:type="dxa"/>
                  <w:noWrap w:val="0"/>
                  <w:vAlign w:val="center"/>
                </w:tcPr>
                <w:p w14:paraId="21685FAC">
                  <w:pPr>
                    <w:adjustRightInd w:val="0"/>
                    <w:snapToGrid w:val="0"/>
                    <w:jc w:val="center"/>
                    <w:outlineLvl w:val="0"/>
                    <w:rPr>
                      <w:rFonts w:hint="eastAsia"/>
                      <w:snapToGrid w:val="0"/>
                      <w:szCs w:val="21"/>
                    </w:rPr>
                  </w:pPr>
                  <w:r>
                    <w:rPr>
                      <w:rFonts w:hint="eastAsia"/>
                      <w:snapToGrid w:val="0"/>
                      <w:szCs w:val="21"/>
                    </w:rPr>
                    <w:t>0</w:t>
                  </w:r>
                </w:p>
              </w:tc>
              <w:tc>
                <w:tcPr>
                  <w:tcW w:w="1062" w:type="dxa"/>
                  <w:noWrap w:val="0"/>
                  <w:vAlign w:val="center"/>
                </w:tcPr>
                <w:p w14:paraId="65DE5008">
                  <w:pPr>
                    <w:pStyle w:val="58"/>
                    <w:adjustRightInd w:val="0"/>
                    <w:snapToGrid w:val="0"/>
                    <w:jc w:val="center"/>
                    <w:rPr>
                      <w:sz w:val="21"/>
                      <w:szCs w:val="21"/>
                      <w:lang w:eastAsia="zh-CN"/>
                    </w:rPr>
                  </w:pPr>
                  <w:r>
                    <w:rPr>
                      <w:sz w:val="21"/>
                      <w:szCs w:val="21"/>
                      <w:lang w:eastAsia="zh-CN"/>
                    </w:rPr>
                    <w:t>0</w:t>
                  </w:r>
                </w:p>
              </w:tc>
              <w:tc>
                <w:tcPr>
                  <w:tcW w:w="1004" w:type="dxa"/>
                  <w:noWrap w:val="0"/>
                  <w:vAlign w:val="center"/>
                </w:tcPr>
                <w:p w14:paraId="4262BE64">
                  <w:pPr>
                    <w:pStyle w:val="58"/>
                    <w:adjustRightInd w:val="0"/>
                    <w:snapToGrid w:val="0"/>
                    <w:jc w:val="center"/>
                    <w:rPr>
                      <w:sz w:val="21"/>
                      <w:szCs w:val="21"/>
                      <w:lang w:eastAsia="zh-CN"/>
                    </w:rPr>
                  </w:pPr>
                  <w:r>
                    <w:rPr>
                      <w:sz w:val="21"/>
                      <w:szCs w:val="21"/>
                      <w:lang w:eastAsia="zh-CN"/>
                    </w:rPr>
                    <w:t>0</w:t>
                  </w:r>
                </w:p>
              </w:tc>
              <w:tc>
                <w:tcPr>
                  <w:tcW w:w="850" w:type="dxa"/>
                  <w:noWrap w:val="0"/>
                  <w:vAlign w:val="center"/>
                </w:tcPr>
                <w:p w14:paraId="673A37A8">
                  <w:pPr>
                    <w:adjustRightInd w:val="0"/>
                    <w:snapToGrid w:val="0"/>
                    <w:jc w:val="center"/>
                    <w:rPr>
                      <w:szCs w:val="21"/>
                    </w:rPr>
                  </w:pPr>
                  <w:r>
                    <w:rPr>
                      <w:szCs w:val="21"/>
                    </w:rPr>
                    <w:t>0</w:t>
                  </w:r>
                </w:p>
              </w:tc>
              <w:tc>
                <w:tcPr>
                  <w:tcW w:w="791" w:type="dxa"/>
                  <w:noWrap w:val="0"/>
                  <w:vAlign w:val="center"/>
                </w:tcPr>
                <w:p w14:paraId="08E2C4A4">
                  <w:pPr>
                    <w:jc w:val="center"/>
                    <w:rPr>
                      <w:rFonts w:hint="eastAsia"/>
                      <w:snapToGrid w:val="0"/>
                      <w:szCs w:val="21"/>
                    </w:rPr>
                  </w:pPr>
                  <w:r>
                    <w:rPr>
                      <w:rFonts w:hint="eastAsia"/>
                      <w:color w:val="auto"/>
                      <w:lang w:val="en-US" w:eastAsia="zh-CN"/>
                    </w:rPr>
                    <w:t>31.95</w:t>
                  </w:r>
                </w:p>
              </w:tc>
              <w:tc>
                <w:tcPr>
                  <w:tcW w:w="666" w:type="dxa"/>
                  <w:noWrap w:val="0"/>
                  <w:vAlign w:val="center"/>
                </w:tcPr>
                <w:p w14:paraId="662B8D21">
                  <w:pPr>
                    <w:adjustRightInd w:val="0"/>
                    <w:snapToGrid w:val="0"/>
                    <w:jc w:val="center"/>
                    <w:rPr>
                      <w:szCs w:val="21"/>
                    </w:rPr>
                  </w:pPr>
                  <w:r>
                    <w:rPr>
                      <w:szCs w:val="21"/>
                    </w:rPr>
                    <w:t>0</w:t>
                  </w:r>
                </w:p>
              </w:tc>
              <w:tc>
                <w:tcPr>
                  <w:tcW w:w="543" w:type="dxa"/>
                  <w:noWrap w:val="0"/>
                  <w:vAlign w:val="center"/>
                </w:tcPr>
                <w:p w14:paraId="68CB8801">
                  <w:pPr>
                    <w:adjustRightInd w:val="0"/>
                    <w:snapToGrid w:val="0"/>
                    <w:jc w:val="center"/>
                    <w:rPr>
                      <w:rFonts w:hint="eastAsia"/>
                      <w:szCs w:val="21"/>
                    </w:rPr>
                  </w:pPr>
                  <w:r>
                    <w:rPr>
                      <w:rFonts w:hint="eastAsia"/>
                      <w:szCs w:val="21"/>
                    </w:rPr>
                    <w:t>/</w:t>
                  </w:r>
                </w:p>
              </w:tc>
            </w:tr>
            <w:tr w14:paraId="5F65B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8" w:type="dxa"/>
                  <w:noWrap w:val="0"/>
                  <w:vAlign w:val="center"/>
                </w:tcPr>
                <w:p w14:paraId="4C662CFA">
                  <w:pPr>
                    <w:pStyle w:val="58"/>
                    <w:adjustRightInd w:val="0"/>
                    <w:snapToGrid w:val="0"/>
                    <w:jc w:val="center"/>
                    <w:rPr>
                      <w:rFonts w:hint="default"/>
                      <w:sz w:val="21"/>
                      <w:szCs w:val="21"/>
                      <w:lang w:val="en-US" w:eastAsia="zh-CN"/>
                    </w:rPr>
                  </w:pPr>
                  <w:r>
                    <w:rPr>
                      <w:rFonts w:hint="eastAsia"/>
                      <w:sz w:val="21"/>
                      <w:szCs w:val="21"/>
                      <w:lang w:val="en-US" w:eastAsia="zh-CN"/>
                    </w:rPr>
                    <w:t>3</w:t>
                  </w:r>
                </w:p>
              </w:tc>
              <w:tc>
                <w:tcPr>
                  <w:tcW w:w="654" w:type="dxa"/>
                  <w:vMerge w:val="continue"/>
                  <w:noWrap w:val="0"/>
                  <w:vAlign w:val="center"/>
                </w:tcPr>
                <w:p w14:paraId="43FDC477">
                  <w:pPr>
                    <w:pStyle w:val="58"/>
                    <w:adjustRightInd w:val="0"/>
                    <w:snapToGrid w:val="0"/>
                    <w:jc w:val="center"/>
                    <w:rPr>
                      <w:rFonts w:hint="eastAsia"/>
                      <w:sz w:val="21"/>
                      <w:szCs w:val="21"/>
                      <w:lang w:eastAsia="zh-CN"/>
                    </w:rPr>
                  </w:pPr>
                </w:p>
              </w:tc>
              <w:tc>
                <w:tcPr>
                  <w:tcW w:w="1066" w:type="dxa"/>
                  <w:noWrap w:val="0"/>
                  <w:vAlign w:val="center"/>
                </w:tcPr>
                <w:p w14:paraId="5FE836E6">
                  <w:pPr>
                    <w:jc w:val="center"/>
                    <w:rPr>
                      <w:rFonts w:hint="eastAsia" w:ascii="Times New Roman" w:hAnsi="Times New Roman" w:eastAsia="宋体" w:cs="Times New Roman"/>
                      <w:b w:val="0"/>
                      <w:bCs/>
                      <w:sz w:val="21"/>
                      <w:szCs w:val="21"/>
                      <w:lang w:val="en-US" w:eastAsia="zh-CN"/>
                    </w:rPr>
                  </w:pPr>
                  <w:r>
                    <w:rPr>
                      <w:rFonts w:hint="eastAsia"/>
                      <w:color w:val="auto"/>
                      <w:lang w:val="en-US" w:eastAsia="zh-CN"/>
                    </w:rPr>
                    <w:t>废防冻冷却液、废挡风玻璃清洗剂</w:t>
                  </w:r>
                </w:p>
              </w:tc>
              <w:tc>
                <w:tcPr>
                  <w:tcW w:w="1070" w:type="dxa"/>
                  <w:noWrap w:val="0"/>
                  <w:vAlign w:val="center"/>
                </w:tcPr>
                <w:p w14:paraId="25B2938D">
                  <w:pPr>
                    <w:jc w:val="center"/>
                    <w:rPr>
                      <w:szCs w:val="21"/>
                    </w:rPr>
                  </w:pPr>
                  <w:r>
                    <w:rPr>
                      <w:rFonts w:hint="eastAsia"/>
                      <w:sz w:val="21"/>
                      <w:szCs w:val="21"/>
                      <w:lang w:val="en-US" w:eastAsia="zh-CN"/>
                    </w:rPr>
                    <w:t>危险废物</w:t>
                  </w:r>
                </w:p>
              </w:tc>
              <w:tc>
                <w:tcPr>
                  <w:tcW w:w="915" w:type="dxa"/>
                  <w:noWrap w:val="0"/>
                  <w:vAlign w:val="center"/>
                </w:tcPr>
                <w:p w14:paraId="0139AF1B">
                  <w:pPr>
                    <w:jc w:val="center"/>
                    <w:rPr>
                      <w:rFonts w:hint="eastAsia"/>
                      <w:szCs w:val="21"/>
                    </w:rPr>
                  </w:pPr>
                  <w:r>
                    <w:rPr>
                      <w:rFonts w:hint="eastAsia"/>
                      <w:color w:val="auto"/>
                      <w:lang w:val="en-US" w:eastAsia="zh-CN"/>
                    </w:rPr>
                    <w:t>HW06</w:t>
                  </w:r>
                </w:p>
              </w:tc>
              <w:tc>
                <w:tcPr>
                  <w:tcW w:w="796" w:type="dxa"/>
                  <w:noWrap w:val="0"/>
                  <w:vAlign w:val="center"/>
                </w:tcPr>
                <w:p w14:paraId="1ACE68FD">
                  <w:pPr>
                    <w:jc w:val="center"/>
                    <w:rPr>
                      <w:rFonts w:hint="eastAsia"/>
                      <w:kern w:val="0"/>
                      <w:szCs w:val="21"/>
                    </w:rPr>
                  </w:pPr>
                  <w:r>
                    <w:rPr>
                      <w:rFonts w:hint="eastAsia"/>
                      <w:color w:val="auto"/>
                      <w:lang w:val="en-US" w:eastAsia="zh-CN"/>
                    </w:rPr>
                    <w:t>液态</w:t>
                  </w:r>
                </w:p>
              </w:tc>
              <w:tc>
                <w:tcPr>
                  <w:tcW w:w="1302" w:type="dxa"/>
                  <w:noWrap w:val="0"/>
                  <w:vAlign w:val="center"/>
                </w:tcPr>
                <w:p w14:paraId="6892A3DD">
                  <w:pPr>
                    <w:jc w:val="center"/>
                    <w:rPr>
                      <w:rFonts w:hint="default"/>
                      <w:bCs/>
                      <w:szCs w:val="21"/>
                      <w:lang w:val="en-US"/>
                    </w:rPr>
                  </w:pPr>
                  <w:r>
                    <w:rPr>
                      <w:rFonts w:hint="eastAsia"/>
                      <w:color w:val="auto"/>
                      <w:lang w:val="en-US" w:eastAsia="zh-CN"/>
                    </w:rPr>
                    <w:t>76.85</w:t>
                  </w:r>
                </w:p>
              </w:tc>
              <w:tc>
                <w:tcPr>
                  <w:tcW w:w="1177" w:type="dxa"/>
                  <w:vMerge w:val="continue"/>
                  <w:noWrap w:val="0"/>
                  <w:vAlign w:val="center"/>
                </w:tcPr>
                <w:p w14:paraId="59708EF5">
                  <w:pPr>
                    <w:pStyle w:val="29"/>
                    <w:spacing w:line="240" w:lineRule="auto"/>
                    <w:jc w:val="center"/>
                    <w:rPr>
                      <w:rFonts w:hint="eastAsia" w:cs="Times New Roman"/>
                      <w:color w:val="auto"/>
                      <w:sz w:val="21"/>
                      <w:szCs w:val="21"/>
                    </w:rPr>
                  </w:pPr>
                </w:p>
              </w:tc>
              <w:tc>
                <w:tcPr>
                  <w:tcW w:w="1227" w:type="dxa"/>
                  <w:noWrap w:val="0"/>
                  <w:vAlign w:val="center"/>
                </w:tcPr>
                <w:p w14:paraId="409C529A">
                  <w:pPr>
                    <w:pStyle w:val="20"/>
                    <w:adjustRightInd w:val="0"/>
                    <w:snapToGrid w:val="0"/>
                    <w:spacing w:before="0" w:beforeAutospacing="0" w:after="0" w:afterAutospacing="0"/>
                    <w:jc w:val="center"/>
                    <w:outlineLvl w:val="0"/>
                    <w:rPr>
                      <w:rFonts w:hint="eastAsia"/>
                      <w:snapToGrid w:val="0"/>
                      <w:szCs w:val="21"/>
                    </w:rPr>
                  </w:pPr>
                  <w:r>
                    <w:rPr>
                      <w:rFonts w:hint="eastAsia" w:ascii="Times New Roman" w:hAnsi="Times New Roman"/>
                      <w:snapToGrid w:val="0"/>
                      <w:sz w:val="21"/>
                      <w:szCs w:val="21"/>
                      <w:lang w:val="en-US" w:eastAsia="zh-CN"/>
                    </w:rPr>
                    <w:t>0</w:t>
                  </w:r>
                </w:p>
              </w:tc>
              <w:tc>
                <w:tcPr>
                  <w:tcW w:w="1062" w:type="dxa"/>
                  <w:noWrap w:val="0"/>
                  <w:vAlign w:val="center"/>
                </w:tcPr>
                <w:p w14:paraId="30314B09">
                  <w:pPr>
                    <w:pStyle w:val="58"/>
                    <w:adjustRightInd w:val="0"/>
                    <w:snapToGrid w:val="0"/>
                    <w:jc w:val="center"/>
                    <w:rPr>
                      <w:sz w:val="21"/>
                      <w:szCs w:val="21"/>
                      <w:lang w:eastAsia="zh-CN"/>
                    </w:rPr>
                  </w:pPr>
                  <w:r>
                    <w:rPr>
                      <w:sz w:val="21"/>
                      <w:szCs w:val="21"/>
                      <w:lang w:eastAsia="zh-CN"/>
                    </w:rPr>
                    <w:t>0</w:t>
                  </w:r>
                </w:p>
              </w:tc>
              <w:tc>
                <w:tcPr>
                  <w:tcW w:w="1004" w:type="dxa"/>
                  <w:noWrap w:val="0"/>
                  <w:vAlign w:val="center"/>
                </w:tcPr>
                <w:p w14:paraId="4828B037">
                  <w:pPr>
                    <w:pStyle w:val="58"/>
                    <w:adjustRightInd w:val="0"/>
                    <w:snapToGrid w:val="0"/>
                    <w:jc w:val="center"/>
                    <w:rPr>
                      <w:sz w:val="21"/>
                      <w:szCs w:val="21"/>
                      <w:lang w:eastAsia="zh-CN"/>
                    </w:rPr>
                  </w:pPr>
                  <w:r>
                    <w:rPr>
                      <w:sz w:val="21"/>
                      <w:szCs w:val="21"/>
                      <w:lang w:eastAsia="zh-CN"/>
                    </w:rPr>
                    <w:t>0</w:t>
                  </w:r>
                </w:p>
              </w:tc>
              <w:tc>
                <w:tcPr>
                  <w:tcW w:w="850" w:type="dxa"/>
                  <w:noWrap w:val="0"/>
                  <w:vAlign w:val="center"/>
                </w:tcPr>
                <w:p w14:paraId="205F23E2">
                  <w:pPr>
                    <w:pStyle w:val="20"/>
                    <w:adjustRightInd w:val="0"/>
                    <w:snapToGrid w:val="0"/>
                    <w:spacing w:before="0" w:beforeAutospacing="0" w:after="0" w:afterAutospacing="0"/>
                    <w:jc w:val="center"/>
                    <w:outlineLvl w:val="0"/>
                    <w:rPr>
                      <w:szCs w:val="21"/>
                    </w:rPr>
                  </w:pPr>
                  <w:r>
                    <w:rPr>
                      <w:rFonts w:hint="eastAsia" w:ascii="Times New Roman" w:hAnsi="Times New Roman"/>
                      <w:snapToGrid w:val="0"/>
                      <w:sz w:val="21"/>
                      <w:szCs w:val="21"/>
                      <w:lang w:val="en-US" w:eastAsia="zh-CN"/>
                    </w:rPr>
                    <w:t>0</w:t>
                  </w:r>
                </w:p>
              </w:tc>
              <w:tc>
                <w:tcPr>
                  <w:tcW w:w="791" w:type="dxa"/>
                  <w:noWrap w:val="0"/>
                  <w:vAlign w:val="center"/>
                </w:tcPr>
                <w:p w14:paraId="6CBA6B04">
                  <w:pPr>
                    <w:jc w:val="center"/>
                    <w:rPr>
                      <w:rFonts w:hint="default"/>
                      <w:bCs/>
                      <w:szCs w:val="21"/>
                      <w:lang w:val="en-US"/>
                    </w:rPr>
                  </w:pPr>
                  <w:r>
                    <w:rPr>
                      <w:rFonts w:hint="eastAsia"/>
                      <w:color w:val="auto"/>
                      <w:lang w:val="en-US" w:eastAsia="zh-CN"/>
                    </w:rPr>
                    <w:t>76.85</w:t>
                  </w:r>
                </w:p>
              </w:tc>
              <w:tc>
                <w:tcPr>
                  <w:tcW w:w="666" w:type="dxa"/>
                  <w:noWrap w:val="0"/>
                  <w:vAlign w:val="center"/>
                </w:tcPr>
                <w:p w14:paraId="76C260D2">
                  <w:pPr>
                    <w:adjustRightInd w:val="0"/>
                    <w:snapToGrid w:val="0"/>
                    <w:jc w:val="center"/>
                    <w:rPr>
                      <w:szCs w:val="21"/>
                    </w:rPr>
                  </w:pPr>
                  <w:r>
                    <w:rPr>
                      <w:szCs w:val="21"/>
                    </w:rPr>
                    <w:t>0</w:t>
                  </w:r>
                </w:p>
              </w:tc>
              <w:tc>
                <w:tcPr>
                  <w:tcW w:w="543" w:type="dxa"/>
                  <w:noWrap w:val="0"/>
                  <w:vAlign w:val="center"/>
                </w:tcPr>
                <w:p w14:paraId="51A3C0FD">
                  <w:pPr>
                    <w:adjustRightInd w:val="0"/>
                    <w:snapToGrid w:val="0"/>
                    <w:jc w:val="center"/>
                    <w:rPr>
                      <w:rFonts w:hint="eastAsia"/>
                      <w:szCs w:val="21"/>
                    </w:rPr>
                  </w:pPr>
                  <w:r>
                    <w:rPr>
                      <w:rFonts w:hint="eastAsia"/>
                      <w:szCs w:val="21"/>
                    </w:rPr>
                    <w:t>/</w:t>
                  </w:r>
                </w:p>
              </w:tc>
            </w:tr>
            <w:tr w14:paraId="59082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8" w:type="dxa"/>
                  <w:noWrap w:val="0"/>
                  <w:vAlign w:val="center"/>
                </w:tcPr>
                <w:p w14:paraId="363EA38E">
                  <w:pPr>
                    <w:pStyle w:val="58"/>
                    <w:adjustRightInd w:val="0"/>
                    <w:snapToGrid w:val="0"/>
                    <w:jc w:val="center"/>
                    <w:rPr>
                      <w:rFonts w:hint="default"/>
                      <w:sz w:val="21"/>
                      <w:szCs w:val="21"/>
                      <w:lang w:val="en-US" w:eastAsia="zh-CN"/>
                    </w:rPr>
                  </w:pPr>
                  <w:r>
                    <w:rPr>
                      <w:rFonts w:hint="eastAsia"/>
                      <w:sz w:val="21"/>
                      <w:szCs w:val="21"/>
                      <w:lang w:val="en-US" w:eastAsia="zh-CN"/>
                    </w:rPr>
                    <w:t>4</w:t>
                  </w:r>
                </w:p>
              </w:tc>
              <w:tc>
                <w:tcPr>
                  <w:tcW w:w="654" w:type="dxa"/>
                  <w:vMerge w:val="continue"/>
                  <w:noWrap w:val="0"/>
                  <w:vAlign w:val="center"/>
                </w:tcPr>
                <w:p w14:paraId="2BFAD302">
                  <w:pPr>
                    <w:pStyle w:val="58"/>
                    <w:adjustRightInd w:val="0"/>
                    <w:snapToGrid w:val="0"/>
                    <w:jc w:val="center"/>
                    <w:rPr>
                      <w:rFonts w:hint="eastAsia"/>
                      <w:sz w:val="21"/>
                      <w:szCs w:val="21"/>
                      <w:lang w:eastAsia="zh-CN"/>
                    </w:rPr>
                  </w:pPr>
                </w:p>
              </w:tc>
              <w:tc>
                <w:tcPr>
                  <w:tcW w:w="1066" w:type="dxa"/>
                  <w:noWrap w:val="0"/>
                  <w:vAlign w:val="center"/>
                </w:tcPr>
                <w:p w14:paraId="2DBEFE61">
                  <w:pPr>
                    <w:jc w:val="center"/>
                    <w:rPr>
                      <w:rFonts w:hint="eastAsia" w:ascii="Times New Roman" w:hAnsi="Times New Roman" w:eastAsia="宋体" w:cs="Times New Roman"/>
                      <w:b w:val="0"/>
                      <w:bCs/>
                      <w:sz w:val="21"/>
                      <w:szCs w:val="21"/>
                      <w:lang w:val="en-US" w:eastAsia="zh-CN"/>
                    </w:rPr>
                  </w:pPr>
                  <w:r>
                    <w:rPr>
                      <w:rFonts w:hint="eastAsia"/>
                      <w:color w:val="auto"/>
                      <w:lang w:val="en-US" w:eastAsia="zh-CN"/>
                    </w:rPr>
                    <w:t>废铅酸蓄电池</w:t>
                  </w:r>
                </w:p>
              </w:tc>
              <w:tc>
                <w:tcPr>
                  <w:tcW w:w="1070" w:type="dxa"/>
                  <w:noWrap w:val="0"/>
                  <w:vAlign w:val="center"/>
                </w:tcPr>
                <w:p w14:paraId="0C8A0020">
                  <w:pPr>
                    <w:jc w:val="center"/>
                    <w:rPr>
                      <w:szCs w:val="21"/>
                    </w:rPr>
                  </w:pPr>
                  <w:r>
                    <w:rPr>
                      <w:rFonts w:hint="eastAsia"/>
                      <w:sz w:val="21"/>
                      <w:szCs w:val="21"/>
                      <w:lang w:val="en-US" w:eastAsia="zh-CN"/>
                    </w:rPr>
                    <w:t>危险废物</w:t>
                  </w:r>
                </w:p>
              </w:tc>
              <w:tc>
                <w:tcPr>
                  <w:tcW w:w="915" w:type="dxa"/>
                  <w:noWrap w:val="0"/>
                  <w:vAlign w:val="center"/>
                </w:tcPr>
                <w:p w14:paraId="7D8BA267">
                  <w:pPr>
                    <w:jc w:val="center"/>
                    <w:rPr>
                      <w:rFonts w:hint="eastAsia"/>
                      <w:szCs w:val="21"/>
                    </w:rPr>
                  </w:pPr>
                  <w:r>
                    <w:rPr>
                      <w:rFonts w:hint="eastAsia"/>
                      <w:color w:val="auto"/>
                      <w:lang w:val="en-US" w:eastAsia="zh-CN"/>
                    </w:rPr>
                    <w:t>HW31</w:t>
                  </w:r>
                </w:p>
              </w:tc>
              <w:tc>
                <w:tcPr>
                  <w:tcW w:w="796" w:type="dxa"/>
                  <w:noWrap w:val="0"/>
                  <w:vAlign w:val="center"/>
                </w:tcPr>
                <w:p w14:paraId="2604FDEA">
                  <w:pPr>
                    <w:jc w:val="center"/>
                    <w:rPr>
                      <w:rFonts w:hint="eastAsia"/>
                      <w:kern w:val="0"/>
                      <w:szCs w:val="21"/>
                    </w:rPr>
                  </w:pPr>
                  <w:r>
                    <w:rPr>
                      <w:rFonts w:hint="eastAsia"/>
                      <w:color w:val="auto"/>
                      <w:lang w:val="en-US" w:eastAsia="zh-CN"/>
                    </w:rPr>
                    <w:t>固态</w:t>
                  </w:r>
                </w:p>
              </w:tc>
              <w:tc>
                <w:tcPr>
                  <w:tcW w:w="1302" w:type="dxa"/>
                  <w:noWrap w:val="0"/>
                  <w:vAlign w:val="center"/>
                </w:tcPr>
                <w:p w14:paraId="7D889C72">
                  <w:pPr>
                    <w:jc w:val="center"/>
                    <w:rPr>
                      <w:rFonts w:hint="eastAsia"/>
                      <w:bCs/>
                      <w:szCs w:val="21"/>
                    </w:rPr>
                  </w:pPr>
                  <w:r>
                    <w:rPr>
                      <w:rFonts w:hint="eastAsia"/>
                      <w:color w:val="auto"/>
                      <w:lang w:val="en-US" w:eastAsia="zh-CN"/>
                    </w:rPr>
                    <w:t>123.5</w:t>
                  </w:r>
                </w:p>
              </w:tc>
              <w:tc>
                <w:tcPr>
                  <w:tcW w:w="1177" w:type="dxa"/>
                  <w:vMerge w:val="continue"/>
                  <w:noWrap w:val="0"/>
                  <w:vAlign w:val="center"/>
                </w:tcPr>
                <w:p w14:paraId="46E9718C">
                  <w:pPr>
                    <w:pStyle w:val="29"/>
                    <w:spacing w:line="240" w:lineRule="auto"/>
                    <w:jc w:val="center"/>
                    <w:rPr>
                      <w:rFonts w:hint="eastAsia" w:cs="Times New Roman"/>
                      <w:color w:val="auto"/>
                      <w:sz w:val="21"/>
                      <w:szCs w:val="21"/>
                    </w:rPr>
                  </w:pPr>
                </w:p>
              </w:tc>
              <w:tc>
                <w:tcPr>
                  <w:tcW w:w="1227" w:type="dxa"/>
                  <w:noWrap w:val="0"/>
                  <w:vAlign w:val="center"/>
                </w:tcPr>
                <w:p w14:paraId="7DB58AEC">
                  <w:pPr>
                    <w:adjustRightInd w:val="0"/>
                    <w:snapToGrid w:val="0"/>
                    <w:jc w:val="center"/>
                    <w:outlineLvl w:val="0"/>
                    <w:rPr>
                      <w:rFonts w:hint="eastAsia"/>
                      <w:snapToGrid w:val="0"/>
                      <w:szCs w:val="21"/>
                    </w:rPr>
                  </w:pPr>
                  <w:r>
                    <w:rPr>
                      <w:rFonts w:hint="eastAsia"/>
                      <w:snapToGrid w:val="0"/>
                      <w:szCs w:val="21"/>
                    </w:rPr>
                    <w:t>0</w:t>
                  </w:r>
                </w:p>
              </w:tc>
              <w:tc>
                <w:tcPr>
                  <w:tcW w:w="1062" w:type="dxa"/>
                  <w:noWrap w:val="0"/>
                  <w:vAlign w:val="center"/>
                </w:tcPr>
                <w:p w14:paraId="40B68C20">
                  <w:pPr>
                    <w:pStyle w:val="58"/>
                    <w:adjustRightInd w:val="0"/>
                    <w:snapToGrid w:val="0"/>
                    <w:jc w:val="center"/>
                    <w:rPr>
                      <w:sz w:val="21"/>
                      <w:szCs w:val="21"/>
                      <w:lang w:eastAsia="zh-CN"/>
                    </w:rPr>
                  </w:pPr>
                  <w:r>
                    <w:rPr>
                      <w:sz w:val="21"/>
                      <w:szCs w:val="21"/>
                      <w:lang w:eastAsia="zh-CN"/>
                    </w:rPr>
                    <w:t>0</w:t>
                  </w:r>
                </w:p>
              </w:tc>
              <w:tc>
                <w:tcPr>
                  <w:tcW w:w="1004" w:type="dxa"/>
                  <w:noWrap w:val="0"/>
                  <w:vAlign w:val="center"/>
                </w:tcPr>
                <w:p w14:paraId="559BE8FC">
                  <w:pPr>
                    <w:pStyle w:val="58"/>
                    <w:adjustRightInd w:val="0"/>
                    <w:snapToGrid w:val="0"/>
                    <w:jc w:val="center"/>
                    <w:rPr>
                      <w:sz w:val="21"/>
                      <w:szCs w:val="21"/>
                      <w:lang w:eastAsia="zh-CN"/>
                    </w:rPr>
                  </w:pPr>
                  <w:r>
                    <w:rPr>
                      <w:sz w:val="21"/>
                      <w:szCs w:val="21"/>
                      <w:lang w:eastAsia="zh-CN"/>
                    </w:rPr>
                    <w:t>0</w:t>
                  </w:r>
                </w:p>
              </w:tc>
              <w:tc>
                <w:tcPr>
                  <w:tcW w:w="850" w:type="dxa"/>
                  <w:noWrap w:val="0"/>
                  <w:vAlign w:val="center"/>
                </w:tcPr>
                <w:p w14:paraId="50840E65">
                  <w:pPr>
                    <w:adjustRightInd w:val="0"/>
                    <w:snapToGrid w:val="0"/>
                    <w:jc w:val="center"/>
                    <w:outlineLvl w:val="0"/>
                    <w:rPr>
                      <w:szCs w:val="21"/>
                    </w:rPr>
                  </w:pPr>
                  <w:r>
                    <w:rPr>
                      <w:rFonts w:hint="eastAsia"/>
                      <w:snapToGrid w:val="0"/>
                      <w:szCs w:val="21"/>
                    </w:rPr>
                    <w:t>0</w:t>
                  </w:r>
                </w:p>
              </w:tc>
              <w:tc>
                <w:tcPr>
                  <w:tcW w:w="791" w:type="dxa"/>
                  <w:noWrap w:val="0"/>
                  <w:vAlign w:val="center"/>
                </w:tcPr>
                <w:p w14:paraId="2E62C4AB">
                  <w:pPr>
                    <w:jc w:val="center"/>
                    <w:rPr>
                      <w:rFonts w:hint="eastAsia"/>
                      <w:bCs/>
                      <w:szCs w:val="21"/>
                    </w:rPr>
                  </w:pPr>
                  <w:r>
                    <w:rPr>
                      <w:rFonts w:hint="eastAsia"/>
                      <w:color w:val="auto"/>
                      <w:lang w:val="en-US" w:eastAsia="zh-CN"/>
                    </w:rPr>
                    <w:t>123.5</w:t>
                  </w:r>
                </w:p>
              </w:tc>
              <w:tc>
                <w:tcPr>
                  <w:tcW w:w="666" w:type="dxa"/>
                  <w:noWrap w:val="0"/>
                  <w:vAlign w:val="center"/>
                </w:tcPr>
                <w:p w14:paraId="6978FE13">
                  <w:pPr>
                    <w:adjustRightInd w:val="0"/>
                    <w:snapToGrid w:val="0"/>
                    <w:jc w:val="center"/>
                    <w:rPr>
                      <w:szCs w:val="21"/>
                    </w:rPr>
                  </w:pPr>
                  <w:r>
                    <w:rPr>
                      <w:szCs w:val="21"/>
                    </w:rPr>
                    <w:t>0</w:t>
                  </w:r>
                </w:p>
              </w:tc>
              <w:tc>
                <w:tcPr>
                  <w:tcW w:w="543" w:type="dxa"/>
                  <w:noWrap w:val="0"/>
                  <w:vAlign w:val="center"/>
                </w:tcPr>
                <w:p w14:paraId="11F23DCB">
                  <w:pPr>
                    <w:adjustRightInd w:val="0"/>
                    <w:snapToGrid w:val="0"/>
                    <w:jc w:val="center"/>
                    <w:rPr>
                      <w:rFonts w:hint="eastAsia"/>
                      <w:szCs w:val="21"/>
                    </w:rPr>
                  </w:pPr>
                  <w:r>
                    <w:rPr>
                      <w:rFonts w:hint="eastAsia"/>
                      <w:szCs w:val="21"/>
                    </w:rPr>
                    <w:t>/</w:t>
                  </w:r>
                </w:p>
              </w:tc>
            </w:tr>
            <w:tr w14:paraId="09C31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8" w:type="dxa"/>
                  <w:noWrap w:val="0"/>
                  <w:vAlign w:val="center"/>
                </w:tcPr>
                <w:p w14:paraId="2EC9860E">
                  <w:pPr>
                    <w:pStyle w:val="58"/>
                    <w:adjustRightInd w:val="0"/>
                    <w:snapToGrid w:val="0"/>
                    <w:jc w:val="center"/>
                    <w:rPr>
                      <w:rFonts w:hint="default"/>
                      <w:sz w:val="21"/>
                      <w:szCs w:val="21"/>
                      <w:lang w:val="en-US" w:eastAsia="zh-CN"/>
                    </w:rPr>
                  </w:pPr>
                  <w:r>
                    <w:rPr>
                      <w:rFonts w:hint="eastAsia"/>
                      <w:sz w:val="21"/>
                      <w:szCs w:val="21"/>
                      <w:lang w:val="en-US" w:eastAsia="zh-CN"/>
                    </w:rPr>
                    <w:t>5</w:t>
                  </w:r>
                </w:p>
              </w:tc>
              <w:tc>
                <w:tcPr>
                  <w:tcW w:w="654" w:type="dxa"/>
                  <w:vMerge w:val="continue"/>
                  <w:noWrap w:val="0"/>
                  <w:vAlign w:val="center"/>
                </w:tcPr>
                <w:p w14:paraId="1B7E8097">
                  <w:pPr>
                    <w:pStyle w:val="58"/>
                    <w:adjustRightInd w:val="0"/>
                    <w:snapToGrid w:val="0"/>
                    <w:jc w:val="center"/>
                    <w:rPr>
                      <w:rFonts w:hint="eastAsia"/>
                      <w:sz w:val="21"/>
                      <w:szCs w:val="21"/>
                      <w:lang w:eastAsia="zh-CN"/>
                    </w:rPr>
                  </w:pPr>
                </w:p>
              </w:tc>
              <w:tc>
                <w:tcPr>
                  <w:tcW w:w="1066" w:type="dxa"/>
                  <w:noWrap w:val="0"/>
                  <w:vAlign w:val="center"/>
                </w:tcPr>
                <w:p w14:paraId="0BAEB62F">
                  <w:pPr>
                    <w:jc w:val="center"/>
                    <w:rPr>
                      <w:rFonts w:hint="eastAsia" w:ascii="Times New Roman" w:hAnsi="Times New Roman" w:eastAsia="宋体" w:cs="Times New Roman"/>
                      <w:b w:val="0"/>
                      <w:bCs/>
                      <w:sz w:val="21"/>
                      <w:szCs w:val="21"/>
                      <w:lang w:val="en-US" w:eastAsia="zh-CN"/>
                    </w:rPr>
                  </w:pPr>
                  <w:r>
                    <w:rPr>
                      <w:rFonts w:hint="eastAsia"/>
                      <w:color w:val="auto"/>
                      <w:lang w:val="en-US" w:eastAsia="zh-CN"/>
                    </w:rPr>
                    <w:t>废制冷剂</w:t>
                  </w:r>
                </w:p>
              </w:tc>
              <w:tc>
                <w:tcPr>
                  <w:tcW w:w="1070" w:type="dxa"/>
                  <w:noWrap w:val="0"/>
                  <w:vAlign w:val="center"/>
                </w:tcPr>
                <w:p w14:paraId="0F6EBA64">
                  <w:pPr>
                    <w:jc w:val="center"/>
                    <w:rPr>
                      <w:szCs w:val="21"/>
                    </w:rPr>
                  </w:pPr>
                  <w:r>
                    <w:rPr>
                      <w:rFonts w:hint="eastAsia"/>
                      <w:sz w:val="21"/>
                      <w:szCs w:val="21"/>
                      <w:lang w:val="en-US" w:eastAsia="zh-CN"/>
                    </w:rPr>
                    <w:t>危险废物</w:t>
                  </w:r>
                </w:p>
              </w:tc>
              <w:tc>
                <w:tcPr>
                  <w:tcW w:w="915" w:type="dxa"/>
                  <w:noWrap w:val="0"/>
                  <w:vAlign w:val="center"/>
                </w:tcPr>
                <w:p w14:paraId="2B524953">
                  <w:pPr>
                    <w:jc w:val="center"/>
                    <w:rPr>
                      <w:rFonts w:hint="eastAsia"/>
                      <w:szCs w:val="21"/>
                    </w:rPr>
                  </w:pPr>
                  <w:r>
                    <w:rPr>
                      <w:rFonts w:hint="eastAsia"/>
                      <w:color w:val="auto"/>
                      <w:lang w:val="en-US" w:eastAsia="zh-CN"/>
                    </w:rPr>
                    <w:t>HW49</w:t>
                  </w:r>
                </w:p>
              </w:tc>
              <w:tc>
                <w:tcPr>
                  <w:tcW w:w="796" w:type="dxa"/>
                  <w:noWrap w:val="0"/>
                  <w:vAlign w:val="center"/>
                </w:tcPr>
                <w:p w14:paraId="1BC4501B">
                  <w:pPr>
                    <w:jc w:val="center"/>
                    <w:rPr>
                      <w:rFonts w:hint="eastAsia"/>
                      <w:kern w:val="0"/>
                      <w:szCs w:val="21"/>
                    </w:rPr>
                  </w:pPr>
                  <w:r>
                    <w:rPr>
                      <w:rFonts w:hint="eastAsia"/>
                      <w:color w:val="auto"/>
                      <w:lang w:val="en-US" w:eastAsia="zh-CN"/>
                    </w:rPr>
                    <w:t>液态</w:t>
                  </w:r>
                </w:p>
              </w:tc>
              <w:tc>
                <w:tcPr>
                  <w:tcW w:w="1302" w:type="dxa"/>
                  <w:noWrap w:val="0"/>
                  <w:vAlign w:val="center"/>
                </w:tcPr>
                <w:p w14:paraId="10FCAE80">
                  <w:pPr>
                    <w:jc w:val="center"/>
                    <w:rPr>
                      <w:rFonts w:hint="eastAsia"/>
                      <w:bCs/>
                      <w:szCs w:val="21"/>
                    </w:rPr>
                  </w:pPr>
                  <w:r>
                    <w:rPr>
                      <w:rFonts w:hint="eastAsia"/>
                      <w:color w:val="auto"/>
                      <w:lang w:val="en-US" w:eastAsia="zh-CN"/>
                    </w:rPr>
                    <w:t>3.05</w:t>
                  </w:r>
                </w:p>
              </w:tc>
              <w:tc>
                <w:tcPr>
                  <w:tcW w:w="1177" w:type="dxa"/>
                  <w:vMerge w:val="continue"/>
                  <w:noWrap w:val="0"/>
                  <w:vAlign w:val="center"/>
                </w:tcPr>
                <w:p w14:paraId="7AD34202">
                  <w:pPr>
                    <w:pStyle w:val="29"/>
                    <w:spacing w:line="240" w:lineRule="auto"/>
                    <w:jc w:val="center"/>
                    <w:rPr>
                      <w:rFonts w:hint="eastAsia" w:cs="Times New Roman"/>
                      <w:color w:val="auto"/>
                      <w:sz w:val="21"/>
                      <w:szCs w:val="21"/>
                    </w:rPr>
                  </w:pPr>
                </w:p>
              </w:tc>
              <w:tc>
                <w:tcPr>
                  <w:tcW w:w="1227" w:type="dxa"/>
                  <w:noWrap w:val="0"/>
                  <w:vAlign w:val="center"/>
                </w:tcPr>
                <w:p w14:paraId="10EC7DFD">
                  <w:pPr>
                    <w:pStyle w:val="20"/>
                    <w:adjustRightInd w:val="0"/>
                    <w:snapToGrid w:val="0"/>
                    <w:spacing w:before="0" w:beforeAutospacing="0" w:after="0" w:afterAutospacing="0"/>
                    <w:jc w:val="center"/>
                    <w:outlineLvl w:val="0"/>
                    <w:rPr>
                      <w:rFonts w:hint="eastAsia"/>
                      <w:snapToGrid w:val="0"/>
                      <w:szCs w:val="21"/>
                    </w:rPr>
                  </w:pPr>
                  <w:r>
                    <w:rPr>
                      <w:rFonts w:hint="eastAsia" w:ascii="Times New Roman" w:hAnsi="Times New Roman"/>
                      <w:snapToGrid w:val="0"/>
                      <w:sz w:val="21"/>
                      <w:szCs w:val="21"/>
                      <w:lang w:val="en-US" w:eastAsia="zh-CN"/>
                    </w:rPr>
                    <w:t>0</w:t>
                  </w:r>
                </w:p>
              </w:tc>
              <w:tc>
                <w:tcPr>
                  <w:tcW w:w="1062" w:type="dxa"/>
                  <w:noWrap w:val="0"/>
                  <w:vAlign w:val="center"/>
                </w:tcPr>
                <w:p w14:paraId="6F6A09CA">
                  <w:pPr>
                    <w:pStyle w:val="58"/>
                    <w:adjustRightInd w:val="0"/>
                    <w:snapToGrid w:val="0"/>
                    <w:jc w:val="center"/>
                    <w:rPr>
                      <w:sz w:val="21"/>
                      <w:szCs w:val="21"/>
                      <w:lang w:eastAsia="zh-CN"/>
                    </w:rPr>
                  </w:pPr>
                  <w:r>
                    <w:rPr>
                      <w:sz w:val="21"/>
                      <w:szCs w:val="21"/>
                      <w:lang w:eastAsia="zh-CN"/>
                    </w:rPr>
                    <w:t>0</w:t>
                  </w:r>
                </w:p>
              </w:tc>
              <w:tc>
                <w:tcPr>
                  <w:tcW w:w="1004" w:type="dxa"/>
                  <w:noWrap w:val="0"/>
                  <w:vAlign w:val="center"/>
                </w:tcPr>
                <w:p w14:paraId="2617AF22">
                  <w:pPr>
                    <w:pStyle w:val="58"/>
                    <w:adjustRightInd w:val="0"/>
                    <w:snapToGrid w:val="0"/>
                    <w:jc w:val="center"/>
                    <w:rPr>
                      <w:sz w:val="21"/>
                      <w:szCs w:val="21"/>
                      <w:lang w:eastAsia="zh-CN"/>
                    </w:rPr>
                  </w:pPr>
                  <w:r>
                    <w:rPr>
                      <w:sz w:val="21"/>
                      <w:szCs w:val="21"/>
                      <w:lang w:eastAsia="zh-CN"/>
                    </w:rPr>
                    <w:t>0</w:t>
                  </w:r>
                </w:p>
              </w:tc>
              <w:tc>
                <w:tcPr>
                  <w:tcW w:w="850" w:type="dxa"/>
                  <w:noWrap w:val="0"/>
                  <w:vAlign w:val="center"/>
                </w:tcPr>
                <w:p w14:paraId="14D63361">
                  <w:pPr>
                    <w:pStyle w:val="20"/>
                    <w:adjustRightInd w:val="0"/>
                    <w:snapToGrid w:val="0"/>
                    <w:spacing w:before="0" w:beforeAutospacing="0" w:after="0" w:afterAutospacing="0"/>
                    <w:jc w:val="center"/>
                    <w:outlineLvl w:val="0"/>
                    <w:rPr>
                      <w:szCs w:val="21"/>
                    </w:rPr>
                  </w:pPr>
                  <w:r>
                    <w:rPr>
                      <w:rFonts w:hint="eastAsia" w:ascii="Times New Roman" w:hAnsi="Times New Roman"/>
                      <w:snapToGrid w:val="0"/>
                      <w:sz w:val="21"/>
                      <w:szCs w:val="21"/>
                      <w:lang w:val="en-US" w:eastAsia="zh-CN"/>
                    </w:rPr>
                    <w:t>0</w:t>
                  </w:r>
                </w:p>
              </w:tc>
              <w:tc>
                <w:tcPr>
                  <w:tcW w:w="791" w:type="dxa"/>
                  <w:noWrap w:val="0"/>
                  <w:vAlign w:val="center"/>
                </w:tcPr>
                <w:p w14:paraId="1994FD62">
                  <w:pPr>
                    <w:jc w:val="center"/>
                    <w:rPr>
                      <w:rFonts w:hint="eastAsia"/>
                      <w:bCs/>
                      <w:szCs w:val="21"/>
                    </w:rPr>
                  </w:pPr>
                  <w:r>
                    <w:rPr>
                      <w:rFonts w:hint="eastAsia"/>
                      <w:color w:val="auto"/>
                      <w:lang w:val="en-US" w:eastAsia="zh-CN"/>
                    </w:rPr>
                    <w:t>3.05</w:t>
                  </w:r>
                </w:p>
              </w:tc>
              <w:tc>
                <w:tcPr>
                  <w:tcW w:w="666" w:type="dxa"/>
                  <w:noWrap w:val="0"/>
                  <w:vAlign w:val="center"/>
                </w:tcPr>
                <w:p w14:paraId="75260C04">
                  <w:pPr>
                    <w:adjustRightInd w:val="0"/>
                    <w:snapToGrid w:val="0"/>
                    <w:jc w:val="center"/>
                    <w:rPr>
                      <w:szCs w:val="21"/>
                    </w:rPr>
                  </w:pPr>
                  <w:r>
                    <w:rPr>
                      <w:szCs w:val="21"/>
                    </w:rPr>
                    <w:t>0</w:t>
                  </w:r>
                </w:p>
              </w:tc>
              <w:tc>
                <w:tcPr>
                  <w:tcW w:w="543" w:type="dxa"/>
                  <w:noWrap w:val="0"/>
                  <w:vAlign w:val="center"/>
                </w:tcPr>
                <w:p w14:paraId="1A2BD4F7">
                  <w:pPr>
                    <w:adjustRightInd w:val="0"/>
                    <w:snapToGrid w:val="0"/>
                    <w:jc w:val="center"/>
                    <w:rPr>
                      <w:rFonts w:hint="eastAsia"/>
                      <w:szCs w:val="21"/>
                    </w:rPr>
                  </w:pPr>
                  <w:r>
                    <w:rPr>
                      <w:rFonts w:hint="eastAsia"/>
                      <w:szCs w:val="21"/>
                    </w:rPr>
                    <w:t>/</w:t>
                  </w:r>
                </w:p>
              </w:tc>
            </w:tr>
            <w:tr w14:paraId="479F5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8" w:type="dxa"/>
                  <w:noWrap w:val="0"/>
                  <w:vAlign w:val="center"/>
                </w:tcPr>
                <w:p w14:paraId="32EB323D">
                  <w:pPr>
                    <w:pStyle w:val="58"/>
                    <w:adjustRightInd w:val="0"/>
                    <w:snapToGrid w:val="0"/>
                    <w:jc w:val="center"/>
                    <w:rPr>
                      <w:rFonts w:hint="default"/>
                      <w:sz w:val="21"/>
                      <w:szCs w:val="21"/>
                      <w:lang w:val="en-US" w:eastAsia="zh-CN"/>
                    </w:rPr>
                  </w:pPr>
                  <w:r>
                    <w:rPr>
                      <w:rFonts w:hint="eastAsia"/>
                      <w:sz w:val="21"/>
                      <w:szCs w:val="21"/>
                      <w:lang w:val="en-US" w:eastAsia="zh-CN"/>
                    </w:rPr>
                    <w:t>6</w:t>
                  </w:r>
                </w:p>
              </w:tc>
              <w:tc>
                <w:tcPr>
                  <w:tcW w:w="654" w:type="dxa"/>
                  <w:vMerge w:val="continue"/>
                  <w:noWrap w:val="0"/>
                  <w:vAlign w:val="center"/>
                </w:tcPr>
                <w:p w14:paraId="7D09E892">
                  <w:pPr>
                    <w:pStyle w:val="58"/>
                    <w:adjustRightInd w:val="0"/>
                    <w:snapToGrid w:val="0"/>
                    <w:jc w:val="center"/>
                    <w:rPr>
                      <w:rFonts w:hint="eastAsia"/>
                      <w:sz w:val="21"/>
                      <w:szCs w:val="21"/>
                      <w:lang w:eastAsia="zh-CN"/>
                    </w:rPr>
                  </w:pPr>
                </w:p>
              </w:tc>
              <w:tc>
                <w:tcPr>
                  <w:tcW w:w="1066" w:type="dxa"/>
                  <w:noWrap w:val="0"/>
                  <w:vAlign w:val="center"/>
                </w:tcPr>
                <w:p w14:paraId="0356B70A">
                  <w:pPr>
                    <w:jc w:val="center"/>
                    <w:rPr>
                      <w:rFonts w:hint="eastAsia" w:ascii="Times New Roman" w:hAnsi="Times New Roman" w:eastAsia="宋体" w:cs="Times New Roman"/>
                      <w:b w:val="0"/>
                      <w:bCs/>
                      <w:sz w:val="21"/>
                      <w:szCs w:val="21"/>
                      <w:lang w:val="en-US" w:eastAsia="zh-CN"/>
                    </w:rPr>
                  </w:pPr>
                  <w:r>
                    <w:rPr>
                      <w:rFonts w:hint="eastAsia"/>
                      <w:color w:val="auto"/>
                      <w:lang w:val="en-US" w:eastAsia="zh-CN"/>
                    </w:rPr>
                    <w:t>废油箱</w:t>
                  </w:r>
                </w:p>
              </w:tc>
              <w:tc>
                <w:tcPr>
                  <w:tcW w:w="1070" w:type="dxa"/>
                  <w:noWrap w:val="0"/>
                  <w:vAlign w:val="center"/>
                </w:tcPr>
                <w:p w14:paraId="3A7D3184">
                  <w:pPr>
                    <w:jc w:val="center"/>
                    <w:rPr>
                      <w:szCs w:val="21"/>
                    </w:rPr>
                  </w:pPr>
                  <w:r>
                    <w:rPr>
                      <w:rFonts w:hint="eastAsia"/>
                      <w:sz w:val="21"/>
                      <w:szCs w:val="21"/>
                      <w:lang w:val="en-US" w:eastAsia="zh-CN"/>
                    </w:rPr>
                    <w:t>危险废物</w:t>
                  </w:r>
                </w:p>
              </w:tc>
              <w:tc>
                <w:tcPr>
                  <w:tcW w:w="915" w:type="dxa"/>
                  <w:noWrap w:val="0"/>
                  <w:vAlign w:val="center"/>
                </w:tcPr>
                <w:p w14:paraId="0F8DFA45">
                  <w:pPr>
                    <w:jc w:val="center"/>
                    <w:rPr>
                      <w:rFonts w:hint="eastAsia"/>
                      <w:szCs w:val="21"/>
                    </w:rPr>
                  </w:pPr>
                  <w:r>
                    <w:rPr>
                      <w:rFonts w:hint="eastAsia"/>
                      <w:color w:val="auto"/>
                      <w:lang w:val="en-US" w:eastAsia="zh-CN"/>
                    </w:rPr>
                    <w:t>HW08</w:t>
                  </w:r>
                </w:p>
              </w:tc>
              <w:tc>
                <w:tcPr>
                  <w:tcW w:w="796" w:type="dxa"/>
                  <w:noWrap w:val="0"/>
                  <w:vAlign w:val="center"/>
                </w:tcPr>
                <w:p w14:paraId="1E228E46">
                  <w:pPr>
                    <w:jc w:val="center"/>
                    <w:rPr>
                      <w:rFonts w:hint="eastAsia"/>
                      <w:kern w:val="0"/>
                      <w:szCs w:val="21"/>
                    </w:rPr>
                  </w:pPr>
                  <w:r>
                    <w:rPr>
                      <w:rFonts w:hint="eastAsia"/>
                      <w:color w:val="auto"/>
                      <w:lang w:val="en-US" w:eastAsia="zh-CN"/>
                    </w:rPr>
                    <w:t>固态</w:t>
                  </w:r>
                </w:p>
              </w:tc>
              <w:tc>
                <w:tcPr>
                  <w:tcW w:w="1302" w:type="dxa"/>
                  <w:noWrap w:val="0"/>
                  <w:vAlign w:val="center"/>
                </w:tcPr>
                <w:p w14:paraId="358200B8">
                  <w:pPr>
                    <w:jc w:val="center"/>
                    <w:rPr>
                      <w:rFonts w:hint="eastAsia"/>
                      <w:bCs/>
                      <w:szCs w:val="21"/>
                    </w:rPr>
                  </w:pPr>
                  <w:r>
                    <w:rPr>
                      <w:rFonts w:hint="eastAsia"/>
                      <w:color w:val="auto"/>
                      <w:lang w:val="en-US" w:eastAsia="zh-CN"/>
                    </w:rPr>
                    <w:t>685</w:t>
                  </w:r>
                </w:p>
              </w:tc>
              <w:tc>
                <w:tcPr>
                  <w:tcW w:w="1177" w:type="dxa"/>
                  <w:vMerge w:val="continue"/>
                  <w:noWrap w:val="0"/>
                  <w:vAlign w:val="center"/>
                </w:tcPr>
                <w:p w14:paraId="1492039E">
                  <w:pPr>
                    <w:pStyle w:val="29"/>
                    <w:spacing w:line="240" w:lineRule="auto"/>
                    <w:jc w:val="center"/>
                    <w:rPr>
                      <w:rFonts w:hint="eastAsia" w:cs="Times New Roman"/>
                      <w:color w:val="auto"/>
                      <w:sz w:val="21"/>
                      <w:szCs w:val="21"/>
                    </w:rPr>
                  </w:pPr>
                </w:p>
              </w:tc>
              <w:tc>
                <w:tcPr>
                  <w:tcW w:w="1227" w:type="dxa"/>
                  <w:noWrap w:val="0"/>
                  <w:vAlign w:val="center"/>
                </w:tcPr>
                <w:p w14:paraId="4F4FC382">
                  <w:pPr>
                    <w:adjustRightInd w:val="0"/>
                    <w:snapToGrid w:val="0"/>
                    <w:jc w:val="center"/>
                    <w:outlineLvl w:val="0"/>
                    <w:rPr>
                      <w:rFonts w:hint="eastAsia"/>
                      <w:snapToGrid w:val="0"/>
                      <w:szCs w:val="21"/>
                    </w:rPr>
                  </w:pPr>
                  <w:r>
                    <w:rPr>
                      <w:rFonts w:hint="eastAsia"/>
                      <w:snapToGrid w:val="0"/>
                      <w:szCs w:val="21"/>
                    </w:rPr>
                    <w:t>0</w:t>
                  </w:r>
                </w:p>
              </w:tc>
              <w:tc>
                <w:tcPr>
                  <w:tcW w:w="1062" w:type="dxa"/>
                  <w:noWrap w:val="0"/>
                  <w:vAlign w:val="center"/>
                </w:tcPr>
                <w:p w14:paraId="579925BC">
                  <w:pPr>
                    <w:pStyle w:val="58"/>
                    <w:adjustRightInd w:val="0"/>
                    <w:snapToGrid w:val="0"/>
                    <w:jc w:val="center"/>
                    <w:rPr>
                      <w:sz w:val="21"/>
                      <w:szCs w:val="21"/>
                      <w:lang w:eastAsia="zh-CN"/>
                    </w:rPr>
                  </w:pPr>
                  <w:r>
                    <w:rPr>
                      <w:sz w:val="21"/>
                      <w:szCs w:val="21"/>
                      <w:lang w:eastAsia="zh-CN"/>
                    </w:rPr>
                    <w:t>0</w:t>
                  </w:r>
                </w:p>
              </w:tc>
              <w:tc>
                <w:tcPr>
                  <w:tcW w:w="1004" w:type="dxa"/>
                  <w:noWrap w:val="0"/>
                  <w:vAlign w:val="center"/>
                </w:tcPr>
                <w:p w14:paraId="3FBE3622">
                  <w:pPr>
                    <w:pStyle w:val="58"/>
                    <w:adjustRightInd w:val="0"/>
                    <w:snapToGrid w:val="0"/>
                    <w:jc w:val="center"/>
                    <w:rPr>
                      <w:sz w:val="21"/>
                      <w:szCs w:val="21"/>
                      <w:lang w:eastAsia="zh-CN"/>
                    </w:rPr>
                  </w:pPr>
                  <w:r>
                    <w:rPr>
                      <w:sz w:val="21"/>
                      <w:szCs w:val="21"/>
                      <w:lang w:eastAsia="zh-CN"/>
                    </w:rPr>
                    <w:t>0</w:t>
                  </w:r>
                </w:p>
              </w:tc>
              <w:tc>
                <w:tcPr>
                  <w:tcW w:w="850" w:type="dxa"/>
                  <w:noWrap w:val="0"/>
                  <w:vAlign w:val="center"/>
                </w:tcPr>
                <w:p w14:paraId="6E5A2A32">
                  <w:pPr>
                    <w:adjustRightInd w:val="0"/>
                    <w:snapToGrid w:val="0"/>
                    <w:jc w:val="center"/>
                    <w:outlineLvl w:val="0"/>
                    <w:rPr>
                      <w:szCs w:val="21"/>
                    </w:rPr>
                  </w:pPr>
                  <w:r>
                    <w:rPr>
                      <w:rFonts w:hint="eastAsia"/>
                      <w:snapToGrid w:val="0"/>
                      <w:szCs w:val="21"/>
                    </w:rPr>
                    <w:t>0</w:t>
                  </w:r>
                </w:p>
              </w:tc>
              <w:tc>
                <w:tcPr>
                  <w:tcW w:w="791" w:type="dxa"/>
                  <w:noWrap w:val="0"/>
                  <w:vAlign w:val="center"/>
                </w:tcPr>
                <w:p w14:paraId="08C2778E">
                  <w:pPr>
                    <w:jc w:val="center"/>
                    <w:rPr>
                      <w:rFonts w:hint="eastAsia"/>
                      <w:bCs/>
                      <w:szCs w:val="21"/>
                    </w:rPr>
                  </w:pPr>
                  <w:r>
                    <w:rPr>
                      <w:rFonts w:hint="eastAsia"/>
                      <w:color w:val="auto"/>
                      <w:lang w:val="en-US" w:eastAsia="zh-CN"/>
                    </w:rPr>
                    <w:t>685</w:t>
                  </w:r>
                </w:p>
              </w:tc>
              <w:tc>
                <w:tcPr>
                  <w:tcW w:w="666" w:type="dxa"/>
                  <w:noWrap w:val="0"/>
                  <w:vAlign w:val="center"/>
                </w:tcPr>
                <w:p w14:paraId="707C04C8">
                  <w:pPr>
                    <w:adjustRightInd w:val="0"/>
                    <w:snapToGrid w:val="0"/>
                    <w:jc w:val="center"/>
                    <w:rPr>
                      <w:szCs w:val="21"/>
                    </w:rPr>
                  </w:pPr>
                  <w:r>
                    <w:rPr>
                      <w:szCs w:val="21"/>
                    </w:rPr>
                    <w:t>0</w:t>
                  </w:r>
                </w:p>
              </w:tc>
              <w:tc>
                <w:tcPr>
                  <w:tcW w:w="543" w:type="dxa"/>
                  <w:noWrap w:val="0"/>
                  <w:vAlign w:val="center"/>
                </w:tcPr>
                <w:p w14:paraId="103B4F98">
                  <w:pPr>
                    <w:adjustRightInd w:val="0"/>
                    <w:snapToGrid w:val="0"/>
                    <w:jc w:val="center"/>
                    <w:rPr>
                      <w:rFonts w:hint="eastAsia"/>
                      <w:szCs w:val="21"/>
                    </w:rPr>
                  </w:pPr>
                  <w:r>
                    <w:rPr>
                      <w:rFonts w:hint="eastAsia"/>
                      <w:szCs w:val="21"/>
                    </w:rPr>
                    <w:t>/</w:t>
                  </w:r>
                </w:p>
              </w:tc>
            </w:tr>
            <w:tr w14:paraId="0187F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8" w:type="dxa"/>
                  <w:noWrap w:val="0"/>
                  <w:vAlign w:val="center"/>
                </w:tcPr>
                <w:p w14:paraId="10D561EC">
                  <w:pPr>
                    <w:pStyle w:val="58"/>
                    <w:adjustRightInd w:val="0"/>
                    <w:snapToGrid w:val="0"/>
                    <w:jc w:val="center"/>
                    <w:rPr>
                      <w:rFonts w:hint="default"/>
                      <w:sz w:val="21"/>
                      <w:szCs w:val="21"/>
                      <w:lang w:val="en-US" w:eastAsia="zh-CN"/>
                    </w:rPr>
                  </w:pPr>
                  <w:r>
                    <w:rPr>
                      <w:rFonts w:hint="eastAsia"/>
                      <w:sz w:val="21"/>
                      <w:szCs w:val="21"/>
                      <w:lang w:val="en-US" w:eastAsia="zh-CN"/>
                    </w:rPr>
                    <w:t>7</w:t>
                  </w:r>
                </w:p>
              </w:tc>
              <w:tc>
                <w:tcPr>
                  <w:tcW w:w="654" w:type="dxa"/>
                  <w:vMerge w:val="continue"/>
                  <w:noWrap w:val="0"/>
                  <w:vAlign w:val="center"/>
                </w:tcPr>
                <w:p w14:paraId="603F20D2">
                  <w:pPr>
                    <w:pStyle w:val="58"/>
                    <w:adjustRightInd w:val="0"/>
                    <w:snapToGrid w:val="0"/>
                    <w:jc w:val="center"/>
                    <w:rPr>
                      <w:rFonts w:hint="eastAsia"/>
                      <w:sz w:val="21"/>
                      <w:szCs w:val="21"/>
                      <w:lang w:eastAsia="zh-CN"/>
                    </w:rPr>
                  </w:pPr>
                </w:p>
              </w:tc>
              <w:tc>
                <w:tcPr>
                  <w:tcW w:w="1066" w:type="dxa"/>
                  <w:noWrap w:val="0"/>
                  <w:vAlign w:val="center"/>
                </w:tcPr>
                <w:p w14:paraId="3873F767">
                  <w:pPr>
                    <w:jc w:val="center"/>
                    <w:rPr>
                      <w:rFonts w:hint="eastAsia" w:ascii="Times New Roman" w:hAnsi="Times New Roman" w:eastAsia="宋体" w:cs="Times New Roman"/>
                      <w:b w:val="0"/>
                      <w:bCs/>
                      <w:sz w:val="21"/>
                      <w:szCs w:val="21"/>
                      <w:lang w:val="en-US" w:eastAsia="zh-CN"/>
                    </w:rPr>
                  </w:pPr>
                  <w:r>
                    <w:rPr>
                      <w:rFonts w:hint="eastAsia"/>
                      <w:color w:val="auto"/>
                      <w:lang w:val="en-US" w:eastAsia="zh-CN"/>
                    </w:rPr>
                    <w:t>废液化气罐</w:t>
                  </w:r>
                </w:p>
              </w:tc>
              <w:tc>
                <w:tcPr>
                  <w:tcW w:w="1070" w:type="dxa"/>
                  <w:noWrap w:val="0"/>
                  <w:vAlign w:val="center"/>
                </w:tcPr>
                <w:p w14:paraId="03B99407">
                  <w:pPr>
                    <w:jc w:val="center"/>
                    <w:rPr>
                      <w:szCs w:val="21"/>
                    </w:rPr>
                  </w:pPr>
                  <w:r>
                    <w:rPr>
                      <w:rFonts w:hint="eastAsia"/>
                      <w:sz w:val="21"/>
                      <w:szCs w:val="21"/>
                      <w:lang w:val="en-US" w:eastAsia="zh-CN"/>
                    </w:rPr>
                    <w:t>危险废物</w:t>
                  </w:r>
                </w:p>
              </w:tc>
              <w:tc>
                <w:tcPr>
                  <w:tcW w:w="915" w:type="dxa"/>
                  <w:noWrap w:val="0"/>
                  <w:vAlign w:val="center"/>
                </w:tcPr>
                <w:p w14:paraId="578AB0C3">
                  <w:pPr>
                    <w:jc w:val="center"/>
                    <w:rPr>
                      <w:rFonts w:hint="eastAsia"/>
                      <w:szCs w:val="21"/>
                    </w:rPr>
                  </w:pPr>
                  <w:r>
                    <w:rPr>
                      <w:rFonts w:hint="eastAsia"/>
                      <w:color w:val="auto"/>
                      <w:lang w:val="en-US" w:eastAsia="zh-CN"/>
                    </w:rPr>
                    <w:t>HW49</w:t>
                  </w:r>
                </w:p>
              </w:tc>
              <w:tc>
                <w:tcPr>
                  <w:tcW w:w="796" w:type="dxa"/>
                  <w:noWrap w:val="0"/>
                  <w:vAlign w:val="center"/>
                </w:tcPr>
                <w:p w14:paraId="59C56141">
                  <w:pPr>
                    <w:jc w:val="center"/>
                    <w:rPr>
                      <w:rFonts w:hint="eastAsia"/>
                      <w:kern w:val="0"/>
                      <w:szCs w:val="21"/>
                    </w:rPr>
                  </w:pPr>
                  <w:r>
                    <w:rPr>
                      <w:rFonts w:hint="eastAsia"/>
                      <w:color w:val="auto"/>
                      <w:lang w:val="en-US" w:eastAsia="zh-CN"/>
                    </w:rPr>
                    <w:t>固态</w:t>
                  </w:r>
                </w:p>
              </w:tc>
              <w:tc>
                <w:tcPr>
                  <w:tcW w:w="1302" w:type="dxa"/>
                  <w:noWrap w:val="0"/>
                  <w:vAlign w:val="center"/>
                </w:tcPr>
                <w:p w14:paraId="0B44652D">
                  <w:pPr>
                    <w:jc w:val="center"/>
                    <w:rPr>
                      <w:rFonts w:hint="eastAsia"/>
                      <w:bCs/>
                      <w:szCs w:val="21"/>
                    </w:rPr>
                  </w:pPr>
                  <w:r>
                    <w:rPr>
                      <w:rFonts w:hint="eastAsia"/>
                      <w:color w:val="auto"/>
                      <w:lang w:val="en-US" w:eastAsia="zh-CN"/>
                    </w:rPr>
                    <w:t>60</w:t>
                  </w:r>
                </w:p>
              </w:tc>
              <w:tc>
                <w:tcPr>
                  <w:tcW w:w="1177" w:type="dxa"/>
                  <w:vMerge w:val="continue"/>
                  <w:noWrap w:val="0"/>
                  <w:vAlign w:val="center"/>
                </w:tcPr>
                <w:p w14:paraId="30161A0D">
                  <w:pPr>
                    <w:pStyle w:val="29"/>
                    <w:spacing w:line="240" w:lineRule="auto"/>
                    <w:jc w:val="center"/>
                    <w:rPr>
                      <w:rFonts w:hint="eastAsia" w:cs="Times New Roman"/>
                      <w:color w:val="auto"/>
                      <w:sz w:val="21"/>
                      <w:szCs w:val="21"/>
                    </w:rPr>
                  </w:pPr>
                </w:p>
              </w:tc>
              <w:tc>
                <w:tcPr>
                  <w:tcW w:w="1227" w:type="dxa"/>
                  <w:noWrap w:val="0"/>
                  <w:vAlign w:val="center"/>
                </w:tcPr>
                <w:p w14:paraId="7763767B">
                  <w:pPr>
                    <w:pStyle w:val="20"/>
                    <w:adjustRightInd w:val="0"/>
                    <w:snapToGrid w:val="0"/>
                    <w:spacing w:before="0" w:beforeAutospacing="0" w:after="0" w:afterAutospacing="0"/>
                    <w:jc w:val="center"/>
                    <w:outlineLvl w:val="0"/>
                    <w:rPr>
                      <w:rFonts w:hint="eastAsia"/>
                      <w:snapToGrid w:val="0"/>
                      <w:szCs w:val="21"/>
                    </w:rPr>
                  </w:pPr>
                  <w:r>
                    <w:rPr>
                      <w:rFonts w:hint="eastAsia" w:ascii="Times New Roman" w:hAnsi="Times New Roman"/>
                      <w:snapToGrid w:val="0"/>
                      <w:sz w:val="21"/>
                      <w:szCs w:val="21"/>
                      <w:lang w:val="en-US" w:eastAsia="zh-CN"/>
                    </w:rPr>
                    <w:t>0</w:t>
                  </w:r>
                </w:p>
              </w:tc>
              <w:tc>
                <w:tcPr>
                  <w:tcW w:w="1062" w:type="dxa"/>
                  <w:noWrap w:val="0"/>
                  <w:vAlign w:val="center"/>
                </w:tcPr>
                <w:p w14:paraId="62C8D7CA">
                  <w:pPr>
                    <w:pStyle w:val="58"/>
                    <w:adjustRightInd w:val="0"/>
                    <w:snapToGrid w:val="0"/>
                    <w:jc w:val="center"/>
                    <w:rPr>
                      <w:sz w:val="21"/>
                      <w:szCs w:val="21"/>
                      <w:lang w:eastAsia="zh-CN"/>
                    </w:rPr>
                  </w:pPr>
                  <w:r>
                    <w:rPr>
                      <w:sz w:val="21"/>
                      <w:szCs w:val="21"/>
                      <w:lang w:eastAsia="zh-CN"/>
                    </w:rPr>
                    <w:t>0</w:t>
                  </w:r>
                </w:p>
              </w:tc>
              <w:tc>
                <w:tcPr>
                  <w:tcW w:w="1004" w:type="dxa"/>
                  <w:noWrap w:val="0"/>
                  <w:vAlign w:val="center"/>
                </w:tcPr>
                <w:p w14:paraId="092298FD">
                  <w:pPr>
                    <w:pStyle w:val="58"/>
                    <w:adjustRightInd w:val="0"/>
                    <w:snapToGrid w:val="0"/>
                    <w:jc w:val="center"/>
                    <w:rPr>
                      <w:sz w:val="21"/>
                      <w:szCs w:val="21"/>
                      <w:lang w:eastAsia="zh-CN"/>
                    </w:rPr>
                  </w:pPr>
                  <w:r>
                    <w:rPr>
                      <w:sz w:val="21"/>
                      <w:szCs w:val="21"/>
                      <w:lang w:eastAsia="zh-CN"/>
                    </w:rPr>
                    <w:t>0</w:t>
                  </w:r>
                </w:p>
              </w:tc>
              <w:tc>
                <w:tcPr>
                  <w:tcW w:w="850" w:type="dxa"/>
                  <w:noWrap w:val="0"/>
                  <w:vAlign w:val="center"/>
                </w:tcPr>
                <w:p w14:paraId="41CDBCE1">
                  <w:pPr>
                    <w:pStyle w:val="20"/>
                    <w:adjustRightInd w:val="0"/>
                    <w:snapToGrid w:val="0"/>
                    <w:spacing w:before="0" w:beforeAutospacing="0" w:after="0" w:afterAutospacing="0"/>
                    <w:jc w:val="center"/>
                    <w:outlineLvl w:val="0"/>
                    <w:rPr>
                      <w:szCs w:val="21"/>
                    </w:rPr>
                  </w:pPr>
                  <w:r>
                    <w:rPr>
                      <w:rFonts w:hint="eastAsia" w:ascii="Times New Roman" w:hAnsi="Times New Roman"/>
                      <w:snapToGrid w:val="0"/>
                      <w:sz w:val="21"/>
                      <w:szCs w:val="21"/>
                      <w:lang w:val="en-US" w:eastAsia="zh-CN"/>
                    </w:rPr>
                    <w:t>0</w:t>
                  </w:r>
                </w:p>
              </w:tc>
              <w:tc>
                <w:tcPr>
                  <w:tcW w:w="791" w:type="dxa"/>
                  <w:noWrap w:val="0"/>
                  <w:vAlign w:val="center"/>
                </w:tcPr>
                <w:p w14:paraId="17C6BFF6">
                  <w:pPr>
                    <w:jc w:val="center"/>
                    <w:rPr>
                      <w:rFonts w:hint="eastAsia"/>
                      <w:bCs/>
                      <w:szCs w:val="21"/>
                    </w:rPr>
                  </w:pPr>
                  <w:r>
                    <w:rPr>
                      <w:rFonts w:hint="eastAsia"/>
                      <w:color w:val="auto"/>
                      <w:lang w:val="en-US" w:eastAsia="zh-CN"/>
                    </w:rPr>
                    <w:t>60</w:t>
                  </w:r>
                </w:p>
              </w:tc>
              <w:tc>
                <w:tcPr>
                  <w:tcW w:w="666" w:type="dxa"/>
                  <w:noWrap w:val="0"/>
                  <w:vAlign w:val="center"/>
                </w:tcPr>
                <w:p w14:paraId="6C9B436B">
                  <w:pPr>
                    <w:adjustRightInd w:val="0"/>
                    <w:snapToGrid w:val="0"/>
                    <w:jc w:val="center"/>
                    <w:rPr>
                      <w:szCs w:val="21"/>
                    </w:rPr>
                  </w:pPr>
                  <w:r>
                    <w:rPr>
                      <w:szCs w:val="21"/>
                    </w:rPr>
                    <w:t>0</w:t>
                  </w:r>
                </w:p>
              </w:tc>
              <w:tc>
                <w:tcPr>
                  <w:tcW w:w="543" w:type="dxa"/>
                  <w:noWrap w:val="0"/>
                  <w:vAlign w:val="center"/>
                </w:tcPr>
                <w:p w14:paraId="1BD29B99">
                  <w:pPr>
                    <w:adjustRightInd w:val="0"/>
                    <w:snapToGrid w:val="0"/>
                    <w:jc w:val="center"/>
                    <w:rPr>
                      <w:rFonts w:hint="eastAsia"/>
                      <w:szCs w:val="21"/>
                    </w:rPr>
                  </w:pPr>
                  <w:r>
                    <w:rPr>
                      <w:rFonts w:hint="eastAsia"/>
                      <w:szCs w:val="21"/>
                    </w:rPr>
                    <w:t>/</w:t>
                  </w:r>
                </w:p>
              </w:tc>
            </w:tr>
            <w:tr w14:paraId="7168C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8" w:type="dxa"/>
                  <w:noWrap w:val="0"/>
                  <w:vAlign w:val="center"/>
                </w:tcPr>
                <w:p w14:paraId="2C21075F">
                  <w:pPr>
                    <w:pStyle w:val="58"/>
                    <w:adjustRightInd w:val="0"/>
                    <w:snapToGrid w:val="0"/>
                    <w:jc w:val="center"/>
                    <w:rPr>
                      <w:rFonts w:hint="default"/>
                      <w:sz w:val="21"/>
                      <w:szCs w:val="21"/>
                      <w:lang w:val="en-US" w:eastAsia="zh-CN"/>
                    </w:rPr>
                  </w:pPr>
                  <w:r>
                    <w:rPr>
                      <w:rFonts w:hint="eastAsia"/>
                      <w:sz w:val="21"/>
                      <w:szCs w:val="21"/>
                      <w:lang w:val="en-US" w:eastAsia="zh-CN"/>
                    </w:rPr>
                    <w:t>8</w:t>
                  </w:r>
                </w:p>
              </w:tc>
              <w:tc>
                <w:tcPr>
                  <w:tcW w:w="654" w:type="dxa"/>
                  <w:vMerge w:val="continue"/>
                  <w:noWrap w:val="0"/>
                  <w:vAlign w:val="center"/>
                </w:tcPr>
                <w:p w14:paraId="306134ED">
                  <w:pPr>
                    <w:pStyle w:val="58"/>
                    <w:adjustRightInd w:val="0"/>
                    <w:snapToGrid w:val="0"/>
                    <w:jc w:val="center"/>
                    <w:rPr>
                      <w:rFonts w:hint="eastAsia"/>
                      <w:sz w:val="21"/>
                      <w:szCs w:val="21"/>
                      <w:lang w:eastAsia="zh-CN"/>
                    </w:rPr>
                  </w:pPr>
                </w:p>
              </w:tc>
              <w:tc>
                <w:tcPr>
                  <w:tcW w:w="1066" w:type="dxa"/>
                  <w:noWrap w:val="0"/>
                  <w:vAlign w:val="center"/>
                </w:tcPr>
                <w:p w14:paraId="15C205FE">
                  <w:pPr>
                    <w:jc w:val="center"/>
                    <w:rPr>
                      <w:rFonts w:hint="eastAsia" w:ascii="Times New Roman" w:hAnsi="Times New Roman" w:eastAsia="宋体" w:cs="Times New Roman"/>
                      <w:b w:val="0"/>
                      <w:bCs/>
                      <w:sz w:val="21"/>
                      <w:szCs w:val="21"/>
                      <w:lang w:val="en-US" w:eastAsia="zh-CN"/>
                    </w:rPr>
                  </w:pPr>
                  <w:r>
                    <w:rPr>
                      <w:rFonts w:hint="eastAsia"/>
                      <w:color w:val="auto"/>
                      <w:lang w:val="en-US" w:eastAsia="zh-CN"/>
                    </w:rPr>
                    <w:t>废机油、燃油滤清器</w:t>
                  </w:r>
                </w:p>
              </w:tc>
              <w:tc>
                <w:tcPr>
                  <w:tcW w:w="1070" w:type="dxa"/>
                  <w:noWrap w:val="0"/>
                  <w:vAlign w:val="center"/>
                </w:tcPr>
                <w:p w14:paraId="3ED91FCF">
                  <w:pPr>
                    <w:jc w:val="center"/>
                    <w:rPr>
                      <w:szCs w:val="21"/>
                    </w:rPr>
                  </w:pPr>
                  <w:r>
                    <w:rPr>
                      <w:rFonts w:hint="eastAsia"/>
                      <w:sz w:val="21"/>
                      <w:szCs w:val="21"/>
                      <w:lang w:val="en-US" w:eastAsia="zh-CN"/>
                    </w:rPr>
                    <w:t>危险废物</w:t>
                  </w:r>
                </w:p>
              </w:tc>
              <w:tc>
                <w:tcPr>
                  <w:tcW w:w="915" w:type="dxa"/>
                  <w:noWrap w:val="0"/>
                  <w:vAlign w:val="center"/>
                </w:tcPr>
                <w:p w14:paraId="4EFF5988">
                  <w:pPr>
                    <w:jc w:val="center"/>
                    <w:rPr>
                      <w:rFonts w:hint="eastAsia"/>
                      <w:szCs w:val="21"/>
                    </w:rPr>
                  </w:pPr>
                  <w:r>
                    <w:rPr>
                      <w:rFonts w:hint="eastAsia"/>
                      <w:color w:val="auto"/>
                      <w:lang w:val="en-US" w:eastAsia="zh-CN"/>
                    </w:rPr>
                    <w:t>HW08</w:t>
                  </w:r>
                </w:p>
              </w:tc>
              <w:tc>
                <w:tcPr>
                  <w:tcW w:w="796" w:type="dxa"/>
                  <w:noWrap w:val="0"/>
                  <w:vAlign w:val="center"/>
                </w:tcPr>
                <w:p w14:paraId="38BE552E">
                  <w:pPr>
                    <w:jc w:val="center"/>
                    <w:rPr>
                      <w:rFonts w:hint="eastAsia"/>
                      <w:kern w:val="0"/>
                      <w:szCs w:val="21"/>
                    </w:rPr>
                  </w:pPr>
                  <w:r>
                    <w:rPr>
                      <w:rFonts w:hint="eastAsia"/>
                      <w:color w:val="auto"/>
                      <w:lang w:val="en-US" w:eastAsia="zh-CN"/>
                    </w:rPr>
                    <w:t>固态</w:t>
                  </w:r>
                </w:p>
              </w:tc>
              <w:tc>
                <w:tcPr>
                  <w:tcW w:w="1302" w:type="dxa"/>
                  <w:noWrap w:val="0"/>
                  <w:vAlign w:val="center"/>
                </w:tcPr>
                <w:p w14:paraId="79F866D3">
                  <w:pPr>
                    <w:jc w:val="center"/>
                    <w:rPr>
                      <w:rFonts w:hint="eastAsia"/>
                      <w:bCs/>
                      <w:szCs w:val="21"/>
                    </w:rPr>
                  </w:pPr>
                  <w:r>
                    <w:rPr>
                      <w:rFonts w:hint="eastAsia"/>
                      <w:color w:val="auto"/>
                      <w:lang w:val="en-US" w:eastAsia="zh-CN"/>
                    </w:rPr>
                    <w:t>11.4</w:t>
                  </w:r>
                </w:p>
              </w:tc>
              <w:tc>
                <w:tcPr>
                  <w:tcW w:w="1177" w:type="dxa"/>
                  <w:vMerge w:val="continue"/>
                  <w:noWrap w:val="0"/>
                  <w:vAlign w:val="center"/>
                </w:tcPr>
                <w:p w14:paraId="40064978">
                  <w:pPr>
                    <w:pStyle w:val="29"/>
                    <w:spacing w:line="240" w:lineRule="auto"/>
                    <w:jc w:val="center"/>
                    <w:rPr>
                      <w:rFonts w:hint="eastAsia" w:cs="Times New Roman"/>
                      <w:color w:val="auto"/>
                      <w:sz w:val="21"/>
                      <w:szCs w:val="21"/>
                    </w:rPr>
                  </w:pPr>
                </w:p>
              </w:tc>
              <w:tc>
                <w:tcPr>
                  <w:tcW w:w="1227" w:type="dxa"/>
                  <w:noWrap w:val="0"/>
                  <w:vAlign w:val="center"/>
                </w:tcPr>
                <w:p w14:paraId="3311ABCE">
                  <w:pPr>
                    <w:adjustRightInd w:val="0"/>
                    <w:snapToGrid w:val="0"/>
                    <w:jc w:val="center"/>
                    <w:outlineLvl w:val="0"/>
                    <w:rPr>
                      <w:rFonts w:hint="eastAsia"/>
                      <w:snapToGrid w:val="0"/>
                      <w:szCs w:val="21"/>
                    </w:rPr>
                  </w:pPr>
                  <w:r>
                    <w:rPr>
                      <w:rFonts w:hint="eastAsia"/>
                      <w:snapToGrid w:val="0"/>
                      <w:szCs w:val="21"/>
                    </w:rPr>
                    <w:t>0</w:t>
                  </w:r>
                </w:p>
              </w:tc>
              <w:tc>
                <w:tcPr>
                  <w:tcW w:w="1062" w:type="dxa"/>
                  <w:noWrap w:val="0"/>
                  <w:vAlign w:val="center"/>
                </w:tcPr>
                <w:p w14:paraId="4A44A3C3">
                  <w:pPr>
                    <w:pStyle w:val="58"/>
                    <w:adjustRightInd w:val="0"/>
                    <w:snapToGrid w:val="0"/>
                    <w:jc w:val="center"/>
                    <w:rPr>
                      <w:sz w:val="21"/>
                      <w:szCs w:val="21"/>
                      <w:lang w:eastAsia="zh-CN"/>
                    </w:rPr>
                  </w:pPr>
                  <w:r>
                    <w:rPr>
                      <w:sz w:val="21"/>
                      <w:szCs w:val="21"/>
                      <w:lang w:eastAsia="zh-CN"/>
                    </w:rPr>
                    <w:t>0</w:t>
                  </w:r>
                </w:p>
              </w:tc>
              <w:tc>
                <w:tcPr>
                  <w:tcW w:w="1004" w:type="dxa"/>
                  <w:noWrap w:val="0"/>
                  <w:vAlign w:val="center"/>
                </w:tcPr>
                <w:p w14:paraId="300CF748">
                  <w:pPr>
                    <w:pStyle w:val="58"/>
                    <w:adjustRightInd w:val="0"/>
                    <w:snapToGrid w:val="0"/>
                    <w:jc w:val="center"/>
                    <w:rPr>
                      <w:sz w:val="21"/>
                      <w:szCs w:val="21"/>
                      <w:lang w:eastAsia="zh-CN"/>
                    </w:rPr>
                  </w:pPr>
                  <w:r>
                    <w:rPr>
                      <w:sz w:val="21"/>
                      <w:szCs w:val="21"/>
                      <w:lang w:eastAsia="zh-CN"/>
                    </w:rPr>
                    <w:t>0</w:t>
                  </w:r>
                </w:p>
              </w:tc>
              <w:tc>
                <w:tcPr>
                  <w:tcW w:w="850" w:type="dxa"/>
                  <w:noWrap w:val="0"/>
                  <w:vAlign w:val="center"/>
                </w:tcPr>
                <w:p w14:paraId="042DAFDE">
                  <w:pPr>
                    <w:adjustRightInd w:val="0"/>
                    <w:snapToGrid w:val="0"/>
                    <w:jc w:val="center"/>
                    <w:outlineLvl w:val="0"/>
                    <w:rPr>
                      <w:szCs w:val="21"/>
                    </w:rPr>
                  </w:pPr>
                  <w:r>
                    <w:rPr>
                      <w:rFonts w:hint="eastAsia"/>
                      <w:snapToGrid w:val="0"/>
                      <w:szCs w:val="21"/>
                    </w:rPr>
                    <w:t>0</w:t>
                  </w:r>
                </w:p>
              </w:tc>
              <w:tc>
                <w:tcPr>
                  <w:tcW w:w="791" w:type="dxa"/>
                  <w:noWrap w:val="0"/>
                  <w:vAlign w:val="center"/>
                </w:tcPr>
                <w:p w14:paraId="5B3251F9">
                  <w:pPr>
                    <w:jc w:val="center"/>
                    <w:rPr>
                      <w:rFonts w:hint="eastAsia"/>
                      <w:bCs/>
                      <w:szCs w:val="21"/>
                    </w:rPr>
                  </w:pPr>
                  <w:r>
                    <w:rPr>
                      <w:rFonts w:hint="eastAsia"/>
                      <w:color w:val="auto"/>
                      <w:lang w:val="en-US" w:eastAsia="zh-CN"/>
                    </w:rPr>
                    <w:t>11.4</w:t>
                  </w:r>
                </w:p>
              </w:tc>
              <w:tc>
                <w:tcPr>
                  <w:tcW w:w="666" w:type="dxa"/>
                  <w:noWrap w:val="0"/>
                  <w:vAlign w:val="center"/>
                </w:tcPr>
                <w:p w14:paraId="593A8884">
                  <w:pPr>
                    <w:adjustRightInd w:val="0"/>
                    <w:snapToGrid w:val="0"/>
                    <w:jc w:val="center"/>
                    <w:rPr>
                      <w:szCs w:val="21"/>
                    </w:rPr>
                  </w:pPr>
                  <w:r>
                    <w:rPr>
                      <w:szCs w:val="21"/>
                    </w:rPr>
                    <w:t>0</w:t>
                  </w:r>
                </w:p>
              </w:tc>
              <w:tc>
                <w:tcPr>
                  <w:tcW w:w="543" w:type="dxa"/>
                  <w:noWrap w:val="0"/>
                  <w:vAlign w:val="center"/>
                </w:tcPr>
                <w:p w14:paraId="7D7E6176">
                  <w:pPr>
                    <w:adjustRightInd w:val="0"/>
                    <w:snapToGrid w:val="0"/>
                    <w:jc w:val="center"/>
                    <w:rPr>
                      <w:rFonts w:hint="eastAsia"/>
                      <w:szCs w:val="21"/>
                    </w:rPr>
                  </w:pPr>
                  <w:r>
                    <w:rPr>
                      <w:rFonts w:hint="eastAsia"/>
                      <w:szCs w:val="21"/>
                    </w:rPr>
                    <w:t>/</w:t>
                  </w:r>
                </w:p>
              </w:tc>
            </w:tr>
            <w:tr w14:paraId="35B29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8" w:type="dxa"/>
                  <w:noWrap w:val="0"/>
                  <w:vAlign w:val="center"/>
                </w:tcPr>
                <w:p w14:paraId="3D31479E">
                  <w:pPr>
                    <w:pStyle w:val="58"/>
                    <w:adjustRightInd w:val="0"/>
                    <w:snapToGrid w:val="0"/>
                    <w:jc w:val="center"/>
                    <w:rPr>
                      <w:rFonts w:hint="default"/>
                      <w:sz w:val="21"/>
                      <w:szCs w:val="21"/>
                      <w:lang w:val="en-US" w:eastAsia="zh-CN"/>
                    </w:rPr>
                  </w:pPr>
                  <w:r>
                    <w:rPr>
                      <w:rFonts w:hint="eastAsia"/>
                      <w:sz w:val="21"/>
                      <w:szCs w:val="21"/>
                      <w:lang w:val="en-US" w:eastAsia="zh-CN"/>
                    </w:rPr>
                    <w:t>9</w:t>
                  </w:r>
                </w:p>
              </w:tc>
              <w:tc>
                <w:tcPr>
                  <w:tcW w:w="654" w:type="dxa"/>
                  <w:vMerge w:val="continue"/>
                  <w:noWrap w:val="0"/>
                  <w:vAlign w:val="center"/>
                </w:tcPr>
                <w:p w14:paraId="5270CECC">
                  <w:pPr>
                    <w:pStyle w:val="58"/>
                    <w:adjustRightInd w:val="0"/>
                    <w:snapToGrid w:val="0"/>
                    <w:jc w:val="center"/>
                    <w:rPr>
                      <w:rFonts w:hint="eastAsia"/>
                      <w:sz w:val="21"/>
                      <w:szCs w:val="21"/>
                      <w:lang w:eastAsia="zh-CN"/>
                    </w:rPr>
                  </w:pPr>
                </w:p>
              </w:tc>
              <w:tc>
                <w:tcPr>
                  <w:tcW w:w="1066" w:type="dxa"/>
                  <w:noWrap w:val="0"/>
                  <w:vAlign w:val="center"/>
                </w:tcPr>
                <w:p w14:paraId="4254543D">
                  <w:pPr>
                    <w:jc w:val="center"/>
                    <w:rPr>
                      <w:rFonts w:hint="eastAsia" w:ascii="Times New Roman" w:hAnsi="Times New Roman" w:eastAsia="宋体" w:cs="Times New Roman"/>
                      <w:b w:val="0"/>
                      <w:bCs/>
                      <w:sz w:val="21"/>
                      <w:szCs w:val="21"/>
                      <w:lang w:val="en-US" w:eastAsia="zh-CN"/>
                    </w:rPr>
                  </w:pPr>
                  <w:r>
                    <w:rPr>
                      <w:rFonts w:hint="eastAsia"/>
                      <w:color w:val="auto"/>
                      <w:lang w:val="en-US" w:eastAsia="zh-CN"/>
                    </w:rPr>
                    <w:t>废电容器</w:t>
                  </w:r>
                </w:p>
              </w:tc>
              <w:tc>
                <w:tcPr>
                  <w:tcW w:w="1070" w:type="dxa"/>
                  <w:noWrap w:val="0"/>
                  <w:vAlign w:val="center"/>
                </w:tcPr>
                <w:p w14:paraId="56A4D143">
                  <w:pPr>
                    <w:jc w:val="center"/>
                    <w:rPr>
                      <w:szCs w:val="21"/>
                    </w:rPr>
                  </w:pPr>
                  <w:r>
                    <w:rPr>
                      <w:rFonts w:hint="eastAsia"/>
                      <w:sz w:val="21"/>
                      <w:szCs w:val="21"/>
                      <w:lang w:val="en-US" w:eastAsia="zh-CN"/>
                    </w:rPr>
                    <w:t>危险废物</w:t>
                  </w:r>
                </w:p>
              </w:tc>
              <w:tc>
                <w:tcPr>
                  <w:tcW w:w="915" w:type="dxa"/>
                  <w:noWrap w:val="0"/>
                  <w:vAlign w:val="center"/>
                </w:tcPr>
                <w:p w14:paraId="4291BEE1">
                  <w:pPr>
                    <w:jc w:val="center"/>
                    <w:rPr>
                      <w:rFonts w:hint="eastAsia"/>
                      <w:szCs w:val="21"/>
                    </w:rPr>
                  </w:pPr>
                  <w:r>
                    <w:rPr>
                      <w:rFonts w:hint="eastAsia"/>
                      <w:color w:val="auto"/>
                      <w:lang w:val="en-US" w:eastAsia="zh-CN"/>
                    </w:rPr>
                    <w:t>HW49</w:t>
                  </w:r>
                </w:p>
              </w:tc>
              <w:tc>
                <w:tcPr>
                  <w:tcW w:w="796" w:type="dxa"/>
                  <w:noWrap w:val="0"/>
                  <w:vAlign w:val="center"/>
                </w:tcPr>
                <w:p w14:paraId="4EDEDDFC">
                  <w:pPr>
                    <w:jc w:val="center"/>
                    <w:rPr>
                      <w:rFonts w:hint="eastAsia"/>
                      <w:kern w:val="0"/>
                      <w:szCs w:val="21"/>
                    </w:rPr>
                  </w:pPr>
                  <w:r>
                    <w:rPr>
                      <w:rFonts w:hint="eastAsia"/>
                      <w:color w:val="auto"/>
                      <w:lang w:val="en-US" w:eastAsia="zh-CN"/>
                    </w:rPr>
                    <w:t>固态</w:t>
                  </w:r>
                </w:p>
              </w:tc>
              <w:tc>
                <w:tcPr>
                  <w:tcW w:w="1302" w:type="dxa"/>
                  <w:noWrap w:val="0"/>
                  <w:vAlign w:val="center"/>
                </w:tcPr>
                <w:p w14:paraId="3E405041">
                  <w:pPr>
                    <w:jc w:val="center"/>
                    <w:rPr>
                      <w:rFonts w:hint="eastAsia"/>
                      <w:bCs/>
                      <w:szCs w:val="21"/>
                    </w:rPr>
                  </w:pPr>
                  <w:r>
                    <w:rPr>
                      <w:rFonts w:hint="eastAsia"/>
                      <w:color w:val="auto"/>
                      <w:lang w:val="en-US" w:eastAsia="zh-CN"/>
                    </w:rPr>
                    <w:t>24.5</w:t>
                  </w:r>
                </w:p>
              </w:tc>
              <w:tc>
                <w:tcPr>
                  <w:tcW w:w="1177" w:type="dxa"/>
                  <w:vMerge w:val="continue"/>
                  <w:noWrap w:val="0"/>
                  <w:vAlign w:val="center"/>
                </w:tcPr>
                <w:p w14:paraId="2F3BCACF">
                  <w:pPr>
                    <w:pStyle w:val="29"/>
                    <w:spacing w:line="240" w:lineRule="auto"/>
                    <w:jc w:val="center"/>
                    <w:rPr>
                      <w:rFonts w:hint="eastAsia" w:cs="Times New Roman"/>
                      <w:color w:val="auto"/>
                      <w:sz w:val="21"/>
                      <w:szCs w:val="21"/>
                    </w:rPr>
                  </w:pPr>
                </w:p>
              </w:tc>
              <w:tc>
                <w:tcPr>
                  <w:tcW w:w="1227" w:type="dxa"/>
                  <w:noWrap w:val="0"/>
                  <w:vAlign w:val="center"/>
                </w:tcPr>
                <w:p w14:paraId="3586B89A">
                  <w:pPr>
                    <w:pStyle w:val="20"/>
                    <w:adjustRightInd w:val="0"/>
                    <w:snapToGrid w:val="0"/>
                    <w:spacing w:before="0" w:beforeAutospacing="0" w:after="0" w:afterAutospacing="0"/>
                    <w:jc w:val="center"/>
                    <w:outlineLvl w:val="0"/>
                    <w:rPr>
                      <w:rFonts w:hint="eastAsia"/>
                      <w:snapToGrid w:val="0"/>
                      <w:szCs w:val="21"/>
                    </w:rPr>
                  </w:pPr>
                  <w:r>
                    <w:rPr>
                      <w:rFonts w:hint="eastAsia" w:ascii="Times New Roman" w:hAnsi="Times New Roman"/>
                      <w:snapToGrid w:val="0"/>
                      <w:sz w:val="21"/>
                      <w:szCs w:val="21"/>
                      <w:lang w:val="en-US" w:eastAsia="zh-CN"/>
                    </w:rPr>
                    <w:t>0</w:t>
                  </w:r>
                </w:p>
              </w:tc>
              <w:tc>
                <w:tcPr>
                  <w:tcW w:w="1062" w:type="dxa"/>
                  <w:noWrap w:val="0"/>
                  <w:vAlign w:val="center"/>
                </w:tcPr>
                <w:p w14:paraId="422A245B">
                  <w:pPr>
                    <w:pStyle w:val="58"/>
                    <w:adjustRightInd w:val="0"/>
                    <w:snapToGrid w:val="0"/>
                    <w:jc w:val="center"/>
                    <w:rPr>
                      <w:sz w:val="21"/>
                      <w:szCs w:val="21"/>
                      <w:lang w:eastAsia="zh-CN"/>
                    </w:rPr>
                  </w:pPr>
                  <w:r>
                    <w:rPr>
                      <w:sz w:val="21"/>
                      <w:szCs w:val="21"/>
                      <w:lang w:eastAsia="zh-CN"/>
                    </w:rPr>
                    <w:t>0</w:t>
                  </w:r>
                </w:p>
              </w:tc>
              <w:tc>
                <w:tcPr>
                  <w:tcW w:w="1004" w:type="dxa"/>
                  <w:noWrap w:val="0"/>
                  <w:vAlign w:val="center"/>
                </w:tcPr>
                <w:p w14:paraId="1689EFC4">
                  <w:pPr>
                    <w:pStyle w:val="58"/>
                    <w:adjustRightInd w:val="0"/>
                    <w:snapToGrid w:val="0"/>
                    <w:jc w:val="center"/>
                    <w:rPr>
                      <w:sz w:val="21"/>
                      <w:szCs w:val="21"/>
                      <w:lang w:eastAsia="zh-CN"/>
                    </w:rPr>
                  </w:pPr>
                  <w:r>
                    <w:rPr>
                      <w:sz w:val="21"/>
                      <w:szCs w:val="21"/>
                      <w:lang w:eastAsia="zh-CN"/>
                    </w:rPr>
                    <w:t>0</w:t>
                  </w:r>
                </w:p>
              </w:tc>
              <w:tc>
                <w:tcPr>
                  <w:tcW w:w="850" w:type="dxa"/>
                  <w:noWrap w:val="0"/>
                  <w:vAlign w:val="center"/>
                </w:tcPr>
                <w:p w14:paraId="585FA995">
                  <w:pPr>
                    <w:pStyle w:val="20"/>
                    <w:adjustRightInd w:val="0"/>
                    <w:snapToGrid w:val="0"/>
                    <w:spacing w:before="0" w:beforeAutospacing="0" w:after="0" w:afterAutospacing="0"/>
                    <w:jc w:val="center"/>
                    <w:outlineLvl w:val="0"/>
                    <w:rPr>
                      <w:szCs w:val="21"/>
                    </w:rPr>
                  </w:pPr>
                  <w:r>
                    <w:rPr>
                      <w:rFonts w:hint="eastAsia" w:ascii="Times New Roman" w:hAnsi="Times New Roman"/>
                      <w:snapToGrid w:val="0"/>
                      <w:sz w:val="21"/>
                      <w:szCs w:val="21"/>
                      <w:lang w:val="en-US" w:eastAsia="zh-CN"/>
                    </w:rPr>
                    <w:t>0</w:t>
                  </w:r>
                </w:p>
              </w:tc>
              <w:tc>
                <w:tcPr>
                  <w:tcW w:w="791" w:type="dxa"/>
                  <w:noWrap w:val="0"/>
                  <w:vAlign w:val="center"/>
                </w:tcPr>
                <w:p w14:paraId="6EF2BFD2">
                  <w:pPr>
                    <w:jc w:val="center"/>
                    <w:rPr>
                      <w:rFonts w:hint="eastAsia"/>
                      <w:bCs/>
                      <w:szCs w:val="21"/>
                    </w:rPr>
                  </w:pPr>
                  <w:r>
                    <w:rPr>
                      <w:rFonts w:hint="eastAsia"/>
                      <w:color w:val="auto"/>
                      <w:lang w:val="en-US" w:eastAsia="zh-CN"/>
                    </w:rPr>
                    <w:t>24.5</w:t>
                  </w:r>
                </w:p>
              </w:tc>
              <w:tc>
                <w:tcPr>
                  <w:tcW w:w="666" w:type="dxa"/>
                  <w:noWrap w:val="0"/>
                  <w:vAlign w:val="center"/>
                </w:tcPr>
                <w:p w14:paraId="17083428">
                  <w:pPr>
                    <w:adjustRightInd w:val="0"/>
                    <w:snapToGrid w:val="0"/>
                    <w:jc w:val="center"/>
                    <w:rPr>
                      <w:szCs w:val="21"/>
                    </w:rPr>
                  </w:pPr>
                  <w:r>
                    <w:rPr>
                      <w:szCs w:val="21"/>
                    </w:rPr>
                    <w:t>0</w:t>
                  </w:r>
                </w:p>
              </w:tc>
              <w:tc>
                <w:tcPr>
                  <w:tcW w:w="543" w:type="dxa"/>
                  <w:noWrap w:val="0"/>
                  <w:vAlign w:val="center"/>
                </w:tcPr>
                <w:p w14:paraId="1FE9F7AA">
                  <w:pPr>
                    <w:adjustRightInd w:val="0"/>
                    <w:snapToGrid w:val="0"/>
                    <w:jc w:val="center"/>
                    <w:rPr>
                      <w:rFonts w:hint="eastAsia"/>
                      <w:szCs w:val="21"/>
                    </w:rPr>
                  </w:pPr>
                  <w:r>
                    <w:rPr>
                      <w:rFonts w:hint="eastAsia"/>
                      <w:szCs w:val="21"/>
                    </w:rPr>
                    <w:t>/</w:t>
                  </w:r>
                </w:p>
              </w:tc>
            </w:tr>
            <w:tr w14:paraId="46862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8" w:type="dxa"/>
                  <w:noWrap w:val="0"/>
                  <w:vAlign w:val="center"/>
                </w:tcPr>
                <w:p w14:paraId="3C912046">
                  <w:pPr>
                    <w:pStyle w:val="58"/>
                    <w:adjustRightInd w:val="0"/>
                    <w:snapToGrid w:val="0"/>
                    <w:jc w:val="center"/>
                    <w:rPr>
                      <w:rFonts w:hint="default"/>
                      <w:sz w:val="21"/>
                      <w:szCs w:val="21"/>
                      <w:lang w:val="en-US" w:eastAsia="zh-CN"/>
                    </w:rPr>
                  </w:pPr>
                  <w:r>
                    <w:rPr>
                      <w:rFonts w:hint="eastAsia"/>
                      <w:sz w:val="21"/>
                      <w:szCs w:val="21"/>
                      <w:lang w:val="en-US" w:eastAsia="zh-CN"/>
                    </w:rPr>
                    <w:t>10</w:t>
                  </w:r>
                </w:p>
              </w:tc>
              <w:tc>
                <w:tcPr>
                  <w:tcW w:w="654" w:type="dxa"/>
                  <w:vMerge w:val="continue"/>
                  <w:noWrap w:val="0"/>
                  <w:vAlign w:val="center"/>
                </w:tcPr>
                <w:p w14:paraId="4FC51392">
                  <w:pPr>
                    <w:pStyle w:val="58"/>
                    <w:adjustRightInd w:val="0"/>
                    <w:snapToGrid w:val="0"/>
                    <w:jc w:val="center"/>
                    <w:rPr>
                      <w:rFonts w:hint="eastAsia"/>
                      <w:sz w:val="21"/>
                      <w:szCs w:val="21"/>
                      <w:lang w:eastAsia="zh-CN"/>
                    </w:rPr>
                  </w:pPr>
                </w:p>
              </w:tc>
              <w:tc>
                <w:tcPr>
                  <w:tcW w:w="1066" w:type="dxa"/>
                  <w:noWrap w:val="0"/>
                  <w:vAlign w:val="center"/>
                </w:tcPr>
                <w:p w14:paraId="0204AEC1">
                  <w:pPr>
                    <w:jc w:val="center"/>
                    <w:rPr>
                      <w:rFonts w:hint="eastAsia" w:ascii="Times New Roman" w:hAnsi="Times New Roman" w:eastAsia="宋体" w:cs="Times New Roman"/>
                      <w:b w:val="0"/>
                      <w:bCs/>
                      <w:sz w:val="21"/>
                      <w:szCs w:val="21"/>
                      <w:lang w:val="en-US" w:eastAsia="zh-CN"/>
                    </w:rPr>
                  </w:pPr>
                  <w:r>
                    <w:rPr>
                      <w:rFonts w:hint="eastAsia"/>
                      <w:color w:val="auto"/>
                      <w:lang w:val="en-US" w:eastAsia="zh-CN"/>
                    </w:rPr>
                    <w:t>废尾气净化器</w:t>
                  </w:r>
                </w:p>
              </w:tc>
              <w:tc>
                <w:tcPr>
                  <w:tcW w:w="1070" w:type="dxa"/>
                  <w:noWrap w:val="0"/>
                  <w:vAlign w:val="center"/>
                </w:tcPr>
                <w:p w14:paraId="63AFB0F5">
                  <w:pPr>
                    <w:jc w:val="center"/>
                    <w:rPr>
                      <w:szCs w:val="21"/>
                    </w:rPr>
                  </w:pPr>
                  <w:r>
                    <w:rPr>
                      <w:rFonts w:hint="eastAsia"/>
                      <w:sz w:val="21"/>
                      <w:szCs w:val="21"/>
                      <w:lang w:val="en-US" w:eastAsia="zh-CN"/>
                    </w:rPr>
                    <w:t>危险废物</w:t>
                  </w:r>
                </w:p>
              </w:tc>
              <w:tc>
                <w:tcPr>
                  <w:tcW w:w="915" w:type="dxa"/>
                  <w:noWrap w:val="0"/>
                  <w:vAlign w:val="center"/>
                </w:tcPr>
                <w:p w14:paraId="16D6026E">
                  <w:pPr>
                    <w:jc w:val="center"/>
                    <w:rPr>
                      <w:rFonts w:hint="eastAsia"/>
                      <w:szCs w:val="21"/>
                    </w:rPr>
                  </w:pPr>
                  <w:r>
                    <w:rPr>
                      <w:rFonts w:hint="eastAsia"/>
                      <w:color w:val="auto"/>
                      <w:lang w:val="en-US" w:eastAsia="zh-CN"/>
                    </w:rPr>
                    <w:t>HW50</w:t>
                  </w:r>
                </w:p>
              </w:tc>
              <w:tc>
                <w:tcPr>
                  <w:tcW w:w="796" w:type="dxa"/>
                  <w:noWrap w:val="0"/>
                  <w:vAlign w:val="center"/>
                </w:tcPr>
                <w:p w14:paraId="7CA15545">
                  <w:pPr>
                    <w:jc w:val="center"/>
                    <w:rPr>
                      <w:rFonts w:hint="eastAsia"/>
                      <w:kern w:val="0"/>
                      <w:szCs w:val="21"/>
                    </w:rPr>
                  </w:pPr>
                  <w:r>
                    <w:rPr>
                      <w:rFonts w:hint="eastAsia"/>
                      <w:color w:val="auto"/>
                      <w:lang w:val="en-US" w:eastAsia="zh-CN"/>
                    </w:rPr>
                    <w:t>固态</w:t>
                  </w:r>
                </w:p>
              </w:tc>
              <w:tc>
                <w:tcPr>
                  <w:tcW w:w="1302" w:type="dxa"/>
                  <w:noWrap w:val="0"/>
                  <w:vAlign w:val="center"/>
                </w:tcPr>
                <w:p w14:paraId="1CD7C2AA">
                  <w:pPr>
                    <w:jc w:val="center"/>
                    <w:rPr>
                      <w:rFonts w:hint="eastAsia"/>
                      <w:bCs/>
                      <w:szCs w:val="21"/>
                    </w:rPr>
                  </w:pPr>
                  <w:r>
                    <w:rPr>
                      <w:rFonts w:hint="eastAsia"/>
                      <w:color w:val="auto"/>
                      <w:lang w:val="en-US" w:eastAsia="zh-CN"/>
                    </w:rPr>
                    <w:t>11.15</w:t>
                  </w:r>
                </w:p>
              </w:tc>
              <w:tc>
                <w:tcPr>
                  <w:tcW w:w="1177" w:type="dxa"/>
                  <w:vMerge w:val="continue"/>
                  <w:noWrap w:val="0"/>
                  <w:vAlign w:val="center"/>
                </w:tcPr>
                <w:p w14:paraId="0AC8F732">
                  <w:pPr>
                    <w:pStyle w:val="29"/>
                    <w:spacing w:line="240" w:lineRule="auto"/>
                    <w:jc w:val="center"/>
                    <w:rPr>
                      <w:rFonts w:hint="eastAsia" w:cs="Times New Roman"/>
                      <w:color w:val="auto"/>
                      <w:sz w:val="21"/>
                      <w:szCs w:val="21"/>
                    </w:rPr>
                  </w:pPr>
                </w:p>
              </w:tc>
              <w:tc>
                <w:tcPr>
                  <w:tcW w:w="1227" w:type="dxa"/>
                  <w:noWrap w:val="0"/>
                  <w:vAlign w:val="center"/>
                </w:tcPr>
                <w:p w14:paraId="647876CB">
                  <w:pPr>
                    <w:adjustRightInd w:val="0"/>
                    <w:snapToGrid w:val="0"/>
                    <w:jc w:val="center"/>
                    <w:outlineLvl w:val="0"/>
                    <w:rPr>
                      <w:rFonts w:hint="eastAsia"/>
                      <w:snapToGrid w:val="0"/>
                      <w:szCs w:val="21"/>
                    </w:rPr>
                  </w:pPr>
                  <w:r>
                    <w:rPr>
                      <w:rFonts w:hint="eastAsia"/>
                      <w:snapToGrid w:val="0"/>
                      <w:szCs w:val="21"/>
                    </w:rPr>
                    <w:t>0</w:t>
                  </w:r>
                </w:p>
              </w:tc>
              <w:tc>
                <w:tcPr>
                  <w:tcW w:w="1062" w:type="dxa"/>
                  <w:noWrap w:val="0"/>
                  <w:vAlign w:val="center"/>
                </w:tcPr>
                <w:p w14:paraId="4EC93A7C">
                  <w:pPr>
                    <w:pStyle w:val="58"/>
                    <w:adjustRightInd w:val="0"/>
                    <w:snapToGrid w:val="0"/>
                    <w:jc w:val="center"/>
                    <w:rPr>
                      <w:sz w:val="21"/>
                      <w:szCs w:val="21"/>
                      <w:lang w:eastAsia="zh-CN"/>
                    </w:rPr>
                  </w:pPr>
                  <w:r>
                    <w:rPr>
                      <w:sz w:val="21"/>
                      <w:szCs w:val="21"/>
                      <w:lang w:eastAsia="zh-CN"/>
                    </w:rPr>
                    <w:t>0</w:t>
                  </w:r>
                </w:p>
              </w:tc>
              <w:tc>
                <w:tcPr>
                  <w:tcW w:w="1004" w:type="dxa"/>
                  <w:noWrap w:val="0"/>
                  <w:vAlign w:val="center"/>
                </w:tcPr>
                <w:p w14:paraId="17682298">
                  <w:pPr>
                    <w:pStyle w:val="58"/>
                    <w:adjustRightInd w:val="0"/>
                    <w:snapToGrid w:val="0"/>
                    <w:jc w:val="center"/>
                    <w:rPr>
                      <w:sz w:val="21"/>
                      <w:szCs w:val="21"/>
                      <w:lang w:eastAsia="zh-CN"/>
                    </w:rPr>
                  </w:pPr>
                  <w:r>
                    <w:rPr>
                      <w:sz w:val="21"/>
                      <w:szCs w:val="21"/>
                      <w:lang w:eastAsia="zh-CN"/>
                    </w:rPr>
                    <w:t>0</w:t>
                  </w:r>
                </w:p>
              </w:tc>
              <w:tc>
                <w:tcPr>
                  <w:tcW w:w="850" w:type="dxa"/>
                  <w:noWrap w:val="0"/>
                  <w:vAlign w:val="center"/>
                </w:tcPr>
                <w:p w14:paraId="0E0B7260">
                  <w:pPr>
                    <w:adjustRightInd w:val="0"/>
                    <w:snapToGrid w:val="0"/>
                    <w:jc w:val="center"/>
                    <w:outlineLvl w:val="0"/>
                    <w:rPr>
                      <w:szCs w:val="21"/>
                    </w:rPr>
                  </w:pPr>
                  <w:r>
                    <w:rPr>
                      <w:rFonts w:hint="eastAsia"/>
                      <w:snapToGrid w:val="0"/>
                      <w:szCs w:val="21"/>
                    </w:rPr>
                    <w:t>0</w:t>
                  </w:r>
                </w:p>
              </w:tc>
              <w:tc>
                <w:tcPr>
                  <w:tcW w:w="791" w:type="dxa"/>
                  <w:noWrap w:val="0"/>
                  <w:vAlign w:val="center"/>
                </w:tcPr>
                <w:p w14:paraId="35B481D4">
                  <w:pPr>
                    <w:jc w:val="center"/>
                    <w:rPr>
                      <w:rFonts w:hint="eastAsia"/>
                      <w:bCs/>
                      <w:szCs w:val="21"/>
                    </w:rPr>
                  </w:pPr>
                  <w:r>
                    <w:rPr>
                      <w:rFonts w:hint="eastAsia"/>
                      <w:color w:val="auto"/>
                      <w:lang w:val="en-US" w:eastAsia="zh-CN"/>
                    </w:rPr>
                    <w:t>11.15</w:t>
                  </w:r>
                </w:p>
              </w:tc>
              <w:tc>
                <w:tcPr>
                  <w:tcW w:w="666" w:type="dxa"/>
                  <w:noWrap w:val="0"/>
                  <w:vAlign w:val="center"/>
                </w:tcPr>
                <w:p w14:paraId="367979F9">
                  <w:pPr>
                    <w:adjustRightInd w:val="0"/>
                    <w:snapToGrid w:val="0"/>
                    <w:jc w:val="center"/>
                    <w:rPr>
                      <w:szCs w:val="21"/>
                    </w:rPr>
                  </w:pPr>
                  <w:r>
                    <w:rPr>
                      <w:szCs w:val="21"/>
                    </w:rPr>
                    <w:t>0</w:t>
                  </w:r>
                </w:p>
              </w:tc>
              <w:tc>
                <w:tcPr>
                  <w:tcW w:w="543" w:type="dxa"/>
                  <w:noWrap w:val="0"/>
                  <w:vAlign w:val="center"/>
                </w:tcPr>
                <w:p w14:paraId="6ABA51DE">
                  <w:pPr>
                    <w:adjustRightInd w:val="0"/>
                    <w:snapToGrid w:val="0"/>
                    <w:jc w:val="center"/>
                    <w:rPr>
                      <w:rFonts w:hint="eastAsia"/>
                      <w:szCs w:val="21"/>
                    </w:rPr>
                  </w:pPr>
                  <w:r>
                    <w:rPr>
                      <w:rFonts w:hint="eastAsia"/>
                      <w:szCs w:val="21"/>
                    </w:rPr>
                    <w:t>/</w:t>
                  </w:r>
                </w:p>
              </w:tc>
            </w:tr>
            <w:tr w14:paraId="62688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8" w:type="dxa"/>
                  <w:noWrap w:val="0"/>
                  <w:vAlign w:val="center"/>
                </w:tcPr>
                <w:p w14:paraId="501022AA">
                  <w:pPr>
                    <w:pStyle w:val="58"/>
                    <w:adjustRightInd w:val="0"/>
                    <w:snapToGrid w:val="0"/>
                    <w:jc w:val="center"/>
                    <w:rPr>
                      <w:rFonts w:hint="default"/>
                      <w:sz w:val="21"/>
                      <w:szCs w:val="21"/>
                      <w:lang w:val="en-US" w:eastAsia="zh-CN"/>
                    </w:rPr>
                  </w:pPr>
                  <w:r>
                    <w:rPr>
                      <w:rFonts w:hint="eastAsia"/>
                      <w:sz w:val="21"/>
                      <w:szCs w:val="21"/>
                      <w:lang w:val="en-US" w:eastAsia="zh-CN"/>
                    </w:rPr>
                    <w:t>11</w:t>
                  </w:r>
                </w:p>
              </w:tc>
              <w:tc>
                <w:tcPr>
                  <w:tcW w:w="654" w:type="dxa"/>
                  <w:vMerge w:val="continue"/>
                  <w:noWrap w:val="0"/>
                  <w:vAlign w:val="center"/>
                </w:tcPr>
                <w:p w14:paraId="2FF42245">
                  <w:pPr>
                    <w:pStyle w:val="58"/>
                    <w:adjustRightInd w:val="0"/>
                    <w:snapToGrid w:val="0"/>
                    <w:jc w:val="center"/>
                    <w:rPr>
                      <w:rFonts w:hint="eastAsia"/>
                      <w:sz w:val="21"/>
                      <w:szCs w:val="21"/>
                      <w:lang w:eastAsia="zh-CN"/>
                    </w:rPr>
                  </w:pPr>
                </w:p>
              </w:tc>
              <w:tc>
                <w:tcPr>
                  <w:tcW w:w="1066" w:type="dxa"/>
                  <w:noWrap w:val="0"/>
                  <w:vAlign w:val="center"/>
                </w:tcPr>
                <w:p w14:paraId="5E725CA3">
                  <w:pPr>
                    <w:jc w:val="center"/>
                    <w:rPr>
                      <w:rFonts w:hint="eastAsia" w:ascii="Times New Roman" w:hAnsi="Times New Roman" w:eastAsia="宋体" w:cs="Times New Roman"/>
                      <w:b w:val="0"/>
                      <w:bCs/>
                      <w:sz w:val="21"/>
                      <w:szCs w:val="21"/>
                      <w:lang w:val="en-US" w:eastAsia="zh-CN"/>
                    </w:rPr>
                  </w:pPr>
                  <w:r>
                    <w:rPr>
                      <w:rFonts w:hint="eastAsia"/>
                      <w:color w:val="auto"/>
                      <w:lang w:val="en-US" w:eastAsia="zh-CN"/>
                    </w:rPr>
                    <w:t>废电路板及电子元器件</w:t>
                  </w:r>
                </w:p>
              </w:tc>
              <w:tc>
                <w:tcPr>
                  <w:tcW w:w="1070" w:type="dxa"/>
                  <w:noWrap w:val="0"/>
                  <w:vAlign w:val="center"/>
                </w:tcPr>
                <w:p w14:paraId="7AE55BE2">
                  <w:pPr>
                    <w:jc w:val="center"/>
                    <w:rPr>
                      <w:szCs w:val="21"/>
                    </w:rPr>
                  </w:pPr>
                  <w:r>
                    <w:rPr>
                      <w:rFonts w:hint="eastAsia"/>
                      <w:sz w:val="21"/>
                      <w:szCs w:val="21"/>
                      <w:lang w:val="en-US" w:eastAsia="zh-CN"/>
                    </w:rPr>
                    <w:t>危险废物</w:t>
                  </w:r>
                </w:p>
              </w:tc>
              <w:tc>
                <w:tcPr>
                  <w:tcW w:w="915" w:type="dxa"/>
                  <w:noWrap w:val="0"/>
                  <w:vAlign w:val="center"/>
                </w:tcPr>
                <w:p w14:paraId="3B13BBE5">
                  <w:pPr>
                    <w:jc w:val="center"/>
                    <w:rPr>
                      <w:rFonts w:hint="eastAsia"/>
                      <w:szCs w:val="21"/>
                    </w:rPr>
                  </w:pPr>
                  <w:r>
                    <w:rPr>
                      <w:rFonts w:hint="eastAsia"/>
                      <w:color w:val="auto"/>
                      <w:lang w:val="en-US" w:eastAsia="zh-CN"/>
                    </w:rPr>
                    <w:t>HW49</w:t>
                  </w:r>
                </w:p>
              </w:tc>
              <w:tc>
                <w:tcPr>
                  <w:tcW w:w="796" w:type="dxa"/>
                  <w:noWrap w:val="0"/>
                  <w:vAlign w:val="center"/>
                </w:tcPr>
                <w:p w14:paraId="0B2971BF">
                  <w:pPr>
                    <w:jc w:val="center"/>
                    <w:rPr>
                      <w:rFonts w:hint="eastAsia"/>
                      <w:kern w:val="0"/>
                      <w:szCs w:val="21"/>
                    </w:rPr>
                  </w:pPr>
                  <w:r>
                    <w:rPr>
                      <w:rFonts w:hint="eastAsia"/>
                      <w:color w:val="auto"/>
                      <w:lang w:val="en-US" w:eastAsia="zh-CN"/>
                    </w:rPr>
                    <w:t>固态</w:t>
                  </w:r>
                </w:p>
              </w:tc>
              <w:tc>
                <w:tcPr>
                  <w:tcW w:w="1302" w:type="dxa"/>
                  <w:noWrap w:val="0"/>
                  <w:vAlign w:val="center"/>
                </w:tcPr>
                <w:p w14:paraId="22174735">
                  <w:pPr>
                    <w:jc w:val="center"/>
                    <w:rPr>
                      <w:rFonts w:hint="eastAsia"/>
                      <w:bCs/>
                      <w:szCs w:val="21"/>
                    </w:rPr>
                  </w:pPr>
                  <w:r>
                    <w:rPr>
                      <w:rFonts w:hint="eastAsia"/>
                      <w:color w:val="auto"/>
                      <w:lang w:val="en-US" w:eastAsia="zh-CN"/>
                    </w:rPr>
                    <w:t>49.2</w:t>
                  </w:r>
                </w:p>
              </w:tc>
              <w:tc>
                <w:tcPr>
                  <w:tcW w:w="1177" w:type="dxa"/>
                  <w:vMerge w:val="continue"/>
                  <w:noWrap w:val="0"/>
                  <w:vAlign w:val="center"/>
                </w:tcPr>
                <w:p w14:paraId="5D4FF915">
                  <w:pPr>
                    <w:pStyle w:val="29"/>
                    <w:spacing w:line="240" w:lineRule="auto"/>
                    <w:jc w:val="center"/>
                    <w:rPr>
                      <w:rFonts w:hint="eastAsia" w:cs="Times New Roman"/>
                      <w:color w:val="auto"/>
                      <w:sz w:val="21"/>
                      <w:szCs w:val="21"/>
                    </w:rPr>
                  </w:pPr>
                </w:p>
              </w:tc>
              <w:tc>
                <w:tcPr>
                  <w:tcW w:w="1227" w:type="dxa"/>
                  <w:noWrap w:val="0"/>
                  <w:vAlign w:val="center"/>
                </w:tcPr>
                <w:p w14:paraId="0DF89A3B">
                  <w:pPr>
                    <w:pStyle w:val="20"/>
                    <w:adjustRightInd w:val="0"/>
                    <w:snapToGrid w:val="0"/>
                    <w:spacing w:before="0" w:beforeAutospacing="0" w:after="0" w:afterAutospacing="0"/>
                    <w:jc w:val="center"/>
                    <w:outlineLvl w:val="0"/>
                    <w:rPr>
                      <w:rFonts w:hint="eastAsia"/>
                      <w:snapToGrid w:val="0"/>
                      <w:szCs w:val="21"/>
                    </w:rPr>
                  </w:pPr>
                  <w:r>
                    <w:rPr>
                      <w:rFonts w:hint="eastAsia" w:ascii="Times New Roman" w:hAnsi="Times New Roman"/>
                      <w:snapToGrid w:val="0"/>
                      <w:sz w:val="21"/>
                      <w:szCs w:val="21"/>
                      <w:lang w:val="en-US" w:eastAsia="zh-CN"/>
                    </w:rPr>
                    <w:t>0</w:t>
                  </w:r>
                </w:p>
              </w:tc>
              <w:tc>
                <w:tcPr>
                  <w:tcW w:w="1062" w:type="dxa"/>
                  <w:noWrap w:val="0"/>
                  <w:vAlign w:val="center"/>
                </w:tcPr>
                <w:p w14:paraId="291F7310">
                  <w:pPr>
                    <w:pStyle w:val="58"/>
                    <w:adjustRightInd w:val="0"/>
                    <w:snapToGrid w:val="0"/>
                    <w:jc w:val="center"/>
                    <w:rPr>
                      <w:sz w:val="21"/>
                      <w:szCs w:val="21"/>
                      <w:lang w:eastAsia="zh-CN"/>
                    </w:rPr>
                  </w:pPr>
                  <w:r>
                    <w:rPr>
                      <w:sz w:val="21"/>
                      <w:szCs w:val="21"/>
                      <w:lang w:eastAsia="zh-CN"/>
                    </w:rPr>
                    <w:t>0</w:t>
                  </w:r>
                </w:p>
              </w:tc>
              <w:tc>
                <w:tcPr>
                  <w:tcW w:w="1004" w:type="dxa"/>
                  <w:noWrap w:val="0"/>
                  <w:vAlign w:val="center"/>
                </w:tcPr>
                <w:p w14:paraId="2E5A69D8">
                  <w:pPr>
                    <w:pStyle w:val="58"/>
                    <w:adjustRightInd w:val="0"/>
                    <w:snapToGrid w:val="0"/>
                    <w:jc w:val="center"/>
                    <w:rPr>
                      <w:sz w:val="21"/>
                      <w:szCs w:val="21"/>
                      <w:lang w:eastAsia="zh-CN"/>
                    </w:rPr>
                  </w:pPr>
                  <w:r>
                    <w:rPr>
                      <w:sz w:val="21"/>
                      <w:szCs w:val="21"/>
                      <w:lang w:eastAsia="zh-CN"/>
                    </w:rPr>
                    <w:t>0</w:t>
                  </w:r>
                </w:p>
              </w:tc>
              <w:tc>
                <w:tcPr>
                  <w:tcW w:w="850" w:type="dxa"/>
                  <w:noWrap w:val="0"/>
                  <w:vAlign w:val="center"/>
                </w:tcPr>
                <w:p w14:paraId="406CC5A7">
                  <w:pPr>
                    <w:pStyle w:val="20"/>
                    <w:adjustRightInd w:val="0"/>
                    <w:snapToGrid w:val="0"/>
                    <w:spacing w:before="0" w:beforeAutospacing="0" w:after="0" w:afterAutospacing="0"/>
                    <w:jc w:val="center"/>
                    <w:outlineLvl w:val="0"/>
                    <w:rPr>
                      <w:szCs w:val="21"/>
                    </w:rPr>
                  </w:pPr>
                  <w:r>
                    <w:rPr>
                      <w:rFonts w:hint="eastAsia" w:ascii="Times New Roman" w:hAnsi="Times New Roman"/>
                      <w:snapToGrid w:val="0"/>
                      <w:sz w:val="21"/>
                      <w:szCs w:val="21"/>
                      <w:lang w:val="en-US" w:eastAsia="zh-CN"/>
                    </w:rPr>
                    <w:t>0</w:t>
                  </w:r>
                </w:p>
              </w:tc>
              <w:tc>
                <w:tcPr>
                  <w:tcW w:w="791" w:type="dxa"/>
                  <w:noWrap w:val="0"/>
                  <w:vAlign w:val="center"/>
                </w:tcPr>
                <w:p w14:paraId="49478EDE">
                  <w:pPr>
                    <w:jc w:val="center"/>
                    <w:rPr>
                      <w:rFonts w:hint="eastAsia"/>
                      <w:bCs/>
                      <w:szCs w:val="21"/>
                    </w:rPr>
                  </w:pPr>
                  <w:r>
                    <w:rPr>
                      <w:rFonts w:hint="eastAsia"/>
                      <w:color w:val="auto"/>
                      <w:lang w:val="en-US" w:eastAsia="zh-CN"/>
                    </w:rPr>
                    <w:t>49.2</w:t>
                  </w:r>
                </w:p>
              </w:tc>
              <w:tc>
                <w:tcPr>
                  <w:tcW w:w="666" w:type="dxa"/>
                  <w:noWrap w:val="0"/>
                  <w:vAlign w:val="center"/>
                </w:tcPr>
                <w:p w14:paraId="28D284D5">
                  <w:pPr>
                    <w:adjustRightInd w:val="0"/>
                    <w:snapToGrid w:val="0"/>
                    <w:jc w:val="center"/>
                    <w:rPr>
                      <w:szCs w:val="21"/>
                    </w:rPr>
                  </w:pPr>
                  <w:r>
                    <w:rPr>
                      <w:szCs w:val="21"/>
                    </w:rPr>
                    <w:t>0</w:t>
                  </w:r>
                </w:p>
              </w:tc>
              <w:tc>
                <w:tcPr>
                  <w:tcW w:w="543" w:type="dxa"/>
                  <w:noWrap w:val="0"/>
                  <w:vAlign w:val="center"/>
                </w:tcPr>
                <w:p w14:paraId="2FEA0830">
                  <w:pPr>
                    <w:adjustRightInd w:val="0"/>
                    <w:snapToGrid w:val="0"/>
                    <w:jc w:val="center"/>
                    <w:rPr>
                      <w:rFonts w:hint="eastAsia"/>
                      <w:szCs w:val="21"/>
                    </w:rPr>
                  </w:pPr>
                  <w:r>
                    <w:rPr>
                      <w:rFonts w:hint="eastAsia"/>
                      <w:szCs w:val="21"/>
                    </w:rPr>
                    <w:t>/</w:t>
                  </w:r>
                </w:p>
              </w:tc>
            </w:tr>
            <w:tr w14:paraId="1049F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8" w:type="dxa"/>
                  <w:noWrap w:val="0"/>
                  <w:vAlign w:val="center"/>
                </w:tcPr>
                <w:p w14:paraId="70D6017A">
                  <w:pPr>
                    <w:pStyle w:val="58"/>
                    <w:adjustRightInd w:val="0"/>
                    <w:snapToGrid w:val="0"/>
                    <w:jc w:val="center"/>
                    <w:rPr>
                      <w:rFonts w:hint="default"/>
                      <w:sz w:val="21"/>
                      <w:szCs w:val="21"/>
                      <w:lang w:val="en-US" w:eastAsia="zh-CN"/>
                    </w:rPr>
                  </w:pPr>
                  <w:r>
                    <w:rPr>
                      <w:rFonts w:hint="eastAsia"/>
                      <w:sz w:val="21"/>
                      <w:szCs w:val="21"/>
                      <w:lang w:val="en-US" w:eastAsia="zh-CN"/>
                    </w:rPr>
                    <w:t>12</w:t>
                  </w:r>
                </w:p>
              </w:tc>
              <w:tc>
                <w:tcPr>
                  <w:tcW w:w="654" w:type="dxa"/>
                  <w:vMerge w:val="continue"/>
                  <w:noWrap w:val="0"/>
                  <w:vAlign w:val="center"/>
                </w:tcPr>
                <w:p w14:paraId="7EA5A1E4">
                  <w:pPr>
                    <w:pStyle w:val="58"/>
                    <w:adjustRightInd w:val="0"/>
                    <w:snapToGrid w:val="0"/>
                    <w:jc w:val="center"/>
                    <w:rPr>
                      <w:rFonts w:hint="eastAsia"/>
                      <w:sz w:val="21"/>
                      <w:szCs w:val="21"/>
                      <w:lang w:eastAsia="zh-CN"/>
                    </w:rPr>
                  </w:pPr>
                </w:p>
              </w:tc>
              <w:tc>
                <w:tcPr>
                  <w:tcW w:w="1066" w:type="dxa"/>
                  <w:noWrap w:val="0"/>
                  <w:vAlign w:val="center"/>
                </w:tcPr>
                <w:p w14:paraId="57EE24FE">
                  <w:pPr>
                    <w:jc w:val="center"/>
                    <w:rPr>
                      <w:rFonts w:hint="eastAsia" w:ascii="Times New Roman" w:hAnsi="Times New Roman" w:eastAsia="宋体" w:cs="Times New Roman"/>
                      <w:b w:val="0"/>
                      <w:bCs/>
                      <w:sz w:val="21"/>
                      <w:szCs w:val="21"/>
                      <w:lang w:val="en-US" w:eastAsia="zh-CN"/>
                    </w:rPr>
                  </w:pPr>
                  <w:r>
                    <w:rPr>
                      <w:rFonts w:hint="eastAsia"/>
                      <w:color w:val="auto"/>
                      <w:lang w:val="en-US" w:eastAsia="zh-CN"/>
                    </w:rPr>
                    <w:t>废活性炭</w:t>
                  </w:r>
                </w:p>
              </w:tc>
              <w:tc>
                <w:tcPr>
                  <w:tcW w:w="1070" w:type="dxa"/>
                  <w:noWrap w:val="0"/>
                  <w:vAlign w:val="center"/>
                </w:tcPr>
                <w:p w14:paraId="7A8E9DC4">
                  <w:pPr>
                    <w:jc w:val="center"/>
                    <w:rPr>
                      <w:szCs w:val="21"/>
                    </w:rPr>
                  </w:pPr>
                  <w:r>
                    <w:rPr>
                      <w:rFonts w:hint="eastAsia"/>
                      <w:sz w:val="21"/>
                      <w:szCs w:val="21"/>
                      <w:lang w:val="en-US" w:eastAsia="zh-CN"/>
                    </w:rPr>
                    <w:t>危险废物</w:t>
                  </w:r>
                </w:p>
              </w:tc>
              <w:tc>
                <w:tcPr>
                  <w:tcW w:w="915" w:type="dxa"/>
                  <w:noWrap w:val="0"/>
                  <w:vAlign w:val="center"/>
                </w:tcPr>
                <w:p w14:paraId="051398FB">
                  <w:pPr>
                    <w:jc w:val="center"/>
                    <w:rPr>
                      <w:rFonts w:hint="eastAsia"/>
                      <w:szCs w:val="21"/>
                    </w:rPr>
                  </w:pPr>
                  <w:r>
                    <w:rPr>
                      <w:rFonts w:hint="eastAsia"/>
                      <w:color w:val="auto"/>
                      <w:lang w:val="en-US" w:eastAsia="zh-CN"/>
                    </w:rPr>
                    <w:t>HW49</w:t>
                  </w:r>
                </w:p>
              </w:tc>
              <w:tc>
                <w:tcPr>
                  <w:tcW w:w="796" w:type="dxa"/>
                  <w:noWrap w:val="0"/>
                  <w:vAlign w:val="center"/>
                </w:tcPr>
                <w:p w14:paraId="57DFD9F1">
                  <w:pPr>
                    <w:jc w:val="center"/>
                    <w:rPr>
                      <w:rFonts w:hint="eastAsia"/>
                      <w:kern w:val="0"/>
                      <w:szCs w:val="21"/>
                    </w:rPr>
                  </w:pPr>
                  <w:r>
                    <w:rPr>
                      <w:rFonts w:hint="eastAsia"/>
                      <w:color w:val="auto"/>
                      <w:lang w:val="en-US" w:eastAsia="zh-CN"/>
                    </w:rPr>
                    <w:t>固态</w:t>
                  </w:r>
                </w:p>
              </w:tc>
              <w:tc>
                <w:tcPr>
                  <w:tcW w:w="1302" w:type="dxa"/>
                  <w:noWrap w:val="0"/>
                  <w:vAlign w:val="center"/>
                </w:tcPr>
                <w:p w14:paraId="3D9455DF">
                  <w:pPr>
                    <w:jc w:val="center"/>
                    <w:rPr>
                      <w:rFonts w:hint="eastAsia"/>
                      <w:bCs/>
                      <w:szCs w:val="21"/>
                    </w:rPr>
                  </w:pPr>
                  <w:r>
                    <w:rPr>
                      <w:rFonts w:hint="eastAsia"/>
                      <w:color w:val="auto"/>
                      <w:lang w:val="en-US" w:eastAsia="zh-CN"/>
                    </w:rPr>
                    <w:t>0.26</w:t>
                  </w:r>
                </w:p>
              </w:tc>
              <w:tc>
                <w:tcPr>
                  <w:tcW w:w="1177" w:type="dxa"/>
                  <w:vMerge w:val="continue"/>
                  <w:noWrap w:val="0"/>
                  <w:vAlign w:val="center"/>
                </w:tcPr>
                <w:p w14:paraId="70945201">
                  <w:pPr>
                    <w:pStyle w:val="29"/>
                    <w:spacing w:line="240" w:lineRule="auto"/>
                    <w:jc w:val="center"/>
                    <w:rPr>
                      <w:rFonts w:hint="eastAsia" w:cs="Times New Roman"/>
                      <w:color w:val="auto"/>
                      <w:sz w:val="21"/>
                      <w:szCs w:val="21"/>
                    </w:rPr>
                  </w:pPr>
                </w:p>
              </w:tc>
              <w:tc>
                <w:tcPr>
                  <w:tcW w:w="1227" w:type="dxa"/>
                  <w:noWrap w:val="0"/>
                  <w:vAlign w:val="center"/>
                </w:tcPr>
                <w:p w14:paraId="5CC12832">
                  <w:pPr>
                    <w:adjustRightInd w:val="0"/>
                    <w:snapToGrid w:val="0"/>
                    <w:jc w:val="center"/>
                    <w:outlineLvl w:val="0"/>
                    <w:rPr>
                      <w:rFonts w:hint="eastAsia"/>
                      <w:snapToGrid w:val="0"/>
                      <w:szCs w:val="21"/>
                    </w:rPr>
                  </w:pPr>
                  <w:r>
                    <w:rPr>
                      <w:rFonts w:hint="eastAsia"/>
                      <w:snapToGrid w:val="0"/>
                      <w:szCs w:val="21"/>
                    </w:rPr>
                    <w:t>0</w:t>
                  </w:r>
                </w:p>
              </w:tc>
              <w:tc>
                <w:tcPr>
                  <w:tcW w:w="1062" w:type="dxa"/>
                  <w:noWrap w:val="0"/>
                  <w:vAlign w:val="center"/>
                </w:tcPr>
                <w:p w14:paraId="6BA8688D">
                  <w:pPr>
                    <w:pStyle w:val="58"/>
                    <w:adjustRightInd w:val="0"/>
                    <w:snapToGrid w:val="0"/>
                    <w:jc w:val="center"/>
                    <w:rPr>
                      <w:sz w:val="21"/>
                      <w:szCs w:val="21"/>
                      <w:lang w:eastAsia="zh-CN"/>
                    </w:rPr>
                  </w:pPr>
                  <w:r>
                    <w:rPr>
                      <w:sz w:val="21"/>
                      <w:szCs w:val="21"/>
                      <w:lang w:eastAsia="zh-CN"/>
                    </w:rPr>
                    <w:t>0</w:t>
                  </w:r>
                </w:p>
              </w:tc>
              <w:tc>
                <w:tcPr>
                  <w:tcW w:w="1004" w:type="dxa"/>
                  <w:noWrap w:val="0"/>
                  <w:vAlign w:val="center"/>
                </w:tcPr>
                <w:p w14:paraId="2ABC5B5E">
                  <w:pPr>
                    <w:pStyle w:val="58"/>
                    <w:adjustRightInd w:val="0"/>
                    <w:snapToGrid w:val="0"/>
                    <w:jc w:val="center"/>
                    <w:rPr>
                      <w:sz w:val="21"/>
                      <w:szCs w:val="21"/>
                      <w:lang w:eastAsia="zh-CN"/>
                    </w:rPr>
                  </w:pPr>
                  <w:r>
                    <w:rPr>
                      <w:sz w:val="21"/>
                      <w:szCs w:val="21"/>
                      <w:lang w:eastAsia="zh-CN"/>
                    </w:rPr>
                    <w:t>0</w:t>
                  </w:r>
                </w:p>
              </w:tc>
              <w:tc>
                <w:tcPr>
                  <w:tcW w:w="850" w:type="dxa"/>
                  <w:noWrap w:val="0"/>
                  <w:vAlign w:val="center"/>
                </w:tcPr>
                <w:p w14:paraId="68771225">
                  <w:pPr>
                    <w:adjustRightInd w:val="0"/>
                    <w:snapToGrid w:val="0"/>
                    <w:jc w:val="center"/>
                    <w:outlineLvl w:val="0"/>
                    <w:rPr>
                      <w:szCs w:val="21"/>
                    </w:rPr>
                  </w:pPr>
                  <w:r>
                    <w:rPr>
                      <w:rFonts w:hint="eastAsia"/>
                      <w:snapToGrid w:val="0"/>
                      <w:szCs w:val="21"/>
                    </w:rPr>
                    <w:t>0</w:t>
                  </w:r>
                </w:p>
              </w:tc>
              <w:tc>
                <w:tcPr>
                  <w:tcW w:w="791" w:type="dxa"/>
                  <w:noWrap w:val="0"/>
                  <w:vAlign w:val="center"/>
                </w:tcPr>
                <w:p w14:paraId="5AF00BFF">
                  <w:pPr>
                    <w:jc w:val="center"/>
                    <w:rPr>
                      <w:rFonts w:hint="eastAsia"/>
                      <w:bCs/>
                      <w:szCs w:val="21"/>
                    </w:rPr>
                  </w:pPr>
                  <w:r>
                    <w:rPr>
                      <w:rFonts w:hint="eastAsia"/>
                      <w:color w:val="auto"/>
                      <w:lang w:val="en-US" w:eastAsia="zh-CN"/>
                    </w:rPr>
                    <w:t>0.26</w:t>
                  </w:r>
                </w:p>
              </w:tc>
              <w:tc>
                <w:tcPr>
                  <w:tcW w:w="666" w:type="dxa"/>
                  <w:noWrap w:val="0"/>
                  <w:vAlign w:val="center"/>
                </w:tcPr>
                <w:p w14:paraId="7FFBF6C8">
                  <w:pPr>
                    <w:adjustRightInd w:val="0"/>
                    <w:snapToGrid w:val="0"/>
                    <w:jc w:val="center"/>
                    <w:rPr>
                      <w:szCs w:val="21"/>
                    </w:rPr>
                  </w:pPr>
                  <w:r>
                    <w:rPr>
                      <w:szCs w:val="21"/>
                    </w:rPr>
                    <w:t>0</w:t>
                  </w:r>
                </w:p>
              </w:tc>
              <w:tc>
                <w:tcPr>
                  <w:tcW w:w="543" w:type="dxa"/>
                  <w:noWrap w:val="0"/>
                  <w:vAlign w:val="center"/>
                </w:tcPr>
                <w:p w14:paraId="64B3AE59">
                  <w:pPr>
                    <w:adjustRightInd w:val="0"/>
                    <w:snapToGrid w:val="0"/>
                    <w:jc w:val="center"/>
                    <w:rPr>
                      <w:rFonts w:hint="eastAsia"/>
                      <w:szCs w:val="21"/>
                    </w:rPr>
                  </w:pPr>
                  <w:r>
                    <w:rPr>
                      <w:rFonts w:hint="eastAsia"/>
                      <w:szCs w:val="21"/>
                    </w:rPr>
                    <w:t>/</w:t>
                  </w:r>
                </w:p>
              </w:tc>
            </w:tr>
            <w:tr w14:paraId="2DD66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8" w:type="dxa"/>
                  <w:noWrap w:val="0"/>
                  <w:vAlign w:val="center"/>
                </w:tcPr>
                <w:p w14:paraId="790163CC">
                  <w:pPr>
                    <w:pStyle w:val="58"/>
                    <w:adjustRightInd w:val="0"/>
                    <w:snapToGrid w:val="0"/>
                    <w:jc w:val="center"/>
                    <w:rPr>
                      <w:rFonts w:hint="default"/>
                      <w:sz w:val="21"/>
                      <w:szCs w:val="21"/>
                      <w:lang w:val="en-US" w:eastAsia="zh-CN"/>
                    </w:rPr>
                  </w:pPr>
                  <w:r>
                    <w:rPr>
                      <w:rFonts w:hint="eastAsia"/>
                      <w:sz w:val="21"/>
                      <w:szCs w:val="21"/>
                      <w:lang w:val="en-US" w:eastAsia="zh-CN"/>
                    </w:rPr>
                    <w:t>13</w:t>
                  </w:r>
                </w:p>
              </w:tc>
              <w:tc>
                <w:tcPr>
                  <w:tcW w:w="654" w:type="dxa"/>
                  <w:vMerge w:val="continue"/>
                  <w:noWrap w:val="0"/>
                  <w:vAlign w:val="center"/>
                </w:tcPr>
                <w:p w14:paraId="5E1DACD3">
                  <w:pPr>
                    <w:pStyle w:val="58"/>
                    <w:adjustRightInd w:val="0"/>
                    <w:snapToGrid w:val="0"/>
                    <w:jc w:val="center"/>
                    <w:rPr>
                      <w:rFonts w:hint="eastAsia"/>
                      <w:sz w:val="21"/>
                      <w:szCs w:val="21"/>
                      <w:lang w:eastAsia="zh-CN"/>
                    </w:rPr>
                  </w:pPr>
                </w:p>
              </w:tc>
              <w:tc>
                <w:tcPr>
                  <w:tcW w:w="1066" w:type="dxa"/>
                  <w:noWrap w:val="0"/>
                  <w:vAlign w:val="center"/>
                </w:tcPr>
                <w:p w14:paraId="4C0478F1">
                  <w:pPr>
                    <w:jc w:val="center"/>
                    <w:rPr>
                      <w:rFonts w:hint="eastAsia" w:ascii="Times New Roman" w:hAnsi="Times New Roman" w:eastAsia="宋体" w:cs="Times New Roman"/>
                      <w:b w:val="0"/>
                      <w:bCs/>
                      <w:sz w:val="21"/>
                      <w:szCs w:val="21"/>
                      <w:lang w:val="en-US" w:eastAsia="zh-CN"/>
                    </w:rPr>
                  </w:pPr>
                  <w:r>
                    <w:rPr>
                      <w:rFonts w:hint="eastAsia"/>
                      <w:color w:val="auto"/>
                      <w:lang w:val="en-US" w:eastAsia="zh-CN"/>
                    </w:rPr>
                    <w:t>污水处理站油泥</w:t>
                  </w:r>
                </w:p>
              </w:tc>
              <w:tc>
                <w:tcPr>
                  <w:tcW w:w="1070" w:type="dxa"/>
                  <w:noWrap w:val="0"/>
                  <w:vAlign w:val="center"/>
                </w:tcPr>
                <w:p w14:paraId="4ED8F305">
                  <w:pPr>
                    <w:jc w:val="center"/>
                    <w:rPr>
                      <w:szCs w:val="21"/>
                    </w:rPr>
                  </w:pPr>
                  <w:r>
                    <w:rPr>
                      <w:rFonts w:hint="eastAsia"/>
                      <w:sz w:val="21"/>
                      <w:szCs w:val="21"/>
                      <w:lang w:val="en-US" w:eastAsia="zh-CN"/>
                    </w:rPr>
                    <w:t>危险废物</w:t>
                  </w:r>
                </w:p>
              </w:tc>
              <w:tc>
                <w:tcPr>
                  <w:tcW w:w="915" w:type="dxa"/>
                  <w:noWrap w:val="0"/>
                  <w:vAlign w:val="center"/>
                </w:tcPr>
                <w:p w14:paraId="4CB03692">
                  <w:pPr>
                    <w:jc w:val="center"/>
                    <w:rPr>
                      <w:rFonts w:hint="eastAsia"/>
                      <w:szCs w:val="21"/>
                    </w:rPr>
                  </w:pPr>
                  <w:r>
                    <w:rPr>
                      <w:rFonts w:hint="eastAsia"/>
                      <w:color w:val="auto"/>
                      <w:lang w:val="en-US" w:eastAsia="zh-CN"/>
                    </w:rPr>
                    <w:t>HW08</w:t>
                  </w:r>
                </w:p>
              </w:tc>
              <w:tc>
                <w:tcPr>
                  <w:tcW w:w="796" w:type="dxa"/>
                  <w:noWrap w:val="0"/>
                  <w:vAlign w:val="center"/>
                </w:tcPr>
                <w:p w14:paraId="13AFDAE1">
                  <w:pPr>
                    <w:jc w:val="center"/>
                    <w:rPr>
                      <w:rFonts w:hint="eastAsia"/>
                      <w:kern w:val="0"/>
                      <w:szCs w:val="21"/>
                    </w:rPr>
                  </w:pPr>
                  <w:r>
                    <w:rPr>
                      <w:rFonts w:hint="eastAsia"/>
                      <w:color w:val="auto"/>
                      <w:lang w:val="en-US" w:eastAsia="zh-CN"/>
                    </w:rPr>
                    <w:t>固态</w:t>
                  </w:r>
                </w:p>
              </w:tc>
              <w:tc>
                <w:tcPr>
                  <w:tcW w:w="1302" w:type="dxa"/>
                  <w:noWrap w:val="0"/>
                  <w:vAlign w:val="center"/>
                </w:tcPr>
                <w:p w14:paraId="3C79227B">
                  <w:pPr>
                    <w:jc w:val="center"/>
                    <w:rPr>
                      <w:rFonts w:hint="eastAsia"/>
                      <w:bCs/>
                      <w:szCs w:val="21"/>
                    </w:rPr>
                  </w:pPr>
                  <w:r>
                    <w:rPr>
                      <w:rFonts w:hint="eastAsia"/>
                      <w:color w:val="auto"/>
                      <w:lang w:val="en-US" w:eastAsia="zh-CN"/>
                    </w:rPr>
                    <w:t>20.174</w:t>
                  </w:r>
                </w:p>
              </w:tc>
              <w:tc>
                <w:tcPr>
                  <w:tcW w:w="1177" w:type="dxa"/>
                  <w:vMerge w:val="continue"/>
                  <w:noWrap w:val="0"/>
                  <w:vAlign w:val="center"/>
                </w:tcPr>
                <w:p w14:paraId="43F3AFE8">
                  <w:pPr>
                    <w:pStyle w:val="29"/>
                    <w:spacing w:line="240" w:lineRule="auto"/>
                    <w:jc w:val="center"/>
                    <w:rPr>
                      <w:rFonts w:hint="eastAsia" w:cs="Times New Roman"/>
                      <w:color w:val="auto"/>
                      <w:sz w:val="21"/>
                      <w:szCs w:val="21"/>
                    </w:rPr>
                  </w:pPr>
                </w:p>
              </w:tc>
              <w:tc>
                <w:tcPr>
                  <w:tcW w:w="1227" w:type="dxa"/>
                  <w:noWrap w:val="0"/>
                  <w:vAlign w:val="center"/>
                </w:tcPr>
                <w:p w14:paraId="33BF1BB3">
                  <w:pPr>
                    <w:pStyle w:val="20"/>
                    <w:adjustRightInd w:val="0"/>
                    <w:snapToGrid w:val="0"/>
                    <w:spacing w:before="0" w:beforeAutospacing="0" w:after="0" w:afterAutospacing="0"/>
                    <w:jc w:val="center"/>
                    <w:outlineLvl w:val="0"/>
                    <w:rPr>
                      <w:rFonts w:hint="eastAsia"/>
                      <w:snapToGrid w:val="0"/>
                      <w:szCs w:val="21"/>
                    </w:rPr>
                  </w:pPr>
                  <w:r>
                    <w:rPr>
                      <w:rFonts w:hint="eastAsia" w:ascii="Times New Roman" w:hAnsi="Times New Roman"/>
                      <w:snapToGrid w:val="0"/>
                      <w:sz w:val="21"/>
                      <w:szCs w:val="21"/>
                      <w:lang w:val="en-US" w:eastAsia="zh-CN"/>
                    </w:rPr>
                    <w:t>0</w:t>
                  </w:r>
                </w:p>
              </w:tc>
              <w:tc>
                <w:tcPr>
                  <w:tcW w:w="1062" w:type="dxa"/>
                  <w:noWrap w:val="0"/>
                  <w:vAlign w:val="center"/>
                </w:tcPr>
                <w:p w14:paraId="0F30D29D">
                  <w:pPr>
                    <w:pStyle w:val="58"/>
                    <w:adjustRightInd w:val="0"/>
                    <w:snapToGrid w:val="0"/>
                    <w:jc w:val="center"/>
                    <w:rPr>
                      <w:sz w:val="21"/>
                      <w:szCs w:val="21"/>
                      <w:lang w:eastAsia="zh-CN"/>
                    </w:rPr>
                  </w:pPr>
                  <w:r>
                    <w:rPr>
                      <w:sz w:val="21"/>
                      <w:szCs w:val="21"/>
                      <w:lang w:eastAsia="zh-CN"/>
                    </w:rPr>
                    <w:t>0</w:t>
                  </w:r>
                </w:p>
              </w:tc>
              <w:tc>
                <w:tcPr>
                  <w:tcW w:w="1004" w:type="dxa"/>
                  <w:noWrap w:val="0"/>
                  <w:vAlign w:val="center"/>
                </w:tcPr>
                <w:p w14:paraId="06E1D3F5">
                  <w:pPr>
                    <w:pStyle w:val="58"/>
                    <w:adjustRightInd w:val="0"/>
                    <w:snapToGrid w:val="0"/>
                    <w:jc w:val="center"/>
                    <w:rPr>
                      <w:sz w:val="21"/>
                      <w:szCs w:val="21"/>
                      <w:lang w:eastAsia="zh-CN"/>
                    </w:rPr>
                  </w:pPr>
                  <w:r>
                    <w:rPr>
                      <w:sz w:val="21"/>
                      <w:szCs w:val="21"/>
                      <w:lang w:eastAsia="zh-CN"/>
                    </w:rPr>
                    <w:t>0</w:t>
                  </w:r>
                </w:p>
              </w:tc>
              <w:tc>
                <w:tcPr>
                  <w:tcW w:w="850" w:type="dxa"/>
                  <w:noWrap w:val="0"/>
                  <w:vAlign w:val="center"/>
                </w:tcPr>
                <w:p w14:paraId="57C040BB">
                  <w:pPr>
                    <w:pStyle w:val="20"/>
                    <w:adjustRightInd w:val="0"/>
                    <w:snapToGrid w:val="0"/>
                    <w:spacing w:before="0" w:beforeAutospacing="0" w:after="0" w:afterAutospacing="0"/>
                    <w:jc w:val="center"/>
                    <w:outlineLvl w:val="0"/>
                    <w:rPr>
                      <w:szCs w:val="21"/>
                    </w:rPr>
                  </w:pPr>
                  <w:r>
                    <w:rPr>
                      <w:rFonts w:hint="eastAsia" w:ascii="Times New Roman" w:hAnsi="Times New Roman"/>
                      <w:snapToGrid w:val="0"/>
                      <w:sz w:val="21"/>
                      <w:szCs w:val="21"/>
                      <w:lang w:val="en-US" w:eastAsia="zh-CN"/>
                    </w:rPr>
                    <w:t>0</w:t>
                  </w:r>
                </w:p>
              </w:tc>
              <w:tc>
                <w:tcPr>
                  <w:tcW w:w="791" w:type="dxa"/>
                  <w:noWrap w:val="0"/>
                  <w:vAlign w:val="center"/>
                </w:tcPr>
                <w:p w14:paraId="231ACDC2">
                  <w:pPr>
                    <w:jc w:val="center"/>
                    <w:rPr>
                      <w:rFonts w:hint="eastAsia"/>
                      <w:bCs/>
                      <w:szCs w:val="21"/>
                    </w:rPr>
                  </w:pPr>
                  <w:r>
                    <w:rPr>
                      <w:rFonts w:hint="eastAsia"/>
                      <w:color w:val="auto"/>
                      <w:lang w:val="en-US" w:eastAsia="zh-CN"/>
                    </w:rPr>
                    <w:t>20.174</w:t>
                  </w:r>
                </w:p>
              </w:tc>
              <w:tc>
                <w:tcPr>
                  <w:tcW w:w="666" w:type="dxa"/>
                  <w:noWrap w:val="0"/>
                  <w:vAlign w:val="center"/>
                </w:tcPr>
                <w:p w14:paraId="3F896EF2">
                  <w:pPr>
                    <w:adjustRightInd w:val="0"/>
                    <w:snapToGrid w:val="0"/>
                    <w:jc w:val="center"/>
                    <w:rPr>
                      <w:szCs w:val="21"/>
                    </w:rPr>
                  </w:pPr>
                  <w:r>
                    <w:rPr>
                      <w:szCs w:val="21"/>
                    </w:rPr>
                    <w:t>0</w:t>
                  </w:r>
                </w:p>
              </w:tc>
              <w:tc>
                <w:tcPr>
                  <w:tcW w:w="543" w:type="dxa"/>
                  <w:noWrap w:val="0"/>
                  <w:vAlign w:val="center"/>
                </w:tcPr>
                <w:p w14:paraId="35523EDB">
                  <w:pPr>
                    <w:adjustRightInd w:val="0"/>
                    <w:snapToGrid w:val="0"/>
                    <w:jc w:val="center"/>
                    <w:rPr>
                      <w:rFonts w:hint="eastAsia"/>
                      <w:szCs w:val="21"/>
                    </w:rPr>
                  </w:pPr>
                  <w:r>
                    <w:rPr>
                      <w:rFonts w:hint="eastAsia"/>
                      <w:szCs w:val="21"/>
                    </w:rPr>
                    <w:t>/</w:t>
                  </w:r>
                </w:p>
              </w:tc>
            </w:tr>
            <w:tr w14:paraId="581E8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8" w:type="dxa"/>
                  <w:noWrap w:val="0"/>
                  <w:vAlign w:val="center"/>
                </w:tcPr>
                <w:p w14:paraId="0FFC2BE2">
                  <w:pPr>
                    <w:pStyle w:val="58"/>
                    <w:adjustRightInd w:val="0"/>
                    <w:snapToGrid w:val="0"/>
                    <w:jc w:val="center"/>
                    <w:rPr>
                      <w:rFonts w:hint="default"/>
                      <w:sz w:val="21"/>
                      <w:szCs w:val="21"/>
                      <w:lang w:val="en-US" w:eastAsia="zh-CN"/>
                    </w:rPr>
                  </w:pPr>
                  <w:r>
                    <w:rPr>
                      <w:rFonts w:hint="eastAsia"/>
                      <w:sz w:val="21"/>
                      <w:szCs w:val="21"/>
                      <w:lang w:val="en-US" w:eastAsia="zh-CN"/>
                    </w:rPr>
                    <w:t>14</w:t>
                  </w:r>
                </w:p>
              </w:tc>
              <w:tc>
                <w:tcPr>
                  <w:tcW w:w="654" w:type="dxa"/>
                  <w:vMerge w:val="continue"/>
                  <w:noWrap w:val="0"/>
                  <w:vAlign w:val="center"/>
                </w:tcPr>
                <w:p w14:paraId="6B45A01F">
                  <w:pPr>
                    <w:pStyle w:val="58"/>
                    <w:adjustRightInd w:val="0"/>
                    <w:snapToGrid w:val="0"/>
                    <w:jc w:val="center"/>
                    <w:rPr>
                      <w:rFonts w:hint="eastAsia"/>
                      <w:sz w:val="21"/>
                      <w:szCs w:val="21"/>
                      <w:lang w:eastAsia="zh-CN"/>
                    </w:rPr>
                  </w:pPr>
                </w:p>
              </w:tc>
              <w:tc>
                <w:tcPr>
                  <w:tcW w:w="1066" w:type="dxa"/>
                  <w:noWrap w:val="0"/>
                  <w:vAlign w:val="center"/>
                </w:tcPr>
                <w:p w14:paraId="02D83144">
                  <w:pPr>
                    <w:spacing w:line="240" w:lineRule="auto"/>
                    <w:jc w:val="center"/>
                    <w:rPr>
                      <w:rFonts w:hint="eastAsia" w:ascii="Times New Roman" w:hAnsi="Times New Roman" w:eastAsia="宋体" w:cs="Times New Roman"/>
                      <w:b w:val="0"/>
                      <w:bCs/>
                      <w:sz w:val="21"/>
                      <w:szCs w:val="21"/>
                      <w:lang w:val="en-US" w:eastAsia="zh-CN"/>
                    </w:rPr>
                  </w:pPr>
                  <w:r>
                    <w:rPr>
                      <w:rFonts w:hint="eastAsia"/>
                      <w:b w:val="0"/>
                      <w:bCs w:val="0"/>
                      <w:color w:val="auto"/>
                      <w:lang w:val="en-US" w:eastAsia="zh-CN"/>
                    </w:rPr>
                    <w:t>含油手套及抹布</w:t>
                  </w:r>
                </w:p>
              </w:tc>
              <w:tc>
                <w:tcPr>
                  <w:tcW w:w="1070" w:type="dxa"/>
                  <w:noWrap w:val="0"/>
                  <w:vAlign w:val="center"/>
                </w:tcPr>
                <w:p w14:paraId="2C83B048">
                  <w:pPr>
                    <w:jc w:val="center"/>
                    <w:rPr>
                      <w:szCs w:val="21"/>
                    </w:rPr>
                  </w:pPr>
                  <w:r>
                    <w:rPr>
                      <w:rFonts w:hint="eastAsia"/>
                      <w:sz w:val="21"/>
                      <w:szCs w:val="21"/>
                      <w:lang w:val="en-US" w:eastAsia="zh-CN"/>
                    </w:rPr>
                    <w:t>危险废物</w:t>
                  </w:r>
                </w:p>
              </w:tc>
              <w:tc>
                <w:tcPr>
                  <w:tcW w:w="915" w:type="dxa"/>
                  <w:noWrap w:val="0"/>
                  <w:vAlign w:val="center"/>
                </w:tcPr>
                <w:p w14:paraId="67C4616C">
                  <w:pPr>
                    <w:jc w:val="center"/>
                    <w:rPr>
                      <w:rFonts w:hint="eastAsia"/>
                      <w:szCs w:val="21"/>
                    </w:rPr>
                  </w:pPr>
                  <w:r>
                    <w:rPr>
                      <w:rFonts w:hint="eastAsia"/>
                      <w:color w:val="auto"/>
                      <w:lang w:val="en-US" w:eastAsia="zh-CN"/>
                    </w:rPr>
                    <w:t>豁免</w:t>
                  </w:r>
                </w:p>
              </w:tc>
              <w:tc>
                <w:tcPr>
                  <w:tcW w:w="796" w:type="dxa"/>
                  <w:noWrap w:val="0"/>
                  <w:vAlign w:val="center"/>
                </w:tcPr>
                <w:p w14:paraId="4F333739">
                  <w:pPr>
                    <w:jc w:val="center"/>
                    <w:rPr>
                      <w:rFonts w:hint="eastAsia"/>
                      <w:kern w:val="0"/>
                      <w:szCs w:val="21"/>
                    </w:rPr>
                  </w:pPr>
                  <w:r>
                    <w:rPr>
                      <w:rFonts w:hint="eastAsia"/>
                      <w:color w:val="auto"/>
                      <w:lang w:val="en-US" w:eastAsia="zh-CN"/>
                    </w:rPr>
                    <w:t>固态</w:t>
                  </w:r>
                </w:p>
              </w:tc>
              <w:tc>
                <w:tcPr>
                  <w:tcW w:w="1302" w:type="dxa"/>
                  <w:noWrap w:val="0"/>
                  <w:vAlign w:val="center"/>
                </w:tcPr>
                <w:p w14:paraId="3E570A83">
                  <w:pPr>
                    <w:jc w:val="center"/>
                    <w:rPr>
                      <w:rFonts w:hint="eastAsia"/>
                      <w:bCs/>
                      <w:szCs w:val="21"/>
                    </w:rPr>
                  </w:pPr>
                  <w:r>
                    <w:rPr>
                      <w:rFonts w:hint="eastAsia"/>
                      <w:color w:val="auto"/>
                      <w:lang w:val="en-US" w:eastAsia="zh-CN"/>
                    </w:rPr>
                    <w:t>0.1</w:t>
                  </w:r>
                </w:p>
              </w:tc>
              <w:tc>
                <w:tcPr>
                  <w:tcW w:w="1177" w:type="dxa"/>
                  <w:noWrap w:val="0"/>
                  <w:vAlign w:val="center"/>
                </w:tcPr>
                <w:p w14:paraId="622974BE">
                  <w:pPr>
                    <w:pStyle w:val="29"/>
                    <w:spacing w:line="240" w:lineRule="auto"/>
                    <w:jc w:val="center"/>
                    <w:rPr>
                      <w:rFonts w:hint="default" w:eastAsia="黑体" w:cs="Times New Roman"/>
                      <w:color w:val="auto"/>
                      <w:sz w:val="21"/>
                      <w:szCs w:val="21"/>
                      <w:lang w:val="en-US" w:eastAsia="zh-CN"/>
                    </w:rPr>
                  </w:pPr>
                  <w:r>
                    <w:rPr>
                      <w:rFonts w:hint="eastAsia" w:ascii="Times New Roman" w:hAnsi="Times New Roman" w:eastAsia="宋体" w:cs="Times New Roman"/>
                      <w:b w:val="0"/>
                      <w:bCs/>
                      <w:color w:val="auto"/>
                      <w:kern w:val="0"/>
                      <w:sz w:val="21"/>
                      <w:szCs w:val="21"/>
                      <w:lang w:val="en-US" w:eastAsia="zh-CN" w:bidi="ar-SA"/>
                    </w:rPr>
                    <w:t>环卫部门清运处理</w:t>
                  </w:r>
                </w:p>
              </w:tc>
              <w:tc>
                <w:tcPr>
                  <w:tcW w:w="1227" w:type="dxa"/>
                  <w:noWrap w:val="0"/>
                  <w:vAlign w:val="center"/>
                </w:tcPr>
                <w:p w14:paraId="6C43595F">
                  <w:pPr>
                    <w:pStyle w:val="20"/>
                    <w:adjustRightInd w:val="0"/>
                    <w:snapToGrid w:val="0"/>
                    <w:spacing w:before="0" w:beforeAutospacing="0" w:after="0" w:afterAutospacing="0"/>
                    <w:jc w:val="center"/>
                    <w:outlineLvl w:val="0"/>
                    <w:rPr>
                      <w:rFonts w:hint="eastAsia"/>
                      <w:snapToGrid w:val="0"/>
                      <w:szCs w:val="21"/>
                    </w:rPr>
                  </w:pPr>
                  <w:r>
                    <w:rPr>
                      <w:rFonts w:hint="eastAsia" w:ascii="Times New Roman" w:hAnsi="Times New Roman"/>
                      <w:snapToGrid w:val="0"/>
                      <w:sz w:val="21"/>
                      <w:szCs w:val="21"/>
                      <w:lang w:val="en-US" w:eastAsia="zh-CN"/>
                    </w:rPr>
                    <w:t>0</w:t>
                  </w:r>
                </w:p>
              </w:tc>
              <w:tc>
                <w:tcPr>
                  <w:tcW w:w="1062" w:type="dxa"/>
                  <w:noWrap w:val="0"/>
                  <w:vAlign w:val="center"/>
                </w:tcPr>
                <w:p w14:paraId="5B608983">
                  <w:pPr>
                    <w:pStyle w:val="58"/>
                    <w:adjustRightInd w:val="0"/>
                    <w:snapToGrid w:val="0"/>
                    <w:jc w:val="center"/>
                    <w:rPr>
                      <w:sz w:val="21"/>
                      <w:szCs w:val="21"/>
                      <w:lang w:eastAsia="zh-CN"/>
                    </w:rPr>
                  </w:pPr>
                  <w:r>
                    <w:rPr>
                      <w:sz w:val="21"/>
                      <w:szCs w:val="21"/>
                      <w:lang w:eastAsia="zh-CN"/>
                    </w:rPr>
                    <w:t>0</w:t>
                  </w:r>
                </w:p>
              </w:tc>
              <w:tc>
                <w:tcPr>
                  <w:tcW w:w="1004" w:type="dxa"/>
                  <w:noWrap w:val="0"/>
                  <w:vAlign w:val="center"/>
                </w:tcPr>
                <w:p w14:paraId="4E61304B">
                  <w:pPr>
                    <w:pStyle w:val="58"/>
                    <w:adjustRightInd w:val="0"/>
                    <w:snapToGrid w:val="0"/>
                    <w:jc w:val="center"/>
                    <w:rPr>
                      <w:sz w:val="21"/>
                      <w:szCs w:val="21"/>
                      <w:lang w:eastAsia="zh-CN"/>
                    </w:rPr>
                  </w:pPr>
                  <w:r>
                    <w:rPr>
                      <w:sz w:val="21"/>
                      <w:szCs w:val="21"/>
                      <w:lang w:eastAsia="zh-CN"/>
                    </w:rPr>
                    <w:t>0</w:t>
                  </w:r>
                </w:p>
              </w:tc>
              <w:tc>
                <w:tcPr>
                  <w:tcW w:w="850" w:type="dxa"/>
                  <w:noWrap w:val="0"/>
                  <w:vAlign w:val="center"/>
                </w:tcPr>
                <w:p w14:paraId="2FABCDAA">
                  <w:pPr>
                    <w:pStyle w:val="20"/>
                    <w:adjustRightInd w:val="0"/>
                    <w:snapToGrid w:val="0"/>
                    <w:spacing w:before="0" w:beforeAutospacing="0" w:after="0" w:afterAutospacing="0"/>
                    <w:jc w:val="center"/>
                    <w:outlineLvl w:val="0"/>
                    <w:rPr>
                      <w:szCs w:val="21"/>
                    </w:rPr>
                  </w:pPr>
                  <w:r>
                    <w:rPr>
                      <w:rFonts w:hint="eastAsia" w:ascii="Times New Roman" w:hAnsi="Times New Roman"/>
                      <w:snapToGrid w:val="0"/>
                      <w:sz w:val="21"/>
                      <w:szCs w:val="21"/>
                      <w:lang w:val="en-US" w:eastAsia="zh-CN"/>
                    </w:rPr>
                    <w:t>0</w:t>
                  </w:r>
                </w:p>
              </w:tc>
              <w:tc>
                <w:tcPr>
                  <w:tcW w:w="791" w:type="dxa"/>
                  <w:noWrap w:val="0"/>
                  <w:vAlign w:val="center"/>
                </w:tcPr>
                <w:p w14:paraId="4DBB3809">
                  <w:pPr>
                    <w:jc w:val="center"/>
                    <w:rPr>
                      <w:rFonts w:hint="default" w:eastAsia="宋体"/>
                      <w:bCs/>
                      <w:szCs w:val="21"/>
                      <w:lang w:val="en-US" w:eastAsia="zh-CN"/>
                    </w:rPr>
                  </w:pPr>
                  <w:r>
                    <w:rPr>
                      <w:rFonts w:hint="eastAsia"/>
                      <w:bCs/>
                      <w:szCs w:val="21"/>
                      <w:lang w:val="en-US" w:eastAsia="zh-CN"/>
                    </w:rPr>
                    <w:t>0.1</w:t>
                  </w:r>
                </w:p>
              </w:tc>
              <w:tc>
                <w:tcPr>
                  <w:tcW w:w="666" w:type="dxa"/>
                  <w:noWrap w:val="0"/>
                  <w:vAlign w:val="center"/>
                </w:tcPr>
                <w:p w14:paraId="2554CB3C">
                  <w:pPr>
                    <w:adjustRightInd w:val="0"/>
                    <w:snapToGrid w:val="0"/>
                    <w:jc w:val="center"/>
                    <w:rPr>
                      <w:szCs w:val="21"/>
                    </w:rPr>
                  </w:pPr>
                  <w:r>
                    <w:rPr>
                      <w:szCs w:val="21"/>
                    </w:rPr>
                    <w:t>0</w:t>
                  </w:r>
                </w:p>
              </w:tc>
              <w:tc>
                <w:tcPr>
                  <w:tcW w:w="543" w:type="dxa"/>
                  <w:noWrap w:val="0"/>
                  <w:vAlign w:val="center"/>
                </w:tcPr>
                <w:p w14:paraId="7DA4B03A">
                  <w:pPr>
                    <w:adjustRightInd w:val="0"/>
                    <w:snapToGrid w:val="0"/>
                    <w:jc w:val="center"/>
                    <w:rPr>
                      <w:rFonts w:hint="eastAsia"/>
                      <w:szCs w:val="21"/>
                    </w:rPr>
                  </w:pPr>
                  <w:r>
                    <w:rPr>
                      <w:rFonts w:hint="eastAsia"/>
                      <w:szCs w:val="21"/>
                    </w:rPr>
                    <w:t>/</w:t>
                  </w:r>
                </w:p>
              </w:tc>
            </w:tr>
            <w:tr w14:paraId="07EF4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8" w:type="dxa"/>
                  <w:noWrap w:val="0"/>
                  <w:vAlign w:val="center"/>
                </w:tcPr>
                <w:p w14:paraId="209192B0">
                  <w:pPr>
                    <w:pStyle w:val="58"/>
                    <w:adjustRightInd w:val="0"/>
                    <w:snapToGrid w:val="0"/>
                    <w:jc w:val="center"/>
                    <w:rPr>
                      <w:rFonts w:hint="default"/>
                      <w:sz w:val="21"/>
                      <w:szCs w:val="21"/>
                      <w:lang w:val="en-US" w:eastAsia="zh-CN"/>
                    </w:rPr>
                  </w:pPr>
                  <w:r>
                    <w:rPr>
                      <w:rFonts w:hint="eastAsia"/>
                      <w:sz w:val="21"/>
                      <w:szCs w:val="21"/>
                      <w:lang w:val="en-US" w:eastAsia="zh-CN"/>
                    </w:rPr>
                    <w:t>15</w:t>
                  </w:r>
                </w:p>
              </w:tc>
              <w:tc>
                <w:tcPr>
                  <w:tcW w:w="654" w:type="dxa"/>
                  <w:vMerge w:val="continue"/>
                  <w:noWrap w:val="0"/>
                  <w:vAlign w:val="center"/>
                </w:tcPr>
                <w:p w14:paraId="5A36057B">
                  <w:pPr>
                    <w:pStyle w:val="58"/>
                    <w:adjustRightInd w:val="0"/>
                    <w:snapToGrid w:val="0"/>
                    <w:jc w:val="center"/>
                    <w:rPr>
                      <w:rFonts w:hint="eastAsia"/>
                      <w:sz w:val="21"/>
                      <w:szCs w:val="21"/>
                      <w:lang w:eastAsia="zh-CN"/>
                    </w:rPr>
                  </w:pPr>
                </w:p>
              </w:tc>
              <w:tc>
                <w:tcPr>
                  <w:tcW w:w="1066" w:type="dxa"/>
                  <w:noWrap w:val="0"/>
                  <w:vAlign w:val="center"/>
                </w:tcPr>
                <w:p w14:paraId="0337A20C">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snapToGrid w:val="0"/>
                      <w:color w:val="000000"/>
                      <w:kern w:val="21"/>
                      <w:sz w:val="21"/>
                      <w:szCs w:val="21"/>
                      <w:lang w:val="en-US" w:eastAsia="zh-CN"/>
                    </w:rPr>
                    <w:t>其他不可利用固体废物</w:t>
                  </w:r>
                </w:p>
              </w:tc>
              <w:tc>
                <w:tcPr>
                  <w:tcW w:w="1070" w:type="dxa"/>
                  <w:noWrap w:val="0"/>
                  <w:vAlign w:val="center"/>
                </w:tcPr>
                <w:p w14:paraId="2C4E71DC">
                  <w:pPr>
                    <w:adjustRightInd w:val="0"/>
                    <w:snapToGrid w:val="0"/>
                    <w:jc w:val="center"/>
                    <w:rPr>
                      <w:rFonts w:hint="default" w:eastAsia="宋体"/>
                      <w:szCs w:val="21"/>
                      <w:lang w:val="en-US" w:eastAsia="zh-CN"/>
                    </w:rPr>
                  </w:pPr>
                  <w:r>
                    <w:rPr>
                      <w:rFonts w:hint="eastAsia"/>
                      <w:szCs w:val="21"/>
                      <w:lang w:val="en-US" w:eastAsia="zh-CN"/>
                    </w:rPr>
                    <w:t>一般固废</w:t>
                  </w:r>
                </w:p>
              </w:tc>
              <w:tc>
                <w:tcPr>
                  <w:tcW w:w="915" w:type="dxa"/>
                  <w:noWrap w:val="0"/>
                  <w:vAlign w:val="center"/>
                </w:tcPr>
                <w:p w14:paraId="34F6EBD5">
                  <w:pPr>
                    <w:jc w:val="center"/>
                    <w:rPr>
                      <w:rFonts w:hint="eastAsia"/>
                      <w:szCs w:val="21"/>
                    </w:rPr>
                  </w:pPr>
                  <w:r>
                    <w:rPr>
                      <w:rFonts w:hint="eastAsia"/>
                      <w:szCs w:val="21"/>
                    </w:rPr>
                    <w:t>/</w:t>
                  </w:r>
                </w:p>
              </w:tc>
              <w:tc>
                <w:tcPr>
                  <w:tcW w:w="796" w:type="dxa"/>
                  <w:noWrap w:val="0"/>
                  <w:vAlign w:val="center"/>
                </w:tcPr>
                <w:p w14:paraId="50B7CAE8">
                  <w:pPr>
                    <w:topLinePunct/>
                    <w:adjustRightInd w:val="0"/>
                    <w:snapToGrid w:val="0"/>
                    <w:jc w:val="center"/>
                    <w:rPr>
                      <w:rFonts w:hint="eastAsia"/>
                      <w:kern w:val="0"/>
                      <w:szCs w:val="21"/>
                    </w:rPr>
                  </w:pPr>
                  <w:r>
                    <w:rPr>
                      <w:rFonts w:hint="eastAsia"/>
                      <w:kern w:val="0"/>
                      <w:szCs w:val="21"/>
                    </w:rPr>
                    <w:t>固态</w:t>
                  </w:r>
                </w:p>
              </w:tc>
              <w:tc>
                <w:tcPr>
                  <w:tcW w:w="1302" w:type="dxa"/>
                  <w:noWrap w:val="0"/>
                  <w:vAlign w:val="center"/>
                </w:tcPr>
                <w:p w14:paraId="5E97CD57">
                  <w:pPr>
                    <w:jc w:val="center"/>
                    <w:rPr>
                      <w:rFonts w:hint="default" w:eastAsia="宋体"/>
                      <w:snapToGrid w:val="0"/>
                      <w:szCs w:val="21"/>
                      <w:lang w:val="en-US" w:eastAsia="zh-CN"/>
                    </w:rPr>
                  </w:pPr>
                  <w:r>
                    <w:rPr>
                      <w:rFonts w:hint="eastAsia" w:eastAsia="宋体"/>
                      <w:snapToGrid w:val="0"/>
                      <w:szCs w:val="21"/>
                      <w:lang w:val="en-US" w:eastAsia="zh-CN"/>
                    </w:rPr>
                    <w:t>72</w:t>
                  </w:r>
                  <w:r>
                    <w:rPr>
                      <w:rFonts w:hint="eastAsia"/>
                      <w:snapToGrid w:val="0"/>
                      <w:szCs w:val="21"/>
                      <w:lang w:val="en-US" w:eastAsia="zh-CN"/>
                    </w:rPr>
                    <w:t>6</w:t>
                  </w:r>
                </w:p>
              </w:tc>
              <w:tc>
                <w:tcPr>
                  <w:tcW w:w="1177" w:type="dxa"/>
                  <w:vMerge w:val="restart"/>
                  <w:noWrap w:val="0"/>
                  <w:vAlign w:val="center"/>
                </w:tcPr>
                <w:p w14:paraId="496B9180">
                  <w:pPr>
                    <w:pStyle w:val="58"/>
                    <w:adjustRightInd w:val="0"/>
                    <w:snapToGrid w:val="0"/>
                    <w:jc w:val="center"/>
                    <w:rPr>
                      <w:rFonts w:hint="eastAsia"/>
                      <w:sz w:val="21"/>
                      <w:szCs w:val="21"/>
                      <w:lang w:eastAsia="zh-CN"/>
                    </w:rPr>
                  </w:pPr>
                  <w:r>
                    <w:rPr>
                      <w:rFonts w:hint="eastAsia" w:ascii="Times New Roman" w:hAnsi="Times New Roman" w:eastAsia="宋体" w:cs="Times New Roman"/>
                      <w:b w:val="0"/>
                      <w:bCs/>
                      <w:sz w:val="21"/>
                      <w:szCs w:val="21"/>
                      <w:lang w:val="en-US" w:eastAsia="zh-CN"/>
                    </w:rPr>
                    <w:t>外售物资回收公司</w:t>
                  </w:r>
                  <w:r>
                    <w:rPr>
                      <w:rFonts w:hint="eastAsia" w:ascii="Times New Roman" w:hAnsi="Times New Roman" w:eastAsia="宋体" w:cs="Times New Roman"/>
                      <w:b w:val="0"/>
                      <w:bCs/>
                      <w:sz w:val="21"/>
                      <w:szCs w:val="21"/>
                    </w:rPr>
                    <w:t>回收利用</w:t>
                  </w:r>
                </w:p>
              </w:tc>
              <w:tc>
                <w:tcPr>
                  <w:tcW w:w="1227" w:type="dxa"/>
                  <w:noWrap w:val="0"/>
                  <w:vAlign w:val="center"/>
                </w:tcPr>
                <w:p w14:paraId="00AF82B6">
                  <w:pPr>
                    <w:adjustRightInd w:val="0"/>
                    <w:snapToGrid w:val="0"/>
                    <w:jc w:val="center"/>
                    <w:outlineLvl w:val="0"/>
                    <w:rPr>
                      <w:rFonts w:hint="eastAsia"/>
                      <w:snapToGrid w:val="0"/>
                      <w:szCs w:val="21"/>
                    </w:rPr>
                  </w:pPr>
                  <w:r>
                    <w:rPr>
                      <w:rFonts w:hint="eastAsia"/>
                      <w:snapToGrid w:val="0"/>
                      <w:szCs w:val="21"/>
                    </w:rPr>
                    <w:t>0</w:t>
                  </w:r>
                </w:p>
              </w:tc>
              <w:tc>
                <w:tcPr>
                  <w:tcW w:w="1062" w:type="dxa"/>
                  <w:noWrap w:val="0"/>
                  <w:vAlign w:val="center"/>
                </w:tcPr>
                <w:p w14:paraId="6B4C3F80">
                  <w:pPr>
                    <w:pStyle w:val="58"/>
                    <w:adjustRightInd w:val="0"/>
                    <w:snapToGrid w:val="0"/>
                    <w:jc w:val="center"/>
                    <w:rPr>
                      <w:sz w:val="21"/>
                      <w:szCs w:val="21"/>
                      <w:lang w:eastAsia="zh-CN"/>
                    </w:rPr>
                  </w:pPr>
                  <w:r>
                    <w:rPr>
                      <w:sz w:val="21"/>
                      <w:szCs w:val="21"/>
                      <w:lang w:eastAsia="zh-CN"/>
                    </w:rPr>
                    <w:t>0</w:t>
                  </w:r>
                </w:p>
              </w:tc>
              <w:tc>
                <w:tcPr>
                  <w:tcW w:w="1004" w:type="dxa"/>
                  <w:noWrap w:val="0"/>
                  <w:vAlign w:val="center"/>
                </w:tcPr>
                <w:p w14:paraId="1BCEDE32">
                  <w:pPr>
                    <w:pStyle w:val="58"/>
                    <w:adjustRightInd w:val="0"/>
                    <w:snapToGrid w:val="0"/>
                    <w:jc w:val="center"/>
                    <w:rPr>
                      <w:sz w:val="21"/>
                      <w:szCs w:val="21"/>
                      <w:lang w:eastAsia="zh-CN"/>
                    </w:rPr>
                  </w:pPr>
                  <w:r>
                    <w:rPr>
                      <w:sz w:val="21"/>
                      <w:szCs w:val="21"/>
                      <w:lang w:eastAsia="zh-CN"/>
                    </w:rPr>
                    <w:t>0</w:t>
                  </w:r>
                </w:p>
              </w:tc>
              <w:tc>
                <w:tcPr>
                  <w:tcW w:w="850" w:type="dxa"/>
                  <w:noWrap w:val="0"/>
                  <w:vAlign w:val="center"/>
                </w:tcPr>
                <w:p w14:paraId="575D7DE4">
                  <w:pPr>
                    <w:jc w:val="center"/>
                    <w:rPr>
                      <w:rFonts w:hint="default" w:eastAsia="宋体"/>
                      <w:szCs w:val="21"/>
                      <w:lang w:val="en-US" w:eastAsia="zh-CN"/>
                    </w:rPr>
                  </w:pPr>
                  <w:r>
                    <w:rPr>
                      <w:rFonts w:hint="eastAsia"/>
                      <w:szCs w:val="21"/>
                      <w:lang w:val="en-US" w:eastAsia="zh-CN"/>
                    </w:rPr>
                    <w:t>726</w:t>
                  </w:r>
                </w:p>
              </w:tc>
              <w:tc>
                <w:tcPr>
                  <w:tcW w:w="791" w:type="dxa"/>
                  <w:noWrap w:val="0"/>
                  <w:vAlign w:val="center"/>
                </w:tcPr>
                <w:p w14:paraId="278542FE">
                  <w:pPr>
                    <w:adjustRightInd w:val="0"/>
                    <w:snapToGrid w:val="0"/>
                    <w:jc w:val="center"/>
                    <w:rPr>
                      <w:rFonts w:hint="eastAsia"/>
                      <w:snapToGrid w:val="0"/>
                      <w:szCs w:val="21"/>
                    </w:rPr>
                  </w:pPr>
                  <w:r>
                    <w:rPr>
                      <w:szCs w:val="21"/>
                    </w:rPr>
                    <w:t>0</w:t>
                  </w:r>
                </w:p>
              </w:tc>
              <w:tc>
                <w:tcPr>
                  <w:tcW w:w="666" w:type="dxa"/>
                  <w:noWrap w:val="0"/>
                  <w:vAlign w:val="center"/>
                </w:tcPr>
                <w:p w14:paraId="58501B71">
                  <w:pPr>
                    <w:adjustRightInd w:val="0"/>
                    <w:snapToGrid w:val="0"/>
                    <w:jc w:val="center"/>
                    <w:rPr>
                      <w:szCs w:val="21"/>
                    </w:rPr>
                  </w:pPr>
                  <w:r>
                    <w:rPr>
                      <w:szCs w:val="21"/>
                    </w:rPr>
                    <w:t>0</w:t>
                  </w:r>
                </w:p>
              </w:tc>
              <w:tc>
                <w:tcPr>
                  <w:tcW w:w="543" w:type="dxa"/>
                  <w:noWrap w:val="0"/>
                  <w:vAlign w:val="center"/>
                </w:tcPr>
                <w:p w14:paraId="77CE867A">
                  <w:pPr>
                    <w:adjustRightInd w:val="0"/>
                    <w:snapToGrid w:val="0"/>
                    <w:jc w:val="center"/>
                    <w:rPr>
                      <w:rFonts w:hint="eastAsia"/>
                      <w:szCs w:val="21"/>
                    </w:rPr>
                  </w:pPr>
                  <w:r>
                    <w:rPr>
                      <w:rFonts w:hint="eastAsia"/>
                      <w:szCs w:val="21"/>
                    </w:rPr>
                    <w:t>/</w:t>
                  </w:r>
                </w:p>
              </w:tc>
            </w:tr>
            <w:tr w14:paraId="10656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328" w:type="dxa"/>
                  <w:noWrap w:val="0"/>
                  <w:vAlign w:val="center"/>
                </w:tcPr>
                <w:p w14:paraId="164391AE">
                  <w:pPr>
                    <w:pStyle w:val="58"/>
                    <w:adjustRightInd w:val="0"/>
                    <w:snapToGrid w:val="0"/>
                    <w:jc w:val="center"/>
                    <w:rPr>
                      <w:rFonts w:hint="default"/>
                      <w:sz w:val="21"/>
                      <w:szCs w:val="21"/>
                      <w:lang w:val="en-US" w:eastAsia="zh-CN"/>
                    </w:rPr>
                  </w:pPr>
                  <w:r>
                    <w:rPr>
                      <w:rFonts w:hint="eastAsia"/>
                      <w:sz w:val="21"/>
                      <w:szCs w:val="21"/>
                      <w:lang w:val="en-US" w:eastAsia="zh-CN"/>
                    </w:rPr>
                    <w:t>16</w:t>
                  </w:r>
                </w:p>
              </w:tc>
              <w:tc>
                <w:tcPr>
                  <w:tcW w:w="654" w:type="dxa"/>
                  <w:vMerge w:val="continue"/>
                  <w:noWrap w:val="0"/>
                  <w:vAlign w:val="center"/>
                </w:tcPr>
                <w:p w14:paraId="05AFFCC6">
                  <w:pPr>
                    <w:pStyle w:val="58"/>
                    <w:adjustRightInd w:val="0"/>
                    <w:snapToGrid w:val="0"/>
                    <w:jc w:val="center"/>
                    <w:rPr>
                      <w:rFonts w:hint="eastAsia"/>
                      <w:sz w:val="21"/>
                      <w:szCs w:val="21"/>
                      <w:lang w:eastAsia="zh-CN"/>
                    </w:rPr>
                  </w:pPr>
                </w:p>
              </w:tc>
              <w:tc>
                <w:tcPr>
                  <w:tcW w:w="1066" w:type="dxa"/>
                  <w:noWrap w:val="0"/>
                  <w:vAlign w:val="center"/>
                </w:tcPr>
                <w:p w14:paraId="5C2C1B37">
                  <w:pPr>
                    <w:pStyle w:val="4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snapToGrid w:val="0"/>
                      <w:color w:val="000000"/>
                      <w:kern w:val="21"/>
                      <w:sz w:val="21"/>
                      <w:szCs w:val="21"/>
                      <w:lang w:val="en-US" w:eastAsia="zh-CN"/>
                    </w:rPr>
                    <w:t>废动力蓄电池</w:t>
                  </w:r>
                </w:p>
              </w:tc>
              <w:tc>
                <w:tcPr>
                  <w:tcW w:w="1070" w:type="dxa"/>
                  <w:noWrap w:val="0"/>
                  <w:vAlign w:val="center"/>
                </w:tcPr>
                <w:p w14:paraId="2474EDB0">
                  <w:pPr>
                    <w:adjustRightInd w:val="0"/>
                    <w:snapToGrid w:val="0"/>
                    <w:jc w:val="center"/>
                    <w:rPr>
                      <w:rFonts w:hint="eastAsia"/>
                      <w:szCs w:val="21"/>
                      <w:lang w:val="en-US" w:eastAsia="zh-CN"/>
                    </w:rPr>
                  </w:pPr>
                  <w:r>
                    <w:rPr>
                      <w:rFonts w:hint="eastAsia"/>
                      <w:szCs w:val="21"/>
                      <w:lang w:val="en-US" w:eastAsia="zh-CN"/>
                    </w:rPr>
                    <w:t>一般固废</w:t>
                  </w:r>
                </w:p>
              </w:tc>
              <w:tc>
                <w:tcPr>
                  <w:tcW w:w="915" w:type="dxa"/>
                  <w:noWrap w:val="0"/>
                  <w:vAlign w:val="center"/>
                </w:tcPr>
                <w:p w14:paraId="7E67E01E">
                  <w:pPr>
                    <w:jc w:val="center"/>
                    <w:rPr>
                      <w:rFonts w:hint="eastAsia"/>
                      <w:szCs w:val="21"/>
                    </w:rPr>
                  </w:pPr>
                  <w:r>
                    <w:rPr>
                      <w:rFonts w:hint="eastAsia"/>
                      <w:szCs w:val="21"/>
                    </w:rPr>
                    <w:t>/</w:t>
                  </w:r>
                </w:p>
              </w:tc>
              <w:tc>
                <w:tcPr>
                  <w:tcW w:w="796" w:type="dxa"/>
                  <w:noWrap w:val="0"/>
                  <w:vAlign w:val="center"/>
                </w:tcPr>
                <w:p w14:paraId="4E99738B">
                  <w:pPr>
                    <w:topLinePunct/>
                    <w:adjustRightInd w:val="0"/>
                    <w:snapToGrid w:val="0"/>
                    <w:jc w:val="center"/>
                    <w:rPr>
                      <w:rFonts w:hint="eastAsia"/>
                      <w:kern w:val="0"/>
                      <w:szCs w:val="21"/>
                    </w:rPr>
                  </w:pPr>
                  <w:r>
                    <w:rPr>
                      <w:rFonts w:hint="eastAsia"/>
                      <w:kern w:val="0"/>
                      <w:szCs w:val="21"/>
                    </w:rPr>
                    <w:t>固态</w:t>
                  </w:r>
                </w:p>
              </w:tc>
              <w:tc>
                <w:tcPr>
                  <w:tcW w:w="1302" w:type="dxa"/>
                  <w:noWrap w:val="0"/>
                  <w:vAlign w:val="center"/>
                </w:tcPr>
                <w:p w14:paraId="2E641471">
                  <w:pPr>
                    <w:jc w:val="center"/>
                    <w:rPr>
                      <w:rFonts w:hint="default"/>
                      <w:bCs/>
                      <w:szCs w:val="21"/>
                      <w:lang w:val="en-US" w:eastAsia="zh-CN"/>
                    </w:rPr>
                  </w:pPr>
                  <w:r>
                    <w:rPr>
                      <w:rFonts w:hint="eastAsia"/>
                      <w:bCs/>
                      <w:szCs w:val="21"/>
                      <w:lang w:val="en-US" w:eastAsia="zh-CN"/>
                    </w:rPr>
                    <w:t>1240</w:t>
                  </w:r>
                </w:p>
              </w:tc>
              <w:tc>
                <w:tcPr>
                  <w:tcW w:w="1177" w:type="dxa"/>
                  <w:vMerge w:val="continue"/>
                  <w:noWrap w:val="0"/>
                  <w:vAlign w:val="center"/>
                </w:tcPr>
                <w:p w14:paraId="38CEF16A">
                  <w:pPr>
                    <w:pStyle w:val="58"/>
                    <w:adjustRightInd w:val="0"/>
                    <w:snapToGrid w:val="0"/>
                    <w:jc w:val="center"/>
                    <w:rPr>
                      <w:rFonts w:hint="eastAsia" w:ascii="Times New Roman" w:hAnsi="Times New Roman" w:eastAsia="宋体" w:cs="Times New Roman"/>
                      <w:b w:val="0"/>
                      <w:bCs/>
                      <w:sz w:val="21"/>
                      <w:szCs w:val="21"/>
                    </w:rPr>
                  </w:pPr>
                </w:p>
              </w:tc>
              <w:tc>
                <w:tcPr>
                  <w:tcW w:w="1227" w:type="dxa"/>
                  <w:noWrap w:val="0"/>
                  <w:vAlign w:val="center"/>
                </w:tcPr>
                <w:p w14:paraId="1198E88D">
                  <w:pPr>
                    <w:adjustRightInd w:val="0"/>
                    <w:snapToGrid w:val="0"/>
                    <w:jc w:val="center"/>
                    <w:outlineLvl w:val="0"/>
                    <w:rPr>
                      <w:rFonts w:hint="eastAsia" w:eastAsia="宋体"/>
                      <w:snapToGrid w:val="0"/>
                      <w:szCs w:val="21"/>
                      <w:lang w:val="en-US" w:eastAsia="zh-CN"/>
                    </w:rPr>
                  </w:pPr>
                  <w:r>
                    <w:rPr>
                      <w:rFonts w:hint="eastAsia"/>
                      <w:snapToGrid w:val="0"/>
                      <w:szCs w:val="21"/>
                      <w:lang w:val="en-US" w:eastAsia="zh-CN"/>
                    </w:rPr>
                    <w:t>0</w:t>
                  </w:r>
                </w:p>
              </w:tc>
              <w:tc>
                <w:tcPr>
                  <w:tcW w:w="1062" w:type="dxa"/>
                  <w:noWrap w:val="0"/>
                  <w:vAlign w:val="center"/>
                </w:tcPr>
                <w:p w14:paraId="5BBECA0F">
                  <w:pPr>
                    <w:pStyle w:val="58"/>
                    <w:adjustRightInd w:val="0"/>
                    <w:snapToGrid w:val="0"/>
                    <w:jc w:val="center"/>
                    <w:rPr>
                      <w:rFonts w:hint="default"/>
                      <w:sz w:val="21"/>
                      <w:szCs w:val="21"/>
                      <w:lang w:val="en-US" w:eastAsia="zh-CN"/>
                    </w:rPr>
                  </w:pPr>
                  <w:r>
                    <w:rPr>
                      <w:rFonts w:hint="eastAsia"/>
                      <w:sz w:val="21"/>
                      <w:szCs w:val="21"/>
                      <w:lang w:val="en-US" w:eastAsia="zh-CN"/>
                    </w:rPr>
                    <w:t>0</w:t>
                  </w:r>
                </w:p>
              </w:tc>
              <w:tc>
                <w:tcPr>
                  <w:tcW w:w="1004" w:type="dxa"/>
                  <w:noWrap w:val="0"/>
                  <w:vAlign w:val="center"/>
                </w:tcPr>
                <w:p w14:paraId="008F817F">
                  <w:pPr>
                    <w:pStyle w:val="58"/>
                    <w:adjustRightInd w:val="0"/>
                    <w:snapToGrid w:val="0"/>
                    <w:jc w:val="center"/>
                    <w:rPr>
                      <w:rFonts w:hint="default"/>
                      <w:sz w:val="21"/>
                      <w:szCs w:val="21"/>
                      <w:lang w:val="en-US" w:eastAsia="zh-CN"/>
                    </w:rPr>
                  </w:pPr>
                  <w:r>
                    <w:rPr>
                      <w:rFonts w:hint="eastAsia"/>
                      <w:sz w:val="21"/>
                      <w:szCs w:val="21"/>
                      <w:lang w:val="en-US" w:eastAsia="zh-CN"/>
                    </w:rPr>
                    <w:t>0</w:t>
                  </w:r>
                </w:p>
              </w:tc>
              <w:tc>
                <w:tcPr>
                  <w:tcW w:w="850" w:type="dxa"/>
                  <w:noWrap w:val="0"/>
                  <w:vAlign w:val="center"/>
                </w:tcPr>
                <w:p w14:paraId="70838D7D">
                  <w:pPr>
                    <w:jc w:val="center"/>
                    <w:rPr>
                      <w:rFonts w:hint="default"/>
                      <w:bCs/>
                      <w:szCs w:val="21"/>
                      <w:lang w:val="en-US" w:eastAsia="zh-CN"/>
                    </w:rPr>
                  </w:pPr>
                  <w:r>
                    <w:rPr>
                      <w:rFonts w:hint="eastAsia"/>
                      <w:bCs/>
                      <w:szCs w:val="21"/>
                      <w:lang w:val="en-US" w:eastAsia="zh-CN"/>
                    </w:rPr>
                    <w:t>1240</w:t>
                  </w:r>
                </w:p>
              </w:tc>
              <w:tc>
                <w:tcPr>
                  <w:tcW w:w="791" w:type="dxa"/>
                  <w:noWrap w:val="0"/>
                  <w:vAlign w:val="center"/>
                </w:tcPr>
                <w:p w14:paraId="153D3B86">
                  <w:pPr>
                    <w:adjustRightInd w:val="0"/>
                    <w:snapToGrid w:val="0"/>
                    <w:jc w:val="center"/>
                    <w:rPr>
                      <w:rFonts w:hint="eastAsia" w:eastAsia="宋体"/>
                      <w:szCs w:val="21"/>
                      <w:lang w:val="en-US" w:eastAsia="zh-CN"/>
                    </w:rPr>
                  </w:pPr>
                  <w:r>
                    <w:rPr>
                      <w:rFonts w:hint="eastAsia"/>
                      <w:szCs w:val="21"/>
                      <w:lang w:val="en-US" w:eastAsia="zh-CN"/>
                    </w:rPr>
                    <w:t>0</w:t>
                  </w:r>
                </w:p>
              </w:tc>
              <w:tc>
                <w:tcPr>
                  <w:tcW w:w="666" w:type="dxa"/>
                  <w:noWrap w:val="0"/>
                  <w:vAlign w:val="center"/>
                </w:tcPr>
                <w:p w14:paraId="205BA738">
                  <w:pPr>
                    <w:adjustRightInd w:val="0"/>
                    <w:snapToGrid w:val="0"/>
                    <w:jc w:val="center"/>
                    <w:rPr>
                      <w:rFonts w:hint="eastAsia" w:eastAsia="宋体"/>
                      <w:szCs w:val="21"/>
                      <w:lang w:val="en-US" w:eastAsia="zh-CN"/>
                    </w:rPr>
                  </w:pPr>
                  <w:r>
                    <w:rPr>
                      <w:rFonts w:hint="eastAsia"/>
                      <w:szCs w:val="21"/>
                      <w:lang w:val="en-US" w:eastAsia="zh-CN"/>
                    </w:rPr>
                    <w:t>0</w:t>
                  </w:r>
                </w:p>
              </w:tc>
              <w:tc>
                <w:tcPr>
                  <w:tcW w:w="543" w:type="dxa"/>
                  <w:noWrap w:val="0"/>
                  <w:vAlign w:val="center"/>
                </w:tcPr>
                <w:p w14:paraId="6FA1C53C">
                  <w:pPr>
                    <w:adjustRightInd w:val="0"/>
                    <w:snapToGrid w:val="0"/>
                    <w:jc w:val="center"/>
                    <w:rPr>
                      <w:rFonts w:hint="eastAsia" w:eastAsia="宋体"/>
                      <w:szCs w:val="21"/>
                      <w:lang w:val="en-US" w:eastAsia="zh-CN"/>
                    </w:rPr>
                  </w:pPr>
                  <w:r>
                    <w:rPr>
                      <w:rFonts w:hint="eastAsia"/>
                      <w:szCs w:val="21"/>
                      <w:lang w:val="en-US" w:eastAsia="zh-CN"/>
                    </w:rPr>
                    <w:t>/</w:t>
                  </w:r>
                </w:p>
              </w:tc>
            </w:tr>
            <w:tr w14:paraId="5C82A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8" w:type="dxa"/>
                  <w:noWrap w:val="0"/>
                  <w:vAlign w:val="center"/>
                </w:tcPr>
                <w:p w14:paraId="6534D449">
                  <w:pPr>
                    <w:pStyle w:val="58"/>
                    <w:adjustRightInd w:val="0"/>
                    <w:snapToGrid w:val="0"/>
                    <w:jc w:val="center"/>
                    <w:rPr>
                      <w:rFonts w:hint="default"/>
                      <w:sz w:val="21"/>
                      <w:szCs w:val="21"/>
                      <w:lang w:val="en-US" w:eastAsia="zh-CN"/>
                    </w:rPr>
                  </w:pPr>
                  <w:r>
                    <w:rPr>
                      <w:rFonts w:hint="eastAsia"/>
                      <w:sz w:val="21"/>
                      <w:szCs w:val="21"/>
                      <w:lang w:val="en-US" w:eastAsia="zh-CN"/>
                    </w:rPr>
                    <w:t>17</w:t>
                  </w:r>
                </w:p>
              </w:tc>
              <w:tc>
                <w:tcPr>
                  <w:tcW w:w="654" w:type="dxa"/>
                  <w:vMerge w:val="continue"/>
                  <w:noWrap w:val="0"/>
                  <w:vAlign w:val="center"/>
                </w:tcPr>
                <w:p w14:paraId="2991D23B">
                  <w:pPr>
                    <w:pStyle w:val="58"/>
                    <w:adjustRightInd w:val="0"/>
                    <w:snapToGrid w:val="0"/>
                    <w:jc w:val="center"/>
                    <w:rPr>
                      <w:rFonts w:hint="eastAsia"/>
                      <w:sz w:val="21"/>
                      <w:szCs w:val="21"/>
                      <w:lang w:eastAsia="zh-CN"/>
                    </w:rPr>
                  </w:pPr>
                </w:p>
              </w:tc>
              <w:tc>
                <w:tcPr>
                  <w:tcW w:w="1066" w:type="dxa"/>
                  <w:noWrap w:val="0"/>
                  <w:vAlign w:val="center"/>
                </w:tcPr>
                <w:p w14:paraId="67217F15">
                  <w:pPr>
                    <w:pStyle w:val="29"/>
                    <w:spacing w:line="24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除尘器收集的粉尘</w:t>
                  </w:r>
                </w:p>
              </w:tc>
              <w:tc>
                <w:tcPr>
                  <w:tcW w:w="1070" w:type="dxa"/>
                  <w:noWrap w:val="0"/>
                  <w:vAlign w:val="center"/>
                </w:tcPr>
                <w:p w14:paraId="08DBDF8D">
                  <w:pPr>
                    <w:adjustRightInd w:val="0"/>
                    <w:snapToGrid w:val="0"/>
                    <w:jc w:val="center"/>
                    <w:rPr>
                      <w:szCs w:val="21"/>
                    </w:rPr>
                  </w:pPr>
                  <w:r>
                    <w:rPr>
                      <w:rFonts w:hint="eastAsia"/>
                      <w:szCs w:val="21"/>
                      <w:lang w:val="en-US" w:eastAsia="zh-CN"/>
                    </w:rPr>
                    <w:t>一般固废</w:t>
                  </w:r>
                </w:p>
              </w:tc>
              <w:tc>
                <w:tcPr>
                  <w:tcW w:w="915" w:type="dxa"/>
                  <w:noWrap w:val="0"/>
                  <w:vAlign w:val="center"/>
                </w:tcPr>
                <w:p w14:paraId="1B1A4D62">
                  <w:pPr>
                    <w:jc w:val="center"/>
                    <w:rPr>
                      <w:rFonts w:hint="eastAsia"/>
                      <w:szCs w:val="21"/>
                    </w:rPr>
                  </w:pPr>
                  <w:r>
                    <w:rPr>
                      <w:rFonts w:hint="eastAsia"/>
                      <w:szCs w:val="21"/>
                    </w:rPr>
                    <w:t>/</w:t>
                  </w:r>
                </w:p>
              </w:tc>
              <w:tc>
                <w:tcPr>
                  <w:tcW w:w="796" w:type="dxa"/>
                  <w:noWrap w:val="0"/>
                  <w:vAlign w:val="center"/>
                </w:tcPr>
                <w:p w14:paraId="5CBC47B7">
                  <w:pPr>
                    <w:topLinePunct/>
                    <w:adjustRightInd w:val="0"/>
                    <w:snapToGrid w:val="0"/>
                    <w:jc w:val="center"/>
                    <w:rPr>
                      <w:rFonts w:hint="eastAsia" w:eastAsia="宋体"/>
                      <w:kern w:val="0"/>
                      <w:szCs w:val="21"/>
                      <w:lang w:val="en-US" w:eastAsia="zh-CN"/>
                    </w:rPr>
                  </w:pPr>
                  <w:r>
                    <w:rPr>
                      <w:rFonts w:hint="eastAsia"/>
                      <w:kern w:val="0"/>
                      <w:szCs w:val="21"/>
                      <w:lang w:val="en-US" w:eastAsia="zh-CN"/>
                    </w:rPr>
                    <w:t>固态</w:t>
                  </w:r>
                </w:p>
              </w:tc>
              <w:tc>
                <w:tcPr>
                  <w:tcW w:w="1302" w:type="dxa"/>
                  <w:noWrap w:val="0"/>
                  <w:vAlign w:val="center"/>
                </w:tcPr>
                <w:p w14:paraId="74D53B07">
                  <w:pPr>
                    <w:jc w:val="center"/>
                    <w:rPr>
                      <w:rFonts w:hint="default"/>
                      <w:snapToGrid w:val="0"/>
                      <w:szCs w:val="21"/>
                      <w:lang w:val="en-US"/>
                    </w:rPr>
                  </w:pPr>
                  <w:r>
                    <w:rPr>
                      <w:rFonts w:hint="eastAsia"/>
                      <w:bCs/>
                      <w:szCs w:val="21"/>
                      <w:lang w:val="en-US" w:eastAsia="zh-CN"/>
                    </w:rPr>
                    <w:t>2.138</w:t>
                  </w:r>
                </w:p>
              </w:tc>
              <w:tc>
                <w:tcPr>
                  <w:tcW w:w="1177" w:type="dxa"/>
                  <w:vMerge w:val="continue"/>
                  <w:noWrap w:val="0"/>
                  <w:vAlign w:val="center"/>
                </w:tcPr>
                <w:p w14:paraId="4B9DF206">
                  <w:pPr>
                    <w:pStyle w:val="29"/>
                    <w:spacing w:line="240" w:lineRule="auto"/>
                    <w:jc w:val="center"/>
                    <w:rPr>
                      <w:rFonts w:hint="default" w:eastAsia="黑体" w:cs="Times New Roman"/>
                      <w:color w:val="auto"/>
                      <w:sz w:val="21"/>
                      <w:szCs w:val="21"/>
                      <w:lang w:val="en-US" w:eastAsia="zh-CN"/>
                    </w:rPr>
                  </w:pPr>
                </w:p>
              </w:tc>
              <w:tc>
                <w:tcPr>
                  <w:tcW w:w="1227" w:type="dxa"/>
                  <w:noWrap w:val="0"/>
                  <w:vAlign w:val="center"/>
                </w:tcPr>
                <w:p w14:paraId="740B4CD4">
                  <w:pPr>
                    <w:adjustRightInd w:val="0"/>
                    <w:snapToGrid w:val="0"/>
                    <w:jc w:val="center"/>
                    <w:outlineLvl w:val="0"/>
                    <w:rPr>
                      <w:rFonts w:hint="eastAsia"/>
                      <w:snapToGrid w:val="0"/>
                      <w:szCs w:val="21"/>
                    </w:rPr>
                  </w:pPr>
                  <w:r>
                    <w:rPr>
                      <w:rFonts w:hint="eastAsia"/>
                      <w:snapToGrid w:val="0"/>
                      <w:szCs w:val="21"/>
                    </w:rPr>
                    <w:t>0</w:t>
                  </w:r>
                </w:p>
              </w:tc>
              <w:tc>
                <w:tcPr>
                  <w:tcW w:w="1062" w:type="dxa"/>
                  <w:noWrap w:val="0"/>
                  <w:vAlign w:val="center"/>
                </w:tcPr>
                <w:p w14:paraId="15626C97">
                  <w:pPr>
                    <w:pStyle w:val="58"/>
                    <w:adjustRightInd w:val="0"/>
                    <w:snapToGrid w:val="0"/>
                    <w:jc w:val="center"/>
                    <w:rPr>
                      <w:rFonts w:hint="default"/>
                      <w:sz w:val="21"/>
                      <w:szCs w:val="21"/>
                      <w:lang w:val="en-US" w:eastAsia="zh-CN"/>
                    </w:rPr>
                  </w:pPr>
                  <w:r>
                    <w:rPr>
                      <w:rFonts w:hint="eastAsia"/>
                      <w:sz w:val="21"/>
                      <w:szCs w:val="21"/>
                      <w:lang w:val="en-US" w:eastAsia="zh-CN"/>
                    </w:rPr>
                    <w:t>0</w:t>
                  </w:r>
                </w:p>
              </w:tc>
              <w:tc>
                <w:tcPr>
                  <w:tcW w:w="1004" w:type="dxa"/>
                  <w:noWrap w:val="0"/>
                  <w:vAlign w:val="center"/>
                </w:tcPr>
                <w:p w14:paraId="692889AA">
                  <w:pPr>
                    <w:pStyle w:val="58"/>
                    <w:adjustRightInd w:val="0"/>
                    <w:snapToGrid w:val="0"/>
                    <w:jc w:val="center"/>
                    <w:rPr>
                      <w:sz w:val="21"/>
                      <w:szCs w:val="21"/>
                      <w:lang w:eastAsia="zh-CN"/>
                    </w:rPr>
                  </w:pPr>
                  <w:r>
                    <w:rPr>
                      <w:sz w:val="21"/>
                      <w:szCs w:val="21"/>
                      <w:lang w:eastAsia="zh-CN"/>
                    </w:rPr>
                    <w:t>0</w:t>
                  </w:r>
                </w:p>
              </w:tc>
              <w:tc>
                <w:tcPr>
                  <w:tcW w:w="850" w:type="dxa"/>
                  <w:noWrap w:val="0"/>
                  <w:vAlign w:val="center"/>
                </w:tcPr>
                <w:p w14:paraId="2E0A22A3">
                  <w:pPr>
                    <w:jc w:val="center"/>
                    <w:rPr>
                      <w:rFonts w:hint="default" w:eastAsia="宋体"/>
                      <w:szCs w:val="21"/>
                      <w:lang w:val="en-US" w:eastAsia="zh-CN"/>
                    </w:rPr>
                  </w:pPr>
                  <w:r>
                    <w:rPr>
                      <w:rFonts w:hint="eastAsia"/>
                      <w:szCs w:val="21"/>
                      <w:lang w:val="en-US" w:eastAsia="zh-CN"/>
                    </w:rPr>
                    <w:t>2.138</w:t>
                  </w:r>
                </w:p>
              </w:tc>
              <w:tc>
                <w:tcPr>
                  <w:tcW w:w="791" w:type="dxa"/>
                  <w:noWrap w:val="0"/>
                  <w:vAlign w:val="center"/>
                </w:tcPr>
                <w:p w14:paraId="6277F868">
                  <w:pPr>
                    <w:jc w:val="center"/>
                    <w:rPr>
                      <w:rFonts w:hint="eastAsia" w:eastAsia="宋体"/>
                      <w:snapToGrid w:val="0"/>
                      <w:szCs w:val="21"/>
                      <w:lang w:eastAsia="zh-CN"/>
                    </w:rPr>
                  </w:pPr>
                  <w:r>
                    <w:rPr>
                      <w:rFonts w:hint="eastAsia"/>
                      <w:bCs/>
                      <w:szCs w:val="21"/>
                      <w:lang w:val="en-US" w:eastAsia="zh-CN"/>
                    </w:rPr>
                    <w:t>0</w:t>
                  </w:r>
                </w:p>
              </w:tc>
              <w:tc>
                <w:tcPr>
                  <w:tcW w:w="666" w:type="dxa"/>
                  <w:noWrap w:val="0"/>
                  <w:vAlign w:val="center"/>
                </w:tcPr>
                <w:p w14:paraId="2C36DFCC">
                  <w:pPr>
                    <w:adjustRightInd w:val="0"/>
                    <w:snapToGrid w:val="0"/>
                    <w:jc w:val="center"/>
                    <w:rPr>
                      <w:szCs w:val="21"/>
                    </w:rPr>
                  </w:pPr>
                  <w:r>
                    <w:rPr>
                      <w:szCs w:val="21"/>
                    </w:rPr>
                    <w:t>0</w:t>
                  </w:r>
                </w:p>
              </w:tc>
              <w:tc>
                <w:tcPr>
                  <w:tcW w:w="543" w:type="dxa"/>
                  <w:noWrap w:val="0"/>
                  <w:vAlign w:val="center"/>
                </w:tcPr>
                <w:p w14:paraId="4D493F8D">
                  <w:pPr>
                    <w:adjustRightInd w:val="0"/>
                    <w:snapToGrid w:val="0"/>
                    <w:jc w:val="center"/>
                    <w:rPr>
                      <w:rFonts w:hint="eastAsia"/>
                      <w:szCs w:val="21"/>
                    </w:rPr>
                  </w:pPr>
                  <w:r>
                    <w:rPr>
                      <w:rFonts w:hint="eastAsia"/>
                      <w:szCs w:val="21"/>
                    </w:rPr>
                    <w:t>/</w:t>
                  </w:r>
                </w:p>
              </w:tc>
            </w:tr>
            <w:tr w14:paraId="43AED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8" w:type="dxa"/>
                  <w:noWrap w:val="0"/>
                  <w:vAlign w:val="center"/>
                </w:tcPr>
                <w:p w14:paraId="4D3E41F6">
                  <w:pPr>
                    <w:pStyle w:val="58"/>
                    <w:adjustRightInd w:val="0"/>
                    <w:snapToGrid w:val="0"/>
                    <w:jc w:val="center"/>
                    <w:rPr>
                      <w:rFonts w:hint="default"/>
                      <w:sz w:val="21"/>
                      <w:szCs w:val="21"/>
                      <w:lang w:val="en-US" w:eastAsia="zh-CN"/>
                    </w:rPr>
                  </w:pPr>
                  <w:r>
                    <w:rPr>
                      <w:rFonts w:hint="eastAsia"/>
                      <w:sz w:val="21"/>
                      <w:szCs w:val="21"/>
                      <w:lang w:val="en-US" w:eastAsia="zh-CN"/>
                    </w:rPr>
                    <w:t>18</w:t>
                  </w:r>
                </w:p>
              </w:tc>
              <w:tc>
                <w:tcPr>
                  <w:tcW w:w="654" w:type="dxa"/>
                  <w:noWrap w:val="0"/>
                  <w:vAlign w:val="center"/>
                </w:tcPr>
                <w:p w14:paraId="4762071D">
                  <w:pPr>
                    <w:pStyle w:val="58"/>
                    <w:adjustRightInd w:val="0"/>
                    <w:snapToGrid w:val="0"/>
                    <w:jc w:val="center"/>
                    <w:rPr>
                      <w:sz w:val="21"/>
                      <w:szCs w:val="21"/>
                      <w:lang w:eastAsia="zh-CN"/>
                    </w:rPr>
                  </w:pPr>
                  <w:r>
                    <w:rPr>
                      <w:rFonts w:hint="eastAsia"/>
                      <w:sz w:val="21"/>
                      <w:szCs w:val="21"/>
                      <w:lang w:eastAsia="zh-CN"/>
                    </w:rPr>
                    <w:t>办公生活</w:t>
                  </w:r>
                </w:p>
              </w:tc>
              <w:tc>
                <w:tcPr>
                  <w:tcW w:w="1066" w:type="dxa"/>
                  <w:noWrap w:val="0"/>
                  <w:vAlign w:val="center"/>
                </w:tcPr>
                <w:p w14:paraId="41328037">
                  <w:pPr>
                    <w:pStyle w:val="29"/>
                    <w:spacing w:line="240" w:lineRule="auto"/>
                    <w:jc w:val="center"/>
                    <w:rPr>
                      <w:rFonts w:ascii="Times New Roman" w:hAnsi="Times New Roman" w:eastAsia="宋体" w:cs="Times New Roman"/>
                      <w:b w:val="0"/>
                      <w:bCs/>
                      <w:sz w:val="21"/>
                      <w:szCs w:val="21"/>
                    </w:rPr>
                  </w:pPr>
                  <w:r>
                    <w:rPr>
                      <w:rFonts w:hint="eastAsia" w:ascii="Times New Roman" w:hAnsi="Times New Roman" w:eastAsia="宋体" w:cs="Times New Roman"/>
                      <w:b w:val="0"/>
                      <w:bCs/>
                      <w:sz w:val="21"/>
                      <w:szCs w:val="21"/>
                    </w:rPr>
                    <w:t>生活垃圾</w:t>
                  </w:r>
                </w:p>
              </w:tc>
              <w:tc>
                <w:tcPr>
                  <w:tcW w:w="1070" w:type="dxa"/>
                  <w:noWrap w:val="0"/>
                  <w:vAlign w:val="center"/>
                </w:tcPr>
                <w:p w14:paraId="3035B0B7">
                  <w:pPr>
                    <w:pStyle w:val="58"/>
                    <w:adjustRightInd w:val="0"/>
                    <w:snapToGrid w:val="0"/>
                    <w:jc w:val="center"/>
                    <w:rPr>
                      <w:sz w:val="21"/>
                      <w:szCs w:val="21"/>
                      <w:lang w:eastAsia="zh-CN"/>
                    </w:rPr>
                  </w:pPr>
                  <w:r>
                    <w:rPr>
                      <w:rFonts w:hint="eastAsia"/>
                      <w:sz w:val="21"/>
                      <w:szCs w:val="21"/>
                      <w:lang w:eastAsia="zh-CN"/>
                    </w:rPr>
                    <w:t>/</w:t>
                  </w:r>
                </w:p>
              </w:tc>
              <w:tc>
                <w:tcPr>
                  <w:tcW w:w="915" w:type="dxa"/>
                  <w:noWrap w:val="0"/>
                  <w:vAlign w:val="center"/>
                </w:tcPr>
                <w:p w14:paraId="53295FC2">
                  <w:pPr>
                    <w:jc w:val="center"/>
                    <w:rPr>
                      <w:rFonts w:hint="eastAsia"/>
                      <w:szCs w:val="21"/>
                    </w:rPr>
                  </w:pPr>
                  <w:r>
                    <w:rPr>
                      <w:rFonts w:hint="eastAsia"/>
                      <w:szCs w:val="21"/>
                    </w:rPr>
                    <w:t>/</w:t>
                  </w:r>
                </w:p>
              </w:tc>
              <w:tc>
                <w:tcPr>
                  <w:tcW w:w="796" w:type="dxa"/>
                  <w:noWrap w:val="0"/>
                  <w:vAlign w:val="center"/>
                </w:tcPr>
                <w:p w14:paraId="13E74BFF">
                  <w:pPr>
                    <w:topLinePunct/>
                    <w:adjustRightInd w:val="0"/>
                    <w:snapToGrid w:val="0"/>
                    <w:jc w:val="center"/>
                    <w:rPr>
                      <w:rFonts w:hint="eastAsia"/>
                      <w:kern w:val="0"/>
                      <w:szCs w:val="21"/>
                    </w:rPr>
                  </w:pPr>
                  <w:r>
                    <w:rPr>
                      <w:rFonts w:hint="eastAsia"/>
                      <w:kern w:val="0"/>
                      <w:szCs w:val="21"/>
                    </w:rPr>
                    <w:t>固态</w:t>
                  </w:r>
                </w:p>
              </w:tc>
              <w:tc>
                <w:tcPr>
                  <w:tcW w:w="1302" w:type="dxa"/>
                  <w:noWrap w:val="0"/>
                  <w:vAlign w:val="center"/>
                </w:tcPr>
                <w:p w14:paraId="79AC49AB">
                  <w:pPr>
                    <w:pStyle w:val="29"/>
                    <w:spacing w:line="240" w:lineRule="auto"/>
                    <w:jc w:val="center"/>
                    <w:rPr>
                      <w:rFonts w:hint="default" w:eastAsia="黑体" w:cs="Times New Roman"/>
                      <w:snapToGrid w:val="0"/>
                      <w:color w:val="auto"/>
                      <w:sz w:val="21"/>
                      <w:szCs w:val="21"/>
                      <w:lang w:val="en-US" w:eastAsia="zh-CN"/>
                    </w:rPr>
                  </w:pPr>
                  <w:r>
                    <w:rPr>
                      <w:rFonts w:hint="eastAsia" w:ascii="Times New Roman" w:hAnsi="Times New Roman" w:eastAsia="黑体" w:cs="Times New Roman"/>
                      <w:b w:val="0"/>
                      <w:bCs/>
                      <w:snapToGrid w:val="0"/>
                      <w:color w:val="auto"/>
                      <w:sz w:val="21"/>
                      <w:szCs w:val="21"/>
                      <w:lang w:val="en-US" w:eastAsia="zh-CN"/>
                    </w:rPr>
                    <w:t>3</w:t>
                  </w:r>
                </w:p>
              </w:tc>
              <w:tc>
                <w:tcPr>
                  <w:tcW w:w="1177" w:type="dxa"/>
                  <w:noWrap w:val="0"/>
                  <w:vAlign w:val="center"/>
                </w:tcPr>
                <w:p w14:paraId="7B3B14E5">
                  <w:pPr>
                    <w:adjustRightInd w:val="0"/>
                    <w:snapToGrid w:val="0"/>
                    <w:jc w:val="center"/>
                    <w:rPr>
                      <w:szCs w:val="21"/>
                    </w:rPr>
                  </w:pPr>
                  <w:r>
                    <w:rPr>
                      <w:rFonts w:hint="eastAsia"/>
                      <w:szCs w:val="21"/>
                    </w:rPr>
                    <w:t>委托环卫部门清运处理</w:t>
                  </w:r>
                </w:p>
              </w:tc>
              <w:tc>
                <w:tcPr>
                  <w:tcW w:w="1227" w:type="dxa"/>
                  <w:noWrap w:val="0"/>
                  <w:vAlign w:val="center"/>
                </w:tcPr>
                <w:p w14:paraId="0B511458">
                  <w:pPr>
                    <w:adjustRightInd w:val="0"/>
                    <w:snapToGrid w:val="0"/>
                    <w:jc w:val="center"/>
                    <w:outlineLvl w:val="0"/>
                    <w:rPr>
                      <w:rFonts w:hint="eastAsia"/>
                      <w:snapToGrid w:val="0"/>
                      <w:szCs w:val="21"/>
                    </w:rPr>
                  </w:pPr>
                  <w:r>
                    <w:rPr>
                      <w:rFonts w:hint="eastAsia"/>
                      <w:snapToGrid w:val="0"/>
                      <w:szCs w:val="21"/>
                    </w:rPr>
                    <w:t>0</w:t>
                  </w:r>
                </w:p>
              </w:tc>
              <w:tc>
                <w:tcPr>
                  <w:tcW w:w="1062" w:type="dxa"/>
                  <w:noWrap w:val="0"/>
                  <w:vAlign w:val="center"/>
                </w:tcPr>
                <w:p w14:paraId="31C8928E">
                  <w:pPr>
                    <w:pStyle w:val="58"/>
                    <w:adjustRightInd w:val="0"/>
                    <w:snapToGrid w:val="0"/>
                    <w:jc w:val="center"/>
                    <w:rPr>
                      <w:sz w:val="21"/>
                      <w:szCs w:val="21"/>
                      <w:lang w:eastAsia="zh-CN"/>
                    </w:rPr>
                  </w:pPr>
                  <w:r>
                    <w:rPr>
                      <w:sz w:val="21"/>
                      <w:szCs w:val="21"/>
                      <w:lang w:eastAsia="zh-CN"/>
                    </w:rPr>
                    <w:t>0</w:t>
                  </w:r>
                </w:p>
              </w:tc>
              <w:tc>
                <w:tcPr>
                  <w:tcW w:w="1004" w:type="dxa"/>
                  <w:noWrap w:val="0"/>
                  <w:vAlign w:val="center"/>
                </w:tcPr>
                <w:p w14:paraId="331BBD39">
                  <w:pPr>
                    <w:pStyle w:val="58"/>
                    <w:adjustRightInd w:val="0"/>
                    <w:snapToGrid w:val="0"/>
                    <w:jc w:val="center"/>
                    <w:rPr>
                      <w:sz w:val="21"/>
                      <w:szCs w:val="21"/>
                      <w:lang w:eastAsia="zh-CN"/>
                    </w:rPr>
                  </w:pPr>
                  <w:r>
                    <w:rPr>
                      <w:sz w:val="21"/>
                      <w:szCs w:val="21"/>
                      <w:lang w:eastAsia="zh-CN"/>
                    </w:rPr>
                    <w:t>0</w:t>
                  </w:r>
                </w:p>
              </w:tc>
              <w:tc>
                <w:tcPr>
                  <w:tcW w:w="850" w:type="dxa"/>
                  <w:noWrap w:val="0"/>
                  <w:vAlign w:val="center"/>
                </w:tcPr>
                <w:p w14:paraId="25BBA2E2">
                  <w:pPr>
                    <w:adjustRightInd w:val="0"/>
                    <w:snapToGrid w:val="0"/>
                    <w:jc w:val="center"/>
                    <w:rPr>
                      <w:szCs w:val="21"/>
                    </w:rPr>
                  </w:pPr>
                  <w:r>
                    <w:rPr>
                      <w:rFonts w:hint="eastAsia"/>
                      <w:szCs w:val="21"/>
                    </w:rPr>
                    <w:t>0</w:t>
                  </w:r>
                </w:p>
              </w:tc>
              <w:tc>
                <w:tcPr>
                  <w:tcW w:w="791" w:type="dxa"/>
                  <w:noWrap w:val="0"/>
                  <w:vAlign w:val="center"/>
                </w:tcPr>
                <w:p w14:paraId="0249FC75">
                  <w:pPr>
                    <w:pStyle w:val="29"/>
                    <w:spacing w:line="240" w:lineRule="auto"/>
                    <w:jc w:val="center"/>
                    <w:rPr>
                      <w:rFonts w:hint="default" w:ascii="Times New Roman" w:hAnsi="Times New Roman" w:eastAsia="黑体" w:cs="Times New Roman"/>
                      <w:snapToGrid w:val="0"/>
                      <w:color w:val="auto"/>
                      <w:sz w:val="21"/>
                      <w:szCs w:val="21"/>
                      <w:lang w:val="en-US" w:eastAsia="zh-CN"/>
                    </w:rPr>
                  </w:pPr>
                  <w:r>
                    <w:rPr>
                      <w:rFonts w:hint="eastAsia" w:ascii="Times New Roman" w:hAnsi="Times New Roman" w:eastAsia="宋体" w:cs="Times New Roman"/>
                      <w:b w:val="0"/>
                      <w:bCs/>
                      <w:sz w:val="21"/>
                      <w:szCs w:val="21"/>
                      <w:lang w:val="en-US" w:eastAsia="zh-CN"/>
                    </w:rPr>
                    <w:t>3</w:t>
                  </w:r>
                </w:p>
              </w:tc>
              <w:tc>
                <w:tcPr>
                  <w:tcW w:w="666" w:type="dxa"/>
                  <w:noWrap w:val="0"/>
                  <w:vAlign w:val="center"/>
                </w:tcPr>
                <w:p w14:paraId="3F8B716F">
                  <w:pPr>
                    <w:adjustRightInd w:val="0"/>
                    <w:snapToGrid w:val="0"/>
                    <w:jc w:val="center"/>
                    <w:rPr>
                      <w:szCs w:val="21"/>
                    </w:rPr>
                  </w:pPr>
                  <w:r>
                    <w:rPr>
                      <w:szCs w:val="21"/>
                    </w:rPr>
                    <w:t>0</w:t>
                  </w:r>
                </w:p>
              </w:tc>
              <w:tc>
                <w:tcPr>
                  <w:tcW w:w="543" w:type="dxa"/>
                  <w:noWrap w:val="0"/>
                  <w:vAlign w:val="center"/>
                </w:tcPr>
                <w:p w14:paraId="710947F9">
                  <w:pPr>
                    <w:adjustRightInd w:val="0"/>
                    <w:snapToGrid w:val="0"/>
                    <w:jc w:val="center"/>
                    <w:rPr>
                      <w:rFonts w:hint="eastAsia"/>
                      <w:szCs w:val="21"/>
                    </w:rPr>
                  </w:pPr>
                  <w:r>
                    <w:rPr>
                      <w:rFonts w:hint="eastAsia"/>
                      <w:szCs w:val="21"/>
                    </w:rPr>
                    <w:t>/</w:t>
                  </w:r>
                </w:p>
              </w:tc>
            </w:tr>
          </w:tbl>
          <w:p w14:paraId="052FFE71">
            <w:pPr>
              <w:adjustRightInd w:val="0"/>
              <w:snapToGrid w:val="0"/>
              <w:spacing w:line="240" w:lineRule="atLeast"/>
              <w:jc w:val="center"/>
              <w:rPr>
                <w:b/>
                <w:szCs w:val="21"/>
              </w:rPr>
            </w:pPr>
          </w:p>
          <w:p w14:paraId="22006557">
            <w:pPr>
              <w:adjustRightInd w:val="0"/>
              <w:snapToGrid w:val="0"/>
              <w:spacing w:line="240" w:lineRule="atLeast"/>
              <w:jc w:val="center"/>
              <w:rPr>
                <w:b/>
                <w:szCs w:val="21"/>
              </w:rPr>
            </w:pPr>
            <w:r>
              <w:rPr>
                <w:b/>
                <w:szCs w:val="21"/>
              </w:rPr>
              <w:t xml:space="preserve">表14  建设项目自行监测及记录信息表 </w:t>
            </w:r>
          </w:p>
          <w:tbl>
            <w:tblPr>
              <w:tblStyle w:val="24"/>
              <w:tblW w:w="4994" w:type="pct"/>
              <w:tblInd w:w="1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308"/>
              <w:gridCol w:w="932"/>
              <w:gridCol w:w="1069"/>
              <w:gridCol w:w="1067"/>
              <w:gridCol w:w="1389"/>
              <w:gridCol w:w="862"/>
              <w:gridCol w:w="468"/>
              <w:gridCol w:w="832"/>
              <w:gridCol w:w="832"/>
              <w:gridCol w:w="961"/>
              <w:gridCol w:w="1693"/>
              <w:gridCol w:w="1225"/>
              <w:gridCol w:w="657"/>
              <w:gridCol w:w="657"/>
              <w:gridCol w:w="483"/>
            </w:tblGrid>
            <w:tr w14:paraId="1EF9F2C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1062" w:hRule="atLeast"/>
              </w:trPr>
              <w:tc>
                <w:tcPr>
                  <w:tcW w:w="308" w:type="dxa"/>
                  <w:noWrap w:val="0"/>
                  <w:vAlign w:val="center"/>
                </w:tcPr>
                <w:p w14:paraId="787E79BE">
                  <w:pPr>
                    <w:pStyle w:val="58"/>
                    <w:adjustRightInd w:val="0"/>
                    <w:snapToGrid w:val="0"/>
                    <w:jc w:val="center"/>
                    <w:rPr>
                      <w:b/>
                      <w:sz w:val="21"/>
                      <w:szCs w:val="21"/>
                    </w:rPr>
                  </w:pPr>
                  <w:r>
                    <w:rPr>
                      <w:rFonts w:hint="eastAsia"/>
                      <w:b/>
                      <w:sz w:val="21"/>
                      <w:szCs w:val="21"/>
                    </w:rPr>
                    <w:t>序号</w:t>
                  </w:r>
                </w:p>
              </w:tc>
              <w:tc>
                <w:tcPr>
                  <w:tcW w:w="932" w:type="dxa"/>
                  <w:noWrap w:val="0"/>
                  <w:vAlign w:val="center"/>
                </w:tcPr>
                <w:p w14:paraId="59348410">
                  <w:pPr>
                    <w:pStyle w:val="58"/>
                    <w:adjustRightInd w:val="0"/>
                    <w:snapToGrid w:val="0"/>
                    <w:jc w:val="center"/>
                    <w:rPr>
                      <w:b/>
                      <w:sz w:val="21"/>
                      <w:szCs w:val="21"/>
                    </w:rPr>
                  </w:pPr>
                  <w:r>
                    <w:rPr>
                      <w:rFonts w:hint="eastAsia"/>
                      <w:b/>
                      <w:sz w:val="21"/>
                      <w:szCs w:val="21"/>
                    </w:rPr>
                    <w:t>污染源类别</w:t>
                  </w:r>
                  <w:r>
                    <w:rPr>
                      <w:b/>
                      <w:sz w:val="21"/>
                      <w:szCs w:val="21"/>
                    </w:rPr>
                    <w:t>/</w:t>
                  </w:r>
                  <w:r>
                    <w:rPr>
                      <w:rFonts w:hint="eastAsia"/>
                      <w:b/>
                      <w:sz w:val="21"/>
                      <w:szCs w:val="21"/>
                    </w:rPr>
                    <w:t>监测类别</w:t>
                  </w:r>
                </w:p>
              </w:tc>
              <w:tc>
                <w:tcPr>
                  <w:tcW w:w="1069" w:type="dxa"/>
                  <w:noWrap w:val="0"/>
                  <w:vAlign w:val="center"/>
                </w:tcPr>
                <w:p w14:paraId="051592F2">
                  <w:pPr>
                    <w:pStyle w:val="58"/>
                    <w:adjustRightInd w:val="0"/>
                    <w:snapToGrid w:val="0"/>
                    <w:jc w:val="center"/>
                    <w:rPr>
                      <w:b/>
                      <w:sz w:val="21"/>
                      <w:szCs w:val="21"/>
                    </w:rPr>
                  </w:pPr>
                  <w:r>
                    <w:rPr>
                      <w:rFonts w:hint="eastAsia"/>
                      <w:b/>
                      <w:spacing w:val="-5"/>
                      <w:sz w:val="21"/>
                      <w:szCs w:val="21"/>
                    </w:rPr>
                    <w:t>排放口编号</w:t>
                  </w:r>
                  <w:r>
                    <w:rPr>
                      <w:b/>
                      <w:sz w:val="21"/>
                      <w:szCs w:val="21"/>
                    </w:rPr>
                    <w:t>/</w:t>
                  </w:r>
                  <w:r>
                    <w:rPr>
                      <w:rFonts w:hint="eastAsia"/>
                      <w:b/>
                      <w:sz w:val="21"/>
                      <w:szCs w:val="21"/>
                    </w:rPr>
                    <w:t>监测点位</w:t>
                  </w:r>
                </w:p>
              </w:tc>
              <w:tc>
                <w:tcPr>
                  <w:tcW w:w="1067" w:type="dxa"/>
                  <w:noWrap w:val="0"/>
                  <w:vAlign w:val="center"/>
                </w:tcPr>
                <w:p w14:paraId="7C6FB97B">
                  <w:pPr>
                    <w:pStyle w:val="58"/>
                    <w:adjustRightInd w:val="0"/>
                    <w:snapToGrid w:val="0"/>
                    <w:jc w:val="center"/>
                    <w:rPr>
                      <w:b/>
                      <w:sz w:val="21"/>
                      <w:szCs w:val="21"/>
                      <w:lang w:eastAsia="zh-CN"/>
                    </w:rPr>
                  </w:pPr>
                  <w:r>
                    <w:rPr>
                      <w:rFonts w:hint="eastAsia"/>
                      <w:b/>
                      <w:sz w:val="21"/>
                      <w:szCs w:val="21"/>
                      <w:lang w:eastAsia="zh-CN"/>
                    </w:rPr>
                    <w:t>排放口名称</w:t>
                  </w:r>
                  <w:r>
                    <w:rPr>
                      <w:b/>
                      <w:sz w:val="21"/>
                      <w:szCs w:val="21"/>
                      <w:lang w:eastAsia="zh-CN"/>
                    </w:rPr>
                    <w:t>/</w:t>
                  </w:r>
                  <w:r>
                    <w:rPr>
                      <w:rFonts w:hint="eastAsia"/>
                      <w:b/>
                      <w:sz w:val="21"/>
                      <w:szCs w:val="21"/>
                      <w:lang w:eastAsia="zh-CN"/>
                    </w:rPr>
                    <w:t>监测点位名称</w:t>
                  </w:r>
                </w:p>
              </w:tc>
              <w:tc>
                <w:tcPr>
                  <w:tcW w:w="1389" w:type="dxa"/>
                  <w:noWrap w:val="0"/>
                  <w:vAlign w:val="center"/>
                </w:tcPr>
                <w:p w14:paraId="3869FD6F">
                  <w:pPr>
                    <w:pStyle w:val="58"/>
                    <w:adjustRightInd w:val="0"/>
                    <w:snapToGrid w:val="0"/>
                    <w:jc w:val="center"/>
                    <w:rPr>
                      <w:b/>
                      <w:sz w:val="21"/>
                      <w:szCs w:val="21"/>
                    </w:rPr>
                  </w:pPr>
                  <w:r>
                    <w:rPr>
                      <w:rFonts w:hint="eastAsia"/>
                      <w:b/>
                      <w:sz w:val="21"/>
                      <w:szCs w:val="21"/>
                    </w:rPr>
                    <w:t>监测内容</w:t>
                  </w:r>
                </w:p>
              </w:tc>
              <w:tc>
                <w:tcPr>
                  <w:tcW w:w="862" w:type="dxa"/>
                  <w:noWrap w:val="0"/>
                  <w:vAlign w:val="center"/>
                </w:tcPr>
                <w:p w14:paraId="2D05FD6F">
                  <w:pPr>
                    <w:pStyle w:val="58"/>
                    <w:adjustRightInd w:val="0"/>
                    <w:snapToGrid w:val="0"/>
                    <w:jc w:val="center"/>
                    <w:rPr>
                      <w:b/>
                      <w:sz w:val="21"/>
                      <w:szCs w:val="21"/>
                    </w:rPr>
                  </w:pPr>
                  <w:r>
                    <w:rPr>
                      <w:rFonts w:hint="eastAsia"/>
                      <w:b/>
                      <w:sz w:val="21"/>
                      <w:szCs w:val="21"/>
                    </w:rPr>
                    <w:t>污染物名称</w:t>
                  </w:r>
                </w:p>
              </w:tc>
              <w:tc>
                <w:tcPr>
                  <w:tcW w:w="468" w:type="dxa"/>
                  <w:noWrap w:val="0"/>
                  <w:vAlign w:val="center"/>
                </w:tcPr>
                <w:p w14:paraId="06AD714F">
                  <w:pPr>
                    <w:pStyle w:val="58"/>
                    <w:adjustRightInd w:val="0"/>
                    <w:snapToGrid w:val="0"/>
                    <w:jc w:val="center"/>
                    <w:rPr>
                      <w:b/>
                      <w:sz w:val="21"/>
                      <w:szCs w:val="21"/>
                    </w:rPr>
                  </w:pPr>
                  <w:r>
                    <w:rPr>
                      <w:rFonts w:hint="eastAsia"/>
                      <w:b/>
                      <w:sz w:val="21"/>
                      <w:szCs w:val="21"/>
                    </w:rPr>
                    <w:t>监测设施</w:t>
                  </w:r>
                </w:p>
              </w:tc>
              <w:tc>
                <w:tcPr>
                  <w:tcW w:w="832" w:type="dxa"/>
                  <w:noWrap w:val="0"/>
                  <w:vAlign w:val="center"/>
                </w:tcPr>
                <w:p w14:paraId="6A47E499">
                  <w:pPr>
                    <w:pStyle w:val="58"/>
                    <w:adjustRightInd w:val="0"/>
                    <w:snapToGrid w:val="0"/>
                    <w:jc w:val="center"/>
                    <w:rPr>
                      <w:b/>
                      <w:sz w:val="21"/>
                      <w:szCs w:val="21"/>
                    </w:rPr>
                  </w:pPr>
                  <w:r>
                    <w:rPr>
                      <w:rFonts w:hint="eastAsia"/>
                      <w:b/>
                      <w:sz w:val="21"/>
                      <w:szCs w:val="21"/>
                    </w:rPr>
                    <w:t>自动监测是否联网</w:t>
                  </w:r>
                </w:p>
              </w:tc>
              <w:tc>
                <w:tcPr>
                  <w:tcW w:w="832" w:type="dxa"/>
                  <w:noWrap w:val="0"/>
                  <w:vAlign w:val="center"/>
                </w:tcPr>
                <w:p w14:paraId="3D8BCF26">
                  <w:pPr>
                    <w:pStyle w:val="58"/>
                    <w:adjustRightInd w:val="0"/>
                    <w:snapToGrid w:val="0"/>
                    <w:jc w:val="center"/>
                    <w:rPr>
                      <w:b/>
                      <w:sz w:val="21"/>
                      <w:szCs w:val="21"/>
                    </w:rPr>
                  </w:pPr>
                  <w:r>
                    <w:rPr>
                      <w:rFonts w:hint="eastAsia"/>
                      <w:b/>
                      <w:sz w:val="21"/>
                      <w:szCs w:val="21"/>
                    </w:rPr>
                    <w:t>自动监测仪器名称</w:t>
                  </w:r>
                </w:p>
              </w:tc>
              <w:tc>
                <w:tcPr>
                  <w:tcW w:w="961" w:type="dxa"/>
                  <w:noWrap w:val="0"/>
                  <w:vAlign w:val="center"/>
                </w:tcPr>
                <w:p w14:paraId="2BDBBFA8">
                  <w:pPr>
                    <w:pStyle w:val="58"/>
                    <w:adjustRightInd w:val="0"/>
                    <w:snapToGrid w:val="0"/>
                    <w:jc w:val="center"/>
                    <w:rPr>
                      <w:b/>
                      <w:sz w:val="21"/>
                      <w:szCs w:val="21"/>
                      <w:lang w:eastAsia="zh-CN"/>
                    </w:rPr>
                  </w:pPr>
                  <w:r>
                    <w:rPr>
                      <w:rFonts w:hint="eastAsia"/>
                      <w:b/>
                      <w:spacing w:val="-6"/>
                      <w:sz w:val="21"/>
                      <w:szCs w:val="21"/>
                      <w:lang w:eastAsia="zh-CN"/>
                    </w:rPr>
                    <w:t>自动监测设施安装位</w:t>
                  </w:r>
                  <w:r>
                    <w:rPr>
                      <w:rFonts w:hint="eastAsia"/>
                      <w:b/>
                      <w:sz w:val="21"/>
                      <w:szCs w:val="21"/>
                      <w:lang w:eastAsia="zh-CN"/>
                    </w:rPr>
                    <w:t>置</w:t>
                  </w:r>
                </w:p>
              </w:tc>
              <w:tc>
                <w:tcPr>
                  <w:tcW w:w="1693" w:type="dxa"/>
                  <w:noWrap w:val="0"/>
                  <w:vAlign w:val="center"/>
                </w:tcPr>
                <w:p w14:paraId="088B1520">
                  <w:pPr>
                    <w:pStyle w:val="58"/>
                    <w:adjustRightInd w:val="0"/>
                    <w:snapToGrid w:val="0"/>
                    <w:jc w:val="center"/>
                    <w:rPr>
                      <w:b/>
                      <w:sz w:val="21"/>
                      <w:szCs w:val="21"/>
                    </w:rPr>
                  </w:pPr>
                  <w:r>
                    <w:rPr>
                      <w:rFonts w:hint="eastAsia"/>
                      <w:b/>
                      <w:sz w:val="21"/>
                      <w:szCs w:val="21"/>
                      <w:lang w:eastAsia="zh-CN"/>
                    </w:rPr>
                    <w:t>自动监测设施是否符合安装</w:t>
                  </w:r>
                  <w:r>
                    <w:rPr>
                      <w:rFonts w:hint="eastAsia"/>
                      <w:b/>
                      <w:spacing w:val="-6"/>
                      <w:sz w:val="21"/>
                      <w:szCs w:val="21"/>
                      <w:lang w:eastAsia="zh-CN"/>
                    </w:rPr>
                    <w:t>运行、维护等管</w:t>
                  </w:r>
                  <w:r>
                    <w:rPr>
                      <w:rFonts w:hint="eastAsia"/>
                      <w:b/>
                      <w:sz w:val="21"/>
                      <w:szCs w:val="21"/>
                    </w:rPr>
                    <w:t>理要求</w:t>
                  </w:r>
                </w:p>
              </w:tc>
              <w:tc>
                <w:tcPr>
                  <w:tcW w:w="1225" w:type="dxa"/>
                  <w:noWrap w:val="0"/>
                  <w:vAlign w:val="center"/>
                </w:tcPr>
                <w:p w14:paraId="526C0F6C">
                  <w:pPr>
                    <w:pStyle w:val="58"/>
                    <w:adjustRightInd w:val="0"/>
                    <w:snapToGrid w:val="0"/>
                    <w:jc w:val="center"/>
                    <w:rPr>
                      <w:b/>
                      <w:sz w:val="21"/>
                      <w:szCs w:val="21"/>
                      <w:lang w:eastAsia="zh-CN"/>
                    </w:rPr>
                  </w:pPr>
                  <w:r>
                    <w:rPr>
                      <w:rFonts w:hint="eastAsia"/>
                      <w:b/>
                      <w:sz w:val="21"/>
                      <w:szCs w:val="21"/>
                      <w:lang w:eastAsia="zh-CN"/>
                    </w:rPr>
                    <w:t>手工监测</w:t>
                  </w:r>
                </w:p>
                <w:p w14:paraId="3BA96727">
                  <w:pPr>
                    <w:pStyle w:val="58"/>
                    <w:adjustRightInd w:val="0"/>
                    <w:snapToGrid w:val="0"/>
                    <w:jc w:val="center"/>
                    <w:rPr>
                      <w:b/>
                      <w:sz w:val="21"/>
                      <w:szCs w:val="21"/>
                      <w:lang w:eastAsia="zh-CN"/>
                    </w:rPr>
                  </w:pPr>
                  <w:r>
                    <w:rPr>
                      <w:rFonts w:hint="eastAsia"/>
                      <w:b/>
                      <w:sz w:val="21"/>
                      <w:szCs w:val="21"/>
                      <w:lang w:eastAsia="zh-CN"/>
                    </w:rPr>
                    <w:t>、采样方法及个数</w:t>
                  </w:r>
                </w:p>
              </w:tc>
              <w:tc>
                <w:tcPr>
                  <w:tcW w:w="657" w:type="dxa"/>
                  <w:noWrap w:val="0"/>
                  <w:vAlign w:val="center"/>
                </w:tcPr>
                <w:p w14:paraId="6E0FB6A9">
                  <w:pPr>
                    <w:pStyle w:val="58"/>
                    <w:adjustRightInd w:val="0"/>
                    <w:snapToGrid w:val="0"/>
                    <w:jc w:val="center"/>
                    <w:rPr>
                      <w:b/>
                      <w:sz w:val="21"/>
                      <w:szCs w:val="21"/>
                      <w:lang w:eastAsia="zh-CN"/>
                    </w:rPr>
                  </w:pPr>
                  <w:r>
                    <w:rPr>
                      <w:rFonts w:hint="eastAsia"/>
                      <w:b/>
                      <w:sz w:val="21"/>
                      <w:szCs w:val="21"/>
                      <w:lang w:eastAsia="zh-CN"/>
                    </w:rPr>
                    <w:t>手工监测频次</w:t>
                  </w:r>
                </w:p>
              </w:tc>
              <w:tc>
                <w:tcPr>
                  <w:tcW w:w="657" w:type="dxa"/>
                  <w:noWrap w:val="0"/>
                  <w:vAlign w:val="center"/>
                </w:tcPr>
                <w:p w14:paraId="59ACBB65">
                  <w:pPr>
                    <w:pStyle w:val="58"/>
                    <w:adjustRightInd w:val="0"/>
                    <w:snapToGrid w:val="0"/>
                    <w:jc w:val="center"/>
                    <w:rPr>
                      <w:b/>
                      <w:sz w:val="21"/>
                      <w:szCs w:val="21"/>
                      <w:lang w:eastAsia="zh-CN"/>
                    </w:rPr>
                  </w:pPr>
                  <w:r>
                    <w:rPr>
                      <w:rFonts w:hint="eastAsia"/>
                      <w:b/>
                      <w:sz w:val="21"/>
                      <w:szCs w:val="21"/>
                      <w:lang w:eastAsia="zh-CN"/>
                    </w:rPr>
                    <w:t>手工测定方法</w:t>
                  </w:r>
                </w:p>
              </w:tc>
              <w:tc>
                <w:tcPr>
                  <w:tcW w:w="483" w:type="dxa"/>
                  <w:noWrap w:val="0"/>
                  <w:vAlign w:val="center"/>
                </w:tcPr>
                <w:p w14:paraId="1C597945">
                  <w:pPr>
                    <w:pStyle w:val="58"/>
                    <w:adjustRightInd w:val="0"/>
                    <w:snapToGrid w:val="0"/>
                    <w:jc w:val="center"/>
                    <w:rPr>
                      <w:b/>
                      <w:sz w:val="21"/>
                      <w:szCs w:val="21"/>
                      <w:lang w:eastAsia="zh-CN"/>
                    </w:rPr>
                  </w:pPr>
                  <w:r>
                    <w:rPr>
                      <w:rFonts w:hint="eastAsia"/>
                      <w:b/>
                      <w:sz w:val="21"/>
                      <w:szCs w:val="21"/>
                      <w:lang w:eastAsia="zh-CN"/>
                    </w:rPr>
                    <w:t>其他信息</w:t>
                  </w:r>
                </w:p>
              </w:tc>
            </w:tr>
            <w:tr w14:paraId="5D4727E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96" w:hRule="atLeast"/>
              </w:trPr>
              <w:tc>
                <w:tcPr>
                  <w:tcW w:w="308" w:type="dxa"/>
                  <w:noWrap w:val="0"/>
                  <w:vAlign w:val="center"/>
                </w:tcPr>
                <w:p w14:paraId="5D96EC49">
                  <w:pPr>
                    <w:pStyle w:val="58"/>
                    <w:adjustRightInd w:val="0"/>
                    <w:snapToGrid w:val="0"/>
                    <w:jc w:val="center"/>
                    <w:rPr>
                      <w:rFonts w:hint="eastAsia"/>
                      <w:bCs/>
                      <w:sz w:val="21"/>
                      <w:szCs w:val="21"/>
                      <w:lang w:eastAsia="zh-CN"/>
                    </w:rPr>
                  </w:pPr>
                  <w:r>
                    <w:rPr>
                      <w:rFonts w:hint="eastAsia"/>
                      <w:bCs/>
                      <w:sz w:val="21"/>
                      <w:szCs w:val="21"/>
                      <w:lang w:eastAsia="zh-CN"/>
                    </w:rPr>
                    <w:t>1</w:t>
                  </w:r>
                </w:p>
              </w:tc>
              <w:tc>
                <w:tcPr>
                  <w:tcW w:w="932" w:type="dxa"/>
                  <w:vMerge w:val="restart"/>
                  <w:noWrap w:val="0"/>
                  <w:vAlign w:val="center"/>
                </w:tcPr>
                <w:p w14:paraId="457C7767">
                  <w:pPr>
                    <w:pStyle w:val="58"/>
                    <w:adjustRightInd w:val="0"/>
                    <w:snapToGrid w:val="0"/>
                    <w:jc w:val="center"/>
                    <w:rPr>
                      <w:sz w:val="21"/>
                      <w:szCs w:val="21"/>
                      <w:lang w:eastAsia="zh-CN"/>
                    </w:rPr>
                  </w:pPr>
                  <w:r>
                    <w:rPr>
                      <w:rFonts w:hint="eastAsia"/>
                      <w:sz w:val="21"/>
                      <w:szCs w:val="21"/>
                      <w:lang w:eastAsia="zh-CN"/>
                    </w:rPr>
                    <w:t>废气</w:t>
                  </w:r>
                </w:p>
              </w:tc>
              <w:tc>
                <w:tcPr>
                  <w:tcW w:w="1069" w:type="dxa"/>
                  <w:noWrap w:val="0"/>
                  <w:vAlign w:val="center"/>
                </w:tcPr>
                <w:p w14:paraId="3731276F">
                  <w:pPr>
                    <w:pStyle w:val="58"/>
                    <w:adjustRightInd w:val="0"/>
                    <w:snapToGrid w:val="0"/>
                    <w:jc w:val="center"/>
                    <w:rPr>
                      <w:bCs/>
                      <w:spacing w:val="-5"/>
                      <w:sz w:val="21"/>
                      <w:szCs w:val="21"/>
                      <w:lang w:eastAsia="zh-CN"/>
                    </w:rPr>
                  </w:pPr>
                  <w:r>
                    <w:rPr>
                      <w:rFonts w:hint="eastAsia"/>
                      <w:bCs/>
                      <w:spacing w:val="-5"/>
                      <w:sz w:val="21"/>
                      <w:szCs w:val="21"/>
                      <w:lang w:eastAsia="zh-CN"/>
                    </w:rPr>
                    <w:t>DA001</w:t>
                  </w:r>
                </w:p>
              </w:tc>
              <w:tc>
                <w:tcPr>
                  <w:tcW w:w="1067" w:type="dxa"/>
                  <w:noWrap w:val="0"/>
                  <w:vAlign w:val="center"/>
                </w:tcPr>
                <w:p w14:paraId="0142C036">
                  <w:pPr>
                    <w:pStyle w:val="58"/>
                    <w:adjustRightInd w:val="0"/>
                    <w:snapToGrid w:val="0"/>
                    <w:jc w:val="center"/>
                    <w:rPr>
                      <w:bCs/>
                      <w:sz w:val="21"/>
                      <w:szCs w:val="21"/>
                      <w:lang w:eastAsia="zh-CN"/>
                    </w:rPr>
                  </w:pPr>
                  <w:r>
                    <w:rPr>
                      <w:rFonts w:hint="eastAsia"/>
                      <w:bCs/>
                      <w:sz w:val="21"/>
                      <w:szCs w:val="21"/>
                      <w:lang w:val="en-US" w:eastAsia="zh-CN"/>
                    </w:rPr>
                    <w:t>废油液抽取</w:t>
                  </w:r>
                  <w:r>
                    <w:rPr>
                      <w:rFonts w:hint="eastAsia"/>
                      <w:bCs/>
                      <w:sz w:val="21"/>
                      <w:szCs w:val="21"/>
                      <w:lang w:eastAsia="zh-CN"/>
                    </w:rPr>
                    <w:t>工段废气排放口</w:t>
                  </w:r>
                </w:p>
              </w:tc>
              <w:tc>
                <w:tcPr>
                  <w:tcW w:w="1389" w:type="dxa"/>
                  <w:noWrap w:val="0"/>
                  <w:vAlign w:val="center"/>
                </w:tcPr>
                <w:p w14:paraId="03BDE7E7">
                  <w:pPr>
                    <w:pStyle w:val="58"/>
                    <w:adjustRightInd w:val="0"/>
                    <w:snapToGrid w:val="0"/>
                    <w:jc w:val="center"/>
                    <w:rPr>
                      <w:rFonts w:hint="eastAsia"/>
                      <w:bCs/>
                      <w:sz w:val="21"/>
                      <w:szCs w:val="21"/>
                    </w:rPr>
                  </w:pPr>
                  <w:r>
                    <w:rPr>
                      <w:rFonts w:hint="eastAsia"/>
                      <w:sz w:val="21"/>
                      <w:szCs w:val="21"/>
                      <w:lang w:eastAsia="zh-CN"/>
                    </w:rPr>
                    <w:t>烟气流速、烟气温度、烟道截面积、烟气量</w:t>
                  </w:r>
                </w:p>
              </w:tc>
              <w:tc>
                <w:tcPr>
                  <w:tcW w:w="862" w:type="dxa"/>
                  <w:noWrap w:val="0"/>
                  <w:vAlign w:val="center"/>
                </w:tcPr>
                <w:p w14:paraId="6892900C">
                  <w:pPr>
                    <w:jc w:val="center"/>
                    <w:rPr>
                      <w:rFonts w:hint="default" w:eastAsia="宋体"/>
                      <w:bCs/>
                      <w:szCs w:val="21"/>
                      <w:lang w:val="en-US" w:eastAsia="zh-CN"/>
                    </w:rPr>
                  </w:pPr>
                  <w:r>
                    <w:rPr>
                      <w:rFonts w:hint="eastAsia" w:eastAsia="宋体"/>
                      <w:bCs/>
                      <w:szCs w:val="21"/>
                      <w:lang w:val="en-US" w:eastAsia="zh-CN"/>
                    </w:rPr>
                    <w:t>非甲烷总烃</w:t>
                  </w:r>
                </w:p>
              </w:tc>
              <w:tc>
                <w:tcPr>
                  <w:tcW w:w="468" w:type="dxa"/>
                  <w:noWrap w:val="0"/>
                  <w:vAlign w:val="center"/>
                </w:tcPr>
                <w:p w14:paraId="5EE51FF0">
                  <w:pPr>
                    <w:jc w:val="center"/>
                    <w:rPr>
                      <w:rFonts w:hint="eastAsia"/>
                      <w:bCs/>
                      <w:szCs w:val="21"/>
                    </w:rPr>
                  </w:pPr>
                  <w:r>
                    <w:rPr>
                      <w:rFonts w:hint="eastAsia"/>
                      <w:szCs w:val="21"/>
                    </w:rPr>
                    <w:t>手工</w:t>
                  </w:r>
                </w:p>
              </w:tc>
              <w:tc>
                <w:tcPr>
                  <w:tcW w:w="832" w:type="dxa"/>
                  <w:noWrap w:val="0"/>
                  <w:vAlign w:val="center"/>
                </w:tcPr>
                <w:p w14:paraId="0E876596">
                  <w:pPr>
                    <w:jc w:val="center"/>
                    <w:rPr>
                      <w:rFonts w:hint="eastAsia"/>
                      <w:bCs/>
                      <w:szCs w:val="21"/>
                    </w:rPr>
                  </w:pPr>
                  <w:r>
                    <w:rPr>
                      <w:rFonts w:hint="eastAsia"/>
                      <w:szCs w:val="21"/>
                    </w:rPr>
                    <w:t>/</w:t>
                  </w:r>
                </w:p>
              </w:tc>
              <w:tc>
                <w:tcPr>
                  <w:tcW w:w="832" w:type="dxa"/>
                  <w:noWrap w:val="0"/>
                  <w:vAlign w:val="center"/>
                </w:tcPr>
                <w:p w14:paraId="2F52CC66">
                  <w:pPr>
                    <w:jc w:val="center"/>
                    <w:rPr>
                      <w:rFonts w:hint="eastAsia"/>
                      <w:bCs/>
                      <w:szCs w:val="21"/>
                    </w:rPr>
                  </w:pPr>
                  <w:r>
                    <w:rPr>
                      <w:rFonts w:hint="eastAsia"/>
                      <w:szCs w:val="21"/>
                    </w:rPr>
                    <w:t>/</w:t>
                  </w:r>
                </w:p>
              </w:tc>
              <w:tc>
                <w:tcPr>
                  <w:tcW w:w="961" w:type="dxa"/>
                  <w:noWrap w:val="0"/>
                  <w:vAlign w:val="center"/>
                </w:tcPr>
                <w:p w14:paraId="5507237E">
                  <w:pPr>
                    <w:jc w:val="center"/>
                    <w:rPr>
                      <w:rFonts w:hint="eastAsia"/>
                      <w:bCs/>
                      <w:spacing w:val="-6"/>
                      <w:szCs w:val="21"/>
                    </w:rPr>
                  </w:pPr>
                  <w:r>
                    <w:rPr>
                      <w:rFonts w:hint="eastAsia"/>
                      <w:szCs w:val="21"/>
                    </w:rPr>
                    <w:t>/</w:t>
                  </w:r>
                </w:p>
              </w:tc>
              <w:tc>
                <w:tcPr>
                  <w:tcW w:w="1693" w:type="dxa"/>
                  <w:noWrap w:val="0"/>
                  <w:vAlign w:val="center"/>
                </w:tcPr>
                <w:p w14:paraId="4EBDFF99">
                  <w:pPr>
                    <w:jc w:val="center"/>
                    <w:rPr>
                      <w:rFonts w:hint="eastAsia"/>
                      <w:bCs/>
                      <w:szCs w:val="21"/>
                    </w:rPr>
                  </w:pPr>
                  <w:r>
                    <w:rPr>
                      <w:rFonts w:hint="eastAsia"/>
                      <w:szCs w:val="21"/>
                    </w:rPr>
                    <w:t>/</w:t>
                  </w:r>
                </w:p>
              </w:tc>
              <w:tc>
                <w:tcPr>
                  <w:tcW w:w="1225" w:type="dxa"/>
                  <w:noWrap w:val="0"/>
                  <w:vAlign w:val="center"/>
                </w:tcPr>
                <w:p w14:paraId="13A2711A">
                  <w:pPr>
                    <w:jc w:val="center"/>
                    <w:rPr>
                      <w:rFonts w:hint="eastAsia"/>
                      <w:bCs/>
                      <w:szCs w:val="21"/>
                    </w:rPr>
                  </w:pPr>
                  <w:r>
                    <w:rPr>
                      <w:szCs w:val="21"/>
                    </w:rPr>
                    <w:t>非连续采样至少3个</w:t>
                  </w:r>
                </w:p>
              </w:tc>
              <w:tc>
                <w:tcPr>
                  <w:tcW w:w="657" w:type="dxa"/>
                  <w:noWrap w:val="0"/>
                  <w:vAlign w:val="center"/>
                </w:tcPr>
                <w:p w14:paraId="3F9A4993">
                  <w:pPr>
                    <w:jc w:val="center"/>
                    <w:rPr>
                      <w:rFonts w:hint="eastAsia"/>
                      <w:bCs/>
                      <w:szCs w:val="21"/>
                    </w:rPr>
                  </w:pPr>
                  <w:r>
                    <w:rPr>
                      <w:rFonts w:hint="eastAsia"/>
                      <w:szCs w:val="21"/>
                    </w:rPr>
                    <w:t>1次/年</w:t>
                  </w:r>
                </w:p>
              </w:tc>
              <w:tc>
                <w:tcPr>
                  <w:tcW w:w="657" w:type="dxa"/>
                  <w:noWrap w:val="0"/>
                  <w:vAlign w:val="center"/>
                </w:tcPr>
                <w:p w14:paraId="6B7A5731">
                  <w:pPr>
                    <w:jc w:val="center"/>
                    <w:rPr>
                      <w:rFonts w:hint="eastAsia"/>
                      <w:bCs/>
                      <w:szCs w:val="21"/>
                    </w:rPr>
                  </w:pPr>
                  <w:r>
                    <w:rPr>
                      <w:rFonts w:hint="eastAsia"/>
                      <w:szCs w:val="21"/>
                    </w:rPr>
                    <w:t>/</w:t>
                  </w:r>
                </w:p>
              </w:tc>
              <w:tc>
                <w:tcPr>
                  <w:tcW w:w="483" w:type="dxa"/>
                  <w:noWrap w:val="0"/>
                  <w:vAlign w:val="center"/>
                </w:tcPr>
                <w:p w14:paraId="07B53814">
                  <w:pPr>
                    <w:pStyle w:val="58"/>
                    <w:adjustRightInd w:val="0"/>
                    <w:snapToGrid w:val="0"/>
                    <w:jc w:val="center"/>
                    <w:rPr>
                      <w:bCs/>
                      <w:sz w:val="21"/>
                      <w:szCs w:val="21"/>
                      <w:lang w:eastAsia="zh-CN"/>
                    </w:rPr>
                  </w:pPr>
                  <w:r>
                    <w:rPr>
                      <w:rFonts w:hint="eastAsia"/>
                      <w:bCs/>
                      <w:sz w:val="21"/>
                      <w:szCs w:val="21"/>
                      <w:lang w:eastAsia="zh-CN"/>
                    </w:rPr>
                    <w:t>/</w:t>
                  </w:r>
                </w:p>
              </w:tc>
            </w:tr>
            <w:tr w14:paraId="4F37CAF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08" w:type="dxa"/>
                  <w:noWrap w:val="0"/>
                  <w:vAlign w:val="center"/>
                </w:tcPr>
                <w:p w14:paraId="2D663253">
                  <w:pPr>
                    <w:pStyle w:val="58"/>
                    <w:adjustRightInd w:val="0"/>
                    <w:snapToGrid w:val="0"/>
                    <w:jc w:val="center"/>
                    <w:rPr>
                      <w:rFonts w:hint="default"/>
                      <w:bCs/>
                      <w:sz w:val="21"/>
                      <w:szCs w:val="21"/>
                      <w:lang w:val="en-US" w:eastAsia="zh-CN"/>
                    </w:rPr>
                  </w:pPr>
                  <w:r>
                    <w:rPr>
                      <w:rFonts w:hint="eastAsia"/>
                      <w:bCs/>
                      <w:sz w:val="21"/>
                      <w:szCs w:val="21"/>
                      <w:lang w:val="en-US" w:eastAsia="zh-CN"/>
                    </w:rPr>
                    <w:t>2</w:t>
                  </w:r>
                </w:p>
              </w:tc>
              <w:tc>
                <w:tcPr>
                  <w:tcW w:w="932" w:type="dxa"/>
                  <w:vMerge w:val="continue"/>
                  <w:noWrap w:val="0"/>
                  <w:vAlign w:val="center"/>
                </w:tcPr>
                <w:p w14:paraId="793B94A1">
                  <w:pPr>
                    <w:pStyle w:val="58"/>
                    <w:adjustRightInd w:val="0"/>
                    <w:snapToGrid w:val="0"/>
                    <w:jc w:val="center"/>
                    <w:rPr>
                      <w:rFonts w:hint="eastAsia"/>
                      <w:sz w:val="21"/>
                      <w:szCs w:val="21"/>
                      <w:lang w:eastAsia="zh-CN"/>
                    </w:rPr>
                  </w:pPr>
                </w:p>
              </w:tc>
              <w:tc>
                <w:tcPr>
                  <w:tcW w:w="1069" w:type="dxa"/>
                  <w:noWrap w:val="0"/>
                  <w:vAlign w:val="center"/>
                </w:tcPr>
                <w:p w14:paraId="3F7A36A5">
                  <w:pPr>
                    <w:pStyle w:val="58"/>
                    <w:adjustRightInd w:val="0"/>
                    <w:snapToGrid w:val="0"/>
                    <w:jc w:val="center"/>
                    <w:rPr>
                      <w:rFonts w:hint="default"/>
                      <w:bCs/>
                      <w:spacing w:val="-5"/>
                      <w:sz w:val="21"/>
                      <w:szCs w:val="21"/>
                      <w:lang w:val="en-US" w:eastAsia="zh-CN"/>
                    </w:rPr>
                  </w:pPr>
                  <w:r>
                    <w:rPr>
                      <w:rFonts w:hint="eastAsia"/>
                      <w:bCs/>
                      <w:spacing w:val="-5"/>
                      <w:sz w:val="21"/>
                      <w:szCs w:val="21"/>
                      <w:lang w:val="en-US" w:eastAsia="zh-CN"/>
                    </w:rPr>
                    <w:t>DA002</w:t>
                  </w:r>
                </w:p>
              </w:tc>
              <w:tc>
                <w:tcPr>
                  <w:tcW w:w="1067" w:type="dxa"/>
                  <w:noWrap w:val="0"/>
                  <w:vAlign w:val="center"/>
                </w:tcPr>
                <w:p w14:paraId="702AAA48">
                  <w:pPr>
                    <w:pStyle w:val="58"/>
                    <w:adjustRightInd w:val="0"/>
                    <w:snapToGrid w:val="0"/>
                    <w:jc w:val="center"/>
                    <w:rPr>
                      <w:rFonts w:hint="default"/>
                      <w:bCs/>
                      <w:sz w:val="21"/>
                      <w:szCs w:val="21"/>
                      <w:lang w:val="en-US" w:eastAsia="zh-CN"/>
                    </w:rPr>
                  </w:pPr>
                  <w:r>
                    <w:rPr>
                      <w:rFonts w:hint="eastAsia"/>
                      <w:bCs/>
                      <w:sz w:val="21"/>
                      <w:szCs w:val="21"/>
                      <w:lang w:val="en-US" w:eastAsia="zh-CN"/>
                    </w:rPr>
                    <w:t>废油液贮存工段废气排放口</w:t>
                  </w:r>
                </w:p>
              </w:tc>
              <w:tc>
                <w:tcPr>
                  <w:tcW w:w="1389" w:type="dxa"/>
                  <w:noWrap w:val="0"/>
                  <w:vAlign w:val="center"/>
                </w:tcPr>
                <w:p w14:paraId="2F6C6852">
                  <w:pPr>
                    <w:pStyle w:val="58"/>
                    <w:adjustRightInd w:val="0"/>
                    <w:snapToGrid w:val="0"/>
                    <w:jc w:val="center"/>
                    <w:rPr>
                      <w:rFonts w:hint="eastAsia"/>
                      <w:sz w:val="21"/>
                      <w:szCs w:val="21"/>
                      <w:lang w:eastAsia="zh-CN"/>
                    </w:rPr>
                  </w:pPr>
                  <w:r>
                    <w:rPr>
                      <w:rFonts w:hint="eastAsia"/>
                      <w:sz w:val="21"/>
                      <w:szCs w:val="21"/>
                      <w:lang w:eastAsia="zh-CN"/>
                    </w:rPr>
                    <w:t>烟气流速、烟气温度、烟道截面积、烟气量</w:t>
                  </w:r>
                </w:p>
              </w:tc>
              <w:tc>
                <w:tcPr>
                  <w:tcW w:w="862" w:type="dxa"/>
                  <w:noWrap w:val="0"/>
                  <w:vAlign w:val="center"/>
                </w:tcPr>
                <w:p w14:paraId="6D79683E">
                  <w:pPr>
                    <w:jc w:val="center"/>
                    <w:rPr>
                      <w:rFonts w:hint="default" w:eastAsia="宋体"/>
                      <w:szCs w:val="21"/>
                      <w:lang w:val="en-US" w:eastAsia="zh-CN"/>
                    </w:rPr>
                  </w:pPr>
                  <w:r>
                    <w:rPr>
                      <w:rFonts w:hint="eastAsia"/>
                      <w:szCs w:val="21"/>
                      <w:lang w:val="en-US" w:eastAsia="zh-CN"/>
                    </w:rPr>
                    <w:t>非甲烷总烃</w:t>
                  </w:r>
                </w:p>
              </w:tc>
              <w:tc>
                <w:tcPr>
                  <w:tcW w:w="468" w:type="dxa"/>
                  <w:noWrap w:val="0"/>
                  <w:vAlign w:val="center"/>
                </w:tcPr>
                <w:p w14:paraId="01023FFC">
                  <w:pPr>
                    <w:jc w:val="center"/>
                    <w:rPr>
                      <w:rFonts w:hint="eastAsia" w:eastAsia="宋体"/>
                      <w:szCs w:val="21"/>
                      <w:lang w:val="en-US" w:eastAsia="zh-CN"/>
                    </w:rPr>
                  </w:pPr>
                  <w:r>
                    <w:rPr>
                      <w:rFonts w:hint="eastAsia"/>
                      <w:szCs w:val="21"/>
                      <w:lang w:val="en-US" w:eastAsia="zh-CN"/>
                    </w:rPr>
                    <w:t>手工</w:t>
                  </w:r>
                </w:p>
              </w:tc>
              <w:tc>
                <w:tcPr>
                  <w:tcW w:w="832" w:type="dxa"/>
                  <w:noWrap w:val="0"/>
                  <w:vAlign w:val="center"/>
                </w:tcPr>
                <w:p w14:paraId="37755762">
                  <w:pPr>
                    <w:jc w:val="center"/>
                    <w:rPr>
                      <w:rFonts w:hint="eastAsia" w:eastAsia="宋体"/>
                      <w:szCs w:val="21"/>
                      <w:lang w:val="en-US" w:eastAsia="zh-CN"/>
                    </w:rPr>
                  </w:pPr>
                  <w:r>
                    <w:rPr>
                      <w:rFonts w:hint="eastAsia"/>
                      <w:szCs w:val="21"/>
                      <w:lang w:val="en-US" w:eastAsia="zh-CN"/>
                    </w:rPr>
                    <w:t>/</w:t>
                  </w:r>
                </w:p>
              </w:tc>
              <w:tc>
                <w:tcPr>
                  <w:tcW w:w="832" w:type="dxa"/>
                  <w:noWrap w:val="0"/>
                  <w:vAlign w:val="center"/>
                </w:tcPr>
                <w:p w14:paraId="2BC1239F">
                  <w:pPr>
                    <w:jc w:val="center"/>
                    <w:rPr>
                      <w:rFonts w:hint="eastAsia" w:eastAsia="宋体"/>
                      <w:szCs w:val="21"/>
                      <w:lang w:val="en-US" w:eastAsia="zh-CN"/>
                    </w:rPr>
                  </w:pPr>
                  <w:r>
                    <w:rPr>
                      <w:rFonts w:hint="eastAsia"/>
                      <w:szCs w:val="21"/>
                      <w:lang w:val="en-US" w:eastAsia="zh-CN"/>
                    </w:rPr>
                    <w:t>/</w:t>
                  </w:r>
                </w:p>
              </w:tc>
              <w:tc>
                <w:tcPr>
                  <w:tcW w:w="961" w:type="dxa"/>
                  <w:noWrap w:val="0"/>
                  <w:vAlign w:val="center"/>
                </w:tcPr>
                <w:p w14:paraId="0085EDFB">
                  <w:pPr>
                    <w:jc w:val="center"/>
                    <w:rPr>
                      <w:rFonts w:hint="eastAsia" w:eastAsia="宋体"/>
                      <w:szCs w:val="21"/>
                      <w:lang w:val="en-US" w:eastAsia="zh-CN"/>
                    </w:rPr>
                  </w:pPr>
                  <w:r>
                    <w:rPr>
                      <w:rFonts w:hint="eastAsia"/>
                      <w:szCs w:val="21"/>
                      <w:lang w:val="en-US" w:eastAsia="zh-CN"/>
                    </w:rPr>
                    <w:t>/</w:t>
                  </w:r>
                </w:p>
              </w:tc>
              <w:tc>
                <w:tcPr>
                  <w:tcW w:w="1693" w:type="dxa"/>
                  <w:noWrap w:val="0"/>
                  <w:vAlign w:val="center"/>
                </w:tcPr>
                <w:p w14:paraId="3BC2DBA8">
                  <w:pPr>
                    <w:jc w:val="center"/>
                    <w:rPr>
                      <w:rFonts w:hint="eastAsia" w:eastAsia="宋体"/>
                      <w:szCs w:val="21"/>
                      <w:lang w:val="en-US" w:eastAsia="zh-CN"/>
                    </w:rPr>
                  </w:pPr>
                  <w:r>
                    <w:rPr>
                      <w:rFonts w:hint="eastAsia"/>
                      <w:szCs w:val="21"/>
                      <w:lang w:val="en-US" w:eastAsia="zh-CN"/>
                    </w:rPr>
                    <w:t>/</w:t>
                  </w:r>
                </w:p>
              </w:tc>
              <w:tc>
                <w:tcPr>
                  <w:tcW w:w="1225" w:type="dxa"/>
                  <w:noWrap w:val="0"/>
                  <w:vAlign w:val="center"/>
                </w:tcPr>
                <w:p w14:paraId="7E456C8D">
                  <w:pPr>
                    <w:jc w:val="center"/>
                    <w:rPr>
                      <w:szCs w:val="21"/>
                    </w:rPr>
                  </w:pPr>
                  <w:r>
                    <w:rPr>
                      <w:szCs w:val="21"/>
                    </w:rPr>
                    <w:t>非连续采样至少3个</w:t>
                  </w:r>
                </w:p>
              </w:tc>
              <w:tc>
                <w:tcPr>
                  <w:tcW w:w="657" w:type="dxa"/>
                  <w:noWrap w:val="0"/>
                  <w:vAlign w:val="center"/>
                </w:tcPr>
                <w:p w14:paraId="42B5C523">
                  <w:pPr>
                    <w:jc w:val="center"/>
                    <w:rPr>
                      <w:rFonts w:hint="eastAsia" w:eastAsia="宋体"/>
                      <w:szCs w:val="21"/>
                      <w:lang w:val="en-US" w:eastAsia="zh-CN"/>
                    </w:rPr>
                  </w:pPr>
                  <w:r>
                    <w:rPr>
                      <w:rFonts w:hint="eastAsia"/>
                      <w:szCs w:val="21"/>
                    </w:rPr>
                    <w:t>1次/年</w:t>
                  </w:r>
                </w:p>
              </w:tc>
              <w:tc>
                <w:tcPr>
                  <w:tcW w:w="657" w:type="dxa"/>
                  <w:noWrap w:val="0"/>
                  <w:vAlign w:val="center"/>
                </w:tcPr>
                <w:p w14:paraId="20CB9658">
                  <w:pPr>
                    <w:jc w:val="center"/>
                    <w:rPr>
                      <w:rFonts w:hint="eastAsia" w:eastAsia="宋体"/>
                      <w:szCs w:val="21"/>
                      <w:lang w:val="en-US" w:eastAsia="zh-CN"/>
                    </w:rPr>
                  </w:pPr>
                  <w:r>
                    <w:rPr>
                      <w:rFonts w:hint="eastAsia"/>
                      <w:szCs w:val="21"/>
                      <w:lang w:val="en-US" w:eastAsia="zh-CN"/>
                    </w:rPr>
                    <w:t>/</w:t>
                  </w:r>
                </w:p>
              </w:tc>
              <w:tc>
                <w:tcPr>
                  <w:tcW w:w="483" w:type="dxa"/>
                  <w:noWrap w:val="0"/>
                  <w:vAlign w:val="center"/>
                </w:tcPr>
                <w:p w14:paraId="333ED46B">
                  <w:pPr>
                    <w:pStyle w:val="58"/>
                    <w:adjustRightInd w:val="0"/>
                    <w:snapToGrid w:val="0"/>
                    <w:jc w:val="center"/>
                    <w:rPr>
                      <w:rFonts w:hint="default"/>
                      <w:bCs/>
                      <w:sz w:val="21"/>
                      <w:szCs w:val="21"/>
                      <w:lang w:val="en-US" w:eastAsia="zh-CN"/>
                    </w:rPr>
                  </w:pPr>
                  <w:r>
                    <w:rPr>
                      <w:rFonts w:hint="eastAsia"/>
                      <w:bCs/>
                      <w:sz w:val="21"/>
                      <w:szCs w:val="21"/>
                      <w:lang w:val="en-US" w:eastAsia="zh-CN"/>
                    </w:rPr>
                    <w:t>/</w:t>
                  </w:r>
                </w:p>
              </w:tc>
            </w:tr>
            <w:tr w14:paraId="6D64DB8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08" w:type="dxa"/>
                  <w:noWrap w:val="0"/>
                  <w:vAlign w:val="center"/>
                </w:tcPr>
                <w:p w14:paraId="38A7CADB">
                  <w:pPr>
                    <w:pStyle w:val="58"/>
                    <w:adjustRightInd w:val="0"/>
                    <w:snapToGrid w:val="0"/>
                    <w:jc w:val="center"/>
                    <w:rPr>
                      <w:rFonts w:hint="default"/>
                      <w:bCs/>
                      <w:sz w:val="21"/>
                      <w:szCs w:val="21"/>
                      <w:lang w:val="en-US" w:eastAsia="zh-CN"/>
                    </w:rPr>
                  </w:pPr>
                  <w:r>
                    <w:rPr>
                      <w:rFonts w:hint="eastAsia"/>
                      <w:bCs/>
                      <w:sz w:val="21"/>
                      <w:szCs w:val="21"/>
                      <w:lang w:val="en-US" w:eastAsia="zh-CN"/>
                    </w:rPr>
                    <w:t>3</w:t>
                  </w:r>
                </w:p>
              </w:tc>
              <w:tc>
                <w:tcPr>
                  <w:tcW w:w="932" w:type="dxa"/>
                  <w:vMerge w:val="continue"/>
                  <w:noWrap w:val="0"/>
                  <w:vAlign w:val="center"/>
                </w:tcPr>
                <w:p w14:paraId="172510B6">
                  <w:pPr>
                    <w:pStyle w:val="58"/>
                    <w:adjustRightInd w:val="0"/>
                    <w:snapToGrid w:val="0"/>
                    <w:jc w:val="center"/>
                    <w:rPr>
                      <w:rFonts w:hint="eastAsia"/>
                      <w:sz w:val="21"/>
                      <w:szCs w:val="21"/>
                      <w:lang w:eastAsia="zh-CN"/>
                    </w:rPr>
                  </w:pPr>
                </w:p>
              </w:tc>
              <w:tc>
                <w:tcPr>
                  <w:tcW w:w="1069" w:type="dxa"/>
                  <w:noWrap w:val="0"/>
                  <w:vAlign w:val="center"/>
                </w:tcPr>
                <w:p w14:paraId="473B0F35">
                  <w:pPr>
                    <w:pStyle w:val="58"/>
                    <w:adjustRightInd w:val="0"/>
                    <w:snapToGrid w:val="0"/>
                    <w:jc w:val="center"/>
                    <w:rPr>
                      <w:rFonts w:hint="default"/>
                      <w:bCs/>
                      <w:spacing w:val="-5"/>
                      <w:sz w:val="21"/>
                      <w:szCs w:val="21"/>
                      <w:lang w:val="en-US" w:eastAsia="zh-CN"/>
                    </w:rPr>
                  </w:pPr>
                  <w:r>
                    <w:rPr>
                      <w:rFonts w:hint="eastAsia"/>
                      <w:bCs/>
                      <w:spacing w:val="-5"/>
                      <w:sz w:val="21"/>
                      <w:szCs w:val="21"/>
                      <w:lang w:val="en-US" w:eastAsia="zh-CN"/>
                    </w:rPr>
                    <w:t>DA003</w:t>
                  </w:r>
                </w:p>
              </w:tc>
              <w:tc>
                <w:tcPr>
                  <w:tcW w:w="1067" w:type="dxa"/>
                  <w:noWrap w:val="0"/>
                  <w:vAlign w:val="center"/>
                </w:tcPr>
                <w:p w14:paraId="24726432">
                  <w:pPr>
                    <w:pStyle w:val="58"/>
                    <w:adjustRightInd w:val="0"/>
                    <w:snapToGrid w:val="0"/>
                    <w:jc w:val="center"/>
                    <w:rPr>
                      <w:rFonts w:hint="default"/>
                      <w:bCs/>
                      <w:sz w:val="21"/>
                      <w:szCs w:val="21"/>
                      <w:lang w:val="en-US" w:eastAsia="zh-CN"/>
                    </w:rPr>
                  </w:pPr>
                  <w:r>
                    <w:rPr>
                      <w:rFonts w:hint="eastAsia"/>
                      <w:bCs/>
                      <w:sz w:val="21"/>
                      <w:szCs w:val="21"/>
                      <w:lang w:val="en-US" w:eastAsia="zh-CN"/>
                    </w:rPr>
                    <w:t>切割工段废气排放口</w:t>
                  </w:r>
                </w:p>
              </w:tc>
              <w:tc>
                <w:tcPr>
                  <w:tcW w:w="1389" w:type="dxa"/>
                  <w:noWrap w:val="0"/>
                  <w:vAlign w:val="center"/>
                </w:tcPr>
                <w:p w14:paraId="7C1640DD">
                  <w:pPr>
                    <w:pStyle w:val="58"/>
                    <w:adjustRightInd w:val="0"/>
                    <w:snapToGrid w:val="0"/>
                    <w:jc w:val="center"/>
                    <w:rPr>
                      <w:rFonts w:hint="eastAsia"/>
                      <w:sz w:val="21"/>
                      <w:szCs w:val="21"/>
                      <w:lang w:eastAsia="zh-CN"/>
                    </w:rPr>
                  </w:pPr>
                  <w:r>
                    <w:rPr>
                      <w:rFonts w:hint="eastAsia"/>
                      <w:sz w:val="21"/>
                      <w:szCs w:val="21"/>
                      <w:lang w:eastAsia="zh-CN"/>
                    </w:rPr>
                    <w:t>烟气流速、烟气温度、烟道截面积、烟气量</w:t>
                  </w:r>
                </w:p>
              </w:tc>
              <w:tc>
                <w:tcPr>
                  <w:tcW w:w="862" w:type="dxa"/>
                  <w:noWrap w:val="0"/>
                  <w:vAlign w:val="center"/>
                </w:tcPr>
                <w:p w14:paraId="7EA25662">
                  <w:pPr>
                    <w:jc w:val="center"/>
                    <w:rPr>
                      <w:rFonts w:hint="default"/>
                      <w:szCs w:val="21"/>
                      <w:lang w:val="en-US" w:eastAsia="zh-CN"/>
                    </w:rPr>
                  </w:pPr>
                  <w:r>
                    <w:rPr>
                      <w:rFonts w:hint="eastAsia"/>
                      <w:szCs w:val="21"/>
                      <w:lang w:val="en-US" w:eastAsia="zh-CN"/>
                    </w:rPr>
                    <w:t>颗粒物</w:t>
                  </w:r>
                </w:p>
              </w:tc>
              <w:tc>
                <w:tcPr>
                  <w:tcW w:w="468" w:type="dxa"/>
                  <w:noWrap w:val="0"/>
                  <w:vAlign w:val="center"/>
                </w:tcPr>
                <w:p w14:paraId="5AB19540">
                  <w:pPr>
                    <w:jc w:val="center"/>
                    <w:rPr>
                      <w:rFonts w:hint="default"/>
                      <w:szCs w:val="21"/>
                      <w:lang w:val="en-US" w:eastAsia="zh-CN"/>
                    </w:rPr>
                  </w:pPr>
                  <w:r>
                    <w:rPr>
                      <w:rFonts w:hint="eastAsia"/>
                      <w:szCs w:val="21"/>
                      <w:lang w:val="en-US" w:eastAsia="zh-CN"/>
                    </w:rPr>
                    <w:t>手工</w:t>
                  </w:r>
                </w:p>
              </w:tc>
              <w:tc>
                <w:tcPr>
                  <w:tcW w:w="832" w:type="dxa"/>
                  <w:noWrap w:val="0"/>
                  <w:vAlign w:val="center"/>
                </w:tcPr>
                <w:p w14:paraId="09F4235A">
                  <w:pPr>
                    <w:jc w:val="center"/>
                    <w:rPr>
                      <w:rFonts w:hint="default"/>
                      <w:szCs w:val="21"/>
                      <w:lang w:val="en-US" w:eastAsia="zh-CN"/>
                    </w:rPr>
                  </w:pPr>
                  <w:r>
                    <w:rPr>
                      <w:rFonts w:hint="eastAsia"/>
                      <w:szCs w:val="21"/>
                      <w:lang w:val="en-US" w:eastAsia="zh-CN"/>
                    </w:rPr>
                    <w:t>/</w:t>
                  </w:r>
                </w:p>
              </w:tc>
              <w:tc>
                <w:tcPr>
                  <w:tcW w:w="832" w:type="dxa"/>
                  <w:noWrap w:val="0"/>
                  <w:vAlign w:val="center"/>
                </w:tcPr>
                <w:p w14:paraId="43C2E81C">
                  <w:pPr>
                    <w:jc w:val="center"/>
                    <w:rPr>
                      <w:rFonts w:hint="default"/>
                      <w:szCs w:val="21"/>
                      <w:lang w:val="en-US" w:eastAsia="zh-CN"/>
                    </w:rPr>
                  </w:pPr>
                  <w:r>
                    <w:rPr>
                      <w:rFonts w:hint="eastAsia"/>
                      <w:szCs w:val="21"/>
                      <w:lang w:val="en-US" w:eastAsia="zh-CN"/>
                    </w:rPr>
                    <w:t>/</w:t>
                  </w:r>
                </w:p>
              </w:tc>
              <w:tc>
                <w:tcPr>
                  <w:tcW w:w="961" w:type="dxa"/>
                  <w:noWrap w:val="0"/>
                  <w:vAlign w:val="center"/>
                </w:tcPr>
                <w:p w14:paraId="56214244">
                  <w:pPr>
                    <w:jc w:val="center"/>
                    <w:rPr>
                      <w:rFonts w:hint="default"/>
                      <w:szCs w:val="21"/>
                      <w:lang w:val="en-US" w:eastAsia="zh-CN"/>
                    </w:rPr>
                  </w:pPr>
                  <w:r>
                    <w:rPr>
                      <w:rFonts w:hint="eastAsia"/>
                      <w:szCs w:val="21"/>
                      <w:lang w:val="en-US" w:eastAsia="zh-CN"/>
                    </w:rPr>
                    <w:t>/</w:t>
                  </w:r>
                </w:p>
              </w:tc>
              <w:tc>
                <w:tcPr>
                  <w:tcW w:w="1693" w:type="dxa"/>
                  <w:noWrap w:val="0"/>
                  <w:vAlign w:val="center"/>
                </w:tcPr>
                <w:p w14:paraId="52829BB3">
                  <w:pPr>
                    <w:jc w:val="center"/>
                    <w:rPr>
                      <w:rFonts w:hint="default"/>
                      <w:szCs w:val="21"/>
                      <w:lang w:val="en-US" w:eastAsia="zh-CN"/>
                    </w:rPr>
                  </w:pPr>
                  <w:r>
                    <w:rPr>
                      <w:rFonts w:hint="eastAsia"/>
                      <w:szCs w:val="21"/>
                      <w:lang w:val="en-US" w:eastAsia="zh-CN"/>
                    </w:rPr>
                    <w:t>/</w:t>
                  </w:r>
                </w:p>
              </w:tc>
              <w:tc>
                <w:tcPr>
                  <w:tcW w:w="1225" w:type="dxa"/>
                  <w:noWrap w:val="0"/>
                  <w:vAlign w:val="center"/>
                </w:tcPr>
                <w:p w14:paraId="4E99966A">
                  <w:pPr>
                    <w:jc w:val="center"/>
                    <w:rPr>
                      <w:szCs w:val="21"/>
                    </w:rPr>
                  </w:pPr>
                  <w:r>
                    <w:rPr>
                      <w:szCs w:val="21"/>
                    </w:rPr>
                    <w:t>非连续采样至少3个</w:t>
                  </w:r>
                </w:p>
              </w:tc>
              <w:tc>
                <w:tcPr>
                  <w:tcW w:w="657" w:type="dxa"/>
                  <w:noWrap w:val="0"/>
                  <w:vAlign w:val="center"/>
                </w:tcPr>
                <w:p w14:paraId="05E04542">
                  <w:pPr>
                    <w:jc w:val="center"/>
                    <w:rPr>
                      <w:rFonts w:hint="eastAsia"/>
                      <w:szCs w:val="21"/>
                    </w:rPr>
                  </w:pPr>
                  <w:r>
                    <w:rPr>
                      <w:rFonts w:hint="eastAsia"/>
                      <w:szCs w:val="21"/>
                    </w:rPr>
                    <w:t>1次/年</w:t>
                  </w:r>
                </w:p>
              </w:tc>
              <w:tc>
                <w:tcPr>
                  <w:tcW w:w="657" w:type="dxa"/>
                  <w:noWrap w:val="0"/>
                  <w:vAlign w:val="center"/>
                </w:tcPr>
                <w:p w14:paraId="726CB9F2">
                  <w:pPr>
                    <w:jc w:val="center"/>
                    <w:rPr>
                      <w:rFonts w:hint="eastAsia"/>
                      <w:szCs w:val="21"/>
                      <w:lang w:val="en-US" w:eastAsia="zh-CN"/>
                    </w:rPr>
                  </w:pPr>
                  <w:r>
                    <w:rPr>
                      <w:rFonts w:hint="eastAsia"/>
                      <w:szCs w:val="21"/>
                      <w:lang w:val="en-US" w:eastAsia="zh-CN"/>
                    </w:rPr>
                    <w:t>/</w:t>
                  </w:r>
                </w:p>
              </w:tc>
              <w:tc>
                <w:tcPr>
                  <w:tcW w:w="483" w:type="dxa"/>
                  <w:noWrap w:val="0"/>
                  <w:vAlign w:val="center"/>
                </w:tcPr>
                <w:p w14:paraId="1073C435">
                  <w:pPr>
                    <w:pStyle w:val="58"/>
                    <w:adjustRightInd w:val="0"/>
                    <w:snapToGrid w:val="0"/>
                    <w:jc w:val="center"/>
                    <w:rPr>
                      <w:rFonts w:hint="eastAsia"/>
                      <w:bCs/>
                      <w:sz w:val="21"/>
                      <w:szCs w:val="21"/>
                      <w:lang w:val="en-US" w:eastAsia="zh-CN"/>
                    </w:rPr>
                  </w:pPr>
                  <w:r>
                    <w:rPr>
                      <w:rFonts w:hint="eastAsia"/>
                      <w:bCs/>
                      <w:sz w:val="21"/>
                      <w:szCs w:val="21"/>
                      <w:lang w:val="en-US" w:eastAsia="zh-CN"/>
                    </w:rPr>
                    <w:t>/</w:t>
                  </w:r>
                </w:p>
              </w:tc>
            </w:tr>
            <w:tr w14:paraId="5F0CAFC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1" w:hRule="atLeast"/>
              </w:trPr>
              <w:tc>
                <w:tcPr>
                  <w:tcW w:w="308" w:type="dxa"/>
                  <w:vMerge w:val="restart"/>
                  <w:noWrap w:val="0"/>
                  <w:vAlign w:val="center"/>
                </w:tcPr>
                <w:p w14:paraId="7DDAA8A9">
                  <w:pPr>
                    <w:pStyle w:val="58"/>
                    <w:adjustRightInd w:val="0"/>
                    <w:snapToGrid w:val="0"/>
                    <w:jc w:val="center"/>
                    <w:rPr>
                      <w:rFonts w:hint="default"/>
                      <w:sz w:val="21"/>
                      <w:szCs w:val="21"/>
                      <w:lang w:val="en-US" w:eastAsia="zh-CN"/>
                    </w:rPr>
                  </w:pPr>
                  <w:r>
                    <w:rPr>
                      <w:rFonts w:hint="eastAsia"/>
                      <w:sz w:val="21"/>
                      <w:szCs w:val="21"/>
                      <w:lang w:val="en-US" w:eastAsia="zh-CN"/>
                    </w:rPr>
                    <w:t>4</w:t>
                  </w:r>
                </w:p>
              </w:tc>
              <w:tc>
                <w:tcPr>
                  <w:tcW w:w="932" w:type="dxa"/>
                  <w:vMerge w:val="continue"/>
                  <w:noWrap w:val="0"/>
                  <w:vAlign w:val="center"/>
                </w:tcPr>
                <w:p w14:paraId="74998C51">
                  <w:pPr>
                    <w:pStyle w:val="58"/>
                    <w:adjustRightInd w:val="0"/>
                    <w:snapToGrid w:val="0"/>
                    <w:jc w:val="center"/>
                    <w:rPr>
                      <w:sz w:val="21"/>
                      <w:szCs w:val="21"/>
                      <w:lang w:eastAsia="zh-CN"/>
                    </w:rPr>
                  </w:pPr>
                </w:p>
              </w:tc>
              <w:tc>
                <w:tcPr>
                  <w:tcW w:w="1069" w:type="dxa"/>
                  <w:vMerge w:val="restart"/>
                  <w:noWrap w:val="0"/>
                  <w:vAlign w:val="center"/>
                </w:tcPr>
                <w:p w14:paraId="092C2E7F">
                  <w:pPr>
                    <w:pStyle w:val="58"/>
                    <w:adjustRightInd w:val="0"/>
                    <w:snapToGrid w:val="0"/>
                    <w:jc w:val="center"/>
                    <w:rPr>
                      <w:sz w:val="21"/>
                      <w:szCs w:val="21"/>
                      <w:lang w:eastAsia="zh-CN"/>
                    </w:rPr>
                  </w:pPr>
                  <w:r>
                    <w:rPr>
                      <w:rFonts w:hint="eastAsia"/>
                      <w:sz w:val="21"/>
                      <w:szCs w:val="21"/>
                      <w:lang w:eastAsia="zh-CN"/>
                    </w:rPr>
                    <w:t>厂界</w:t>
                  </w:r>
                </w:p>
              </w:tc>
              <w:tc>
                <w:tcPr>
                  <w:tcW w:w="1067" w:type="dxa"/>
                  <w:vMerge w:val="restart"/>
                  <w:noWrap w:val="0"/>
                  <w:vAlign w:val="center"/>
                </w:tcPr>
                <w:p w14:paraId="1938C42E">
                  <w:pPr>
                    <w:pStyle w:val="58"/>
                    <w:adjustRightInd w:val="0"/>
                    <w:snapToGrid w:val="0"/>
                    <w:jc w:val="center"/>
                    <w:rPr>
                      <w:sz w:val="21"/>
                      <w:szCs w:val="21"/>
                      <w:lang w:eastAsia="zh-CN"/>
                    </w:rPr>
                  </w:pPr>
                  <w:r>
                    <w:rPr>
                      <w:rFonts w:hint="eastAsia"/>
                      <w:bCs/>
                      <w:sz w:val="21"/>
                      <w:szCs w:val="21"/>
                      <w:lang w:eastAsia="zh-CN"/>
                    </w:rPr>
                    <w:t>/</w:t>
                  </w:r>
                </w:p>
              </w:tc>
              <w:tc>
                <w:tcPr>
                  <w:tcW w:w="1389" w:type="dxa"/>
                  <w:vMerge w:val="restart"/>
                  <w:noWrap w:val="0"/>
                  <w:vAlign w:val="center"/>
                </w:tcPr>
                <w:p w14:paraId="30D5BC56">
                  <w:pPr>
                    <w:pStyle w:val="71"/>
                    <w:adjustRightInd w:val="0"/>
                    <w:snapToGrid w:val="0"/>
                    <w:spacing w:line="240" w:lineRule="auto"/>
                    <w:jc w:val="center"/>
                    <w:rPr>
                      <w:rFonts w:hint="eastAsia" w:ascii="宋体" w:hAnsi="宋体"/>
                      <w:b w:val="0"/>
                      <w:bCs/>
                      <w:sz w:val="21"/>
                      <w:szCs w:val="21"/>
                    </w:rPr>
                  </w:pPr>
                  <w:r>
                    <w:rPr>
                      <w:rFonts w:hint="eastAsia" w:ascii="宋体" w:hAnsi="宋体"/>
                      <w:b w:val="0"/>
                      <w:bCs/>
                      <w:sz w:val="21"/>
                      <w:szCs w:val="21"/>
                    </w:rPr>
                    <w:t xml:space="preserve">温度、风速、风向、湿度、气 </w:t>
                  </w:r>
                </w:p>
                <w:p w14:paraId="65530950">
                  <w:pPr>
                    <w:pStyle w:val="71"/>
                    <w:adjustRightInd w:val="0"/>
                    <w:snapToGrid w:val="0"/>
                    <w:spacing w:line="240" w:lineRule="auto"/>
                    <w:jc w:val="center"/>
                    <w:rPr>
                      <w:sz w:val="21"/>
                      <w:szCs w:val="21"/>
                    </w:rPr>
                  </w:pPr>
                  <w:r>
                    <w:rPr>
                      <w:rFonts w:hint="eastAsia" w:ascii="宋体" w:hAnsi="宋体"/>
                      <w:b w:val="0"/>
                      <w:bCs/>
                      <w:sz w:val="21"/>
                      <w:szCs w:val="21"/>
                    </w:rPr>
                    <w:t>压</w:t>
                  </w:r>
                  <w:r>
                    <w:rPr>
                      <w:rFonts w:hint="eastAsia"/>
                      <w:sz w:val="21"/>
                      <w:szCs w:val="21"/>
                    </w:rPr>
                    <w:t xml:space="preserve"> </w:t>
                  </w:r>
                </w:p>
              </w:tc>
              <w:tc>
                <w:tcPr>
                  <w:tcW w:w="862" w:type="dxa"/>
                  <w:noWrap w:val="0"/>
                  <w:vAlign w:val="center"/>
                </w:tcPr>
                <w:p w14:paraId="5260ABE7">
                  <w:pPr>
                    <w:jc w:val="center"/>
                    <w:rPr>
                      <w:rFonts w:hint="default" w:ascii="宋体" w:hAnsi="宋体" w:eastAsia="宋体"/>
                      <w:b w:val="0"/>
                      <w:bCs/>
                      <w:sz w:val="21"/>
                      <w:szCs w:val="21"/>
                      <w:lang w:val="en-US" w:eastAsia="zh-CN"/>
                    </w:rPr>
                  </w:pPr>
                  <w:r>
                    <w:rPr>
                      <w:rFonts w:hint="eastAsia" w:ascii="宋体" w:hAnsi="宋体"/>
                      <w:b w:val="0"/>
                      <w:bCs/>
                      <w:sz w:val="21"/>
                      <w:szCs w:val="21"/>
                      <w:lang w:val="en-US" w:eastAsia="zh-CN"/>
                    </w:rPr>
                    <w:t>非甲烷总烃</w:t>
                  </w:r>
                </w:p>
              </w:tc>
              <w:tc>
                <w:tcPr>
                  <w:tcW w:w="468" w:type="dxa"/>
                  <w:vMerge w:val="restart"/>
                  <w:noWrap w:val="0"/>
                  <w:vAlign w:val="center"/>
                </w:tcPr>
                <w:p w14:paraId="3D64434E">
                  <w:pPr>
                    <w:pStyle w:val="58"/>
                    <w:adjustRightInd w:val="0"/>
                    <w:snapToGrid w:val="0"/>
                    <w:jc w:val="center"/>
                    <w:rPr>
                      <w:sz w:val="21"/>
                      <w:szCs w:val="21"/>
                      <w:lang w:eastAsia="zh-CN"/>
                    </w:rPr>
                  </w:pPr>
                  <w:r>
                    <w:rPr>
                      <w:rFonts w:hint="eastAsia"/>
                      <w:sz w:val="21"/>
                      <w:szCs w:val="21"/>
                      <w:lang w:eastAsia="zh-CN"/>
                    </w:rPr>
                    <w:t>手工</w:t>
                  </w:r>
                </w:p>
              </w:tc>
              <w:tc>
                <w:tcPr>
                  <w:tcW w:w="832" w:type="dxa"/>
                  <w:vMerge w:val="restart"/>
                  <w:noWrap w:val="0"/>
                  <w:vAlign w:val="center"/>
                </w:tcPr>
                <w:p w14:paraId="0FD547EC">
                  <w:pPr>
                    <w:pStyle w:val="58"/>
                    <w:adjustRightInd w:val="0"/>
                    <w:snapToGrid w:val="0"/>
                    <w:jc w:val="center"/>
                    <w:rPr>
                      <w:sz w:val="21"/>
                      <w:szCs w:val="21"/>
                      <w:lang w:eastAsia="zh-CN"/>
                    </w:rPr>
                  </w:pPr>
                  <w:r>
                    <w:rPr>
                      <w:rFonts w:hint="eastAsia"/>
                      <w:sz w:val="21"/>
                      <w:szCs w:val="21"/>
                      <w:lang w:eastAsia="zh-CN"/>
                    </w:rPr>
                    <w:t>否</w:t>
                  </w:r>
                </w:p>
              </w:tc>
              <w:tc>
                <w:tcPr>
                  <w:tcW w:w="832" w:type="dxa"/>
                  <w:vMerge w:val="restart"/>
                  <w:noWrap w:val="0"/>
                  <w:vAlign w:val="center"/>
                </w:tcPr>
                <w:p w14:paraId="6A9C9125">
                  <w:pPr>
                    <w:pStyle w:val="58"/>
                    <w:adjustRightInd w:val="0"/>
                    <w:snapToGrid w:val="0"/>
                    <w:jc w:val="center"/>
                    <w:rPr>
                      <w:sz w:val="21"/>
                      <w:szCs w:val="21"/>
                      <w:lang w:eastAsia="zh-CN"/>
                    </w:rPr>
                  </w:pPr>
                  <w:r>
                    <w:rPr>
                      <w:rFonts w:hint="eastAsia"/>
                      <w:sz w:val="21"/>
                      <w:szCs w:val="21"/>
                      <w:lang w:eastAsia="zh-CN"/>
                    </w:rPr>
                    <w:t>/</w:t>
                  </w:r>
                </w:p>
              </w:tc>
              <w:tc>
                <w:tcPr>
                  <w:tcW w:w="961" w:type="dxa"/>
                  <w:vMerge w:val="restart"/>
                  <w:noWrap w:val="0"/>
                  <w:vAlign w:val="center"/>
                </w:tcPr>
                <w:p w14:paraId="474BD95C">
                  <w:pPr>
                    <w:pStyle w:val="58"/>
                    <w:adjustRightInd w:val="0"/>
                    <w:snapToGrid w:val="0"/>
                    <w:jc w:val="center"/>
                    <w:rPr>
                      <w:sz w:val="21"/>
                      <w:szCs w:val="21"/>
                      <w:lang w:eastAsia="zh-CN"/>
                    </w:rPr>
                  </w:pPr>
                  <w:r>
                    <w:rPr>
                      <w:rFonts w:hint="eastAsia"/>
                      <w:sz w:val="21"/>
                      <w:szCs w:val="21"/>
                      <w:lang w:eastAsia="zh-CN"/>
                    </w:rPr>
                    <w:t>/</w:t>
                  </w:r>
                </w:p>
              </w:tc>
              <w:tc>
                <w:tcPr>
                  <w:tcW w:w="1693" w:type="dxa"/>
                  <w:vMerge w:val="restart"/>
                  <w:noWrap w:val="0"/>
                  <w:vAlign w:val="center"/>
                </w:tcPr>
                <w:p w14:paraId="5823636A">
                  <w:pPr>
                    <w:pStyle w:val="58"/>
                    <w:adjustRightInd w:val="0"/>
                    <w:snapToGrid w:val="0"/>
                    <w:jc w:val="center"/>
                    <w:rPr>
                      <w:sz w:val="21"/>
                      <w:szCs w:val="21"/>
                      <w:lang w:eastAsia="zh-CN"/>
                    </w:rPr>
                  </w:pPr>
                  <w:r>
                    <w:rPr>
                      <w:rFonts w:hint="eastAsia"/>
                      <w:sz w:val="21"/>
                      <w:szCs w:val="21"/>
                      <w:lang w:eastAsia="zh-CN"/>
                    </w:rPr>
                    <w:t>/</w:t>
                  </w:r>
                </w:p>
              </w:tc>
              <w:tc>
                <w:tcPr>
                  <w:tcW w:w="1225" w:type="dxa"/>
                  <w:vMerge w:val="restart"/>
                  <w:noWrap w:val="0"/>
                  <w:vAlign w:val="center"/>
                </w:tcPr>
                <w:p w14:paraId="01C3AC30">
                  <w:pPr>
                    <w:pStyle w:val="58"/>
                    <w:adjustRightInd w:val="0"/>
                    <w:snapToGrid w:val="0"/>
                    <w:jc w:val="center"/>
                    <w:rPr>
                      <w:sz w:val="21"/>
                      <w:szCs w:val="21"/>
                      <w:lang w:eastAsia="zh-CN"/>
                    </w:rPr>
                  </w:pPr>
                  <w:r>
                    <w:rPr>
                      <w:rFonts w:hint="eastAsia"/>
                      <w:sz w:val="21"/>
                      <w:szCs w:val="21"/>
                      <w:lang w:eastAsia="zh-CN"/>
                    </w:rPr>
                    <w:t>非连续采样，至少3个</w:t>
                  </w:r>
                </w:p>
              </w:tc>
              <w:tc>
                <w:tcPr>
                  <w:tcW w:w="657" w:type="dxa"/>
                  <w:vMerge w:val="restart"/>
                  <w:noWrap w:val="0"/>
                  <w:vAlign w:val="center"/>
                </w:tcPr>
                <w:p w14:paraId="0CE23A98">
                  <w:pPr>
                    <w:pStyle w:val="58"/>
                    <w:adjustRightInd w:val="0"/>
                    <w:snapToGrid w:val="0"/>
                    <w:jc w:val="center"/>
                    <w:rPr>
                      <w:sz w:val="21"/>
                      <w:szCs w:val="21"/>
                      <w:lang w:eastAsia="zh-CN"/>
                    </w:rPr>
                  </w:pPr>
                  <w:r>
                    <w:rPr>
                      <w:rFonts w:hint="eastAsia"/>
                      <w:sz w:val="21"/>
                      <w:szCs w:val="21"/>
                      <w:lang w:eastAsia="zh-CN"/>
                    </w:rPr>
                    <w:t>1次/年</w:t>
                  </w:r>
                </w:p>
              </w:tc>
              <w:tc>
                <w:tcPr>
                  <w:tcW w:w="657" w:type="dxa"/>
                  <w:vMerge w:val="restart"/>
                  <w:noWrap w:val="0"/>
                  <w:vAlign w:val="center"/>
                </w:tcPr>
                <w:p w14:paraId="50F2F686">
                  <w:pPr>
                    <w:pStyle w:val="58"/>
                    <w:adjustRightInd w:val="0"/>
                    <w:snapToGrid w:val="0"/>
                    <w:jc w:val="center"/>
                    <w:rPr>
                      <w:sz w:val="21"/>
                      <w:szCs w:val="21"/>
                      <w:lang w:eastAsia="zh-CN"/>
                    </w:rPr>
                  </w:pPr>
                  <w:r>
                    <w:rPr>
                      <w:rFonts w:hint="eastAsia"/>
                      <w:sz w:val="21"/>
                      <w:szCs w:val="21"/>
                      <w:lang w:eastAsia="zh-CN"/>
                    </w:rPr>
                    <w:t>/</w:t>
                  </w:r>
                </w:p>
              </w:tc>
              <w:tc>
                <w:tcPr>
                  <w:tcW w:w="483" w:type="dxa"/>
                  <w:vMerge w:val="restart"/>
                  <w:noWrap w:val="0"/>
                  <w:vAlign w:val="center"/>
                </w:tcPr>
                <w:p w14:paraId="3F304091">
                  <w:pPr>
                    <w:pStyle w:val="58"/>
                    <w:adjustRightInd w:val="0"/>
                    <w:snapToGrid w:val="0"/>
                    <w:jc w:val="center"/>
                    <w:rPr>
                      <w:sz w:val="21"/>
                      <w:szCs w:val="21"/>
                      <w:lang w:eastAsia="zh-CN"/>
                    </w:rPr>
                  </w:pPr>
                  <w:r>
                    <w:rPr>
                      <w:rFonts w:hint="eastAsia"/>
                      <w:sz w:val="21"/>
                      <w:szCs w:val="21"/>
                      <w:lang w:eastAsia="zh-CN"/>
                    </w:rPr>
                    <w:t>/</w:t>
                  </w:r>
                </w:p>
              </w:tc>
            </w:tr>
            <w:tr w14:paraId="3B2388B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308" w:type="dxa"/>
                  <w:vMerge w:val="continue"/>
                  <w:noWrap w:val="0"/>
                  <w:vAlign w:val="center"/>
                </w:tcPr>
                <w:p w14:paraId="76BC9DBD">
                  <w:pPr>
                    <w:pStyle w:val="71"/>
                    <w:adjustRightInd w:val="0"/>
                    <w:snapToGrid w:val="0"/>
                    <w:spacing w:line="240" w:lineRule="auto"/>
                    <w:jc w:val="center"/>
                    <w:rPr>
                      <w:rFonts w:hint="eastAsia" w:ascii="宋体" w:hAnsi="宋体"/>
                      <w:b w:val="0"/>
                      <w:bCs/>
                      <w:sz w:val="21"/>
                      <w:szCs w:val="21"/>
                    </w:rPr>
                  </w:pPr>
                </w:p>
              </w:tc>
              <w:tc>
                <w:tcPr>
                  <w:tcW w:w="932" w:type="dxa"/>
                  <w:vMerge w:val="continue"/>
                  <w:noWrap w:val="0"/>
                  <w:vAlign w:val="center"/>
                </w:tcPr>
                <w:p w14:paraId="243B6364">
                  <w:pPr>
                    <w:pStyle w:val="71"/>
                    <w:adjustRightInd w:val="0"/>
                    <w:snapToGrid w:val="0"/>
                    <w:spacing w:line="240" w:lineRule="auto"/>
                    <w:jc w:val="center"/>
                    <w:rPr>
                      <w:rFonts w:hint="eastAsia" w:ascii="宋体" w:hAnsi="宋体"/>
                      <w:b w:val="0"/>
                      <w:bCs/>
                      <w:sz w:val="21"/>
                      <w:szCs w:val="21"/>
                    </w:rPr>
                  </w:pPr>
                </w:p>
              </w:tc>
              <w:tc>
                <w:tcPr>
                  <w:tcW w:w="1069" w:type="dxa"/>
                  <w:vMerge w:val="continue"/>
                  <w:noWrap w:val="0"/>
                  <w:vAlign w:val="center"/>
                </w:tcPr>
                <w:p w14:paraId="31A86CEB">
                  <w:pPr>
                    <w:pStyle w:val="71"/>
                    <w:adjustRightInd w:val="0"/>
                    <w:snapToGrid w:val="0"/>
                    <w:spacing w:line="240" w:lineRule="auto"/>
                    <w:jc w:val="center"/>
                    <w:rPr>
                      <w:rFonts w:hint="eastAsia" w:ascii="宋体" w:hAnsi="宋体"/>
                      <w:b w:val="0"/>
                      <w:bCs/>
                      <w:sz w:val="21"/>
                      <w:szCs w:val="21"/>
                    </w:rPr>
                  </w:pPr>
                </w:p>
              </w:tc>
              <w:tc>
                <w:tcPr>
                  <w:tcW w:w="1067" w:type="dxa"/>
                  <w:vMerge w:val="continue"/>
                  <w:noWrap w:val="0"/>
                  <w:vAlign w:val="center"/>
                </w:tcPr>
                <w:p w14:paraId="08C62D2F">
                  <w:pPr>
                    <w:pStyle w:val="71"/>
                    <w:adjustRightInd w:val="0"/>
                    <w:snapToGrid w:val="0"/>
                    <w:spacing w:line="240" w:lineRule="auto"/>
                    <w:jc w:val="center"/>
                    <w:rPr>
                      <w:rFonts w:hint="eastAsia" w:ascii="宋体" w:hAnsi="宋体"/>
                      <w:b w:val="0"/>
                      <w:bCs/>
                      <w:sz w:val="21"/>
                      <w:szCs w:val="21"/>
                    </w:rPr>
                  </w:pPr>
                </w:p>
              </w:tc>
              <w:tc>
                <w:tcPr>
                  <w:tcW w:w="1389" w:type="dxa"/>
                  <w:vMerge w:val="continue"/>
                  <w:noWrap w:val="0"/>
                  <w:vAlign w:val="center"/>
                </w:tcPr>
                <w:p w14:paraId="11FEC498">
                  <w:pPr>
                    <w:pStyle w:val="71"/>
                    <w:adjustRightInd w:val="0"/>
                    <w:snapToGrid w:val="0"/>
                    <w:spacing w:line="240" w:lineRule="auto"/>
                    <w:jc w:val="center"/>
                    <w:rPr>
                      <w:rFonts w:hint="eastAsia" w:ascii="宋体" w:hAnsi="宋体"/>
                      <w:b w:val="0"/>
                      <w:bCs/>
                      <w:sz w:val="21"/>
                      <w:szCs w:val="21"/>
                    </w:rPr>
                  </w:pPr>
                </w:p>
              </w:tc>
              <w:tc>
                <w:tcPr>
                  <w:tcW w:w="862" w:type="dxa"/>
                  <w:noWrap w:val="0"/>
                  <w:vAlign w:val="center"/>
                </w:tcPr>
                <w:p w14:paraId="34AD78CD">
                  <w:pPr>
                    <w:jc w:val="center"/>
                    <w:rPr>
                      <w:rFonts w:hint="eastAsia" w:ascii="宋体" w:hAnsi="宋体"/>
                      <w:b w:val="0"/>
                      <w:bCs/>
                      <w:sz w:val="21"/>
                      <w:szCs w:val="21"/>
                    </w:rPr>
                  </w:pPr>
                  <w:r>
                    <w:rPr>
                      <w:rFonts w:hint="eastAsia"/>
                      <w:szCs w:val="21"/>
                      <w:lang w:val="en-US" w:eastAsia="zh-CN"/>
                    </w:rPr>
                    <w:t>颗粒物</w:t>
                  </w:r>
                </w:p>
              </w:tc>
              <w:tc>
                <w:tcPr>
                  <w:tcW w:w="468" w:type="dxa"/>
                  <w:vMerge w:val="continue"/>
                  <w:noWrap w:val="0"/>
                  <w:vAlign w:val="center"/>
                </w:tcPr>
                <w:p w14:paraId="6564360F">
                  <w:pPr>
                    <w:pStyle w:val="71"/>
                    <w:adjustRightInd w:val="0"/>
                    <w:snapToGrid w:val="0"/>
                    <w:spacing w:line="240" w:lineRule="auto"/>
                    <w:jc w:val="center"/>
                    <w:rPr>
                      <w:rFonts w:hint="eastAsia" w:ascii="宋体" w:hAnsi="宋体"/>
                      <w:b w:val="0"/>
                      <w:bCs/>
                      <w:sz w:val="21"/>
                      <w:szCs w:val="21"/>
                    </w:rPr>
                  </w:pPr>
                </w:p>
              </w:tc>
              <w:tc>
                <w:tcPr>
                  <w:tcW w:w="832" w:type="dxa"/>
                  <w:vMerge w:val="continue"/>
                  <w:noWrap w:val="0"/>
                  <w:vAlign w:val="center"/>
                </w:tcPr>
                <w:p w14:paraId="23A316CD">
                  <w:pPr>
                    <w:pStyle w:val="71"/>
                    <w:adjustRightInd w:val="0"/>
                    <w:snapToGrid w:val="0"/>
                    <w:spacing w:line="240" w:lineRule="auto"/>
                    <w:jc w:val="center"/>
                    <w:rPr>
                      <w:rFonts w:hint="eastAsia" w:ascii="宋体" w:hAnsi="宋体"/>
                      <w:b w:val="0"/>
                      <w:bCs/>
                      <w:sz w:val="21"/>
                      <w:szCs w:val="21"/>
                    </w:rPr>
                  </w:pPr>
                </w:p>
              </w:tc>
              <w:tc>
                <w:tcPr>
                  <w:tcW w:w="832" w:type="dxa"/>
                  <w:vMerge w:val="continue"/>
                  <w:noWrap w:val="0"/>
                  <w:vAlign w:val="center"/>
                </w:tcPr>
                <w:p w14:paraId="0F89C195">
                  <w:pPr>
                    <w:pStyle w:val="71"/>
                    <w:adjustRightInd w:val="0"/>
                    <w:snapToGrid w:val="0"/>
                    <w:spacing w:line="240" w:lineRule="auto"/>
                    <w:jc w:val="center"/>
                    <w:rPr>
                      <w:rFonts w:hint="eastAsia" w:ascii="宋体" w:hAnsi="宋体"/>
                      <w:b w:val="0"/>
                      <w:bCs/>
                      <w:sz w:val="21"/>
                      <w:szCs w:val="21"/>
                    </w:rPr>
                  </w:pPr>
                </w:p>
              </w:tc>
              <w:tc>
                <w:tcPr>
                  <w:tcW w:w="961" w:type="dxa"/>
                  <w:vMerge w:val="continue"/>
                  <w:noWrap w:val="0"/>
                  <w:vAlign w:val="center"/>
                </w:tcPr>
                <w:p w14:paraId="0E843A96">
                  <w:pPr>
                    <w:pStyle w:val="71"/>
                    <w:adjustRightInd w:val="0"/>
                    <w:snapToGrid w:val="0"/>
                    <w:spacing w:line="240" w:lineRule="auto"/>
                    <w:jc w:val="center"/>
                    <w:rPr>
                      <w:rFonts w:hint="eastAsia" w:ascii="宋体" w:hAnsi="宋体"/>
                      <w:b w:val="0"/>
                      <w:bCs/>
                      <w:sz w:val="21"/>
                      <w:szCs w:val="21"/>
                    </w:rPr>
                  </w:pPr>
                </w:p>
              </w:tc>
              <w:tc>
                <w:tcPr>
                  <w:tcW w:w="1693" w:type="dxa"/>
                  <w:vMerge w:val="continue"/>
                  <w:noWrap w:val="0"/>
                  <w:vAlign w:val="center"/>
                </w:tcPr>
                <w:p w14:paraId="53128FC1">
                  <w:pPr>
                    <w:pStyle w:val="71"/>
                    <w:adjustRightInd w:val="0"/>
                    <w:snapToGrid w:val="0"/>
                    <w:spacing w:line="240" w:lineRule="auto"/>
                    <w:jc w:val="center"/>
                    <w:rPr>
                      <w:rFonts w:hint="eastAsia" w:ascii="宋体" w:hAnsi="宋体"/>
                      <w:b w:val="0"/>
                      <w:bCs/>
                      <w:sz w:val="21"/>
                      <w:szCs w:val="21"/>
                    </w:rPr>
                  </w:pPr>
                </w:p>
              </w:tc>
              <w:tc>
                <w:tcPr>
                  <w:tcW w:w="1225" w:type="dxa"/>
                  <w:vMerge w:val="continue"/>
                  <w:noWrap w:val="0"/>
                  <w:vAlign w:val="center"/>
                </w:tcPr>
                <w:p w14:paraId="140F546A">
                  <w:pPr>
                    <w:pStyle w:val="71"/>
                    <w:adjustRightInd w:val="0"/>
                    <w:snapToGrid w:val="0"/>
                    <w:spacing w:line="240" w:lineRule="auto"/>
                    <w:jc w:val="center"/>
                    <w:rPr>
                      <w:rFonts w:hint="eastAsia" w:ascii="宋体" w:hAnsi="宋体"/>
                      <w:b w:val="0"/>
                      <w:bCs/>
                      <w:sz w:val="21"/>
                      <w:szCs w:val="21"/>
                    </w:rPr>
                  </w:pPr>
                </w:p>
              </w:tc>
              <w:tc>
                <w:tcPr>
                  <w:tcW w:w="657" w:type="dxa"/>
                  <w:vMerge w:val="continue"/>
                  <w:noWrap w:val="0"/>
                  <w:vAlign w:val="center"/>
                </w:tcPr>
                <w:p w14:paraId="0C3DA05B">
                  <w:pPr>
                    <w:pStyle w:val="71"/>
                    <w:adjustRightInd w:val="0"/>
                    <w:snapToGrid w:val="0"/>
                    <w:spacing w:line="240" w:lineRule="auto"/>
                    <w:jc w:val="center"/>
                    <w:rPr>
                      <w:rFonts w:hint="eastAsia" w:ascii="宋体" w:hAnsi="宋体"/>
                      <w:b w:val="0"/>
                      <w:bCs/>
                      <w:sz w:val="21"/>
                      <w:szCs w:val="21"/>
                    </w:rPr>
                  </w:pPr>
                </w:p>
              </w:tc>
              <w:tc>
                <w:tcPr>
                  <w:tcW w:w="657" w:type="dxa"/>
                  <w:vMerge w:val="continue"/>
                  <w:noWrap w:val="0"/>
                  <w:vAlign w:val="center"/>
                </w:tcPr>
                <w:p w14:paraId="09B2E769">
                  <w:pPr>
                    <w:pStyle w:val="71"/>
                    <w:adjustRightInd w:val="0"/>
                    <w:snapToGrid w:val="0"/>
                    <w:spacing w:line="240" w:lineRule="auto"/>
                    <w:jc w:val="center"/>
                    <w:rPr>
                      <w:rFonts w:hint="eastAsia" w:ascii="宋体" w:hAnsi="宋体"/>
                      <w:b w:val="0"/>
                      <w:bCs/>
                      <w:sz w:val="21"/>
                      <w:szCs w:val="21"/>
                    </w:rPr>
                  </w:pPr>
                </w:p>
              </w:tc>
              <w:tc>
                <w:tcPr>
                  <w:tcW w:w="483" w:type="dxa"/>
                  <w:vMerge w:val="continue"/>
                  <w:noWrap w:val="0"/>
                  <w:vAlign w:val="center"/>
                </w:tcPr>
                <w:p w14:paraId="1EA0324B">
                  <w:pPr>
                    <w:pStyle w:val="71"/>
                    <w:adjustRightInd w:val="0"/>
                    <w:snapToGrid w:val="0"/>
                    <w:spacing w:line="240" w:lineRule="auto"/>
                    <w:jc w:val="center"/>
                    <w:rPr>
                      <w:rFonts w:hint="eastAsia" w:ascii="宋体" w:hAnsi="宋体"/>
                      <w:b w:val="0"/>
                      <w:bCs/>
                      <w:sz w:val="21"/>
                      <w:szCs w:val="21"/>
                    </w:rPr>
                  </w:pPr>
                </w:p>
              </w:tc>
            </w:tr>
          </w:tbl>
          <w:p w14:paraId="51D5482D">
            <w:pPr>
              <w:rPr>
                <w:rFonts w:hint="eastAsia" w:ascii="宋体" w:hAnsi="宋体"/>
                <w:lang w:val="en-US" w:eastAsia="zh-CN"/>
              </w:rPr>
            </w:pPr>
          </w:p>
          <w:p w14:paraId="4A3D8AC1">
            <w:pPr>
              <w:rPr>
                <w:rFonts w:hint="eastAsia" w:ascii="宋体" w:hAnsi="宋体"/>
                <w:lang w:val="en-US" w:eastAsia="zh-CN"/>
              </w:rPr>
            </w:pPr>
          </w:p>
          <w:p w14:paraId="4503E5EC">
            <w:pPr>
              <w:rPr>
                <w:rFonts w:hint="eastAsia" w:ascii="宋体" w:hAnsi="宋体"/>
                <w:lang w:val="en-US" w:eastAsia="zh-CN"/>
              </w:rPr>
            </w:pPr>
          </w:p>
          <w:p w14:paraId="145ED4D7">
            <w:pPr>
              <w:rPr>
                <w:rFonts w:hint="eastAsia" w:ascii="宋体" w:hAnsi="宋体"/>
                <w:lang w:val="en-US" w:eastAsia="zh-CN"/>
              </w:rPr>
            </w:pPr>
          </w:p>
          <w:p w14:paraId="74E3FAAC">
            <w:pPr>
              <w:rPr>
                <w:rFonts w:hint="eastAsia" w:ascii="宋体" w:hAnsi="宋体"/>
                <w:lang w:val="en-US" w:eastAsia="zh-CN"/>
              </w:rPr>
            </w:pPr>
          </w:p>
          <w:p w14:paraId="329B95A5">
            <w:pPr>
              <w:rPr>
                <w:rFonts w:hint="eastAsia" w:ascii="宋体" w:hAnsi="宋体" w:eastAsia="宋体"/>
                <w:lang w:val="en-US" w:eastAsia="zh-CN"/>
              </w:rPr>
            </w:pPr>
          </w:p>
        </w:tc>
      </w:tr>
    </w:tbl>
    <w:p w14:paraId="4CFD8F6F">
      <w:pPr>
        <w:pStyle w:val="47"/>
        <w:spacing w:before="192" w:beforeLines="80" w:after="24"/>
        <w:ind w:left="0" w:leftChars="0" w:firstLine="0" w:firstLineChars="0"/>
        <w:jc w:val="left"/>
        <w:rPr>
          <w:rFonts w:hint="default" w:ascii="Times New Roman" w:hAnsi="Times New Roman" w:cs="Times New Roman"/>
          <w:snapToGrid w:val="0"/>
          <w:color w:val="000000"/>
          <w:spacing w:val="-6"/>
          <w:kern w:val="21"/>
          <w:szCs w:val="21"/>
          <w:lang w:val="en-US" w:eastAsia="zh-CN"/>
        </w:rPr>
      </w:pPr>
    </w:p>
    <w:sectPr>
      <w:footerReference r:id="rId7"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CID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91516">
    <w:pPr>
      <w:pStyle w:val="17"/>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774700" cy="557530"/>
              <wp:effectExtent l="0" t="0" r="0" b="0"/>
              <wp:wrapNone/>
              <wp:docPr id="7" name="文本框 2"/>
              <wp:cNvGraphicFramePr/>
              <a:graphic xmlns:a="http://schemas.openxmlformats.org/drawingml/2006/main">
                <a:graphicData uri="http://schemas.microsoft.com/office/word/2010/wordprocessingShape">
                  <wps:wsp>
                    <wps:cNvSpPr txBox="1"/>
                    <wps:spPr>
                      <a:xfrm>
                        <a:off x="0" y="0"/>
                        <a:ext cx="774700" cy="557530"/>
                      </a:xfrm>
                      <a:prstGeom prst="rect">
                        <a:avLst/>
                      </a:prstGeom>
                      <a:noFill/>
                      <a:ln>
                        <a:noFill/>
                      </a:ln>
                    </wps:spPr>
                    <wps:txbx>
                      <w:txbxContent>
                        <w:p w14:paraId="5E417C98">
                          <w:pPr>
                            <w:pStyle w:val="17"/>
                            <w:rPr>
                              <w:rStyle w:val="27"/>
                              <w:rFonts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sz w:val="26"/>
                              <w:szCs w:val="26"/>
                            </w:rPr>
                            <w:fldChar w:fldCharType="begin"/>
                          </w:r>
                          <w:r>
                            <w:rPr>
                              <w:rStyle w:val="27"/>
                              <w:sz w:val="26"/>
                              <w:szCs w:val="26"/>
                            </w:rPr>
                            <w:instrText xml:space="preserve">PAGE  </w:instrText>
                          </w:r>
                          <w:r>
                            <w:rPr>
                              <w:sz w:val="26"/>
                              <w:szCs w:val="26"/>
                            </w:rPr>
                            <w:fldChar w:fldCharType="separate"/>
                          </w:r>
                          <w:r>
                            <w:rPr>
                              <w:rStyle w:val="27"/>
                              <w:sz w:val="26"/>
                              <w:szCs w:val="26"/>
                            </w:rPr>
                            <w:t>9</w:t>
                          </w:r>
                          <w:r>
                            <w:rPr>
                              <w:sz w:val="26"/>
                              <w:szCs w:val="26"/>
                            </w:rPr>
                            <w:fldChar w:fldCharType="end"/>
                          </w:r>
                          <w:r>
                            <w:rPr>
                              <w:rStyle w:val="27"/>
                              <w:rFonts w:hint="eastAsia" w:ascii="宋体" w:hAnsi="宋体"/>
                              <w:sz w:val="20"/>
                            </w:rPr>
                            <w:t xml:space="preserve">  </w:t>
                          </w:r>
                          <w:r>
                            <w:rPr>
                              <w:rStyle w:val="27"/>
                              <w:rFonts w:hint="eastAsia" w:ascii="宋体" w:hAnsi="宋体"/>
                              <w:sz w:val="28"/>
                              <w:szCs w:val="28"/>
                            </w:rPr>
                            <w:t>—</w:t>
                          </w:r>
                        </w:p>
                      </w:txbxContent>
                    </wps:txbx>
                    <wps:bodyPr vert="horz" wrap="square" lIns="0" tIns="0" rIns="0" bIns="0" anchor="t" anchorCtr="0" upright="0"/>
                  </wps:wsp>
                </a:graphicData>
              </a:graphic>
            </wp:anchor>
          </w:drawing>
        </mc:Choice>
        <mc:Fallback>
          <w:pict>
            <v:shape id="文本框 2" o:spid="_x0000_s1026" o:spt="202" type="#_x0000_t202" style="position:absolute;left:0pt;margin-top:0pt;height:43.9pt;width:61pt;mso-position-horizontal:center;mso-position-horizontal-relative:margin;z-index:251659264;mso-width-relative:page;mso-height-relative:page;" filled="f" stroked="f" coordsize="21600,21600" o:gfxdata="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IFXtMAAAAEAQAADwAAAAAAAAABACAA&#10;AAAiAAAAZHJzL2Rvd25yZXYueG1sUEsBAhQAFAAAAAgAh07iQO5rfhTZAQAApAMAAA4AAAAAAAAA&#10;AQAgAAAAIgEAAGRycy9lMm9Eb2MueG1sUEsFBgAAAAAGAAYAWQEAAG0FAAAAAA==&#10;">
              <v:fill on="f" focussize="0,0"/>
              <v:stroke on="f"/>
              <v:imagedata o:title=""/>
              <o:lock v:ext="edit" aspectratio="f"/>
              <v:textbox inset="0mm,0mm,0mm,0mm">
                <w:txbxContent>
                  <w:p w14:paraId="5E417C98">
                    <w:pPr>
                      <w:pStyle w:val="17"/>
                      <w:rPr>
                        <w:rStyle w:val="27"/>
                        <w:rFonts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sz w:val="26"/>
                        <w:szCs w:val="26"/>
                      </w:rPr>
                      <w:fldChar w:fldCharType="begin"/>
                    </w:r>
                    <w:r>
                      <w:rPr>
                        <w:rStyle w:val="27"/>
                        <w:sz w:val="26"/>
                        <w:szCs w:val="26"/>
                      </w:rPr>
                      <w:instrText xml:space="preserve">PAGE  </w:instrText>
                    </w:r>
                    <w:r>
                      <w:rPr>
                        <w:sz w:val="26"/>
                        <w:szCs w:val="26"/>
                      </w:rPr>
                      <w:fldChar w:fldCharType="separate"/>
                    </w:r>
                    <w:r>
                      <w:rPr>
                        <w:rStyle w:val="27"/>
                        <w:sz w:val="26"/>
                        <w:szCs w:val="26"/>
                      </w:rPr>
                      <w:t>9</w:t>
                    </w:r>
                    <w:r>
                      <w:rPr>
                        <w:sz w:val="26"/>
                        <w:szCs w:val="26"/>
                      </w:rPr>
                      <w:fldChar w:fldCharType="end"/>
                    </w:r>
                    <w:r>
                      <w:rPr>
                        <w:rStyle w:val="27"/>
                        <w:rFonts w:hint="eastAsia" w:ascii="宋体" w:hAnsi="宋体"/>
                        <w:sz w:val="20"/>
                      </w:rPr>
                      <w:t xml:space="preserve">  </w:t>
                    </w:r>
                    <w:r>
                      <w:rPr>
                        <w:rStyle w:val="27"/>
                        <w:rFonts w:hint="eastAsia" w:ascii="宋体" w:hAnsi="宋体"/>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EA338">
    <w:pPr>
      <w:pStyle w:val="1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989287">
                          <w:pPr>
                            <w:pStyle w:val="17"/>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C989287">
                    <w:pPr>
                      <w:pStyle w:val="17"/>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314CA">
    <w:pPr>
      <w:pStyle w:val="17"/>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775335" cy="23050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775335" cy="230505"/>
                      </a:xfrm>
                      <a:prstGeom prst="rect">
                        <a:avLst/>
                      </a:prstGeom>
                      <a:noFill/>
                      <a:ln>
                        <a:noFill/>
                      </a:ln>
                    </wps:spPr>
                    <wps:txbx>
                      <w:txbxContent>
                        <w:p w14:paraId="3A5D048E">
                          <w:pPr>
                            <w:pStyle w:val="17"/>
                            <w:rPr>
                              <w:rStyle w:val="27"/>
                              <w:rFonts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sz w:val="26"/>
                              <w:szCs w:val="26"/>
                            </w:rPr>
                            <w:fldChar w:fldCharType="begin"/>
                          </w:r>
                          <w:r>
                            <w:rPr>
                              <w:rStyle w:val="27"/>
                              <w:sz w:val="26"/>
                              <w:szCs w:val="26"/>
                            </w:rPr>
                            <w:instrText xml:space="preserve">PAGE  </w:instrText>
                          </w:r>
                          <w:r>
                            <w:rPr>
                              <w:sz w:val="26"/>
                              <w:szCs w:val="26"/>
                            </w:rPr>
                            <w:fldChar w:fldCharType="separate"/>
                          </w:r>
                          <w:r>
                            <w:rPr>
                              <w:rStyle w:val="27"/>
                              <w:sz w:val="26"/>
                              <w:szCs w:val="26"/>
                            </w:rPr>
                            <w:t>58</w:t>
                          </w:r>
                          <w:r>
                            <w:rPr>
                              <w:sz w:val="26"/>
                              <w:szCs w:val="26"/>
                            </w:rPr>
                            <w:fldChar w:fldCharType="end"/>
                          </w:r>
                          <w:r>
                            <w:rPr>
                              <w:rStyle w:val="27"/>
                              <w:sz w:val="20"/>
                            </w:rPr>
                            <w:t xml:space="preserve"> </w:t>
                          </w:r>
                          <w:r>
                            <w:rPr>
                              <w:rStyle w:val="27"/>
                              <w:rFonts w:hint="eastAsia" w:ascii="宋体" w:hAnsi="宋体"/>
                              <w:sz w:val="20"/>
                            </w:rPr>
                            <w:t xml:space="preserve"> </w:t>
                          </w:r>
                          <w:r>
                            <w:rPr>
                              <w:rStyle w:val="27"/>
                              <w:rFonts w:hint="eastAsia" w:ascii="宋体" w:hAnsi="宋体"/>
                              <w:sz w:val="28"/>
                              <w:szCs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8.15pt;width:61.05pt;mso-position-horizontal:center;mso-position-horizontal-relative:margin;mso-wrap-style:none;z-index:251659264;mso-width-relative:page;mso-height-relative:page;" filled="f" stroked="f" coordsize="21600,21600" o:gfxdata="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Tonl9EAAAAEAQAADwAAAAAAAAABACAAAAAiAAAAZHJzL2Rv&#10;d25yZXYueG1sUEsBAhQAFAAAAAgAh07iQCjH3xTPAQAAmQMAAA4AAAAAAAAAAQAgAAAAIAEAAGRy&#10;cy9lMm9Eb2MueG1sUEsFBgAAAAAGAAYAWQEAAGEFAAAAAA==&#10;">
              <v:fill on="f" focussize="0,0"/>
              <v:stroke on="f"/>
              <v:imagedata o:title=""/>
              <o:lock v:ext="edit" aspectratio="f"/>
              <v:textbox inset="0mm,0mm,0mm,0mm" style="mso-fit-shape-to-text:t;">
                <w:txbxContent>
                  <w:p w14:paraId="3A5D048E">
                    <w:pPr>
                      <w:pStyle w:val="17"/>
                      <w:rPr>
                        <w:rStyle w:val="27"/>
                        <w:rFonts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sz w:val="26"/>
                        <w:szCs w:val="26"/>
                      </w:rPr>
                      <w:fldChar w:fldCharType="begin"/>
                    </w:r>
                    <w:r>
                      <w:rPr>
                        <w:rStyle w:val="27"/>
                        <w:sz w:val="26"/>
                        <w:szCs w:val="26"/>
                      </w:rPr>
                      <w:instrText xml:space="preserve">PAGE  </w:instrText>
                    </w:r>
                    <w:r>
                      <w:rPr>
                        <w:sz w:val="26"/>
                        <w:szCs w:val="26"/>
                      </w:rPr>
                      <w:fldChar w:fldCharType="separate"/>
                    </w:r>
                    <w:r>
                      <w:rPr>
                        <w:rStyle w:val="27"/>
                        <w:sz w:val="26"/>
                        <w:szCs w:val="26"/>
                      </w:rPr>
                      <w:t>58</w:t>
                    </w:r>
                    <w:r>
                      <w:rPr>
                        <w:sz w:val="26"/>
                        <w:szCs w:val="26"/>
                      </w:rPr>
                      <w:fldChar w:fldCharType="end"/>
                    </w:r>
                    <w:r>
                      <w:rPr>
                        <w:rStyle w:val="27"/>
                        <w:sz w:val="20"/>
                      </w:rPr>
                      <w:t xml:space="preserve"> </w:t>
                    </w:r>
                    <w:r>
                      <w:rPr>
                        <w:rStyle w:val="27"/>
                        <w:rFonts w:hint="eastAsia" w:ascii="宋体" w:hAnsi="宋体"/>
                        <w:sz w:val="20"/>
                      </w:rPr>
                      <w:t xml:space="preserve"> </w:t>
                    </w:r>
                    <w:r>
                      <w:rPr>
                        <w:rStyle w:val="27"/>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56A3A">
    <w:pPr>
      <w:pStyle w:val="1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05B17">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15F62F"/>
    <w:multiLevelType w:val="singleLevel"/>
    <w:tmpl w:val="9A15F62F"/>
    <w:lvl w:ilvl="0" w:tentative="0">
      <w:start w:val="2"/>
      <w:numFmt w:val="decimal"/>
      <w:suff w:val="nothing"/>
      <w:lvlText w:val="（%1）"/>
      <w:lvlJc w:val="left"/>
    </w:lvl>
  </w:abstractNum>
  <w:abstractNum w:abstractNumId="1">
    <w:nsid w:val="B31F0CAE"/>
    <w:multiLevelType w:val="singleLevel"/>
    <w:tmpl w:val="B31F0CAE"/>
    <w:lvl w:ilvl="0" w:tentative="0">
      <w:start w:val="1"/>
      <w:numFmt w:val="decimal"/>
      <w:lvlText w:val="%1."/>
      <w:lvlJc w:val="left"/>
      <w:pPr>
        <w:tabs>
          <w:tab w:val="left" w:pos="312"/>
        </w:tabs>
      </w:pPr>
    </w:lvl>
  </w:abstractNum>
  <w:abstractNum w:abstractNumId="2">
    <w:nsid w:val="B8428570"/>
    <w:multiLevelType w:val="singleLevel"/>
    <w:tmpl w:val="B8428570"/>
    <w:lvl w:ilvl="0" w:tentative="0">
      <w:start w:val="1"/>
      <w:numFmt w:val="decimal"/>
      <w:lvlText w:val="%1."/>
      <w:lvlJc w:val="left"/>
      <w:pPr>
        <w:tabs>
          <w:tab w:val="left" w:pos="312"/>
        </w:tabs>
      </w:pPr>
    </w:lvl>
  </w:abstractNum>
  <w:abstractNum w:abstractNumId="3">
    <w:nsid w:val="C2378138"/>
    <w:multiLevelType w:val="singleLevel"/>
    <w:tmpl w:val="C2378138"/>
    <w:lvl w:ilvl="0" w:tentative="0">
      <w:start w:val="5"/>
      <w:numFmt w:val="chineseCounting"/>
      <w:suff w:val="nothing"/>
      <w:lvlText w:val="%1、"/>
      <w:lvlJc w:val="left"/>
      <w:rPr>
        <w:rFonts w:hint="eastAsia"/>
      </w:rPr>
    </w:lvl>
  </w:abstractNum>
  <w:abstractNum w:abstractNumId="4">
    <w:nsid w:val="F9948006"/>
    <w:multiLevelType w:val="singleLevel"/>
    <w:tmpl w:val="F9948006"/>
    <w:lvl w:ilvl="0" w:tentative="0">
      <w:start w:val="1"/>
      <w:numFmt w:val="decimal"/>
      <w:lvlText w:val="%1."/>
      <w:lvlJc w:val="left"/>
      <w:pPr>
        <w:tabs>
          <w:tab w:val="left" w:pos="312"/>
        </w:tabs>
      </w:pPr>
    </w:lvl>
  </w:abstractNum>
  <w:abstractNum w:abstractNumId="5">
    <w:nsid w:val="056199ED"/>
    <w:multiLevelType w:val="singleLevel"/>
    <w:tmpl w:val="056199ED"/>
    <w:lvl w:ilvl="0" w:tentative="0">
      <w:start w:val="2"/>
      <w:numFmt w:val="decimal"/>
      <w:lvlText w:val="%1."/>
      <w:lvlJc w:val="left"/>
      <w:pPr>
        <w:tabs>
          <w:tab w:val="left" w:pos="312"/>
        </w:tabs>
      </w:pPr>
    </w:lvl>
  </w:abstractNum>
  <w:abstractNum w:abstractNumId="6">
    <w:nsid w:val="19B034B5"/>
    <w:multiLevelType w:val="singleLevel"/>
    <w:tmpl w:val="19B034B5"/>
    <w:lvl w:ilvl="0" w:tentative="0">
      <w:start w:val="1"/>
      <w:numFmt w:val="decimal"/>
      <w:lvlText w:val="%1."/>
      <w:lvlJc w:val="left"/>
      <w:pPr>
        <w:tabs>
          <w:tab w:val="left" w:pos="312"/>
        </w:tabs>
      </w:pPr>
    </w:lvl>
  </w:abstractNum>
  <w:abstractNum w:abstractNumId="7">
    <w:nsid w:val="33E77244"/>
    <w:multiLevelType w:val="singleLevel"/>
    <w:tmpl w:val="33E77244"/>
    <w:lvl w:ilvl="0" w:tentative="0">
      <w:start w:val="2"/>
      <w:numFmt w:val="decimal"/>
      <w:lvlText w:val="%1."/>
      <w:lvlJc w:val="left"/>
      <w:pPr>
        <w:tabs>
          <w:tab w:val="left" w:pos="312"/>
        </w:tabs>
      </w:pPr>
    </w:lvl>
  </w:abstractNum>
  <w:abstractNum w:abstractNumId="8">
    <w:nsid w:val="3949A46F"/>
    <w:multiLevelType w:val="singleLevel"/>
    <w:tmpl w:val="3949A46F"/>
    <w:lvl w:ilvl="0" w:tentative="0">
      <w:start w:val="1"/>
      <w:numFmt w:val="decimal"/>
      <w:suff w:val="nothing"/>
      <w:lvlText w:val="（%1）"/>
      <w:lvlJc w:val="left"/>
    </w:lvl>
  </w:abstractNum>
  <w:abstractNum w:abstractNumId="9">
    <w:nsid w:val="7E6A7272"/>
    <w:multiLevelType w:val="singleLevel"/>
    <w:tmpl w:val="7E6A7272"/>
    <w:lvl w:ilvl="0" w:tentative="0">
      <w:start w:val="1"/>
      <w:numFmt w:val="decimal"/>
      <w:lvlText w:val="%1."/>
      <w:lvlJc w:val="left"/>
      <w:pPr>
        <w:tabs>
          <w:tab w:val="left" w:pos="312"/>
        </w:tabs>
      </w:pPr>
    </w:lvl>
  </w:abstractNum>
  <w:num w:numId="1">
    <w:abstractNumId w:val="7"/>
  </w:num>
  <w:num w:numId="2">
    <w:abstractNumId w:val="5"/>
  </w:num>
  <w:num w:numId="3">
    <w:abstractNumId w:val="0"/>
  </w:num>
  <w:num w:numId="4">
    <w:abstractNumId w:val="4"/>
  </w:num>
  <w:num w:numId="5">
    <w:abstractNumId w:val="2"/>
  </w:num>
  <w:num w:numId="6">
    <w:abstractNumId w:val="1"/>
  </w:num>
  <w:num w:numId="7">
    <w:abstractNumId w:val="9"/>
  </w:num>
  <w:num w:numId="8">
    <w:abstractNumId w:val="6"/>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9"/>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A14947"/>
    <w:rsid w:val="000060B3"/>
    <w:rsid w:val="0003388E"/>
    <w:rsid w:val="0004364B"/>
    <w:rsid w:val="00050739"/>
    <w:rsid w:val="00061B1F"/>
    <w:rsid w:val="00063F1E"/>
    <w:rsid w:val="000733C4"/>
    <w:rsid w:val="00074783"/>
    <w:rsid w:val="0008070B"/>
    <w:rsid w:val="000810AC"/>
    <w:rsid w:val="00081A02"/>
    <w:rsid w:val="00082231"/>
    <w:rsid w:val="00092D38"/>
    <w:rsid w:val="0009377B"/>
    <w:rsid w:val="000A20C9"/>
    <w:rsid w:val="000B058F"/>
    <w:rsid w:val="000B4467"/>
    <w:rsid w:val="000B4DB9"/>
    <w:rsid w:val="000C09AC"/>
    <w:rsid w:val="000C5068"/>
    <w:rsid w:val="000C767F"/>
    <w:rsid w:val="000D5A44"/>
    <w:rsid w:val="000E3ED2"/>
    <w:rsid w:val="00110280"/>
    <w:rsid w:val="00131F42"/>
    <w:rsid w:val="001357F1"/>
    <w:rsid w:val="0013777E"/>
    <w:rsid w:val="00140FA8"/>
    <w:rsid w:val="00142FEB"/>
    <w:rsid w:val="00143A2D"/>
    <w:rsid w:val="00145A41"/>
    <w:rsid w:val="00151675"/>
    <w:rsid w:val="00157435"/>
    <w:rsid w:val="0017504D"/>
    <w:rsid w:val="0017671A"/>
    <w:rsid w:val="00177422"/>
    <w:rsid w:val="00183A0A"/>
    <w:rsid w:val="00184590"/>
    <w:rsid w:val="001870D1"/>
    <w:rsid w:val="0018781E"/>
    <w:rsid w:val="0019262D"/>
    <w:rsid w:val="00197658"/>
    <w:rsid w:val="001A1B35"/>
    <w:rsid w:val="001A48A2"/>
    <w:rsid w:val="001A6F61"/>
    <w:rsid w:val="001B72B8"/>
    <w:rsid w:val="001C69B3"/>
    <w:rsid w:val="001D3D4B"/>
    <w:rsid w:val="001D5595"/>
    <w:rsid w:val="001D7874"/>
    <w:rsid w:val="001D7F22"/>
    <w:rsid w:val="001F0F17"/>
    <w:rsid w:val="001F3347"/>
    <w:rsid w:val="001F69E4"/>
    <w:rsid w:val="0020431D"/>
    <w:rsid w:val="002125B4"/>
    <w:rsid w:val="002155B8"/>
    <w:rsid w:val="00215DC5"/>
    <w:rsid w:val="00224839"/>
    <w:rsid w:val="002249B2"/>
    <w:rsid w:val="00226574"/>
    <w:rsid w:val="002278EC"/>
    <w:rsid w:val="0023280E"/>
    <w:rsid w:val="002377D1"/>
    <w:rsid w:val="002506BC"/>
    <w:rsid w:val="00254345"/>
    <w:rsid w:val="00264557"/>
    <w:rsid w:val="002708D8"/>
    <w:rsid w:val="00277173"/>
    <w:rsid w:val="002805AB"/>
    <w:rsid w:val="00282F21"/>
    <w:rsid w:val="00284204"/>
    <w:rsid w:val="00291773"/>
    <w:rsid w:val="002A168C"/>
    <w:rsid w:val="002A3172"/>
    <w:rsid w:val="002A3DC7"/>
    <w:rsid w:val="002B49E2"/>
    <w:rsid w:val="002B7B00"/>
    <w:rsid w:val="002B7C44"/>
    <w:rsid w:val="002C0B6A"/>
    <w:rsid w:val="002C2B17"/>
    <w:rsid w:val="002D2E96"/>
    <w:rsid w:val="002D3DD0"/>
    <w:rsid w:val="002E095D"/>
    <w:rsid w:val="002E1F3A"/>
    <w:rsid w:val="002E298A"/>
    <w:rsid w:val="002F70B2"/>
    <w:rsid w:val="00301978"/>
    <w:rsid w:val="0030332C"/>
    <w:rsid w:val="003051C2"/>
    <w:rsid w:val="00312296"/>
    <w:rsid w:val="00314F0E"/>
    <w:rsid w:val="00321D8E"/>
    <w:rsid w:val="00325928"/>
    <w:rsid w:val="00332863"/>
    <w:rsid w:val="0033684D"/>
    <w:rsid w:val="00337B42"/>
    <w:rsid w:val="00341B42"/>
    <w:rsid w:val="0034348F"/>
    <w:rsid w:val="0035423C"/>
    <w:rsid w:val="00356653"/>
    <w:rsid w:val="0035743F"/>
    <w:rsid w:val="00357BE2"/>
    <w:rsid w:val="0036170C"/>
    <w:rsid w:val="003630D8"/>
    <w:rsid w:val="00366E0F"/>
    <w:rsid w:val="00381A72"/>
    <w:rsid w:val="00384676"/>
    <w:rsid w:val="00390857"/>
    <w:rsid w:val="003A4BF3"/>
    <w:rsid w:val="003B420D"/>
    <w:rsid w:val="003C6C16"/>
    <w:rsid w:val="003D794D"/>
    <w:rsid w:val="003E3058"/>
    <w:rsid w:val="003E76A9"/>
    <w:rsid w:val="003E7904"/>
    <w:rsid w:val="003F0809"/>
    <w:rsid w:val="003F6A8C"/>
    <w:rsid w:val="003F755C"/>
    <w:rsid w:val="0040384D"/>
    <w:rsid w:val="00406F01"/>
    <w:rsid w:val="00416D50"/>
    <w:rsid w:val="00416FD5"/>
    <w:rsid w:val="00417772"/>
    <w:rsid w:val="00420E6A"/>
    <w:rsid w:val="00425A9E"/>
    <w:rsid w:val="00426D6B"/>
    <w:rsid w:val="00431E6C"/>
    <w:rsid w:val="0043210C"/>
    <w:rsid w:val="00433CE7"/>
    <w:rsid w:val="00447DA4"/>
    <w:rsid w:val="00452738"/>
    <w:rsid w:val="00455009"/>
    <w:rsid w:val="00456091"/>
    <w:rsid w:val="00466321"/>
    <w:rsid w:val="00484B9B"/>
    <w:rsid w:val="004855F6"/>
    <w:rsid w:val="0048661E"/>
    <w:rsid w:val="004874D4"/>
    <w:rsid w:val="00491AAC"/>
    <w:rsid w:val="00494670"/>
    <w:rsid w:val="004A3823"/>
    <w:rsid w:val="004B4C69"/>
    <w:rsid w:val="004C6742"/>
    <w:rsid w:val="004D5F2D"/>
    <w:rsid w:val="004E6946"/>
    <w:rsid w:val="004F1AD8"/>
    <w:rsid w:val="005039CB"/>
    <w:rsid w:val="0050558F"/>
    <w:rsid w:val="00506286"/>
    <w:rsid w:val="00510813"/>
    <w:rsid w:val="00511990"/>
    <w:rsid w:val="00511DE0"/>
    <w:rsid w:val="00514870"/>
    <w:rsid w:val="00514B9B"/>
    <w:rsid w:val="00517F02"/>
    <w:rsid w:val="00524303"/>
    <w:rsid w:val="005258A2"/>
    <w:rsid w:val="00535087"/>
    <w:rsid w:val="005401AE"/>
    <w:rsid w:val="00542E07"/>
    <w:rsid w:val="00545424"/>
    <w:rsid w:val="00554A7B"/>
    <w:rsid w:val="0055572C"/>
    <w:rsid w:val="0056106A"/>
    <w:rsid w:val="005720AE"/>
    <w:rsid w:val="00594D77"/>
    <w:rsid w:val="005969E4"/>
    <w:rsid w:val="005A06B7"/>
    <w:rsid w:val="005A1759"/>
    <w:rsid w:val="005A3DDE"/>
    <w:rsid w:val="005A68A7"/>
    <w:rsid w:val="005C1F08"/>
    <w:rsid w:val="005D0F56"/>
    <w:rsid w:val="005D36AB"/>
    <w:rsid w:val="005D5B1E"/>
    <w:rsid w:val="0060629E"/>
    <w:rsid w:val="0061764B"/>
    <w:rsid w:val="00617CC3"/>
    <w:rsid w:val="006377A6"/>
    <w:rsid w:val="00637A3D"/>
    <w:rsid w:val="006411EF"/>
    <w:rsid w:val="006748B8"/>
    <w:rsid w:val="006775C3"/>
    <w:rsid w:val="0069290A"/>
    <w:rsid w:val="006968D7"/>
    <w:rsid w:val="0069775A"/>
    <w:rsid w:val="00697813"/>
    <w:rsid w:val="006A3EE8"/>
    <w:rsid w:val="006A72BF"/>
    <w:rsid w:val="006B03F2"/>
    <w:rsid w:val="006B37DC"/>
    <w:rsid w:val="006B4F68"/>
    <w:rsid w:val="006C0592"/>
    <w:rsid w:val="006C272E"/>
    <w:rsid w:val="006C5479"/>
    <w:rsid w:val="006D13B5"/>
    <w:rsid w:val="006E0E50"/>
    <w:rsid w:val="006E12FF"/>
    <w:rsid w:val="006E607E"/>
    <w:rsid w:val="00706C5D"/>
    <w:rsid w:val="00712C62"/>
    <w:rsid w:val="0072223F"/>
    <w:rsid w:val="00732922"/>
    <w:rsid w:val="00747164"/>
    <w:rsid w:val="0075162E"/>
    <w:rsid w:val="00754034"/>
    <w:rsid w:val="00756556"/>
    <w:rsid w:val="007618C4"/>
    <w:rsid w:val="00767980"/>
    <w:rsid w:val="00770B19"/>
    <w:rsid w:val="00773E9D"/>
    <w:rsid w:val="0077463F"/>
    <w:rsid w:val="007836EA"/>
    <w:rsid w:val="00784CDA"/>
    <w:rsid w:val="007906C4"/>
    <w:rsid w:val="007940EA"/>
    <w:rsid w:val="007967E8"/>
    <w:rsid w:val="007A2170"/>
    <w:rsid w:val="007A22BF"/>
    <w:rsid w:val="007A3323"/>
    <w:rsid w:val="007B72B8"/>
    <w:rsid w:val="007B7A58"/>
    <w:rsid w:val="007C19F8"/>
    <w:rsid w:val="007C21B5"/>
    <w:rsid w:val="007E4BD2"/>
    <w:rsid w:val="00801393"/>
    <w:rsid w:val="00802F88"/>
    <w:rsid w:val="0081293E"/>
    <w:rsid w:val="00815465"/>
    <w:rsid w:val="00817E9A"/>
    <w:rsid w:val="008306BD"/>
    <w:rsid w:val="00831A80"/>
    <w:rsid w:val="00833743"/>
    <w:rsid w:val="008340A4"/>
    <w:rsid w:val="00854850"/>
    <w:rsid w:val="008615BB"/>
    <w:rsid w:val="0086622E"/>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052D4"/>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2FF1"/>
    <w:rsid w:val="009E227D"/>
    <w:rsid w:val="009E2706"/>
    <w:rsid w:val="009E2A5B"/>
    <w:rsid w:val="009E5019"/>
    <w:rsid w:val="009F6666"/>
    <w:rsid w:val="00A04F1B"/>
    <w:rsid w:val="00A0501B"/>
    <w:rsid w:val="00A14947"/>
    <w:rsid w:val="00A17C59"/>
    <w:rsid w:val="00A31930"/>
    <w:rsid w:val="00A32A83"/>
    <w:rsid w:val="00A368DB"/>
    <w:rsid w:val="00A423AA"/>
    <w:rsid w:val="00A51111"/>
    <w:rsid w:val="00A53EC6"/>
    <w:rsid w:val="00A55C0F"/>
    <w:rsid w:val="00A8713F"/>
    <w:rsid w:val="00A90BA1"/>
    <w:rsid w:val="00A97A9A"/>
    <w:rsid w:val="00AA0671"/>
    <w:rsid w:val="00AA2531"/>
    <w:rsid w:val="00AA53CC"/>
    <w:rsid w:val="00AB1E09"/>
    <w:rsid w:val="00AB5330"/>
    <w:rsid w:val="00AB7747"/>
    <w:rsid w:val="00AC14CE"/>
    <w:rsid w:val="00AC1D44"/>
    <w:rsid w:val="00AC2A56"/>
    <w:rsid w:val="00AD055E"/>
    <w:rsid w:val="00AD47A7"/>
    <w:rsid w:val="00AF0CBF"/>
    <w:rsid w:val="00AF257F"/>
    <w:rsid w:val="00AF33CF"/>
    <w:rsid w:val="00AF4D50"/>
    <w:rsid w:val="00AF6179"/>
    <w:rsid w:val="00B1295A"/>
    <w:rsid w:val="00B20A45"/>
    <w:rsid w:val="00B22C5C"/>
    <w:rsid w:val="00B24F30"/>
    <w:rsid w:val="00B251D2"/>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37ED0"/>
    <w:rsid w:val="00C41F31"/>
    <w:rsid w:val="00C4409D"/>
    <w:rsid w:val="00C44E72"/>
    <w:rsid w:val="00C45A06"/>
    <w:rsid w:val="00C47E5B"/>
    <w:rsid w:val="00C5706E"/>
    <w:rsid w:val="00C61E4B"/>
    <w:rsid w:val="00C64BFF"/>
    <w:rsid w:val="00C700E7"/>
    <w:rsid w:val="00C704E9"/>
    <w:rsid w:val="00C763C9"/>
    <w:rsid w:val="00C80057"/>
    <w:rsid w:val="00C82232"/>
    <w:rsid w:val="00C82913"/>
    <w:rsid w:val="00C972B1"/>
    <w:rsid w:val="00CA2CCE"/>
    <w:rsid w:val="00CA43FD"/>
    <w:rsid w:val="00CA7EF8"/>
    <w:rsid w:val="00CC489B"/>
    <w:rsid w:val="00CD2BCD"/>
    <w:rsid w:val="00CD3A4C"/>
    <w:rsid w:val="00CE0169"/>
    <w:rsid w:val="00CE10E9"/>
    <w:rsid w:val="00CE2910"/>
    <w:rsid w:val="00CE5393"/>
    <w:rsid w:val="00CF36BE"/>
    <w:rsid w:val="00CF6000"/>
    <w:rsid w:val="00D003F3"/>
    <w:rsid w:val="00D020C6"/>
    <w:rsid w:val="00D0364F"/>
    <w:rsid w:val="00D062BE"/>
    <w:rsid w:val="00D06834"/>
    <w:rsid w:val="00D06837"/>
    <w:rsid w:val="00D16649"/>
    <w:rsid w:val="00D308ED"/>
    <w:rsid w:val="00D31E5D"/>
    <w:rsid w:val="00D36D86"/>
    <w:rsid w:val="00D428AA"/>
    <w:rsid w:val="00D50A34"/>
    <w:rsid w:val="00D53EFA"/>
    <w:rsid w:val="00D94A7C"/>
    <w:rsid w:val="00D95896"/>
    <w:rsid w:val="00DB2983"/>
    <w:rsid w:val="00DC1257"/>
    <w:rsid w:val="00DC18E7"/>
    <w:rsid w:val="00DC3DC0"/>
    <w:rsid w:val="00DC5B2B"/>
    <w:rsid w:val="00DD318D"/>
    <w:rsid w:val="00DF2E12"/>
    <w:rsid w:val="00DF4877"/>
    <w:rsid w:val="00DF514A"/>
    <w:rsid w:val="00DF592B"/>
    <w:rsid w:val="00DF6690"/>
    <w:rsid w:val="00DF6804"/>
    <w:rsid w:val="00E0358D"/>
    <w:rsid w:val="00E04323"/>
    <w:rsid w:val="00E070A2"/>
    <w:rsid w:val="00E2656A"/>
    <w:rsid w:val="00E412D0"/>
    <w:rsid w:val="00E507FF"/>
    <w:rsid w:val="00E538C2"/>
    <w:rsid w:val="00E56322"/>
    <w:rsid w:val="00E60982"/>
    <w:rsid w:val="00E62C62"/>
    <w:rsid w:val="00E654C1"/>
    <w:rsid w:val="00E65D97"/>
    <w:rsid w:val="00E72A5A"/>
    <w:rsid w:val="00E73354"/>
    <w:rsid w:val="00E9242D"/>
    <w:rsid w:val="00EA436F"/>
    <w:rsid w:val="00EB5255"/>
    <w:rsid w:val="00EB5C47"/>
    <w:rsid w:val="00EC7148"/>
    <w:rsid w:val="00ED0639"/>
    <w:rsid w:val="00EE1FC9"/>
    <w:rsid w:val="00EF4755"/>
    <w:rsid w:val="00EF7135"/>
    <w:rsid w:val="00F027DB"/>
    <w:rsid w:val="00F02C71"/>
    <w:rsid w:val="00F04745"/>
    <w:rsid w:val="00F14A7A"/>
    <w:rsid w:val="00F2009D"/>
    <w:rsid w:val="00F22985"/>
    <w:rsid w:val="00F3383E"/>
    <w:rsid w:val="00F440D9"/>
    <w:rsid w:val="00F465A7"/>
    <w:rsid w:val="00F50B7C"/>
    <w:rsid w:val="00F550E6"/>
    <w:rsid w:val="00F61921"/>
    <w:rsid w:val="00F6460D"/>
    <w:rsid w:val="00F74345"/>
    <w:rsid w:val="00F80A0A"/>
    <w:rsid w:val="00F82B19"/>
    <w:rsid w:val="00F9212D"/>
    <w:rsid w:val="00F965DA"/>
    <w:rsid w:val="00FA406A"/>
    <w:rsid w:val="00FB503A"/>
    <w:rsid w:val="00FB516C"/>
    <w:rsid w:val="00FC59DF"/>
    <w:rsid w:val="00FD0236"/>
    <w:rsid w:val="00FD18F4"/>
    <w:rsid w:val="00FD54DB"/>
    <w:rsid w:val="00FD619F"/>
    <w:rsid w:val="00FF5EDC"/>
    <w:rsid w:val="01290F7E"/>
    <w:rsid w:val="015D1E09"/>
    <w:rsid w:val="016F42D6"/>
    <w:rsid w:val="01B80CFC"/>
    <w:rsid w:val="02697903"/>
    <w:rsid w:val="026B0F4A"/>
    <w:rsid w:val="0273203D"/>
    <w:rsid w:val="02F96569"/>
    <w:rsid w:val="03EA7B21"/>
    <w:rsid w:val="03EB093D"/>
    <w:rsid w:val="0414739B"/>
    <w:rsid w:val="05AA435B"/>
    <w:rsid w:val="05F83EAE"/>
    <w:rsid w:val="063E7D85"/>
    <w:rsid w:val="06470B9F"/>
    <w:rsid w:val="07293586"/>
    <w:rsid w:val="07295285"/>
    <w:rsid w:val="07636392"/>
    <w:rsid w:val="07770C56"/>
    <w:rsid w:val="092217DD"/>
    <w:rsid w:val="093A7294"/>
    <w:rsid w:val="096A13A2"/>
    <w:rsid w:val="098418D3"/>
    <w:rsid w:val="0A263993"/>
    <w:rsid w:val="0A2D3AC2"/>
    <w:rsid w:val="0A330280"/>
    <w:rsid w:val="0A560A40"/>
    <w:rsid w:val="0AA755DF"/>
    <w:rsid w:val="0B120D44"/>
    <w:rsid w:val="0BD27BF6"/>
    <w:rsid w:val="0BDE6FCF"/>
    <w:rsid w:val="0C3B3C7D"/>
    <w:rsid w:val="0C464F2F"/>
    <w:rsid w:val="0CAB2EAE"/>
    <w:rsid w:val="0D621C7D"/>
    <w:rsid w:val="0D6816F2"/>
    <w:rsid w:val="0E73034D"/>
    <w:rsid w:val="0F13775A"/>
    <w:rsid w:val="0F5F45FE"/>
    <w:rsid w:val="0F9A112B"/>
    <w:rsid w:val="0FCF4B06"/>
    <w:rsid w:val="0FD52407"/>
    <w:rsid w:val="106D2F64"/>
    <w:rsid w:val="107A4C82"/>
    <w:rsid w:val="10B63710"/>
    <w:rsid w:val="10F10820"/>
    <w:rsid w:val="111C2F7A"/>
    <w:rsid w:val="11665CA1"/>
    <w:rsid w:val="11990186"/>
    <w:rsid w:val="122E02E9"/>
    <w:rsid w:val="12D14E73"/>
    <w:rsid w:val="133E4E63"/>
    <w:rsid w:val="13951726"/>
    <w:rsid w:val="13E74041"/>
    <w:rsid w:val="14396509"/>
    <w:rsid w:val="14DD2C3C"/>
    <w:rsid w:val="15B16692"/>
    <w:rsid w:val="15EC04AB"/>
    <w:rsid w:val="16087E1D"/>
    <w:rsid w:val="1612483A"/>
    <w:rsid w:val="16624183"/>
    <w:rsid w:val="16870D8E"/>
    <w:rsid w:val="17005116"/>
    <w:rsid w:val="174F6E31"/>
    <w:rsid w:val="17701D14"/>
    <w:rsid w:val="17735226"/>
    <w:rsid w:val="189F624C"/>
    <w:rsid w:val="199E62E4"/>
    <w:rsid w:val="19BB50FD"/>
    <w:rsid w:val="1A1C66C0"/>
    <w:rsid w:val="1A42393B"/>
    <w:rsid w:val="1AAD45DE"/>
    <w:rsid w:val="1AC4252E"/>
    <w:rsid w:val="1B046F80"/>
    <w:rsid w:val="1B3267B5"/>
    <w:rsid w:val="1B40161D"/>
    <w:rsid w:val="1B441859"/>
    <w:rsid w:val="1B6606B1"/>
    <w:rsid w:val="1BA02990"/>
    <w:rsid w:val="1C5E7925"/>
    <w:rsid w:val="1C7532C5"/>
    <w:rsid w:val="1C8C2061"/>
    <w:rsid w:val="1C9E7F50"/>
    <w:rsid w:val="1CFD070F"/>
    <w:rsid w:val="1D580937"/>
    <w:rsid w:val="1D5F6196"/>
    <w:rsid w:val="1D6132A5"/>
    <w:rsid w:val="1D6623F8"/>
    <w:rsid w:val="1D8E56D5"/>
    <w:rsid w:val="1E354D65"/>
    <w:rsid w:val="1E7A43DA"/>
    <w:rsid w:val="1FD5597F"/>
    <w:rsid w:val="1FE7539E"/>
    <w:rsid w:val="200B6737"/>
    <w:rsid w:val="20671BE0"/>
    <w:rsid w:val="20963CB8"/>
    <w:rsid w:val="20A81A1B"/>
    <w:rsid w:val="20B07FB6"/>
    <w:rsid w:val="20B646FB"/>
    <w:rsid w:val="213B74B1"/>
    <w:rsid w:val="215A2310"/>
    <w:rsid w:val="21DE318A"/>
    <w:rsid w:val="21EF5B80"/>
    <w:rsid w:val="21F56CB5"/>
    <w:rsid w:val="22576990"/>
    <w:rsid w:val="22F47480"/>
    <w:rsid w:val="23DE1C48"/>
    <w:rsid w:val="240210CD"/>
    <w:rsid w:val="24373377"/>
    <w:rsid w:val="246776F6"/>
    <w:rsid w:val="24BF09F7"/>
    <w:rsid w:val="252C72E1"/>
    <w:rsid w:val="252D53FE"/>
    <w:rsid w:val="25873D4C"/>
    <w:rsid w:val="25B34B41"/>
    <w:rsid w:val="25EC2D81"/>
    <w:rsid w:val="260166DC"/>
    <w:rsid w:val="27381F8B"/>
    <w:rsid w:val="27615167"/>
    <w:rsid w:val="277057A2"/>
    <w:rsid w:val="27F06141"/>
    <w:rsid w:val="29184C06"/>
    <w:rsid w:val="29206EB8"/>
    <w:rsid w:val="29595666"/>
    <w:rsid w:val="29874881"/>
    <w:rsid w:val="299D3526"/>
    <w:rsid w:val="29E325E0"/>
    <w:rsid w:val="2A1F4BF1"/>
    <w:rsid w:val="2A452503"/>
    <w:rsid w:val="2BA936A8"/>
    <w:rsid w:val="2BB80BA8"/>
    <w:rsid w:val="2C315A5A"/>
    <w:rsid w:val="2C4B1C25"/>
    <w:rsid w:val="2CD456EC"/>
    <w:rsid w:val="2D9E56F5"/>
    <w:rsid w:val="2E133BB8"/>
    <w:rsid w:val="2E667F96"/>
    <w:rsid w:val="2E8226AB"/>
    <w:rsid w:val="2FD065E6"/>
    <w:rsid w:val="2FD96870"/>
    <w:rsid w:val="303B252D"/>
    <w:rsid w:val="30580BC9"/>
    <w:rsid w:val="307264CC"/>
    <w:rsid w:val="31047466"/>
    <w:rsid w:val="311E2ED7"/>
    <w:rsid w:val="315619EE"/>
    <w:rsid w:val="315C449C"/>
    <w:rsid w:val="31B82709"/>
    <w:rsid w:val="31D05482"/>
    <w:rsid w:val="31F50750"/>
    <w:rsid w:val="32400B34"/>
    <w:rsid w:val="32586F13"/>
    <w:rsid w:val="329E6876"/>
    <w:rsid w:val="333015F2"/>
    <w:rsid w:val="334B6320"/>
    <w:rsid w:val="33D934D4"/>
    <w:rsid w:val="33FE2F6A"/>
    <w:rsid w:val="340E07E5"/>
    <w:rsid w:val="34235BF7"/>
    <w:rsid w:val="358C5FA8"/>
    <w:rsid w:val="35C15DF1"/>
    <w:rsid w:val="36074A7F"/>
    <w:rsid w:val="36923549"/>
    <w:rsid w:val="36B75FBF"/>
    <w:rsid w:val="36BD0C45"/>
    <w:rsid w:val="36CF44DE"/>
    <w:rsid w:val="37E00298"/>
    <w:rsid w:val="38B302F9"/>
    <w:rsid w:val="38B40929"/>
    <w:rsid w:val="38DD3F57"/>
    <w:rsid w:val="38F12CD3"/>
    <w:rsid w:val="38F94775"/>
    <w:rsid w:val="392971ED"/>
    <w:rsid w:val="39325651"/>
    <w:rsid w:val="39D972DA"/>
    <w:rsid w:val="3A777543"/>
    <w:rsid w:val="3A872856"/>
    <w:rsid w:val="3A9E7C7F"/>
    <w:rsid w:val="3AED34FB"/>
    <w:rsid w:val="3B3763D1"/>
    <w:rsid w:val="3BCB4645"/>
    <w:rsid w:val="3BD749D0"/>
    <w:rsid w:val="3C1A2017"/>
    <w:rsid w:val="3C2F6E1E"/>
    <w:rsid w:val="3C4F64BA"/>
    <w:rsid w:val="3CDA245A"/>
    <w:rsid w:val="3CFC31FC"/>
    <w:rsid w:val="3D1E06B7"/>
    <w:rsid w:val="3D6764E5"/>
    <w:rsid w:val="3D9D3929"/>
    <w:rsid w:val="3E472436"/>
    <w:rsid w:val="3ED64785"/>
    <w:rsid w:val="3EDA0523"/>
    <w:rsid w:val="3F066723"/>
    <w:rsid w:val="3F603D30"/>
    <w:rsid w:val="404E4989"/>
    <w:rsid w:val="407A6407"/>
    <w:rsid w:val="408F6FC5"/>
    <w:rsid w:val="413F54C3"/>
    <w:rsid w:val="41D846F6"/>
    <w:rsid w:val="4200449D"/>
    <w:rsid w:val="423A3BCC"/>
    <w:rsid w:val="424E57D2"/>
    <w:rsid w:val="426C1862"/>
    <w:rsid w:val="42B26C49"/>
    <w:rsid w:val="433A6FE6"/>
    <w:rsid w:val="43480868"/>
    <w:rsid w:val="4350713C"/>
    <w:rsid w:val="436653E0"/>
    <w:rsid w:val="437D07EC"/>
    <w:rsid w:val="43A73528"/>
    <w:rsid w:val="43C4431A"/>
    <w:rsid w:val="44B951CC"/>
    <w:rsid w:val="44CD14E0"/>
    <w:rsid w:val="44F20B0B"/>
    <w:rsid w:val="452E5F4C"/>
    <w:rsid w:val="45612018"/>
    <w:rsid w:val="458946E9"/>
    <w:rsid w:val="45A47C0E"/>
    <w:rsid w:val="463B0738"/>
    <w:rsid w:val="46577FD6"/>
    <w:rsid w:val="46D955A7"/>
    <w:rsid w:val="47133957"/>
    <w:rsid w:val="47A07E0C"/>
    <w:rsid w:val="4870272E"/>
    <w:rsid w:val="48F05643"/>
    <w:rsid w:val="492C7535"/>
    <w:rsid w:val="49DC7715"/>
    <w:rsid w:val="49EB4B96"/>
    <w:rsid w:val="4A023139"/>
    <w:rsid w:val="4A140E14"/>
    <w:rsid w:val="4A27645F"/>
    <w:rsid w:val="4A7B576F"/>
    <w:rsid w:val="4AF561A9"/>
    <w:rsid w:val="4C4A0649"/>
    <w:rsid w:val="4C7E5ECA"/>
    <w:rsid w:val="4C876AA5"/>
    <w:rsid w:val="4CD86AB8"/>
    <w:rsid w:val="4CE436AF"/>
    <w:rsid w:val="4D0E00FB"/>
    <w:rsid w:val="4D176606"/>
    <w:rsid w:val="4D43402A"/>
    <w:rsid w:val="4D916F79"/>
    <w:rsid w:val="4DEC4FB0"/>
    <w:rsid w:val="4E075D8A"/>
    <w:rsid w:val="4E3449B1"/>
    <w:rsid w:val="4E8A09A0"/>
    <w:rsid w:val="4EAF7F6D"/>
    <w:rsid w:val="4EC00FAD"/>
    <w:rsid w:val="4F3F5CDA"/>
    <w:rsid w:val="4F9843DC"/>
    <w:rsid w:val="4FC62A8C"/>
    <w:rsid w:val="4FE20F0D"/>
    <w:rsid w:val="4FE51552"/>
    <w:rsid w:val="50504C4B"/>
    <w:rsid w:val="505D0196"/>
    <w:rsid w:val="509C6E7C"/>
    <w:rsid w:val="50AE52D8"/>
    <w:rsid w:val="5162104E"/>
    <w:rsid w:val="53A039CC"/>
    <w:rsid w:val="53A1505A"/>
    <w:rsid w:val="53B6022C"/>
    <w:rsid w:val="53D83ED6"/>
    <w:rsid w:val="54063E08"/>
    <w:rsid w:val="543437E8"/>
    <w:rsid w:val="54F73313"/>
    <w:rsid w:val="54F80955"/>
    <w:rsid w:val="555170A7"/>
    <w:rsid w:val="55656A54"/>
    <w:rsid w:val="5587536D"/>
    <w:rsid w:val="559B174B"/>
    <w:rsid w:val="55CE0CF4"/>
    <w:rsid w:val="55FD2524"/>
    <w:rsid w:val="56537D3A"/>
    <w:rsid w:val="56B22A9C"/>
    <w:rsid w:val="57B72A76"/>
    <w:rsid w:val="57C3426C"/>
    <w:rsid w:val="57CE1F93"/>
    <w:rsid w:val="588743D1"/>
    <w:rsid w:val="5887701A"/>
    <w:rsid w:val="58DB71EA"/>
    <w:rsid w:val="595B7536"/>
    <w:rsid w:val="59C0439F"/>
    <w:rsid w:val="59E95E95"/>
    <w:rsid w:val="5ABE2233"/>
    <w:rsid w:val="5ACC104B"/>
    <w:rsid w:val="5BDF5D95"/>
    <w:rsid w:val="5BFE7528"/>
    <w:rsid w:val="5C6356BD"/>
    <w:rsid w:val="5C6C0FCA"/>
    <w:rsid w:val="5E2467F1"/>
    <w:rsid w:val="5EF56684"/>
    <w:rsid w:val="5F1A2B43"/>
    <w:rsid w:val="5FB837BB"/>
    <w:rsid w:val="604430C7"/>
    <w:rsid w:val="6051479D"/>
    <w:rsid w:val="60CC405A"/>
    <w:rsid w:val="610C54E3"/>
    <w:rsid w:val="614B259B"/>
    <w:rsid w:val="61655BA8"/>
    <w:rsid w:val="618819AF"/>
    <w:rsid w:val="61E215D8"/>
    <w:rsid w:val="61F8449B"/>
    <w:rsid w:val="621B3775"/>
    <w:rsid w:val="62364782"/>
    <w:rsid w:val="6390559E"/>
    <w:rsid w:val="6394356A"/>
    <w:rsid w:val="63C61B2C"/>
    <w:rsid w:val="63D40BE9"/>
    <w:rsid w:val="64102431"/>
    <w:rsid w:val="64A5243A"/>
    <w:rsid w:val="64E02B4C"/>
    <w:rsid w:val="64F531DE"/>
    <w:rsid w:val="65373578"/>
    <w:rsid w:val="65842593"/>
    <w:rsid w:val="65D578E7"/>
    <w:rsid w:val="671F124A"/>
    <w:rsid w:val="677A33C6"/>
    <w:rsid w:val="681F6961"/>
    <w:rsid w:val="68294308"/>
    <w:rsid w:val="68610A2F"/>
    <w:rsid w:val="68805514"/>
    <w:rsid w:val="68D22789"/>
    <w:rsid w:val="69316E2F"/>
    <w:rsid w:val="694E2071"/>
    <w:rsid w:val="69766163"/>
    <w:rsid w:val="697A3B33"/>
    <w:rsid w:val="699F69AB"/>
    <w:rsid w:val="69D44760"/>
    <w:rsid w:val="6A48783F"/>
    <w:rsid w:val="6A520EC7"/>
    <w:rsid w:val="6A7E5D82"/>
    <w:rsid w:val="6AF87E20"/>
    <w:rsid w:val="6B322639"/>
    <w:rsid w:val="6C0E3E7F"/>
    <w:rsid w:val="6C636C38"/>
    <w:rsid w:val="6C6A134C"/>
    <w:rsid w:val="6C891F98"/>
    <w:rsid w:val="6DA10527"/>
    <w:rsid w:val="6DA24392"/>
    <w:rsid w:val="6DB34098"/>
    <w:rsid w:val="6DB545B6"/>
    <w:rsid w:val="6DE02FB4"/>
    <w:rsid w:val="6E321386"/>
    <w:rsid w:val="6E514CED"/>
    <w:rsid w:val="6EB563D5"/>
    <w:rsid w:val="6ED92677"/>
    <w:rsid w:val="6F225983"/>
    <w:rsid w:val="6FEA7C7C"/>
    <w:rsid w:val="6FFC5590"/>
    <w:rsid w:val="706D1DD0"/>
    <w:rsid w:val="70856B87"/>
    <w:rsid w:val="70D527EE"/>
    <w:rsid w:val="715B5300"/>
    <w:rsid w:val="71D27F8A"/>
    <w:rsid w:val="71E53BB5"/>
    <w:rsid w:val="72553024"/>
    <w:rsid w:val="73122968"/>
    <w:rsid w:val="731F5D5E"/>
    <w:rsid w:val="73945FE0"/>
    <w:rsid w:val="739B2C36"/>
    <w:rsid w:val="73C51AD5"/>
    <w:rsid w:val="741E793C"/>
    <w:rsid w:val="745E3944"/>
    <w:rsid w:val="7635099D"/>
    <w:rsid w:val="77762421"/>
    <w:rsid w:val="77B56B1F"/>
    <w:rsid w:val="780A4877"/>
    <w:rsid w:val="780F09F4"/>
    <w:rsid w:val="7822128F"/>
    <w:rsid w:val="78A90480"/>
    <w:rsid w:val="79BE0893"/>
    <w:rsid w:val="79DB40E8"/>
    <w:rsid w:val="7A364017"/>
    <w:rsid w:val="7A8265E1"/>
    <w:rsid w:val="7B686D42"/>
    <w:rsid w:val="7B841746"/>
    <w:rsid w:val="7BF62F10"/>
    <w:rsid w:val="7C04696C"/>
    <w:rsid w:val="7C19533B"/>
    <w:rsid w:val="7C6C5AC7"/>
    <w:rsid w:val="7CC6544B"/>
    <w:rsid w:val="7CF60710"/>
    <w:rsid w:val="7D0239FF"/>
    <w:rsid w:val="7D1D5B76"/>
    <w:rsid w:val="7D5E40CD"/>
    <w:rsid w:val="7DA371D6"/>
    <w:rsid w:val="7DCD56F2"/>
    <w:rsid w:val="7DDE48D9"/>
    <w:rsid w:val="7DF0785D"/>
    <w:rsid w:val="7E057057"/>
    <w:rsid w:val="7E164370"/>
    <w:rsid w:val="7E704588"/>
    <w:rsid w:val="7EBE2506"/>
    <w:rsid w:val="7F001CE7"/>
    <w:rsid w:val="7F5D4A77"/>
    <w:rsid w:val="7F7B21B1"/>
    <w:rsid w:val="7FAE245C"/>
    <w:rsid w:val="7FCB30BE"/>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9"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autoRedefine/>
    <w:qFormat/>
    <w:locked/>
    <w:uiPriority w:val="0"/>
    <w:pPr>
      <w:keepNext/>
      <w:keepLines/>
      <w:adjustRightInd w:val="0"/>
      <w:snapToGrid w:val="0"/>
      <w:spacing w:line="360" w:lineRule="auto"/>
      <w:outlineLvl w:val="1"/>
    </w:pPr>
    <w:rPr>
      <w:b/>
      <w:bCs/>
      <w:sz w:val="28"/>
      <w:szCs w:val="32"/>
    </w:rPr>
  </w:style>
  <w:style w:type="paragraph" w:styleId="6">
    <w:name w:val="heading 3"/>
    <w:basedOn w:val="1"/>
    <w:next w:val="1"/>
    <w:autoRedefine/>
    <w:qFormat/>
    <w:locked/>
    <w:uiPriority w:val="9"/>
    <w:pPr>
      <w:spacing w:line="360" w:lineRule="auto"/>
      <w:outlineLvl w:val="2"/>
    </w:pPr>
    <w:rPr>
      <w:rFonts w:hAnsi="宋体"/>
      <w:b/>
      <w:sz w:val="24"/>
      <w:szCs w:val="28"/>
    </w:rPr>
  </w:style>
  <w:style w:type="character" w:default="1" w:styleId="26">
    <w:name w:val="Default Paragraph Font"/>
    <w:autoRedefine/>
    <w:qFormat/>
    <w:uiPriority w:val="0"/>
  </w:style>
  <w:style w:type="table" w:default="1" w:styleId="24">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link w:val="35"/>
    <w:autoRedefine/>
    <w:qFormat/>
    <w:uiPriority w:val="0"/>
    <w:pPr>
      <w:widowControl/>
      <w:snapToGrid w:val="0"/>
      <w:spacing w:before="60" w:after="160" w:line="259" w:lineRule="auto"/>
      <w:ind w:right="113"/>
    </w:pPr>
    <w:rPr>
      <w:kern w:val="0"/>
      <w:sz w:val="18"/>
      <w:szCs w:val="20"/>
    </w:rPr>
  </w:style>
  <w:style w:type="paragraph" w:customStyle="1" w:styleId="3">
    <w:name w:val="xl27"/>
    <w:basedOn w:val="1"/>
    <w:next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kern w:val="0"/>
      <w:sz w:val="16"/>
      <w:szCs w:val="16"/>
      <w:lang w:eastAsia="zh-TW"/>
    </w:rPr>
  </w:style>
  <w:style w:type="paragraph" w:styleId="7">
    <w:name w:val="Normal Indent"/>
    <w:basedOn w:val="1"/>
    <w:next w:val="1"/>
    <w:autoRedefine/>
    <w:qFormat/>
    <w:locked/>
    <w:uiPriority w:val="0"/>
    <w:pPr>
      <w:ind w:firstLine="200" w:firstLineChars="200"/>
    </w:pPr>
    <w:rPr>
      <w:sz w:val="28"/>
    </w:rPr>
  </w:style>
  <w:style w:type="paragraph" w:styleId="8">
    <w:name w:val="caption"/>
    <w:basedOn w:val="1"/>
    <w:next w:val="1"/>
    <w:autoRedefine/>
    <w:unhideWhenUsed/>
    <w:qFormat/>
    <w:locked/>
    <w:uiPriority w:val="0"/>
    <w:rPr>
      <w:rFonts w:ascii="等线 Light" w:hAnsi="等线 Light" w:eastAsia="黑体"/>
      <w:kern w:val="0"/>
      <w:sz w:val="20"/>
      <w:szCs w:val="20"/>
    </w:rPr>
  </w:style>
  <w:style w:type="paragraph" w:styleId="9">
    <w:name w:val="annotation text"/>
    <w:basedOn w:val="1"/>
    <w:link w:val="34"/>
    <w:autoRedefine/>
    <w:semiHidden/>
    <w:qFormat/>
    <w:uiPriority w:val="0"/>
    <w:pPr>
      <w:jc w:val="left"/>
    </w:pPr>
    <w:rPr>
      <w:kern w:val="0"/>
      <w:sz w:val="24"/>
      <w:szCs w:val="20"/>
    </w:rPr>
  </w:style>
  <w:style w:type="paragraph" w:styleId="10">
    <w:name w:val="Salutation"/>
    <w:basedOn w:val="1"/>
    <w:next w:val="1"/>
    <w:autoRedefine/>
    <w:qFormat/>
    <w:locked/>
    <w:uiPriority w:val="0"/>
  </w:style>
  <w:style w:type="paragraph" w:styleId="11">
    <w:name w:val="Body Text Indent"/>
    <w:basedOn w:val="1"/>
    <w:next w:val="12"/>
    <w:link w:val="36"/>
    <w:autoRedefine/>
    <w:qFormat/>
    <w:uiPriority w:val="0"/>
    <w:pPr>
      <w:spacing w:after="120"/>
      <w:ind w:left="420" w:leftChars="200"/>
    </w:pPr>
    <w:rPr>
      <w:kern w:val="0"/>
      <w:sz w:val="24"/>
      <w:szCs w:val="20"/>
    </w:rPr>
  </w:style>
  <w:style w:type="paragraph" w:customStyle="1" w:styleId="12">
    <w:name w:val="样式 正文文本缩进 + 行距: 1.5 倍行距"/>
    <w:basedOn w:val="13"/>
    <w:autoRedefine/>
    <w:qFormat/>
    <w:uiPriority w:val="0"/>
    <w:pPr>
      <w:snapToGrid/>
      <w:spacing w:before="0" w:after="120" w:line="360" w:lineRule="auto"/>
      <w:ind w:left="90" w:leftChars="32" w:firstLine="560" w:firstLineChars="200"/>
    </w:pPr>
    <w:rPr>
      <w:rFonts w:ascii="Times New Roman" w:eastAsia="宋体" w:cs="宋体"/>
    </w:rPr>
  </w:style>
  <w:style w:type="paragraph" w:customStyle="1" w:styleId="13">
    <w:name w:val="正文文本缩进1"/>
    <w:basedOn w:val="1"/>
    <w:next w:val="12"/>
    <w:autoRedefine/>
    <w:qFormat/>
    <w:uiPriority w:val="0"/>
    <w:pPr>
      <w:spacing w:after="120"/>
      <w:ind w:left="420" w:leftChars="200"/>
    </w:pPr>
    <w:rPr>
      <w:sz w:val="24"/>
    </w:rPr>
  </w:style>
  <w:style w:type="paragraph" w:styleId="14">
    <w:name w:val="Plain Text"/>
    <w:basedOn w:val="1"/>
    <w:next w:val="10"/>
    <w:autoRedefine/>
    <w:qFormat/>
    <w:locked/>
    <w:uiPriority w:val="0"/>
    <w:pPr>
      <w:snapToGrid w:val="0"/>
      <w:spacing w:line="320" w:lineRule="atLeast"/>
    </w:pPr>
    <w:rPr>
      <w:rFonts w:ascii="宋体" w:hAnsi="Courier New"/>
    </w:rPr>
  </w:style>
  <w:style w:type="paragraph" w:styleId="15">
    <w:name w:val="Date"/>
    <w:basedOn w:val="1"/>
    <w:next w:val="1"/>
    <w:link w:val="37"/>
    <w:autoRedefine/>
    <w:qFormat/>
    <w:uiPriority w:val="0"/>
    <w:pPr>
      <w:ind w:left="100" w:leftChars="2500"/>
    </w:pPr>
    <w:rPr>
      <w:kern w:val="0"/>
      <w:sz w:val="24"/>
      <w:szCs w:val="20"/>
    </w:rPr>
  </w:style>
  <w:style w:type="paragraph" w:styleId="16">
    <w:name w:val="Balloon Text"/>
    <w:basedOn w:val="1"/>
    <w:link w:val="38"/>
    <w:autoRedefine/>
    <w:semiHidden/>
    <w:qFormat/>
    <w:uiPriority w:val="0"/>
    <w:rPr>
      <w:kern w:val="0"/>
      <w:sz w:val="18"/>
      <w:szCs w:val="20"/>
    </w:rPr>
  </w:style>
  <w:style w:type="paragraph" w:styleId="17">
    <w:name w:val="footer"/>
    <w:basedOn w:val="1"/>
    <w:link w:val="39"/>
    <w:autoRedefine/>
    <w:qFormat/>
    <w:uiPriority w:val="99"/>
    <w:pPr>
      <w:tabs>
        <w:tab w:val="center" w:pos="4153"/>
        <w:tab w:val="right" w:pos="8306"/>
      </w:tabs>
      <w:snapToGrid w:val="0"/>
      <w:jc w:val="left"/>
    </w:pPr>
    <w:rPr>
      <w:kern w:val="0"/>
      <w:sz w:val="18"/>
      <w:szCs w:val="20"/>
    </w:rPr>
  </w:style>
  <w:style w:type="paragraph" w:styleId="18">
    <w:name w:val="header"/>
    <w:basedOn w:val="1"/>
    <w:link w:val="40"/>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Body Text 2"/>
    <w:basedOn w:val="1"/>
    <w:next w:val="1"/>
    <w:autoRedefine/>
    <w:qFormat/>
    <w:locked/>
    <w:uiPriority w:val="0"/>
    <w:pPr>
      <w:spacing w:after="120" w:line="480" w:lineRule="auto"/>
    </w:pPr>
    <w:rPr>
      <w:rFonts w:ascii="Times New Roman" w:hAnsi="Times New Roman" w:cs="Times New Roman"/>
      <w:sz w:val="21"/>
    </w:rPr>
  </w:style>
  <w:style w:type="paragraph" w:styleId="20">
    <w:name w:val="Normal (Web)"/>
    <w:basedOn w:val="1"/>
    <w:link w:val="41"/>
    <w:autoRedefine/>
    <w:qFormat/>
    <w:uiPriority w:val="99"/>
    <w:pPr>
      <w:widowControl/>
      <w:spacing w:before="100" w:beforeAutospacing="1" w:after="100" w:afterAutospacing="1"/>
      <w:jc w:val="left"/>
    </w:pPr>
    <w:rPr>
      <w:rFonts w:ascii="宋体" w:hAnsi="宋体"/>
      <w:kern w:val="0"/>
      <w:sz w:val="24"/>
      <w:szCs w:val="20"/>
    </w:rPr>
  </w:style>
  <w:style w:type="paragraph" w:styleId="21">
    <w:name w:val="annotation subject"/>
    <w:basedOn w:val="9"/>
    <w:next w:val="9"/>
    <w:link w:val="42"/>
    <w:autoRedefine/>
    <w:semiHidden/>
    <w:qFormat/>
    <w:uiPriority w:val="0"/>
    <w:rPr>
      <w:b/>
      <w:sz w:val="24"/>
      <w:szCs w:val="20"/>
    </w:rPr>
  </w:style>
  <w:style w:type="paragraph" w:styleId="22">
    <w:name w:val="Body Text First Indent"/>
    <w:basedOn w:val="2"/>
    <w:next w:val="1"/>
    <w:autoRedefine/>
    <w:qFormat/>
    <w:locked/>
    <w:uiPriority w:val="0"/>
    <w:pPr>
      <w:ind w:firstLine="420" w:firstLineChars="100"/>
    </w:pPr>
  </w:style>
  <w:style w:type="paragraph" w:styleId="23">
    <w:name w:val="Body Text First Indent 2"/>
    <w:basedOn w:val="11"/>
    <w:next w:val="1"/>
    <w:autoRedefine/>
    <w:unhideWhenUsed/>
    <w:qFormat/>
    <w:locked/>
    <w:uiPriority w:val="99"/>
    <w:pPr>
      <w:ind w:firstLine="420"/>
    </w:pPr>
  </w:style>
  <w:style w:type="table" w:styleId="25">
    <w:name w:val="Table Grid"/>
    <w:basedOn w:val="24"/>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autoRedefine/>
    <w:qFormat/>
    <w:locked/>
    <w:uiPriority w:val="0"/>
  </w:style>
  <w:style w:type="character" w:styleId="28">
    <w:name w:val="annotation reference"/>
    <w:autoRedefine/>
    <w:semiHidden/>
    <w:qFormat/>
    <w:uiPriority w:val="0"/>
    <w:rPr>
      <w:sz w:val="21"/>
    </w:rPr>
  </w:style>
  <w:style w:type="paragraph" w:customStyle="1" w:styleId="29">
    <w:name w:val="Default"/>
    <w:basedOn w:val="30"/>
    <w:next w:val="1"/>
    <w:autoRedefine/>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30">
    <w:name w:val="标题2"/>
    <w:basedOn w:val="1"/>
    <w:autoRedefine/>
    <w:qFormat/>
    <w:uiPriority w:val="99"/>
    <w:pPr>
      <w:spacing w:line="360" w:lineRule="auto"/>
      <w:jc w:val="left"/>
    </w:pPr>
    <w:rPr>
      <w:b/>
      <w:sz w:val="28"/>
    </w:rPr>
  </w:style>
  <w:style w:type="paragraph" w:customStyle="1" w:styleId="31">
    <w:name w:val="样式35"/>
    <w:basedOn w:val="1"/>
    <w:autoRedefine/>
    <w:qFormat/>
    <w:uiPriority w:val="99"/>
    <w:pPr>
      <w:adjustRightInd w:val="0"/>
      <w:spacing w:line="312" w:lineRule="auto"/>
      <w:ind w:firstLine="567"/>
    </w:pPr>
    <w:rPr>
      <w:rFonts w:ascii="宋体" w:hAnsi="宋体" w:cs="宋体"/>
      <w:sz w:val="28"/>
    </w:rPr>
  </w:style>
  <w:style w:type="paragraph" w:customStyle="1" w:styleId="32">
    <w:name w:val="纯文本1"/>
    <w:basedOn w:val="1"/>
    <w:autoRedefine/>
    <w:qFormat/>
    <w:uiPriority w:val="0"/>
    <w:rPr>
      <w:rFonts w:hint="eastAsia" w:ascii="宋体" w:hAnsi="Courier New"/>
      <w:szCs w:val="22"/>
    </w:rPr>
  </w:style>
  <w:style w:type="paragraph" w:customStyle="1" w:styleId="33">
    <w:name w:val="Body Text Indent"/>
    <w:basedOn w:val="1"/>
    <w:next w:val="12"/>
    <w:autoRedefine/>
    <w:qFormat/>
    <w:uiPriority w:val="0"/>
    <w:pPr>
      <w:spacing w:after="120" w:afterLines="0"/>
      <w:ind w:left="420" w:leftChars="200"/>
    </w:pPr>
    <w:rPr>
      <w:rFonts w:ascii="Times New Roman" w:hAnsi="Times New Roman" w:eastAsia="宋体"/>
      <w:sz w:val="24"/>
    </w:rPr>
  </w:style>
  <w:style w:type="character" w:customStyle="1" w:styleId="34">
    <w:name w:val="批注文字 字符"/>
    <w:link w:val="9"/>
    <w:autoRedefine/>
    <w:qFormat/>
    <w:locked/>
    <w:uiPriority w:val="0"/>
    <w:rPr>
      <w:rFonts w:ascii="Times New Roman" w:hAnsi="Times New Roman" w:eastAsia="宋体"/>
      <w:sz w:val="24"/>
    </w:rPr>
  </w:style>
  <w:style w:type="character" w:customStyle="1" w:styleId="35">
    <w:name w:val="正文文本 字符"/>
    <w:link w:val="2"/>
    <w:autoRedefine/>
    <w:qFormat/>
    <w:locked/>
    <w:uiPriority w:val="0"/>
    <w:rPr>
      <w:sz w:val="18"/>
    </w:rPr>
  </w:style>
  <w:style w:type="character" w:customStyle="1" w:styleId="36">
    <w:name w:val="正文文本缩进 字符"/>
    <w:link w:val="11"/>
    <w:autoRedefine/>
    <w:semiHidden/>
    <w:qFormat/>
    <w:locked/>
    <w:uiPriority w:val="0"/>
    <w:rPr>
      <w:rFonts w:ascii="Times New Roman" w:hAnsi="Times New Roman" w:eastAsia="宋体"/>
      <w:sz w:val="24"/>
    </w:rPr>
  </w:style>
  <w:style w:type="character" w:customStyle="1" w:styleId="37">
    <w:name w:val="日期 字符1"/>
    <w:link w:val="15"/>
    <w:autoRedefine/>
    <w:qFormat/>
    <w:locked/>
    <w:uiPriority w:val="0"/>
    <w:rPr>
      <w:rFonts w:ascii="Times New Roman" w:hAnsi="Times New Roman" w:eastAsia="宋体"/>
      <w:sz w:val="24"/>
    </w:rPr>
  </w:style>
  <w:style w:type="character" w:customStyle="1" w:styleId="38">
    <w:name w:val="批注框文本 字符"/>
    <w:link w:val="16"/>
    <w:autoRedefine/>
    <w:semiHidden/>
    <w:qFormat/>
    <w:locked/>
    <w:uiPriority w:val="0"/>
    <w:rPr>
      <w:rFonts w:ascii="Times New Roman" w:hAnsi="Times New Roman" w:eastAsia="宋体"/>
      <w:sz w:val="18"/>
    </w:rPr>
  </w:style>
  <w:style w:type="character" w:customStyle="1" w:styleId="39">
    <w:name w:val="页脚 字符1"/>
    <w:link w:val="17"/>
    <w:autoRedefine/>
    <w:qFormat/>
    <w:locked/>
    <w:uiPriority w:val="99"/>
    <w:rPr>
      <w:sz w:val="18"/>
    </w:rPr>
  </w:style>
  <w:style w:type="character" w:customStyle="1" w:styleId="40">
    <w:name w:val="页眉 字符"/>
    <w:link w:val="18"/>
    <w:autoRedefine/>
    <w:qFormat/>
    <w:locked/>
    <w:uiPriority w:val="0"/>
    <w:rPr>
      <w:sz w:val="18"/>
    </w:rPr>
  </w:style>
  <w:style w:type="character" w:customStyle="1" w:styleId="41">
    <w:name w:val="普通(网站) 字符"/>
    <w:link w:val="20"/>
    <w:autoRedefine/>
    <w:qFormat/>
    <w:locked/>
    <w:uiPriority w:val="0"/>
    <w:rPr>
      <w:rFonts w:ascii="宋体" w:hAnsi="宋体" w:eastAsia="宋体"/>
      <w:sz w:val="24"/>
    </w:rPr>
  </w:style>
  <w:style w:type="character" w:customStyle="1" w:styleId="42">
    <w:name w:val="批注主题 字符"/>
    <w:link w:val="21"/>
    <w:autoRedefine/>
    <w:semiHidden/>
    <w:qFormat/>
    <w:locked/>
    <w:uiPriority w:val="0"/>
    <w:rPr>
      <w:rFonts w:ascii="Times New Roman" w:hAnsi="Times New Roman" w:eastAsia="宋体"/>
      <w:b/>
      <w:kern w:val="2"/>
      <w:sz w:val="24"/>
    </w:rPr>
  </w:style>
  <w:style w:type="character" w:customStyle="1" w:styleId="43">
    <w:name w:val="page number"/>
    <w:autoRedefine/>
    <w:qFormat/>
    <w:uiPriority w:val="0"/>
  </w:style>
  <w:style w:type="character" w:customStyle="1" w:styleId="44">
    <w:name w:val="页码1"/>
    <w:autoRedefine/>
    <w:qFormat/>
    <w:uiPriority w:val="0"/>
  </w:style>
  <w:style w:type="character" w:customStyle="1" w:styleId="45">
    <w:name w:val="正文文本 字符1"/>
    <w:autoRedefine/>
    <w:semiHidden/>
    <w:qFormat/>
    <w:uiPriority w:val="0"/>
    <w:rPr>
      <w:rFonts w:ascii="Times New Roman" w:hAnsi="Times New Roman" w:eastAsia="宋体"/>
      <w:sz w:val="24"/>
    </w:rPr>
  </w:style>
  <w:style w:type="character" w:customStyle="1" w:styleId="46">
    <w:name w:val="表格 Char"/>
    <w:link w:val="47"/>
    <w:autoRedefine/>
    <w:qFormat/>
    <w:locked/>
    <w:uiPriority w:val="0"/>
    <w:rPr>
      <w:rFonts w:ascii="宋体"/>
      <w:sz w:val="21"/>
    </w:rPr>
  </w:style>
  <w:style w:type="paragraph" w:customStyle="1" w:styleId="47">
    <w:name w:val="表格"/>
    <w:basedOn w:val="48"/>
    <w:next w:val="1"/>
    <w:link w:val="46"/>
    <w:autoRedefine/>
    <w:qFormat/>
    <w:uiPriority w:val="0"/>
    <w:pPr>
      <w:adjustRightInd w:val="0"/>
      <w:snapToGrid w:val="0"/>
      <w:spacing w:beforeLines="10" w:afterLines="10" w:line="259" w:lineRule="auto"/>
      <w:jc w:val="center"/>
    </w:pPr>
    <w:rPr>
      <w:rFonts w:ascii="宋体"/>
      <w:kern w:val="0"/>
      <w:szCs w:val="20"/>
    </w:rPr>
  </w:style>
  <w:style w:type="paragraph" w:customStyle="1" w:styleId="48">
    <w:name w:val="表头"/>
    <w:basedOn w:val="49"/>
    <w:next w:val="1"/>
    <w:autoRedefine/>
    <w:qFormat/>
    <w:uiPriority w:val="0"/>
    <w:pPr>
      <w:jc w:val="center"/>
    </w:pPr>
    <w:rPr>
      <w:rFonts w:ascii="Times New Roman" w:hAnsi="Times New Roman" w:eastAsia="黑体" w:cs="Times New Roman"/>
      <w:lang w:val="en-US" w:eastAsia="zh-CN" w:bidi="ar-SA"/>
    </w:rPr>
  </w:style>
  <w:style w:type="paragraph" w:customStyle="1" w:styleId="49">
    <w:name w:val="文本"/>
    <w:basedOn w:val="1"/>
    <w:next w:val="1"/>
    <w:qFormat/>
    <w:uiPriority w:val="0"/>
    <w:pPr>
      <w:autoSpaceDE w:val="0"/>
      <w:autoSpaceDN w:val="0"/>
      <w:ind w:firstLine="480"/>
    </w:pPr>
    <w:rPr>
      <w:szCs w:val="24"/>
      <w:lang w:val="zh-CN"/>
    </w:rPr>
  </w:style>
  <w:style w:type="character" w:customStyle="1" w:styleId="50">
    <w:name w:val="页脚 字符"/>
    <w:autoRedefine/>
    <w:qFormat/>
    <w:uiPriority w:val="99"/>
  </w:style>
  <w:style w:type="character" w:customStyle="1" w:styleId="51">
    <w:name w:val="日期 字符"/>
    <w:autoRedefine/>
    <w:semiHidden/>
    <w:qFormat/>
    <w:uiPriority w:val="0"/>
    <w:rPr>
      <w:rFonts w:ascii="Times New Roman" w:hAnsi="Times New Roman" w:eastAsia="宋体"/>
      <w:sz w:val="24"/>
    </w:rPr>
  </w:style>
  <w:style w:type="character" w:customStyle="1" w:styleId="52">
    <w:name w:val="批注文字 字符1"/>
    <w:autoRedefine/>
    <w:semiHidden/>
    <w:qFormat/>
    <w:uiPriority w:val="0"/>
    <w:rPr>
      <w:rFonts w:ascii="Times New Roman" w:hAnsi="Times New Roman" w:eastAsia="宋体"/>
      <w:sz w:val="24"/>
    </w:rPr>
  </w:style>
  <w:style w:type="paragraph" w:customStyle="1" w:styleId="53">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4">
    <w:name w:val="11正文"/>
    <w:autoRedefine/>
    <w:qFormat/>
    <w:uiPriority w:val="0"/>
    <w:pPr>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55">
    <w:name w:val="表格正文"/>
    <w:basedOn w:val="1"/>
    <w:next w:val="1"/>
    <w:autoRedefine/>
    <w:qFormat/>
    <w:uiPriority w:val="0"/>
    <w:pPr>
      <w:widowControl w:val="0"/>
      <w:spacing w:line="360" w:lineRule="exact"/>
      <w:jc w:val="center"/>
    </w:pPr>
    <w:rPr>
      <w:rFonts w:ascii="Times New Roman" w:hAnsi="Times New Roman" w:eastAsia="宋体" w:cs="Times New Roman"/>
      <w:kern w:val="2"/>
      <w:szCs w:val="24"/>
    </w:rPr>
  </w:style>
  <w:style w:type="paragraph" w:customStyle="1" w:styleId="56">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7">
    <w:name w:val="图表标注"/>
    <w:basedOn w:val="1"/>
    <w:autoRedefine/>
    <w:qFormat/>
    <w:uiPriority w:val="0"/>
    <w:pPr>
      <w:widowControl w:val="0"/>
      <w:spacing w:line="480" w:lineRule="exact"/>
      <w:jc w:val="center"/>
    </w:pPr>
    <w:rPr>
      <w:rFonts w:ascii="黑体" w:hAnsi="黑体" w:eastAsia="黑体"/>
      <w:kern w:val="2"/>
      <w:sz w:val="24"/>
    </w:rPr>
  </w:style>
  <w:style w:type="paragraph" w:customStyle="1" w:styleId="58">
    <w:name w:val="Table Paragraph"/>
    <w:basedOn w:val="1"/>
    <w:autoRedefine/>
    <w:qFormat/>
    <w:uiPriority w:val="1"/>
    <w:pPr>
      <w:jc w:val="left"/>
    </w:pPr>
    <w:rPr>
      <w:kern w:val="0"/>
      <w:sz w:val="22"/>
      <w:szCs w:val="22"/>
      <w:lang w:eastAsia="en-US"/>
    </w:rPr>
  </w:style>
  <w:style w:type="paragraph" w:customStyle="1" w:styleId="59">
    <w:name w:val="表格标题"/>
    <w:next w:val="54"/>
    <w:autoRedefine/>
    <w:qFormat/>
    <w:uiPriority w:val="0"/>
    <w:pPr>
      <w:spacing w:line="360" w:lineRule="auto"/>
      <w:jc w:val="center"/>
    </w:pPr>
    <w:rPr>
      <w:rFonts w:ascii="Times New Roman" w:hAnsi="Times New Roman" w:eastAsia="宋体" w:cs="Times New Roman"/>
      <w:b/>
      <w:sz w:val="24"/>
      <w:lang w:val="en-US" w:eastAsia="zh-CN" w:bidi="ar-SA"/>
    </w:rPr>
  </w:style>
  <w:style w:type="character" w:customStyle="1" w:styleId="60">
    <w:name w:val="font11"/>
    <w:basedOn w:val="26"/>
    <w:autoRedefine/>
    <w:qFormat/>
    <w:uiPriority w:val="0"/>
    <w:rPr>
      <w:rFonts w:hint="default" w:ascii="Times New Roman" w:hAnsi="Times New Roman" w:cs="Times New Roman"/>
      <w:color w:val="000000"/>
      <w:sz w:val="21"/>
      <w:szCs w:val="21"/>
      <w:u w:val="none"/>
    </w:rPr>
  </w:style>
  <w:style w:type="paragraph" w:customStyle="1" w:styleId="61">
    <w:name w:val="1正文段落"/>
    <w:basedOn w:val="1"/>
    <w:autoRedefine/>
    <w:qFormat/>
    <w:uiPriority w:val="0"/>
    <w:pPr>
      <w:spacing w:line="360" w:lineRule="auto"/>
      <w:ind w:firstLine="200" w:firstLineChars="200"/>
    </w:pPr>
    <w:rPr>
      <w:rFonts w:ascii="Times New Roman" w:hAnsi="Times New Roman" w:eastAsia="宋体"/>
      <w:snapToGrid w:val="0"/>
      <w:kern w:val="0"/>
      <w:sz w:val="24"/>
      <w:szCs w:val="21"/>
    </w:rPr>
  </w:style>
  <w:style w:type="paragraph" w:customStyle="1" w:styleId="62">
    <w:name w:val="正文 首行缩进:  2 字符"/>
    <w:basedOn w:val="1"/>
    <w:autoRedefine/>
    <w:qFormat/>
    <w:uiPriority w:val="99"/>
    <w:pPr>
      <w:ind w:firstLine="579" w:firstLineChars="200"/>
    </w:pPr>
    <w:rPr>
      <w:rFonts w:cs="宋体"/>
      <w:szCs w:val="20"/>
    </w:rPr>
  </w:style>
  <w:style w:type="paragraph" w:customStyle="1" w:styleId="63">
    <w:name w:val="样式 小四 行距: 1.5 倍行距"/>
    <w:basedOn w:val="1"/>
    <w:autoRedefine/>
    <w:qFormat/>
    <w:uiPriority w:val="0"/>
    <w:pPr>
      <w:ind w:firstLine="480" w:firstLineChars="200"/>
    </w:pPr>
    <w:rPr>
      <w:rFonts w:hint="default" w:cs="宋体"/>
    </w:rPr>
  </w:style>
  <w:style w:type="paragraph" w:customStyle="1" w:styleId="64">
    <w:name w:val="正文A"/>
    <w:basedOn w:val="1"/>
    <w:autoRedefine/>
    <w:qFormat/>
    <w:uiPriority w:val="0"/>
    <w:pPr>
      <w:spacing w:line="540" w:lineRule="exact"/>
    </w:pPr>
    <w:rPr>
      <w:rFonts w:ascii="宋体" w:hAnsi="宋体" w:cs="宋体"/>
    </w:rPr>
  </w:style>
  <w:style w:type="table" w:customStyle="1" w:styleId="65">
    <w:name w:val="Table Normal"/>
    <w:autoRedefine/>
    <w:unhideWhenUsed/>
    <w:qFormat/>
    <w:uiPriority w:val="0"/>
    <w:tblPr>
      <w:tblCellMar>
        <w:top w:w="0" w:type="dxa"/>
        <w:left w:w="0" w:type="dxa"/>
        <w:bottom w:w="0" w:type="dxa"/>
        <w:right w:w="0" w:type="dxa"/>
      </w:tblCellMar>
    </w:tblPr>
  </w:style>
  <w:style w:type="paragraph" w:customStyle="1" w:styleId="66">
    <w:name w:val="报告表正文标注文字"/>
    <w:basedOn w:val="67"/>
    <w:autoRedefine/>
    <w:qFormat/>
    <w:uiPriority w:val="0"/>
    <w:pPr>
      <w:ind w:firstLine="482"/>
    </w:pPr>
    <w:rPr>
      <w:b/>
      <w:color w:val="FF0000"/>
    </w:rPr>
  </w:style>
  <w:style w:type="paragraph" w:customStyle="1" w:styleId="67">
    <w:name w:val="报告表正文"/>
    <w:basedOn w:val="1"/>
    <w:autoRedefine/>
    <w:qFormat/>
    <w:uiPriority w:val="0"/>
    <w:pPr>
      <w:spacing w:line="360" w:lineRule="auto"/>
      <w:ind w:firstLine="200" w:firstLineChars="200"/>
    </w:pPr>
    <w:rPr>
      <w:color w:val="000000"/>
      <w:sz w:val="24"/>
      <w:lang w:val="zh-CN"/>
    </w:rPr>
  </w:style>
  <w:style w:type="paragraph" w:customStyle="1" w:styleId="68">
    <w:name w:val="正文 + 仿宋_GB2312"/>
    <w:basedOn w:val="1"/>
    <w:autoRedefine/>
    <w:qFormat/>
    <w:uiPriority w:val="0"/>
    <w:pPr>
      <w:ind w:firstLine="480" w:firstLineChars="200"/>
    </w:pPr>
    <w:rPr>
      <w:rFonts w:ascii="仿宋_GB2312" w:hAnsi="宋体" w:eastAsia="仿宋_GB2312" w:cs="宋体"/>
      <w:sz w:val="24"/>
    </w:rPr>
  </w:style>
  <w:style w:type="paragraph" w:customStyle="1" w:styleId="69">
    <w:name w:val="样式5"/>
    <w:basedOn w:val="70"/>
    <w:next w:val="1"/>
    <w:autoRedefine/>
    <w:qFormat/>
    <w:uiPriority w:val="0"/>
    <w:pPr>
      <w:adjustRightInd w:val="0"/>
      <w:jc w:val="center"/>
      <w:textAlignment w:val="center"/>
    </w:pPr>
    <w:rPr>
      <w:rFonts w:ascii="Times New Roman" w:hAnsi="Times New Roman"/>
    </w:rPr>
  </w:style>
  <w:style w:type="paragraph" w:customStyle="1" w:styleId="70">
    <w:name w:val="图框文字"/>
    <w:basedOn w:val="1"/>
    <w:autoRedefine/>
    <w:qFormat/>
    <w:uiPriority w:val="0"/>
    <w:pPr>
      <w:jc w:val="center"/>
      <w:textAlignment w:val="center"/>
    </w:pPr>
  </w:style>
  <w:style w:type="paragraph" w:customStyle="1" w:styleId="71">
    <w:name w:val="曹1.1"/>
    <w:basedOn w:val="1"/>
    <w:autoRedefine/>
    <w:qFormat/>
    <w:uiPriority w:val="0"/>
    <w:pPr>
      <w:spacing w:line="360" w:lineRule="auto"/>
    </w:pPr>
    <w:rPr>
      <w:b/>
      <w:sz w:val="24"/>
    </w:rPr>
  </w:style>
  <w:style w:type="paragraph" w:customStyle="1" w:styleId="72">
    <w:name w:val="111正文"/>
    <w:basedOn w:val="1"/>
    <w:qFormat/>
    <w:uiPriority w:val="0"/>
    <w:pPr>
      <w:tabs>
        <w:tab w:val="left" w:pos="600"/>
      </w:tabs>
      <w:spacing w:line="36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1.png"/><Relationship Id="rId36" Type="http://schemas.openxmlformats.org/officeDocument/2006/relationships/image" Target="media/image20.wmf"/><Relationship Id="rId35" Type="http://schemas.openxmlformats.org/officeDocument/2006/relationships/oleObject" Target="embeddings/oleObject8.bin"/><Relationship Id="rId34" Type="http://schemas.openxmlformats.org/officeDocument/2006/relationships/image" Target="media/image19.wmf"/><Relationship Id="rId33" Type="http://schemas.openxmlformats.org/officeDocument/2006/relationships/oleObject" Target="embeddings/oleObject7.bin"/><Relationship Id="rId32" Type="http://schemas.openxmlformats.org/officeDocument/2006/relationships/image" Target="media/image18.wmf"/><Relationship Id="rId31" Type="http://schemas.openxmlformats.org/officeDocument/2006/relationships/oleObject" Target="embeddings/oleObject6.bin"/><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5.bin"/><Relationship Id="rId28" Type="http://schemas.openxmlformats.org/officeDocument/2006/relationships/image" Target="media/image16.wmf"/><Relationship Id="rId27" Type="http://schemas.openxmlformats.org/officeDocument/2006/relationships/oleObject" Target="embeddings/oleObject4.bin"/><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3.bin"/><Relationship Id="rId17" Type="http://schemas.openxmlformats.org/officeDocument/2006/relationships/image" Target="media/image7.wmf"/><Relationship Id="rId16" Type="http://schemas.openxmlformats.org/officeDocument/2006/relationships/oleObject" Target="embeddings/oleObject2.bin"/><Relationship Id="rId15" Type="http://schemas.openxmlformats.org/officeDocument/2006/relationships/image" Target="media/image6.wmf"/><Relationship Id="rId14" Type="http://schemas.openxmlformats.org/officeDocument/2006/relationships/oleObject" Target="embeddings/oleObject1.bin"/><Relationship Id="rId13" Type="http://schemas.openxmlformats.org/officeDocument/2006/relationships/image" Target="media/image5.png"/><Relationship Id="rId12" Type="http://schemas.openxmlformats.org/officeDocument/2006/relationships/image" Target="media/image4.tiff"/><Relationship Id="rId11" Type="http://schemas.openxmlformats.org/officeDocument/2006/relationships/image" Target="media/image3.tiff"/><Relationship Id="rId10" Type="http://schemas.openxmlformats.org/officeDocument/2006/relationships/image" Target="media/image2.tif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c:\dsoa\wdzx97.dot</Template>
  <Company>微软中国</Company>
  <Pages>101</Pages>
  <Words>5557</Words>
  <Characters>5871</Characters>
  <Lines>311</Lines>
  <Paragraphs>87</Paragraphs>
  <TotalTime>17</TotalTime>
  <ScaleCrop>false</ScaleCrop>
  <LinksUpToDate>false</LinksUpToDate>
  <CharactersWithSpaces>5951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段梦梦</cp:lastModifiedBy>
  <cp:lastPrinted>2024-05-14T06:30:00Z</cp:lastPrinted>
  <dcterms:modified xsi:type="dcterms:W3CDTF">2026-05-19T07:31:43Z</dcterms:modified>
  <dc:title>附件2</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E50D5D108B2345E1A69DBDA2D2783255_13</vt:lpwstr>
  </property>
  <property fmtid="{D5CDD505-2E9C-101B-9397-08002B2CF9AE}" pid="4" name="KSOTemplateDocerSaveRecord">
    <vt:lpwstr>eyJoZGlkIjoiYjk1MjlkOGJiYzlmYjcwMDNmOWU4YTZjMGRhODZiZmMiLCJ1c2VySWQiOiI0MjM3NjA2MjEifQ==</vt:lpwstr>
  </property>
</Properties>
</file>