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湖町村国土空间规划用途管制规则</w:t>
      </w:r>
    </w:p>
    <w:p w14:paraId="464D1097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15825C15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1. 耕地</w:t>
      </w:r>
    </w:p>
    <w:p w14:paraId="45134255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  <w:lang w:val="en-US" w:eastAsia="zh-CN"/>
        </w:rPr>
        <w:t>已划定</w:t>
      </w:r>
      <w:r>
        <w:rPr>
          <w:rFonts w:hint="eastAsia" w:hAnsi="宋体" w:eastAsia="宋体" w:cs="宋体"/>
          <w:bCs w:val="0"/>
          <w:szCs w:val="36"/>
        </w:rPr>
        <w:t>永久基本农田 449.11 公顷。永久基本农田重点用于粮食生产，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0EE49345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2. 园地</w:t>
      </w:r>
    </w:p>
    <w:p w14:paraId="71F2701E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主要用于种植以采集果、叶、根、茎、汁等为主的集约经营的多年生作物。禁止非农建设。</w:t>
      </w:r>
    </w:p>
    <w:p w14:paraId="7CC4159F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3. 林地</w:t>
      </w:r>
    </w:p>
    <w:p w14:paraId="097E762B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主要用于生长乔木、竹类、灌木。禁止非农建设，限制改变用途。公益林或生态保护红线范围内的林地禁止改变用途。</w:t>
      </w:r>
    </w:p>
    <w:p w14:paraId="5387F768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4. 草地</w:t>
      </w:r>
    </w:p>
    <w:p w14:paraId="222B3BEE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主要用于生长草本植物，禁止非农建设。生态保护红线范围内的草地禁止改变用途。</w:t>
      </w:r>
    </w:p>
    <w:p w14:paraId="6FA6E98F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5. 农业设施建设用地</w:t>
      </w:r>
    </w:p>
    <w:p w14:paraId="715AF374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主要用于建设为农业生产、农村生活服务的乡村道路用地以及种植设施、畜禽养殖设施、水产养殖设施。禁止非农建设。</w:t>
      </w:r>
    </w:p>
    <w:p w14:paraId="493AA78B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6. 居住用地</w:t>
      </w:r>
    </w:p>
    <w:p w14:paraId="6A3A69D1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主要用于城乡住宅及其居住生活配套的社区服务设施建设。</w:t>
      </w:r>
    </w:p>
    <w:p w14:paraId="5DFA6D76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7.公共管理与公共服务用地</w:t>
      </w:r>
    </w:p>
    <w:p w14:paraId="6B462F57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主要用于机关团体、科研、文化、教育、体育、卫生、社会福利等机构和设施建设。</w:t>
      </w:r>
    </w:p>
    <w:p w14:paraId="7E9316E3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8. 商业服务业用地</w:t>
      </w:r>
    </w:p>
    <w:p w14:paraId="6BE1ED16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主要用于商业、商务金融以及娱乐康体等设施建设。</w:t>
      </w:r>
    </w:p>
    <w:p w14:paraId="5551511D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9. 工矿用地</w:t>
      </w:r>
    </w:p>
    <w:p w14:paraId="2BA1A392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主要用于工矿业生产。</w:t>
      </w:r>
    </w:p>
    <w:p w14:paraId="730CF04D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10. 交通运输用地</w:t>
      </w:r>
    </w:p>
    <w:p w14:paraId="526BB920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主要用于铁路、公路、机场、港口码头、管道运输、城市轨道交通、各种道路以及交通场站等交通运输设施及其附属设施建设。</w:t>
      </w:r>
    </w:p>
    <w:p w14:paraId="09A9E3E9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11. 公用设施用地</w:t>
      </w:r>
    </w:p>
    <w:p w14:paraId="5599089B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主要用于城乡和区域基础设施的供水、排水、供电、供燃气、供热、通信、邮政、广播电视、环卫、消防、干渠、水工等设施建设。</w:t>
      </w:r>
    </w:p>
    <w:p w14:paraId="6AEC0D87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12.绿地与开敞空间用地</w:t>
      </w:r>
    </w:p>
    <w:p w14:paraId="7CCFF178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主要用于城镇、村庄建设用地范围内的公园绿地、防护绿地、广场等公共开敞空间。</w:t>
      </w:r>
    </w:p>
    <w:p w14:paraId="506F8B7E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13. 特殊用地</w:t>
      </w:r>
    </w:p>
    <w:p w14:paraId="62474733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主要用于军事、外事、宗教、安保、殡葬，以及文物古迹等具有特殊性质的土地。</w:t>
      </w:r>
    </w:p>
    <w:p w14:paraId="638354FA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14.留白用地</w:t>
      </w:r>
    </w:p>
    <w:p w14:paraId="405FF8C6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待用地性质明确后可按要求使用。在用地性质明确前，按现状地类使用，不得闲置浪费。</w:t>
      </w:r>
    </w:p>
    <w:p w14:paraId="3CD7AABB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15. 陆地水域</w:t>
      </w:r>
    </w:p>
    <w:p w14:paraId="38BDA9DE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主要用于陆域内的河流、湖泊等天然陆地水域，以及水库、坑塘水面、沟渠等人工陆地水域。河流、湖泊、水库禁止改变用途，坑塘水面、沟渠禁止非农建设。</w:t>
      </w:r>
    </w:p>
    <w:p w14:paraId="5F2A6CA2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16.其他土地</w:t>
      </w:r>
    </w:p>
    <w:p w14:paraId="12C391A9">
      <w:pPr>
        <w:pStyle w:val="2"/>
        <w:spacing w:line="360" w:lineRule="auto"/>
        <w:rPr>
          <w:rFonts w:hAnsi="宋体" w:eastAsia="宋体" w:cs="宋体"/>
          <w:bCs w:val="0"/>
          <w:szCs w:val="36"/>
        </w:rPr>
      </w:pPr>
      <w:bookmarkStart w:id="0" w:name="_GoBack"/>
      <w:bookmarkEnd w:id="0"/>
      <w:r>
        <w:rPr>
          <w:rFonts w:hint="eastAsia" w:hAnsi="宋体" w:eastAsia="宋体" w:cs="宋体"/>
          <w:bCs w:val="0"/>
          <w:szCs w:val="36"/>
        </w:rPr>
        <w:t>主要为盐碱地、沙地、裸土地、裸岩石砾地等植被稀少的陆域自然荒野等土地以及空闲地、田坎、田间道。生态保护红线范围内的其他土地鼓励向生态化利用结构调整。</w:t>
      </w:r>
    </w:p>
    <w:p w14:paraId="69C70052">
      <w:pPr>
        <w:pStyle w:val="2"/>
        <w:rPr>
          <w:rFonts w:hint="eastAsia" w:hAnsi="宋体" w:eastAsia="宋体" w:cs="宋体"/>
          <w:bCs w:val="0"/>
          <w:szCs w:val="36"/>
        </w:rPr>
      </w:pPr>
    </w:p>
    <w:p w14:paraId="398914D3">
      <w:pPr>
        <w:pStyle w:val="2"/>
        <w:rPr>
          <w:rFonts w:hint="eastAsia"/>
        </w:rPr>
      </w:pPr>
    </w:p>
    <w:p w14:paraId="5A517D30"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003F0B77"/>
    <w:rsid w:val="005F143F"/>
    <w:rsid w:val="04EC0096"/>
    <w:rsid w:val="26994FFA"/>
    <w:rsid w:val="7D667F1E"/>
    <w:rsid w:val="7DC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1321</Characters>
  <Lines>36</Lines>
  <Paragraphs>43</Paragraphs>
  <TotalTime>11</TotalTime>
  <ScaleCrop>false</ScaleCrop>
  <LinksUpToDate>false</LinksUpToDate>
  <CharactersWithSpaces>1348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你猜我猜不猜</cp:lastModifiedBy>
  <dcterms:modified xsi:type="dcterms:W3CDTF">2026-06-22T08:56:30Z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eyJoZGlkIjoiZWVjZjU1MTc4OTVlN2VhNzQwYTI4MzZkNzA5ZjgzYTgiLCJ1c2VySWQiOiI0Mzk4NDExODQifQ==</vt:lpwstr>
  </property>
</Properties>
</file>