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F0F163">
      <w:pPr>
        <w:pStyle w:val="26"/>
        <w:keepNext/>
        <w:keepLines/>
        <w:pageBreakBefore w:val="0"/>
        <w:widowControl w:val="0"/>
        <w:kinsoku/>
        <w:wordWrap/>
        <w:overflowPunct/>
        <w:topLinePunct w:val="0"/>
        <w:autoSpaceDE/>
        <w:autoSpaceDN/>
        <w:bidi w:val="0"/>
        <w:snapToGrid w:val="0"/>
        <w:spacing w:before="0" w:beforeAutospacing="0" w:after="0" w:afterAutospacing="0" w:line="360" w:lineRule="auto"/>
        <w:jc w:val="center"/>
        <w:textAlignment w:val="auto"/>
        <w:outlineLvl w:val="0"/>
        <w:rPr>
          <w:rFonts w:cs="宋体"/>
          <w:b/>
          <w:bCs/>
          <w:color w:val="auto"/>
          <w:sz w:val="30"/>
          <w:szCs w:val="30"/>
        </w:rPr>
      </w:pPr>
      <w:r>
        <w:rPr>
          <w:rFonts w:hint="eastAsia" w:cs="宋体"/>
          <w:b/>
          <w:bCs/>
          <w:color w:val="auto"/>
          <w:sz w:val="30"/>
          <w:szCs w:val="30"/>
        </w:rPr>
        <w:t>一、建设项目基本情况</w:t>
      </w:r>
    </w:p>
    <w:tbl>
      <w:tblPr>
        <w:tblStyle w:val="29"/>
        <w:tblW w:w="899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1"/>
        <w:gridCol w:w="937"/>
        <w:gridCol w:w="2384"/>
        <w:gridCol w:w="2243"/>
        <w:gridCol w:w="2986"/>
      </w:tblGrid>
      <w:tr w14:paraId="402EDE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78" w:type="dxa"/>
            <w:gridSpan w:val="2"/>
            <w:tcBorders>
              <w:tl2br w:val="nil"/>
              <w:tr2bl w:val="nil"/>
            </w:tcBorders>
            <w:tcMar>
              <w:top w:w="16" w:type="dxa"/>
              <w:left w:w="16" w:type="dxa"/>
              <w:right w:w="16" w:type="dxa"/>
            </w:tcMar>
            <w:vAlign w:val="center"/>
          </w:tcPr>
          <w:p w14:paraId="29BB8249">
            <w:pPr>
              <w:keepNext/>
              <w:keepLines/>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建设项目名称</w:t>
            </w:r>
          </w:p>
        </w:tc>
        <w:tc>
          <w:tcPr>
            <w:tcW w:w="7613" w:type="dxa"/>
            <w:gridSpan w:val="3"/>
            <w:tcBorders>
              <w:tl2br w:val="nil"/>
              <w:tr2bl w:val="nil"/>
            </w:tcBorders>
            <w:vAlign w:val="center"/>
          </w:tcPr>
          <w:p w14:paraId="087A9C7D">
            <w:pPr>
              <w:keepNext/>
              <w:keepLines/>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4"/>
                <w:lang w:eastAsia="zh-CN"/>
              </w:rPr>
            </w:pPr>
            <w:r>
              <w:rPr>
                <w:rFonts w:hint="eastAsia" w:ascii="Times New Roman" w:hAnsi="Times New Roman" w:cs="Times New Roman"/>
                <w:color w:val="auto"/>
                <w:sz w:val="24"/>
              </w:rPr>
              <w:t>安徽省固废邦环保科技有限公司新型材料生产项目</w:t>
            </w:r>
            <w:r>
              <w:rPr>
                <w:rFonts w:hint="eastAsia"/>
                <w:lang w:eastAsia="zh-CN"/>
              </w:rPr>
              <w:t>（一期）</w:t>
            </w:r>
          </w:p>
        </w:tc>
      </w:tr>
      <w:tr w14:paraId="5ECC4C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78" w:type="dxa"/>
            <w:gridSpan w:val="2"/>
            <w:tcBorders>
              <w:tl2br w:val="nil"/>
              <w:tr2bl w:val="nil"/>
            </w:tcBorders>
            <w:tcMar>
              <w:top w:w="16" w:type="dxa"/>
              <w:left w:w="16" w:type="dxa"/>
              <w:right w:w="16" w:type="dxa"/>
            </w:tcMar>
            <w:vAlign w:val="center"/>
          </w:tcPr>
          <w:p w14:paraId="1D69A369">
            <w:pPr>
              <w:keepNext/>
              <w:keepLines/>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项目代码</w:t>
            </w:r>
          </w:p>
        </w:tc>
        <w:tc>
          <w:tcPr>
            <w:tcW w:w="7613" w:type="dxa"/>
            <w:gridSpan w:val="3"/>
            <w:tcBorders>
              <w:tl2br w:val="nil"/>
              <w:tr2bl w:val="nil"/>
            </w:tcBorders>
            <w:vAlign w:val="center"/>
          </w:tcPr>
          <w:p w14:paraId="20823473">
            <w:pPr>
              <w:keepNext/>
              <w:keepLines/>
              <w:pageBreakBefore w:val="0"/>
              <w:widowControl w:val="0"/>
              <w:kinsoku/>
              <w:wordWrap/>
              <w:overflowPunct/>
              <w:topLinePunct w:val="0"/>
              <w:autoSpaceDE/>
              <w:autoSpaceDN/>
              <w:bidi w:val="0"/>
              <w:adjustRightInd w:val="0"/>
              <w:snapToGrid w:val="0"/>
              <w:jc w:val="center"/>
              <w:textAlignment w:val="auto"/>
              <w:rPr>
                <w:color w:val="auto"/>
                <w:kern w:val="0"/>
                <w:sz w:val="24"/>
              </w:rPr>
            </w:pPr>
            <w:r>
              <w:rPr>
                <w:rFonts w:hint="eastAsia"/>
                <w:color w:val="auto"/>
                <w:sz w:val="24"/>
              </w:rPr>
              <w:t>2604-341302-04-01-147046</w:t>
            </w:r>
          </w:p>
        </w:tc>
      </w:tr>
      <w:tr w14:paraId="7D447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78" w:type="dxa"/>
            <w:gridSpan w:val="2"/>
            <w:tcBorders>
              <w:tl2br w:val="nil"/>
              <w:tr2bl w:val="nil"/>
            </w:tcBorders>
            <w:tcMar>
              <w:top w:w="16" w:type="dxa"/>
              <w:left w:w="16" w:type="dxa"/>
              <w:right w:w="16" w:type="dxa"/>
            </w:tcMar>
            <w:vAlign w:val="center"/>
          </w:tcPr>
          <w:p w14:paraId="6A013AC2">
            <w:pPr>
              <w:keepNext/>
              <w:keepLines/>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建设单位联系人</w:t>
            </w:r>
          </w:p>
        </w:tc>
        <w:tc>
          <w:tcPr>
            <w:tcW w:w="2384" w:type="dxa"/>
            <w:tcBorders>
              <w:tl2br w:val="nil"/>
              <w:tr2bl w:val="nil"/>
            </w:tcBorders>
            <w:vAlign w:val="center"/>
          </w:tcPr>
          <w:p w14:paraId="215FC024">
            <w:pPr>
              <w:keepNext/>
              <w:keepLines/>
              <w:pageBreakBefore w:val="0"/>
              <w:widowControl w:val="0"/>
              <w:kinsoku/>
              <w:wordWrap/>
              <w:overflowPunct/>
              <w:topLinePunct w:val="0"/>
              <w:autoSpaceDE/>
              <w:autoSpaceDN/>
              <w:bidi w:val="0"/>
              <w:adjustRightInd w:val="0"/>
              <w:snapToGrid w:val="0"/>
              <w:jc w:val="center"/>
              <w:textAlignment w:val="auto"/>
              <w:rPr>
                <w:color w:val="auto"/>
                <w:kern w:val="0"/>
                <w:sz w:val="24"/>
              </w:rPr>
            </w:pPr>
          </w:p>
        </w:tc>
        <w:tc>
          <w:tcPr>
            <w:tcW w:w="2243" w:type="dxa"/>
            <w:tcBorders>
              <w:tl2br w:val="nil"/>
              <w:tr2bl w:val="nil"/>
            </w:tcBorders>
            <w:vAlign w:val="center"/>
          </w:tcPr>
          <w:p w14:paraId="62A6182C">
            <w:pPr>
              <w:keepNext/>
              <w:keepLines/>
              <w:pageBreakBefore w:val="0"/>
              <w:widowControl w:val="0"/>
              <w:kinsoku/>
              <w:wordWrap/>
              <w:overflowPunct/>
              <w:topLinePunct w:val="0"/>
              <w:autoSpaceDE/>
              <w:autoSpaceDN/>
              <w:bidi w:val="0"/>
              <w:adjustRightInd w:val="0"/>
              <w:snapToGrid w:val="0"/>
              <w:jc w:val="center"/>
              <w:textAlignment w:val="auto"/>
              <w:rPr>
                <w:color w:val="auto"/>
                <w:kern w:val="0"/>
                <w:sz w:val="24"/>
              </w:rPr>
            </w:pPr>
            <w:r>
              <w:rPr>
                <w:color w:val="auto"/>
                <w:kern w:val="0"/>
                <w:sz w:val="24"/>
              </w:rPr>
              <w:t>联系方式</w:t>
            </w:r>
          </w:p>
        </w:tc>
        <w:tc>
          <w:tcPr>
            <w:tcW w:w="2986" w:type="dxa"/>
            <w:tcBorders>
              <w:tl2br w:val="nil"/>
              <w:tr2bl w:val="nil"/>
            </w:tcBorders>
            <w:vAlign w:val="center"/>
          </w:tcPr>
          <w:p w14:paraId="6A696166">
            <w:pPr>
              <w:keepNext/>
              <w:keepLines/>
              <w:pageBreakBefore w:val="0"/>
              <w:widowControl w:val="0"/>
              <w:kinsoku/>
              <w:wordWrap/>
              <w:overflowPunct/>
              <w:topLinePunct w:val="0"/>
              <w:autoSpaceDE/>
              <w:autoSpaceDN/>
              <w:bidi w:val="0"/>
              <w:adjustRightInd w:val="0"/>
              <w:snapToGrid w:val="0"/>
              <w:jc w:val="center"/>
              <w:textAlignment w:val="auto"/>
              <w:rPr>
                <w:color w:val="auto"/>
                <w:kern w:val="0"/>
                <w:sz w:val="24"/>
              </w:rPr>
            </w:pPr>
          </w:p>
        </w:tc>
      </w:tr>
      <w:tr w14:paraId="6B12C4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78" w:type="dxa"/>
            <w:gridSpan w:val="2"/>
            <w:tcBorders>
              <w:tl2br w:val="nil"/>
              <w:tr2bl w:val="nil"/>
            </w:tcBorders>
            <w:tcMar>
              <w:top w:w="16" w:type="dxa"/>
              <w:left w:w="16" w:type="dxa"/>
              <w:right w:w="16" w:type="dxa"/>
            </w:tcMar>
            <w:vAlign w:val="center"/>
          </w:tcPr>
          <w:p w14:paraId="7E0DF2E3">
            <w:pPr>
              <w:keepNext/>
              <w:keepLines/>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建设地点</w:t>
            </w:r>
          </w:p>
        </w:tc>
        <w:tc>
          <w:tcPr>
            <w:tcW w:w="7613" w:type="dxa"/>
            <w:gridSpan w:val="3"/>
            <w:tcBorders>
              <w:tl2br w:val="nil"/>
              <w:tr2bl w:val="nil"/>
            </w:tcBorders>
            <w:vAlign w:val="center"/>
          </w:tcPr>
          <w:p w14:paraId="0A020E3C">
            <w:pPr>
              <w:keepNext/>
              <w:keepLines/>
              <w:pageBreakBefore w:val="0"/>
              <w:widowControl w:val="0"/>
              <w:kinsoku/>
              <w:wordWrap/>
              <w:overflowPunct/>
              <w:topLinePunct w:val="0"/>
              <w:autoSpaceDE/>
              <w:autoSpaceDN/>
              <w:bidi w:val="0"/>
              <w:adjustRightInd w:val="0"/>
              <w:snapToGrid w:val="0"/>
              <w:ind w:left="105" w:leftChars="50" w:right="105" w:rightChars="50"/>
              <w:jc w:val="center"/>
              <w:textAlignment w:val="auto"/>
              <w:rPr>
                <w:color w:val="auto"/>
                <w:kern w:val="0"/>
                <w:sz w:val="24"/>
              </w:rPr>
            </w:pPr>
            <w:r>
              <w:rPr>
                <w:rFonts w:hint="default" w:ascii="Times New Roman" w:hAnsi="Times New Roman" w:eastAsia="宋体" w:cs="Times New Roman"/>
                <w:sz w:val="24"/>
                <w:szCs w:val="24"/>
                <w:lang w:eastAsia="zh-CN"/>
              </w:rPr>
              <w:t>安徽省宿州市埇桥区</w:t>
            </w:r>
            <w:r>
              <w:rPr>
                <w:rFonts w:hint="default" w:ascii="Times New Roman" w:hAnsi="Times New Roman" w:eastAsia="宋体" w:cs="Times New Roman"/>
                <w:sz w:val="24"/>
                <w:szCs w:val="24"/>
              </w:rPr>
              <w:t>顺河镇魏庄村魏武路北侧17号</w:t>
            </w:r>
            <w:bookmarkStart w:id="2" w:name="_GoBack"/>
            <w:bookmarkEnd w:id="2"/>
          </w:p>
        </w:tc>
      </w:tr>
      <w:tr w14:paraId="775A9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78" w:type="dxa"/>
            <w:gridSpan w:val="2"/>
            <w:tcBorders>
              <w:tl2br w:val="nil"/>
              <w:tr2bl w:val="nil"/>
            </w:tcBorders>
            <w:tcMar>
              <w:top w:w="16" w:type="dxa"/>
              <w:left w:w="16" w:type="dxa"/>
              <w:right w:w="16" w:type="dxa"/>
            </w:tcMar>
            <w:vAlign w:val="center"/>
          </w:tcPr>
          <w:p w14:paraId="00FD118E">
            <w:pPr>
              <w:keepNext/>
              <w:keepLines/>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地理坐标</w:t>
            </w:r>
          </w:p>
        </w:tc>
        <w:tc>
          <w:tcPr>
            <w:tcW w:w="7613" w:type="dxa"/>
            <w:gridSpan w:val="3"/>
            <w:tcBorders>
              <w:tl2br w:val="nil"/>
              <w:tr2bl w:val="nil"/>
            </w:tcBorders>
            <w:vAlign w:val="center"/>
          </w:tcPr>
          <w:p w14:paraId="4F78E7BE">
            <w:pPr>
              <w:keepNext/>
              <w:keepLines/>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（经度：</w:t>
            </w:r>
            <w:r>
              <w:rPr>
                <w:rFonts w:hint="eastAsia" w:ascii="宋体" w:hAnsi="宋体" w:cs="宋体"/>
                <w:color w:val="auto"/>
                <w:kern w:val="0"/>
                <w:sz w:val="24"/>
                <w:u w:val="single"/>
              </w:rPr>
              <w:t xml:space="preserve"> </w:t>
            </w:r>
            <w:r>
              <w:rPr>
                <w:rFonts w:hint="eastAsia"/>
                <w:color w:val="auto"/>
                <w:kern w:val="0"/>
                <w:sz w:val="24"/>
                <w:u w:val="single"/>
              </w:rPr>
              <w:t>11</w:t>
            </w:r>
            <w:r>
              <w:rPr>
                <w:rFonts w:hint="eastAsia"/>
                <w:color w:val="auto"/>
                <w:kern w:val="0"/>
                <w:sz w:val="24"/>
                <w:u w:val="single"/>
                <w:lang w:val="en-US" w:eastAsia="zh-CN"/>
              </w:rPr>
              <w:t>7</w:t>
            </w:r>
            <w:r>
              <w:rPr>
                <w:color w:val="auto"/>
                <w:kern w:val="0"/>
                <w:sz w:val="24"/>
              </w:rPr>
              <w:t>度</w:t>
            </w:r>
            <w:r>
              <w:rPr>
                <w:color w:val="auto"/>
                <w:kern w:val="0"/>
                <w:sz w:val="24"/>
                <w:u w:val="single"/>
              </w:rPr>
              <w:t xml:space="preserve"> </w:t>
            </w:r>
            <w:r>
              <w:rPr>
                <w:rFonts w:hint="eastAsia"/>
                <w:color w:val="auto"/>
                <w:kern w:val="0"/>
                <w:sz w:val="24"/>
                <w:u w:val="single"/>
                <w:lang w:val="en-US" w:eastAsia="zh-CN"/>
              </w:rPr>
              <w:t>2</w:t>
            </w:r>
            <w:r>
              <w:rPr>
                <w:color w:val="auto"/>
                <w:kern w:val="0"/>
                <w:sz w:val="24"/>
                <w:u w:val="single"/>
              </w:rPr>
              <w:t xml:space="preserve"> </w:t>
            </w:r>
            <w:r>
              <w:rPr>
                <w:color w:val="auto"/>
                <w:kern w:val="0"/>
                <w:sz w:val="24"/>
              </w:rPr>
              <w:t>分</w:t>
            </w:r>
            <w:r>
              <w:rPr>
                <w:rFonts w:hint="eastAsia"/>
                <w:color w:val="auto"/>
                <w:kern w:val="0"/>
                <w:sz w:val="24"/>
                <w:u w:val="single"/>
                <w:lang w:val="en-US" w:eastAsia="zh-CN"/>
              </w:rPr>
              <w:t>12.087</w:t>
            </w:r>
            <w:r>
              <w:rPr>
                <w:color w:val="auto"/>
                <w:kern w:val="0"/>
                <w:sz w:val="24"/>
              </w:rPr>
              <w:t>秒，</w:t>
            </w:r>
            <w:r>
              <w:rPr>
                <w:rFonts w:hint="eastAsia"/>
                <w:color w:val="auto"/>
                <w:kern w:val="0"/>
                <w:sz w:val="24"/>
              </w:rPr>
              <w:t>纬度：</w:t>
            </w:r>
            <w:r>
              <w:rPr>
                <w:color w:val="auto"/>
                <w:kern w:val="0"/>
                <w:sz w:val="24"/>
                <w:u w:val="single"/>
              </w:rPr>
              <w:t xml:space="preserve"> 3</w:t>
            </w:r>
            <w:r>
              <w:rPr>
                <w:rFonts w:hint="eastAsia"/>
                <w:color w:val="auto"/>
                <w:kern w:val="0"/>
                <w:sz w:val="24"/>
                <w:u w:val="single"/>
              </w:rPr>
              <w:t>3</w:t>
            </w:r>
            <w:r>
              <w:rPr>
                <w:color w:val="auto"/>
                <w:kern w:val="0"/>
                <w:sz w:val="24"/>
                <w:u w:val="single"/>
              </w:rPr>
              <w:t xml:space="preserve"> </w:t>
            </w:r>
            <w:r>
              <w:rPr>
                <w:color w:val="auto"/>
                <w:kern w:val="0"/>
                <w:sz w:val="24"/>
              </w:rPr>
              <w:t>度</w:t>
            </w:r>
            <w:r>
              <w:rPr>
                <w:color w:val="auto"/>
                <w:kern w:val="0"/>
                <w:sz w:val="24"/>
                <w:u w:val="single"/>
              </w:rPr>
              <w:t xml:space="preserve"> </w:t>
            </w:r>
            <w:r>
              <w:rPr>
                <w:rFonts w:hint="eastAsia"/>
                <w:color w:val="auto"/>
                <w:kern w:val="0"/>
                <w:sz w:val="24"/>
                <w:u w:val="single"/>
                <w:lang w:val="en-US" w:eastAsia="zh-CN"/>
              </w:rPr>
              <w:t>45</w:t>
            </w:r>
            <w:r>
              <w:rPr>
                <w:color w:val="auto"/>
                <w:kern w:val="0"/>
                <w:sz w:val="24"/>
                <w:u w:val="single"/>
              </w:rPr>
              <w:t xml:space="preserve"> </w:t>
            </w:r>
            <w:r>
              <w:rPr>
                <w:color w:val="auto"/>
                <w:kern w:val="0"/>
                <w:sz w:val="24"/>
              </w:rPr>
              <w:t>分</w:t>
            </w:r>
            <w:r>
              <w:rPr>
                <w:color w:val="auto"/>
                <w:kern w:val="0"/>
                <w:sz w:val="24"/>
                <w:u w:val="single"/>
              </w:rPr>
              <w:t xml:space="preserve"> </w:t>
            </w:r>
            <w:r>
              <w:rPr>
                <w:rFonts w:hint="eastAsia"/>
                <w:color w:val="auto"/>
                <w:kern w:val="0"/>
                <w:sz w:val="24"/>
                <w:u w:val="single"/>
                <w:lang w:val="en-US" w:eastAsia="zh-CN"/>
              </w:rPr>
              <w:t>3.404</w:t>
            </w:r>
            <w:r>
              <w:rPr>
                <w:rFonts w:hint="eastAsia" w:ascii="宋体" w:hAnsi="宋体" w:cs="宋体"/>
                <w:color w:val="auto"/>
                <w:kern w:val="0"/>
                <w:sz w:val="24"/>
              </w:rPr>
              <w:t>秒）</w:t>
            </w:r>
          </w:p>
        </w:tc>
      </w:tr>
      <w:tr w14:paraId="4D1B0A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78" w:type="dxa"/>
            <w:gridSpan w:val="2"/>
            <w:tcBorders>
              <w:tl2br w:val="nil"/>
              <w:tr2bl w:val="nil"/>
            </w:tcBorders>
            <w:tcMar>
              <w:top w:w="16" w:type="dxa"/>
              <w:left w:w="16" w:type="dxa"/>
              <w:right w:w="16" w:type="dxa"/>
            </w:tcMar>
            <w:vAlign w:val="center"/>
          </w:tcPr>
          <w:p w14:paraId="6D287104">
            <w:pPr>
              <w:keepNext/>
              <w:keepLines/>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国民经济</w:t>
            </w:r>
          </w:p>
          <w:p w14:paraId="52F2909F">
            <w:pPr>
              <w:keepNext/>
              <w:keepLines/>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行业类别</w:t>
            </w:r>
          </w:p>
        </w:tc>
        <w:tc>
          <w:tcPr>
            <w:tcW w:w="2384" w:type="dxa"/>
            <w:tcBorders>
              <w:tl2br w:val="nil"/>
              <w:tr2bl w:val="nil"/>
            </w:tcBorders>
            <w:vAlign w:val="center"/>
          </w:tcPr>
          <w:p w14:paraId="40D76CA8">
            <w:pPr>
              <w:keepNext/>
              <w:keepLines/>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imes New Roman" w:hAnsi="Times New Roman" w:eastAsia="宋体" w:cs="Times New Roman"/>
                <w:b/>
                <w:bCs/>
                <w:color w:val="auto"/>
                <w:sz w:val="24"/>
                <w:szCs w:val="24"/>
                <w:u w:val="none" w:color="auto"/>
                <w:lang w:eastAsia="zh-CN"/>
              </w:rPr>
            </w:pPr>
            <w:r>
              <w:rPr>
                <w:rFonts w:hint="eastAsia" w:ascii="Times New Roman" w:hAnsi="Times New Roman" w:eastAsia="宋体" w:cs="Times New Roman"/>
                <w:b/>
                <w:bCs/>
                <w:color w:val="auto"/>
                <w:sz w:val="24"/>
                <w:u w:val="none" w:color="auto"/>
                <w:lang w:val="en-US" w:eastAsia="zh-CN"/>
              </w:rPr>
              <w:t>N7723</w:t>
            </w:r>
            <w:r>
              <w:rPr>
                <w:rFonts w:hint="eastAsia" w:ascii="Times New Roman" w:hAnsi="Times New Roman" w:eastAsia="宋体" w:cs="Times New Roman"/>
                <w:b/>
                <w:bCs/>
                <w:color w:val="auto"/>
                <w:sz w:val="24"/>
                <w:szCs w:val="24"/>
                <w:u w:val="none" w:color="auto"/>
                <w:lang w:eastAsia="zh-CN"/>
              </w:rPr>
              <w:t>固体废物治理</w:t>
            </w:r>
          </w:p>
          <w:p w14:paraId="3D71EE82">
            <w:pPr>
              <w:pStyle w:val="11"/>
              <w:keepNext/>
              <w:keepLines/>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Times New Roman" w:hAnsi="Times New Roman" w:eastAsia="宋体" w:cs="Times New Roman"/>
                <w:color w:val="auto"/>
                <w:sz w:val="24"/>
                <w:szCs w:val="24"/>
                <w:u w:val="none" w:color="auto"/>
                <w:lang w:eastAsia="zh-CN"/>
              </w:rPr>
            </w:pPr>
            <w:r>
              <w:rPr>
                <w:rFonts w:hint="eastAsia"/>
                <w:b/>
                <w:bCs/>
                <w:color w:val="auto"/>
                <w:sz w:val="24"/>
                <w:szCs w:val="24"/>
                <w:lang w:val="en-US" w:eastAsia="zh-CN"/>
              </w:rPr>
              <w:t>C3039其它建筑材料制作</w:t>
            </w:r>
          </w:p>
        </w:tc>
        <w:tc>
          <w:tcPr>
            <w:tcW w:w="2243" w:type="dxa"/>
            <w:tcBorders>
              <w:tl2br w:val="nil"/>
              <w:tr2bl w:val="nil"/>
            </w:tcBorders>
            <w:vAlign w:val="center"/>
          </w:tcPr>
          <w:p w14:paraId="412FA711">
            <w:pPr>
              <w:keepNext/>
              <w:keepLines/>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ascii="宋体" w:hAnsi="宋体" w:cs="宋体"/>
                <w:color w:val="auto"/>
                <w:kern w:val="0"/>
                <w:sz w:val="24"/>
              </w:rPr>
            </w:pPr>
            <w:bookmarkStart w:id="0" w:name="_Hlk49843745"/>
            <w:r>
              <w:rPr>
                <w:rFonts w:hint="eastAsia" w:ascii="宋体" w:hAnsi="宋体" w:cs="宋体"/>
                <w:color w:val="auto"/>
                <w:kern w:val="0"/>
                <w:sz w:val="24"/>
              </w:rPr>
              <w:t>建设项目</w:t>
            </w:r>
          </w:p>
          <w:p w14:paraId="59DE49E3">
            <w:pPr>
              <w:keepNext/>
              <w:keepLines/>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ascii="宋体" w:hAnsi="宋体" w:cs="宋体"/>
                <w:color w:val="auto"/>
                <w:kern w:val="0"/>
                <w:sz w:val="24"/>
              </w:rPr>
            </w:pPr>
            <w:r>
              <w:rPr>
                <w:rFonts w:hint="eastAsia" w:ascii="宋体" w:hAnsi="宋体" w:cs="宋体"/>
                <w:color w:val="auto"/>
                <w:kern w:val="0"/>
                <w:sz w:val="24"/>
              </w:rPr>
              <w:t>行业类别</w:t>
            </w:r>
            <w:bookmarkEnd w:id="0"/>
          </w:p>
        </w:tc>
        <w:tc>
          <w:tcPr>
            <w:tcW w:w="2986" w:type="dxa"/>
            <w:tcBorders>
              <w:tl2br w:val="nil"/>
              <w:tr2bl w:val="nil"/>
            </w:tcBorders>
            <w:vAlign w:val="center"/>
          </w:tcPr>
          <w:p w14:paraId="1F994988">
            <w:pPr>
              <w:keepNext/>
              <w:keepLines/>
              <w:pageBreakBefore w:val="0"/>
              <w:widowControl w:val="0"/>
              <w:kinsoku/>
              <w:wordWrap/>
              <w:overflowPunct/>
              <w:topLinePunct w:val="0"/>
              <w:autoSpaceDE/>
              <w:autoSpaceDN/>
              <w:bidi w:val="0"/>
              <w:ind w:left="105" w:leftChars="50" w:right="105" w:rightChars="50"/>
              <w:jc w:val="center"/>
              <w:textAlignment w:val="auto"/>
              <w:rPr>
                <w:rFonts w:hint="default" w:ascii="宋体" w:hAnsi="宋体" w:cs="宋体"/>
                <w:color w:val="auto"/>
                <w:kern w:val="0"/>
                <w:sz w:val="24"/>
                <w:lang w:val="en-US"/>
              </w:rPr>
            </w:pPr>
            <w:r>
              <w:rPr>
                <w:rFonts w:hint="eastAsia" w:ascii="Times New Roman" w:hAnsi="Times New Roman" w:eastAsia="宋体" w:cs="宋体"/>
                <w:color w:val="auto"/>
                <w:sz w:val="24"/>
                <w:szCs w:val="24"/>
                <w:lang w:val="en-US" w:eastAsia="zh-CN"/>
              </w:rPr>
              <w:t>四十七、生态保护和环境治理业--一般工业固体废物（含污水处理污泥）、建筑施工废弃物处置及综合利用</w:t>
            </w:r>
            <w:r>
              <w:rPr>
                <w:rFonts w:hint="eastAsia" w:cs="宋体"/>
                <w:color w:val="auto"/>
                <w:sz w:val="24"/>
                <w:szCs w:val="24"/>
                <w:lang w:val="en-US" w:eastAsia="zh-CN"/>
              </w:rPr>
              <w:t>；二十七、非金属矿物制品业 30 56砖瓦、石材等建筑材料制造 303</w:t>
            </w:r>
          </w:p>
        </w:tc>
      </w:tr>
      <w:tr w14:paraId="3C4513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78" w:type="dxa"/>
            <w:gridSpan w:val="2"/>
            <w:tcBorders>
              <w:tl2br w:val="nil"/>
              <w:tr2bl w:val="nil"/>
            </w:tcBorders>
            <w:tcMar>
              <w:top w:w="16" w:type="dxa"/>
              <w:left w:w="16" w:type="dxa"/>
              <w:right w:w="16" w:type="dxa"/>
            </w:tcMar>
            <w:vAlign w:val="center"/>
          </w:tcPr>
          <w:p w14:paraId="4ED446D4">
            <w:pPr>
              <w:keepNext/>
              <w:keepLines/>
              <w:pageBreakBefore w:val="0"/>
              <w:widowControl w:val="0"/>
              <w:kinsoku/>
              <w:wordWrap/>
              <w:overflowPunct/>
              <w:topLinePunct w:val="0"/>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建设性质</w:t>
            </w:r>
          </w:p>
        </w:tc>
        <w:tc>
          <w:tcPr>
            <w:tcW w:w="2384" w:type="dxa"/>
            <w:tcBorders>
              <w:tl2br w:val="nil"/>
              <w:tr2bl w:val="nil"/>
            </w:tcBorders>
            <w:vAlign w:val="center"/>
          </w:tcPr>
          <w:p w14:paraId="37C8771C">
            <w:pPr>
              <w:keepNext/>
              <w:keepLines/>
              <w:pageBreakBefore w:val="0"/>
              <w:widowControl w:val="0"/>
              <w:kinsoku/>
              <w:wordWrap/>
              <w:overflowPunct/>
              <w:topLinePunct w:val="0"/>
              <w:bidi w:val="0"/>
              <w:adjustRightInd w:val="0"/>
              <w:snapToGrid w:val="0"/>
              <w:jc w:val="left"/>
              <w:textAlignment w:val="auto"/>
              <w:rPr>
                <w:rFonts w:ascii="宋体" w:hAnsi="宋体" w:cs="宋体"/>
                <w:color w:val="auto"/>
                <w:kern w:val="0"/>
                <w:sz w:val="24"/>
              </w:rPr>
            </w:pPr>
            <w:r>
              <w:rPr>
                <w:rFonts w:hint="eastAsia" w:ascii="宋体" w:hAnsi="宋体" w:cs="宋体"/>
                <w:color w:val="auto"/>
                <w:kern w:val="0"/>
                <w:sz w:val="24"/>
                <w:lang w:eastAsia="zh-CN"/>
              </w:rPr>
              <w:t>☑</w:t>
            </w:r>
            <w:r>
              <w:rPr>
                <w:rFonts w:hint="eastAsia" w:ascii="宋体" w:hAnsi="宋体" w:cs="宋体"/>
                <w:color w:val="auto"/>
                <w:kern w:val="0"/>
                <w:sz w:val="24"/>
              </w:rPr>
              <w:t>新建（迁建）</w:t>
            </w:r>
          </w:p>
          <w:p w14:paraId="00AC305A">
            <w:pPr>
              <w:keepNext/>
              <w:keepLines/>
              <w:pageBreakBefore w:val="0"/>
              <w:widowControl w:val="0"/>
              <w:kinsoku/>
              <w:wordWrap/>
              <w:overflowPunct/>
              <w:topLinePunct w:val="0"/>
              <w:bidi w:val="0"/>
              <w:adjustRightInd w:val="0"/>
              <w:snapToGrid w:val="0"/>
              <w:jc w:val="left"/>
              <w:textAlignment w:val="auto"/>
              <w:rPr>
                <w:rFonts w:ascii="宋体" w:hAnsi="宋体" w:cs="宋体"/>
                <w:color w:val="auto"/>
                <w:kern w:val="0"/>
                <w:sz w:val="24"/>
              </w:rPr>
            </w:pPr>
            <w:r>
              <w:rPr>
                <w:rFonts w:hint="eastAsia" w:ascii="宋体" w:hAnsi="宋体" w:cs="宋体"/>
                <w:color w:val="auto"/>
                <w:kern w:val="0"/>
                <w:sz w:val="24"/>
                <w:lang w:eastAsia="zh-CN"/>
              </w:rPr>
              <w:t>□</w:t>
            </w:r>
            <w:r>
              <w:rPr>
                <w:rFonts w:hint="eastAsia" w:ascii="宋体" w:hAnsi="宋体" w:cs="宋体"/>
                <w:color w:val="auto"/>
                <w:kern w:val="0"/>
                <w:sz w:val="24"/>
              </w:rPr>
              <w:t>改建</w:t>
            </w:r>
          </w:p>
          <w:p w14:paraId="542B0C56">
            <w:pPr>
              <w:keepNext/>
              <w:keepLines/>
              <w:pageBreakBefore w:val="0"/>
              <w:widowControl w:val="0"/>
              <w:kinsoku/>
              <w:wordWrap/>
              <w:overflowPunct/>
              <w:topLinePunct w:val="0"/>
              <w:bidi w:val="0"/>
              <w:adjustRightInd w:val="0"/>
              <w:snapToGrid w:val="0"/>
              <w:jc w:val="left"/>
              <w:textAlignment w:val="auto"/>
              <w:rPr>
                <w:rFonts w:ascii="宋体" w:hAnsi="宋体" w:cs="宋体"/>
                <w:color w:val="auto"/>
                <w:kern w:val="0"/>
                <w:sz w:val="24"/>
              </w:rPr>
            </w:pPr>
            <w:r>
              <w:rPr>
                <w:rFonts w:hint="eastAsia"/>
                <w:color w:val="auto"/>
                <w:sz w:val="24"/>
                <w:lang w:eastAsia="zh-CN"/>
              </w:rPr>
              <w:t>□</w:t>
            </w:r>
            <w:r>
              <w:rPr>
                <w:rFonts w:hint="eastAsia" w:ascii="宋体" w:hAnsi="宋体" w:cs="宋体"/>
                <w:color w:val="auto"/>
                <w:kern w:val="0"/>
                <w:sz w:val="24"/>
              </w:rPr>
              <w:t>扩建</w:t>
            </w:r>
          </w:p>
          <w:p w14:paraId="180AE4A8">
            <w:pPr>
              <w:keepNext/>
              <w:keepLines/>
              <w:pageBreakBefore w:val="0"/>
              <w:widowControl w:val="0"/>
              <w:kinsoku/>
              <w:wordWrap/>
              <w:overflowPunct/>
              <w:topLinePunct w:val="0"/>
              <w:bidi w:val="0"/>
              <w:adjustRightInd w:val="0"/>
              <w:snapToGrid w:val="0"/>
              <w:jc w:val="left"/>
              <w:textAlignment w:val="auto"/>
              <w:rPr>
                <w:rFonts w:ascii="宋体" w:hAnsi="宋体" w:cs="宋体"/>
                <w:color w:val="auto"/>
                <w:kern w:val="0"/>
                <w:sz w:val="24"/>
              </w:rPr>
            </w:pPr>
            <w:r>
              <w:rPr>
                <w:rFonts w:hint="eastAsia" w:ascii="宋体" w:hAnsi="宋体" w:cs="宋体"/>
                <w:color w:val="auto"/>
                <w:kern w:val="0"/>
                <w:sz w:val="24"/>
                <w:lang w:eastAsia="zh-CN"/>
              </w:rPr>
              <w:t>□</w:t>
            </w:r>
            <w:r>
              <w:rPr>
                <w:rFonts w:hint="eastAsia" w:ascii="宋体" w:hAnsi="宋体" w:cs="宋体"/>
                <w:color w:val="auto"/>
                <w:kern w:val="0"/>
                <w:sz w:val="24"/>
              </w:rPr>
              <w:t>技术改造</w:t>
            </w:r>
          </w:p>
        </w:tc>
        <w:tc>
          <w:tcPr>
            <w:tcW w:w="2243" w:type="dxa"/>
            <w:tcBorders>
              <w:tl2br w:val="nil"/>
              <w:tr2bl w:val="nil"/>
            </w:tcBorders>
            <w:vAlign w:val="center"/>
          </w:tcPr>
          <w:p w14:paraId="2F077029">
            <w:pPr>
              <w:keepNext/>
              <w:keepLines/>
              <w:pageBreakBefore w:val="0"/>
              <w:widowControl w:val="0"/>
              <w:kinsoku/>
              <w:wordWrap/>
              <w:overflowPunct/>
              <w:topLinePunct w:val="0"/>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建设项目</w:t>
            </w:r>
          </w:p>
          <w:p w14:paraId="6FDAF327">
            <w:pPr>
              <w:keepNext/>
              <w:keepLines/>
              <w:pageBreakBefore w:val="0"/>
              <w:widowControl w:val="0"/>
              <w:kinsoku/>
              <w:wordWrap/>
              <w:overflowPunct/>
              <w:topLinePunct w:val="0"/>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申报情形</w:t>
            </w:r>
          </w:p>
        </w:tc>
        <w:tc>
          <w:tcPr>
            <w:tcW w:w="2986" w:type="dxa"/>
            <w:tcBorders>
              <w:tl2br w:val="nil"/>
              <w:tr2bl w:val="nil"/>
            </w:tcBorders>
            <w:vAlign w:val="center"/>
          </w:tcPr>
          <w:p w14:paraId="64DCC571">
            <w:pPr>
              <w:keepNext/>
              <w:keepLines/>
              <w:pageBreakBefore w:val="0"/>
              <w:widowControl w:val="0"/>
              <w:kinsoku/>
              <w:wordWrap/>
              <w:overflowPunct/>
              <w:topLinePunct w:val="0"/>
              <w:bidi w:val="0"/>
              <w:adjustRightInd w:val="0"/>
              <w:snapToGrid w:val="0"/>
              <w:jc w:val="left"/>
              <w:textAlignment w:val="auto"/>
              <w:rPr>
                <w:rFonts w:ascii="宋体" w:hAnsi="宋体" w:cs="宋体"/>
                <w:color w:val="auto"/>
                <w:kern w:val="0"/>
                <w:sz w:val="24"/>
              </w:rPr>
            </w:pPr>
            <w:r>
              <w:rPr>
                <w:rFonts w:hint="eastAsia"/>
                <w:color w:val="auto"/>
                <w:sz w:val="24"/>
              </w:rPr>
              <w:t>☑</w:t>
            </w:r>
            <w:r>
              <w:rPr>
                <w:rFonts w:hint="eastAsia" w:ascii="宋体" w:hAnsi="宋体" w:cs="宋体"/>
                <w:color w:val="auto"/>
                <w:kern w:val="0"/>
                <w:sz w:val="24"/>
              </w:rPr>
              <w:t xml:space="preserve">首次申报项目             </w:t>
            </w:r>
          </w:p>
          <w:p w14:paraId="5ACCC0CE">
            <w:pPr>
              <w:keepNext/>
              <w:keepLines/>
              <w:pageBreakBefore w:val="0"/>
              <w:widowControl w:val="0"/>
              <w:kinsoku/>
              <w:wordWrap/>
              <w:overflowPunct/>
              <w:topLinePunct w:val="0"/>
              <w:bidi w:val="0"/>
              <w:adjustRightInd w:val="0"/>
              <w:snapToGrid w:val="0"/>
              <w:jc w:val="left"/>
              <w:textAlignment w:val="auto"/>
              <w:rPr>
                <w:rFonts w:hint="eastAsia" w:ascii="宋体" w:hAnsi="宋体" w:eastAsia="宋体" w:cs="宋体"/>
                <w:color w:val="auto"/>
                <w:kern w:val="0"/>
                <w:sz w:val="24"/>
                <w:lang w:eastAsia="zh-CN"/>
              </w:rPr>
            </w:pPr>
            <w:r>
              <w:rPr>
                <w:rFonts w:hint="eastAsia" w:ascii="宋体" w:hAnsi="宋体" w:cs="宋体"/>
                <w:color w:val="auto"/>
                <w:kern w:val="0"/>
                <w:sz w:val="24"/>
              </w:rPr>
              <w:t>□不予批准后再次申报</w:t>
            </w:r>
            <w:r>
              <w:rPr>
                <w:rFonts w:hint="eastAsia" w:ascii="宋体" w:hAnsi="宋体" w:cs="宋体"/>
                <w:color w:val="auto"/>
                <w:kern w:val="0"/>
                <w:sz w:val="24"/>
                <w:lang w:eastAsia="zh-CN"/>
              </w:rPr>
              <w:t>项目</w:t>
            </w:r>
          </w:p>
          <w:p w14:paraId="550D1219">
            <w:pPr>
              <w:keepNext/>
              <w:keepLines/>
              <w:pageBreakBefore w:val="0"/>
              <w:widowControl w:val="0"/>
              <w:kinsoku/>
              <w:wordWrap/>
              <w:overflowPunct/>
              <w:topLinePunct w:val="0"/>
              <w:bidi w:val="0"/>
              <w:adjustRightInd w:val="0"/>
              <w:snapToGrid w:val="0"/>
              <w:jc w:val="left"/>
              <w:textAlignment w:val="auto"/>
              <w:rPr>
                <w:rFonts w:ascii="宋体" w:hAnsi="宋体" w:cs="宋体"/>
                <w:color w:val="auto"/>
                <w:kern w:val="0"/>
                <w:sz w:val="24"/>
              </w:rPr>
            </w:pPr>
            <w:r>
              <w:rPr>
                <w:rFonts w:hint="eastAsia" w:ascii="宋体" w:hAnsi="宋体" w:cs="宋体"/>
                <w:color w:val="auto"/>
                <w:kern w:val="0"/>
                <w:sz w:val="24"/>
              </w:rPr>
              <w:t xml:space="preserve">□超五年重新审核项目     </w:t>
            </w:r>
          </w:p>
          <w:p w14:paraId="302D4592">
            <w:pPr>
              <w:keepNext/>
              <w:keepLines/>
              <w:pageBreakBefore w:val="0"/>
              <w:widowControl w:val="0"/>
              <w:kinsoku/>
              <w:wordWrap/>
              <w:overflowPunct/>
              <w:topLinePunct w:val="0"/>
              <w:bidi w:val="0"/>
              <w:adjustRightInd w:val="0"/>
              <w:snapToGrid w:val="0"/>
              <w:jc w:val="left"/>
              <w:textAlignment w:val="auto"/>
              <w:rPr>
                <w:rFonts w:ascii="宋体" w:hAnsi="宋体" w:cs="宋体"/>
                <w:color w:val="auto"/>
                <w:kern w:val="0"/>
                <w:sz w:val="24"/>
              </w:rPr>
            </w:pPr>
            <w:r>
              <w:rPr>
                <w:rFonts w:hint="eastAsia" w:ascii="宋体" w:hAnsi="宋体" w:cs="宋体"/>
                <w:color w:val="auto"/>
                <w:kern w:val="0"/>
                <w:sz w:val="24"/>
              </w:rPr>
              <w:t>□重大变动重新报批项目</w:t>
            </w:r>
          </w:p>
        </w:tc>
      </w:tr>
      <w:tr w14:paraId="18BE63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78" w:type="dxa"/>
            <w:gridSpan w:val="2"/>
            <w:tcBorders>
              <w:tl2br w:val="nil"/>
              <w:tr2bl w:val="nil"/>
            </w:tcBorders>
            <w:tcMar>
              <w:top w:w="16" w:type="dxa"/>
              <w:left w:w="16" w:type="dxa"/>
              <w:right w:w="16" w:type="dxa"/>
            </w:tcMar>
            <w:vAlign w:val="center"/>
          </w:tcPr>
          <w:p w14:paraId="0B7F4491">
            <w:pPr>
              <w:keepNext/>
              <w:keepLines/>
              <w:pageBreakBefore w:val="0"/>
              <w:widowControl w:val="0"/>
              <w:kinsoku/>
              <w:wordWrap/>
              <w:overflowPunct/>
              <w:topLinePunct w:val="0"/>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项目审批（核准/备案）部门（选填）</w:t>
            </w:r>
          </w:p>
        </w:tc>
        <w:tc>
          <w:tcPr>
            <w:tcW w:w="2384" w:type="dxa"/>
            <w:tcBorders>
              <w:tl2br w:val="nil"/>
              <w:tr2bl w:val="nil"/>
            </w:tcBorders>
            <w:vAlign w:val="center"/>
          </w:tcPr>
          <w:p w14:paraId="237CFF9F">
            <w:pPr>
              <w:keepNext/>
              <w:keepLines/>
              <w:pageBreakBefore w:val="0"/>
              <w:widowControl w:val="0"/>
              <w:kinsoku/>
              <w:wordWrap/>
              <w:overflowPunct/>
              <w:topLinePunct w:val="0"/>
              <w:bidi w:val="0"/>
              <w:adjustRightInd w:val="0"/>
              <w:snapToGrid w:val="0"/>
              <w:ind w:left="105" w:leftChars="50" w:right="105" w:rightChars="50"/>
              <w:jc w:val="center"/>
              <w:textAlignment w:val="auto"/>
              <w:rPr>
                <w:rFonts w:hint="eastAsia" w:eastAsia="宋体"/>
                <w:color w:val="auto"/>
                <w:kern w:val="0"/>
                <w:sz w:val="24"/>
                <w:lang w:eastAsia="zh-CN"/>
              </w:rPr>
            </w:pPr>
            <w:r>
              <w:rPr>
                <w:rFonts w:hint="eastAsia"/>
                <w:color w:val="auto"/>
                <w:sz w:val="24"/>
                <w:lang w:eastAsia="zh-CN"/>
              </w:rPr>
              <w:t>宿州市埇桥区发展和改革委员会</w:t>
            </w:r>
          </w:p>
        </w:tc>
        <w:tc>
          <w:tcPr>
            <w:tcW w:w="2243" w:type="dxa"/>
            <w:tcBorders>
              <w:tl2br w:val="nil"/>
              <w:tr2bl w:val="nil"/>
            </w:tcBorders>
            <w:vAlign w:val="center"/>
          </w:tcPr>
          <w:p w14:paraId="64E2F54A">
            <w:pPr>
              <w:keepNext/>
              <w:keepLines/>
              <w:pageBreakBefore w:val="0"/>
              <w:widowControl w:val="0"/>
              <w:kinsoku/>
              <w:wordWrap/>
              <w:overflowPunct/>
              <w:topLinePunct w:val="0"/>
              <w:bidi w:val="0"/>
              <w:adjustRightInd w:val="0"/>
              <w:snapToGrid w:val="0"/>
              <w:jc w:val="center"/>
              <w:textAlignment w:val="auto"/>
              <w:rPr>
                <w:color w:val="auto"/>
                <w:kern w:val="0"/>
                <w:sz w:val="24"/>
              </w:rPr>
            </w:pPr>
            <w:r>
              <w:rPr>
                <w:color w:val="auto"/>
                <w:kern w:val="0"/>
                <w:sz w:val="24"/>
              </w:rPr>
              <w:t>项目审批（核准/</w:t>
            </w:r>
          </w:p>
          <w:p w14:paraId="0C31CD85">
            <w:pPr>
              <w:keepNext/>
              <w:keepLines/>
              <w:pageBreakBefore w:val="0"/>
              <w:widowControl w:val="0"/>
              <w:kinsoku/>
              <w:wordWrap/>
              <w:overflowPunct/>
              <w:topLinePunct w:val="0"/>
              <w:bidi w:val="0"/>
              <w:adjustRightInd w:val="0"/>
              <w:snapToGrid w:val="0"/>
              <w:jc w:val="center"/>
              <w:textAlignment w:val="auto"/>
              <w:rPr>
                <w:color w:val="auto"/>
                <w:kern w:val="0"/>
                <w:sz w:val="24"/>
              </w:rPr>
            </w:pPr>
            <w:r>
              <w:rPr>
                <w:color w:val="auto"/>
                <w:kern w:val="0"/>
                <w:sz w:val="24"/>
              </w:rPr>
              <w:t>备案）文号（选填）</w:t>
            </w:r>
          </w:p>
        </w:tc>
        <w:tc>
          <w:tcPr>
            <w:tcW w:w="2986" w:type="dxa"/>
            <w:tcBorders>
              <w:tl2br w:val="nil"/>
              <w:tr2bl w:val="nil"/>
            </w:tcBorders>
            <w:vAlign w:val="center"/>
          </w:tcPr>
          <w:p w14:paraId="71EE503E">
            <w:pPr>
              <w:keepNext/>
              <w:keepLines/>
              <w:pageBreakBefore w:val="0"/>
              <w:widowControl w:val="0"/>
              <w:kinsoku/>
              <w:wordWrap/>
              <w:overflowPunct/>
              <w:topLinePunct w:val="0"/>
              <w:bidi w:val="0"/>
              <w:adjustRightInd w:val="0"/>
              <w:snapToGrid w:val="0"/>
              <w:jc w:val="center"/>
              <w:textAlignment w:val="auto"/>
              <w:rPr>
                <w:rFonts w:hint="eastAsia" w:eastAsia="宋体"/>
                <w:color w:val="auto"/>
                <w:kern w:val="0"/>
                <w:sz w:val="24"/>
                <w:lang w:eastAsia="zh-CN"/>
              </w:rPr>
            </w:pPr>
            <w:r>
              <w:rPr>
                <w:rFonts w:hint="eastAsia"/>
                <w:color w:val="auto"/>
                <w:sz w:val="24"/>
                <w:lang w:val="en-US" w:eastAsia="zh-CN"/>
              </w:rPr>
              <w:t>/</w:t>
            </w:r>
          </w:p>
        </w:tc>
      </w:tr>
      <w:tr w14:paraId="7AC91F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78" w:type="dxa"/>
            <w:gridSpan w:val="2"/>
            <w:tcBorders>
              <w:tl2br w:val="nil"/>
              <w:tr2bl w:val="nil"/>
            </w:tcBorders>
            <w:tcMar>
              <w:top w:w="16" w:type="dxa"/>
              <w:left w:w="16" w:type="dxa"/>
              <w:right w:w="16" w:type="dxa"/>
            </w:tcMar>
            <w:vAlign w:val="center"/>
          </w:tcPr>
          <w:p w14:paraId="53FD49EA">
            <w:pPr>
              <w:keepNext/>
              <w:keepLines/>
              <w:pageBreakBefore w:val="0"/>
              <w:widowControl w:val="0"/>
              <w:kinsoku/>
              <w:wordWrap/>
              <w:overflowPunct/>
              <w:topLinePunct w:val="0"/>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总投资（万元）</w:t>
            </w:r>
          </w:p>
        </w:tc>
        <w:tc>
          <w:tcPr>
            <w:tcW w:w="2384" w:type="dxa"/>
            <w:tcBorders>
              <w:tl2br w:val="nil"/>
              <w:tr2bl w:val="nil"/>
            </w:tcBorders>
            <w:vAlign w:val="center"/>
          </w:tcPr>
          <w:p w14:paraId="240B3783">
            <w:pPr>
              <w:keepNext/>
              <w:keepLines/>
              <w:pageBreakBefore w:val="0"/>
              <w:widowControl w:val="0"/>
              <w:kinsoku/>
              <w:wordWrap/>
              <w:overflowPunct/>
              <w:topLinePunct w:val="0"/>
              <w:bidi w:val="0"/>
              <w:adjustRightInd w:val="0"/>
              <w:snapToGrid w:val="0"/>
              <w:jc w:val="center"/>
              <w:textAlignment w:val="auto"/>
              <w:rPr>
                <w:rFonts w:hint="default" w:eastAsia="宋体"/>
                <w:color w:val="auto"/>
                <w:kern w:val="0"/>
                <w:sz w:val="24"/>
                <w:lang w:val="en-US" w:eastAsia="zh-CN"/>
              </w:rPr>
            </w:pPr>
            <w:r>
              <w:rPr>
                <w:rFonts w:hint="eastAsia"/>
                <w:color w:val="auto"/>
                <w:kern w:val="0"/>
                <w:sz w:val="24"/>
                <w:lang w:val="en-US" w:eastAsia="zh-CN"/>
              </w:rPr>
              <w:t>总投资11000一期投资5000</w:t>
            </w:r>
          </w:p>
        </w:tc>
        <w:tc>
          <w:tcPr>
            <w:tcW w:w="2243" w:type="dxa"/>
            <w:tcBorders>
              <w:tl2br w:val="nil"/>
              <w:tr2bl w:val="nil"/>
            </w:tcBorders>
            <w:tcMar>
              <w:top w:w="16" w:type="dxa"/>
              <w:left w:w="16" w:type="dxa"/>
              <w:right w:w="16" w:type="dxa"/>
            </w:tcMar>
            <w:vAlign w:val="center"/>
          </w:tcPr>
          <w:p w14:paraId="7FAAAEAE">
            <w:pPr>
              <w:keepNext/>
              <w:keepLines/>
              <w:pageBreakBefore w:val="0"/>
              <w:widowControl w:val="0"/>
              <w:kinsoku/>
              <w:wordWrap/>
              <w:overflowPunct/>
              <w:topLinePunct w:val="0"/>
              <w:bidi w:val="0"/>
              <w:adjustRightInd w:val="0"/>
              <w:snapToGrid w:val="0"/>
              <w:jc w:val="center"/>
              <w:textAlignment w:val="auto"/>
              <w:rPr>
                <w:color w:val="auto"/>
                <w:kern w:val="0"/>
                <w:sz w:val="24"/>
              </w:rPr>
            </w:pPr>
            <w:r>
              <w:rPr>
                <w:color w:val="auto"/>
                <w:kern w:val="0"/>
                <w:sz w:val="24"/>
              </w:rPr>
              <w:t>环保投资（万元）</w:t>
            </w:r>
          </w:p>
        </w:tc>
        <w:tc>
          <w:tcPr>
            <w:tcW w:w="2986" w:type="dxa"/>
            <w:tcBorders>
              <w:tl2br w:val="nil"/>
              <w:tr2bl w:val="nil"/>
            </w:tcBorders>
            <w:vAlign w:val="center"/>
          </w:tcPr>
          <w:p w14:paraId="03516D61">
            <w:pPr>
              <w:keepNext/>
              <w:keepLines/>
              <w:pageBreakBefore w:val="0"/>
              <w:widowControl w:val="0"/>
              <w:kinsoku/>
              <w:wordWrap/>
              <w:overflowPunct/>
              <w:topLinePunct w:val="0"/>
              <w:bidi w:val="0"/>
              <w:adjustRightInd w:val="0"/>
              <w:snapToGrid w:val="0"/>
              <w:jc w:val="center"/>
              <w:textAlignment w:val="auto"/>
              <w:rPr>
                <w:rFonts w:hint="default" w:eastAsia="宋体"/>
                <w:color w:val="auto"/>
                <w:kern w:val="0"/>
                <w:sz w:val="24"/>
                <w:lang w:val="en-US" w:eastAsia="zh-CN"/>
              </w:rPr>
            </w:pPr>
            <w:r>
              <w:rPr>
                <w:rFonts w:hint="eastAsia"/>
                <w:color w:val="auto"/>
                <w:kern w:val="0"/>
                <w:sz w:val="24"/>
                <w:lang w:val="en-US" w:eastAsia="zh-CN"/>
              </w:rPr>
              <w:t>60</w:t>
            </w:r>
          </w:p>
        </w:tc>
      </w:tr>
      <w:tr w14:paraId="186DD9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378" w:type="dxa"/>
            <w:gridSpan w:val="2"/>
            <w:tcBorders>
              <w:tl2br w:val="nil"/>
              <w:tr2bl w:val="nil"/>
            </w:tcBorders>
            <w:tcMar>
              <w:top w:w="16" w:type="dxa"/>
              <w:left w:w="16" w:type="dxa"/>
              <w:right w:w="16" w:type="dxa"/>
            </w:tcMar>
            <w:vAlign w:val="center"/>
          </w:tcPr>
          <w:p w14:paraId="6582CB71">
            <w:pPr>
              <w:keepNext/>
              <w:keepLines/>
              <w:pageBreakBefore w:val="0"/>
              <w:widowControl w:val="0"/>
              <w:kinsoku/>
              <w:wordWrap/>
              <w:overflowPunct/>
              <w:topLinePunct w:val="0"/>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环保投资占比</w:t>
            </w:r>
            <w:r>
              <w:rPr>
                <w:color w:val="auto"/>
                <w:kern w:val="0"/>
                <w:sz w:val="24"/>
              </w:rPr>
              <w:t>（%）</w:t>
            </w:r>
          </w:p>
        </w:tc>
        <w:tc>
          <w:tcPr>
            <w:tcW w:w="2384" w:type="dxa"/>
            <w:tcBorders>
              <w:tl2br w:val="nil"/>
              <w:tr2bl w:val="nil"/>
            </w:tcBorders>
            <w:vAlign w:val="center"/>
          </w:tcPr>
          <w:p w14:paraId="14CE0CF3">
            <w:pPr>
              <w:keepNext/>
              <w:keepLines/>
              <w:pageBreakBefore w:val="0"/>
              <w:widowControl w:val="0"/>
              <w:kinsoku/>
              <w:wordWrap/>
              <w:overflowPunct/>
              <w:topLinePunct w:val="0"/>
              <w:bidi w:val="0"/>
              <w:adjustRightInd w:val="0"/>
              <w:snapToGrid w:val="0"/>
              <w:jc w:val="center"/>
              <w:textAlignment w:val="auto"/>
              <w:rPr>
                <w:color w:val="auto"/>
                <w:kern w:val="0"/>
                <w:sz w:val="24"/>
              </w:rPr>
            </w:pPr>
            <w:r>
              <w:rPr>
                <w:rFonts w:hint="eastAsia"/>
                <w:color w:val="auto"/>
                <w:kern w:val="0"/>
                <w:sz w:val="24"/>
                <w:lang w:val="en-US" w:eastAsia="zh-CN"/>
              </w:rPr>
              <w:t>0.55</w:t>
            </w:r>
            <w:r>
              <w:rPr>
                <w:color w:val="auto"/>
                <w:kern w:val="0"/>
                <w:sz w:val="24"/>
              </w:rPr>
              <w:t>%</w:t>
            </w:r>
          </w:p>
        </w:tc>
        <w:tc>
          <w:tcPr>
            <w:tcW w:w="2243" w:type="dxa"/>
            <w:tcBorders>
              <w:tl2br w:val="nil"/>
              <w:tr2bl w:val="nil"/>
            </w:tcBorders>
            <w:tcMar>
              <w:top w:w="16" w:type="dxa"/>
              <w:left w:w="16" w:type="dxa"/>
              <w:right w:w="16" w:type="dxa"/>
            </w:tcMar>
            <w:vAlign w:val="center"/>
          </w:tcPr>
          <w:p w14:paraId="31136CBA">
            <w:pPr>
              <w:keepNext/>
              <w:keepLines/>
              <w:pageBreakBefore w:val="0"/>
              <w:widowControl w:val="0"/>
              <w:kinsoku/>
              <w:wordWrap/>
              <w:overflowPunct/>
              <w:topLinePunct w:val="0"/>
              <w:bidi w:val="0"/>
              <w:adjustRightInd w:val="0"/>
              <w:snapToGrid w:val="0"/>
              <w:jc w:val="center"/>
              <w:textAlignment w:val="auto"/>
              <w:rPr>
                <w:color w:val="auto"/>
                <w:kern w:val="0"/>
                <w:sz w:val="24"/>
              </w:rPr>
            </w:pPr>
            <w:r>
              <w:rPr>
                <w:color w:val="auto"/>
                <w:kern w:val="0"/>
                <w:sz w:val="24"/>
              </w:rPr>
              <w:t>施工工期</w:t>
            </w:r>
          </w:p>
        </w:tc>
        <w:tc>
          <w:tcPr>
            <w:tcW w:w="2986" w:type="dxa"/>
            <w:tcBorders>
              <w:tl2br w:val="nil"/>
              <w:tr2bl w:val="nil"/>
            </w:tcBorders>
            <w:vAlign w:val="center"/>
          </w:tcPr>
          <w:p w14:paraId="085185DC">
            <w:pPr>
              <w:keepNext/>
              <w:keepLines/>
              <w:pageBreakBefore w:val="0"/>
              <w:widowControl w:val="0"/>
              <w:kinsoku/>
              <w:wordWrap/>
              <w:overflowPunct/>
              <w:topLinePunct w:val="0"/>
              <w:bidi w:val="0"/>
              <w:adjustRightInd w:val="0"/>
              <w:snapToGrid w:val="0"/>
              <w:jc w:val="center"/>
              <w:textAlignment w:val="auto"/>
              <w:rPr>
                <w:color w:val="auto"/>
                <w:kern w:val="0"/>
                <w:sz w:val="24"/>
              </w:rPr>
            </w:pPr>
            <w:r>
              <w:rPr>
                <w:rFonts w:hint="eastAsia"/>
                <w:color w:val="auto"/>
                <w:kern w:val="0"/>
                <w:sz w:val="24"/>
              </w:rPr>
              <w:t>2个月</w:t>
            </w:r>
          </w:p>
        </w:tc>
      </w:tr>
      <w:tr w14:paraId="734AC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78" w:type="dxa"/>
            <w:gridSpan w:val="2"/>
            <w:tcBorders>
              <w:tl2br w:val="nil"/>
              <w:tr2bl w:val="nil"/>
            </w:tcBorders>
            <w:tcMar>
              <w:top w:w="16" w:type="dxa"/>
              <w:left w:w="16" w:type="dxa"/>
              <w:right w:w="16" w:type="dxa"/>
            </w:tcMar>
            <w:vAlign w:val="center"/>
          </w:tcPr>
          <w:p w14:paraId="07D29CAC">
            <w:pPr>
              <w:keepNext/>
              <w:keepLines/>
              <w:pageBreakBefore w:val="0"/>
              <w:widowControl w:val="0"/>
              <w:kinsoku/>
              <w:wordWrap/>
              <w:overflowPunct/>
              <w:topLinePunct w:val="0"/>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是否开工建设</w:t>
            </w:r>
          </w:p>
        </w:tc>
        <w:tc>
          <w:tcPr>
            <w:tcW w:w="2384" w:type="dxa"/>
            <w:tcBorders>
              <w:tl2br w:val="nil"/>
              <w:tr2bl w:val="nil"/>
            </w:tcBorders>
            <w:vAlign w:val="center"/>
          </w:tcPr>
          <w:p w14:paraId="69E27928">
            <w:pPr>
              <w:keepNext/>
              <w:keepLines/>
              <w:pageBreakBefore w:val="0"/>
              <w:widowControl w:val="0"/>
              <w:kinsoku/>
              <w:wordWrap/>
              <w:overflowPunct/>
              <w:topLinePunct w:val="0"/>
              <w:bidi w:val="0"/>
              <w:adjustRightInd w:val="0"/>
              <w:snapToGrid w:val="0"/>
              <w:textAlignment w:val="auto"/>
              <w:rPr>
                <w:color w:val="auto"/>
                <w:kern w:val="0"/>
                <w:sz w:val="24"/>
              </w:rPr>
            </w:pPr>
            <w:r>
              <w:rPr>
                <w:rFonts w:hint="eastAsia"/>
                <w:color w:val="auto"/>
                <w:sz w:val="24"/>
              </w:rPr>
              <w:t>☑</w:t>
            </w:r>
            <w:r>
              <w:rPr>
                <w:color w:val="auto"/>
                <w:kern w:val="0"/>
                <w:sz w:val="24"/>
              </w:rPr>
              <w:t>否</w:t>
            </w:r>
          </w:p>
          <w:p w14:paraId="5DB350F0">
            <w:pPr>
              <w:keepNext/>
              <w:keepLines/>
              <w:pageBreakBefore w:val="0"/>
              <w:widowControl w:val="0"/>
              <w:kinsoku/>
              <w:wordWrap/>
              <w:overflowPunct/>
              <w:topLinePunct w:val="0"/>
              <w:bidi w:val="0"/>
              <w:adjustRightInd w:val="0"/>
              <w:snapToGrid w:val="0"/>
              <w:textAlignment w:val="auto"/>
              <w:rPr>
                <w:color w:val="auto"/>
                <w:kern w:val="0"/>
                <w:sz w:val="24"/>
              </w:rPr>
            </w:pPr>
            <w:r>
              <w:rPr>
                <w:rFonts w:hint="eastAsia" w:ascii="宋体" w:hAnsi="宋体" w:cs="宋体"/>
                <w:color w:val="auto"/>
                <w:kern w:val="0"/>
                <w:sz w:val="24"/>
              </w:rPr>
              <w:t>□</w:t>
            </w:r>
            <w:r>
              <w:rPr>
                <w:color w:val="auto"/>
                <w:kern w:val="0"/>
                <w:sz w:val="24"/>
              </w:rPr>
              <w:t>是：</w:t>
            </w:r>
            <w:r>
              <w:rPr>
                <w:rFonts w:hint="eastAsia"/>
                <w:color w:val="auto"/>
                <w:kern w:val="0"/>
                <w:sz w:val="24"/>
                <w:u w:val="single"/>
              </w:rPr>
              <w:t xml:space="preserve">      </w:t>
            </w:r>
          </w:p>
        </w:tc>
        <w:tc>
          <w:tcPr>
            <w:tcW w:w="2243" w:type="dxa"/>
            <w:tcBorders>
              <w:tl2br w:val="nil"/>
              <w:tr2bl w:val="nil"/>
            </w:tcBorders>
            <w:tcMar>
              <w:top w:w="16" w:type="dxa"/>
              <w:left w:w="16" w:type="dxa"/>
              <w:right w:w="16" w:type="dxa"/>
            </w:tcMar>
            <w:vAlign w:val="center"/>
          </w:tcPr>
          <w:p w14:paraId="145F1C3D">
            <w:pPr>
              <w:keepNext/>
              <w:keepLines/>
              <w:pageBreakBefore w:val="0"/>
              <w:widowControl w:val="0"/>
              <w:kinsoku/>
              <w:wordWrap/>
              <w:overflowPunct/>
              <w:topLinePunct w:val="0"/>
              <w:bidi w:val="0"/>
              <w:adjustRightInd w:val="0"/>
              <w:snapToGrid w:val="0"/>
              <w:jc w:val="center"/>
              <w:textAlignment w:val="auto"/>
              <w:rPr>
                <w:color w:val="auto"/>
                <w:kern w:val="0"/>
                <w:sz w:val="24"/>
              </w:rPr>
            </w:pPr>
            <w:r>
              <w:rPr>
                <w:color w:val="auto"/>
                <w:kern w:val="0"/>
                <w:sz w:val="24"/>
              </w:rPr>
              <w:t>用地（用海）</w:t>
            </w:r>
          </w:p>
          <w:p w14:paraId="0E131A21">
            <w:pPr>
              <w:keepNext/>
              <w:keepLines/>
              <w:pageBreakBefore w:val="0"/>
              <w:widowControl w:val="0"/>
              <w:kinsoku/>
              <w:wordWrap/>
              <w:overflowPunct/>
              <w:topLinePunct w:val="0"/>
              <w:bidi w:val="0"/>
              <w:adjustRightInd w:val="0"/>
              <w:snapToGrid w:val="0"/>
              <w:jc w:val="center"/>
              <w:textAlignment w:val="auto"/>
              <w:rPr>
                <w:color w:val="auto"/>
                <w:kern w:val="0"/>
                <w:sz w:val="24"/>
              </w:rPr>
            </w:pPr>
            <w:r>
              <w:rPr>
                <w:color w:val="auto"/>
                <w:kern w:val="0"/>
                <w:sz w:val="24"/>
              </w:rPr>
              <w:t>面积（m</w:t>
            </w:r>
            <w:r>
              <w:rPr>
                <w:color w:val="auto"/>
                <w:kern w:val="0"/>
                <w:sz w:val="24"/>
                <w:vertAlign w:val="superscript"/>
              </w:rPr>
              <w:t>2</w:t>
            </w:r>
            <w:r>
              <w:rPr>
                <w:color w:val="auto"/>
                <w:kern w:val="0"/>
                <w:sz w:val="24"/>
              </w:rPr>
              <w:t>）</w:t>
            </w:r>
          </w:p>
        </w:tc>
        <w:tc>
          <w:tcPr>
            <w:tcW w:w="2986" w:type="dxa"/>
            <w:tcBorders>
              <w:tl2br w:val="nil"/>
              <w:tr2bl w:val="nil"/>
            </w:tcBorders>
            <w:vAlign w:val="center"/>
          </w:tcPr>
          <w:p w14:paraId="7E54163D">
            <w:pPr>
              <w:keepNext/>
              <w:keepLines/>
              <w:pageBreakBefore w:val="0"/>
              <w:widowControl w:val="0"/>
              <w:kinsoku/>
              <w:wordWrap/>
              <w:overflowPunct/>
              <w:topLinePunct w:val="0"/>
              <w:bidi w:val="0"/>
              <w:adjustRightInd w:val="0"/>
              <w:snapToGrid w:val="0"/>
              <w:jc w:val="center"/>
              <w:textAlignment w:val="auto"/>
              <w:rPr>
                <w:rFonts w:hint="default" w:eastAsia="宋体"/>
                <w:color w:val="auto"/>
                <w:kern w:val="0"/>
                <w:sz w:val="24"/>
                <w:lang w:val="en-US" w:eastAsia="zh-CN"/>
              </w:rPr>
            </w:pPr>
            <w:r>
              <w:rPr>
                <w:rFonts w:hint="eastAsia"/>
                <w:color w:val="auto"/>
                <w:sz w:val="24"/>
                <w:lang w:val="en-US" w:eastAsia="zh-CN"/>
              </w:rPr>
              <w:t>11000</w:t>
            </w:r>
          </w:p>
        </w:tc>
      </w:tr>
      <w:tr w14:paraId="00840E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1378" w:type="dxa"/>
            <w:gridSpan w:val="2"/>
            <w:tcBorders>
              <w:tl2br w:val="nil"/>
              <w:tr2bl w:val="nil"/>
            </w:tcBorders>
            <w:vAlign w:val="center"/>
          </w:tcPr>
          <w:p w14:paraId="6BBB74D4">
            <w:pPr>
              <w:keepNext/>
              <w:keepLines/>
              <w:pageBreakBefore w:val="0"/>
              <w:widowControl w:val="0"/>
              <w:kinsoku/>
              <w:wordWrap/>
              <w:overflowPunct/>
              <w:topLinePunct w:val="0"/>
              <w:autoSpaceDE w:val="0"/>
              <w:autoSpaceDN w:val="0"/>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专项评价设置情况</w:t>
            </w:r>
          </w:p>
        </w:tc>
        <w:tc>
          <w:tcPr>
            <w:tcW w:w="7613" w:type="dxa"/>
            <w:gridSpan w:val="3"/>
            <w:tcBorders>
              <w:tl2br w:val="nil"/>
              <w:tr2bl w:val="nil"/>
            </w:tcBorders>
            <w:vAlign w:val="center"/>
          </w:tcPr>
          <w:p w14:paraId="0214BF14">
            <w:pPr>
              <w:spacing w:line="360" w:lineRule="auto"/>
              <w:ind w:firstLine="480" w:firstLineChars="200"/>
              <w:rPr>
                <w:color w:val="auto"/>
                <w:kern w:val="0"/>
                <w:sz w:val="24"/>
              </w:rPr>
            </w:pPr>
            <w:r>
              <w:rPr>
                <w:rFonts w:hint="eastAsia"/>
                <w:color w:val="auto"/>
                <w:kern w:val="0"/>
                <w:sz w:val="24"/>
              </w:rPr>
              <w:t>根据《</w:t>
            </w:r>
            <w:r>
              <w:rPr>
                <w:color w:val="auto"/>
                <w:kern w:val="0"/>
                <w:sz w:val="24"/>
              </w:rPr>
              <w:t>建设项目环境影响报告表编制技术指南</w:t>
            </w:r>
            <w:r>
              <w:rPr>
                <w:rFonts w:hint="eastAsia"/>
                <w:color w:val="auto"/>
                <w:kern w:val="0"/>
                <w:sz w:val="24"/>
              </w:rPr>
              <w:t>》（污染影响类），本项目无需设置专项评价。</w:t>
            </w:r>
          </w:p>
          <w:p w14:paraId="76D49CFF">
            <w:pPr>
              <w:pStyle w:val="17"/>
              <w:spacing w:after="0"/>
              <w:ind w:left="0" w:leftChars="0" w:firstLine="0" w:firstLineChars="0"/>
              <w:jc w:val="center"/>
              <w:rPr>
                <w:b/>
                <w:bCs/>
                <w:color w:val="auto"/>
              </w:rPr>
            </w:pPr>
            <w:r>
              <w:rPr>
                <w:b/>
                <w:bCs/>
                <w:color w:val="auto"/>
                <w:sz w:val="24"/>
              </w:rPr>
              <w:t>表1</w:t>
            </w:r>
            <w:r>
              <w:rPr>
                <w:rFonts w:hint="eastAsia"/>
                <w:b/>
                <w:bCs/>
                <w:color w:val="auto"/>
                <w:sz w:val="24"/>
              </w:rPr>
              <w:t>.</w:t>
            </w:r>
            <w:r>
              <w:rPr>
                <w:b/>
                <w:bCs/>
                <w:color w:val="auto"/>
                <w:sz w:val="24"/>
              </w:rPr>
              <w:t>1  专项评价情况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4185"/>
              <w:gridCol w:w="2376"/>
            </w:tblGrid>
            <w:tr w14:paraId="07F8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Align w:val="center"/>
                </w:tcPr>
                <w:p w14:paraId="2CFEFE28">
                  <w:pPr>
                    <w:jc w:val="center"/>
                    <w:rPr>
                      <w:color w:val="auto"/>
                      <w:szCs w:val="21"/>
                    </w:rPr>
                  </w:pPr>
                  <w:r>
                    <w:rPr>
                      <w:color w:val="auto"/>
                      <w:szCs w:val="21"/>
                    </w:rPr>
                    <w:t>专项评价类别</w:t>
                  </w:r>
                </w:p>
              </w:tc>
              <w:tc>
                <w:tcPr>
                  <w:tcW w:w="2832" w:type="pct"/>
                  <w:vAlign w:val="center"/>
                </w:tcPr>
                <w:p w14:paraId="658A936E">
                  <w:pPr>
                    <w:jc w:val="center"/>
                    <w:rPr>
                      <w:color w:val="auto"/>
                      <w:szCs w:val="21"/>
                    </w:rPr>
                  </w:pPr>
                  <w:r>
                    <w:rPr>
                      <w:color w:val="auto"/>
                      <w:szCs w:val="21"/>
                    </w:rPr>
                    <w:t>设置原则</w:t>
                  </w:r>
                </w:p>
              </w:tc>
              <w:tc>
                <w:tcPr>
                  <w:tcW w:w="1608" w:type="pct"/>
                  <w:vAlign w:val="center"/>
                </w:tcPr>
                <w:p w14:paraId="7888B090">
                  <w:pPr>
                    <w:jc w:val="center"/>
                    <w:rPr>
                      <w:color w:val="auto"/>
                      <w:szCs w:val="21"/>
                    </w:rPr>
                  </w:pPr>
                  <w:r>
                    <w:rPr>
                      <w:color w:val="auto"/>
                      <w:szCs w:val="21"/>
                    </w:rPr>
                    <w:t>本项目情况</w:t>
                  </w:r>
                </w:p>
              </w:tc>
            </w:tr>
            <w:tr w14:paraId="71BA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Align w:val="center"/>
                </w:tcPr>
                <w:p w14:paraId="4C3B9D04">
                  <w:pPr>
                    <w:jc w:val="center"/>
                    <w:rPr>
                      <w:color w:val="auto"/>
                      <w:szCs w:val="21"/>
                    </w:rPr>
                  </w:pPr>
                  <w:r>
                    <w:rPr>
                      <w:color w:val="auto"/>
                      <w:szCs w:val="21"/>
                    </w:rPr>
                    <w:t>大气</w:t>
                  </w:r>
                </w:p>
              </w:tc>
              <w:tc>
                <w:tcPr>
                  <w:tcW w:w="2832" w:type="pct"/>
                  <w:vAlign w:val="center"/>
                </w:tcPr>
                <w:p w14:paraId="0E9DCE96">
                  <w:pPr>
                    <w:jc w:val="center"/>
                    <w:rPr>
                      <w:color w:val="auto"/>
                      <w:szCs w:val="21"/>
                    </w:rPr>
                  </w:pPr>
                  <w:r>
                    <w:rPr>
                      <w:color w:val="auto"/>
                      <w:szCs w:val="21"/>
                    </w:rPr>
                    <w:t>排放废气含有毒有害污染物、二噁英、苯并[α]芘、氰化物、氯气且厂界外500米范围内有环境空气保护目标的建设项目。</w:t>
                  </w:r>
                </w:p>
              </w:tc>
              <w:tc>
                <w:tcPr>
                  <w:tcW w:w="1608" w:type="pct"/>
                  <w:vAlign w:val="center"/>
                </w:tcPr>
                <w:p w14:paraId="0F04B27B">
                  <w:pPr>
                    <w:jc w:val="center"/>
                    <w:rPr>
                      <w:color w:val="auto"/>
                      <w:szCs w:val="21"/>
                    </w:rPr>
                  </w:pPr>
                  <w:r>
                    <w:rPr>
                      <w:rFonts w:hint="eastAsia"/>
                      <w:color w:val="auto"/>
                      <w:szCs w:val="21"/>
                    </w:rPr>
                    <w:t>本项目不涉及</w:t>
                  </w:r>
                  <w:r>
                    <w:rPr>
                      <w:color w:val="auto"/>
                      <w:szCs w:val="21"/>
                    </w:rPr>
                    <w:t>有毒有害污染物、二噁英、苯并[α]芘、氰化物、氯气</w:t>
                  </w:r>
                  <w:r>
                    <w:rPr>
                      <w:rFonts w:hint="eastAsia"/>
                      <w:color w:val="auto"/>
                      <w:szCs w:val="21"/>
                    </w:rPr>
                    <w:t>等气体。</w:t>
                  </w:r>
                </w:p>
              </w:tc>
            </w:tr>
            <w:tr w14:paraId="7205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Align w:val="center"/>
                </w:tcPr>
                <w:p w14:paraId="18C49CD1">
                  <w:pPr>
                    <w:jc w:val="center"/>
                    <w:rPr>
                      <w:color w:val="auto"/>
                      <w:szCs w:val="21"/>
                    </w:rPr>
                  </w:pPr>
                  <w:r>
                    <w:rPr>
                      <w:color w:val="auto"/>
                      <w:szCs w:val="21"/>
                    </w:rPr>
                    <w:t>地表水</w:t>
                  </w:r>
                </w:p>
              </w:tc>
              <w:tc>
                <w:tcPr>
                  <w:tcW w:w="2832" w:type="pct"/>
                  <w:vAlign w:val="center"/>
                </w:tcPr>
                <w:p w14:paraId="5F7D0046">
                  <w:pPr>
                    <w:jc w:val="center"/>
                    <w:rPr>
                      <w:color w:val="auto"/>
                      <w:szCs w:val="21"/>
                    </w:rPr>
                  </w:pPr>
                  <w:r>
                    <w:rPr>
                      <w:color w:val="auto"/>
                      <w:szCs w:val="21"/>
                    </w:rPr>
                    <w:t>新增工业废水直排建设项目（槽罐车外送污水处理厂的除外）；</w:t>
                  </w:r>
                </w:p>
              </w:tc>
              <w:tc>
                <w:tcPr>
                  <w:tcW w:w="1608" w:type="pct"/>
                  <w:vAlign w:val="center"/>
                </w:tcPr>
                <w:p w14:paraId="1D087052">
                  <w:pPr>
                    <w:jc w:val="center"/>
                    <w:rPr>
                      <w:color w:val="auto"/>
                      <w:szCs w:val="21"/>
                    </w:rPr>
                  </w:pPr>
                  <w:r>
                    <w:rPr>
                      <w:rFonts w:hint="eastAsia"/>
                      <w:color w:val="auto"/>
                      <w:szCs w:val="21"/>
                    </w:rPr>
                    <w:t>本项目不涉及新增工业污水直排。</w:t>
                  </w:r>
                </w:p>
              </w:tc>
            </w:tr>
            <w:tr w14:paraId="7888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Align w:val="center"/>
                </w:tcPr>
                <w:p w14:paraId="6A23EEA6">
                  <w:pPr>
                    <w:jc w:val="center"/>
                    <w:rPr>
                      <w:color w:val="auto"/>
                      <w:szCs w:val="21"/>
                    </w:rPr>
                  </w:pPr>
                  <w:r>
                    <w:rPr>
                      <w:color w:val="auto"/>
                      <w:szCs w:val="21"/>
                    </w:rPr>
                    <w:t>环境风险</w:t>
                  </w:r>
                </w:p>
              </w:tc>
              <w:tc>
                <w:tcPr>
                  <w:tcW w:w="2832" w:type="pct"/>
                  <w:vAlign w:val="center"/>
                </w:tcPr>
                <w:p w14:paraId="4E47EA6C">
                  <w:pPr>
                    <w:jc w:val="center"/>
                    <w:rPr>
                      <w:color w:val="auto"/>
                      <w:szCs w:val="21"/>
                    </w:rPr>
                  </w:pPr>
                  <w:r>
                    <w:rPr>
                      <w:color w:val="auto"/>
                      <w:szCs w:val="21"/>
                    </w:rPr>
                    <w:t>有毒有害和易燃易爆危险物质存储量超过临界量的建设项目</w:t>
                  </w:r>
                </w:p>
              </w:tc>
              <w:tc>
                <w:tcPr>
                  <w:tcW w:w="1608" w:type="pct"/>
                  <w:vAlign w:val="center"/>
                </w:tcPr>
                <w:p w14:paraId="7020D556">
                  <w:pPr>
                    <w:jc w:val="center"/>
                    <w:rPr>
                      <w:color w:val="auto"/>
                      <w:szCs w:val="21"/>
                    </w:rPr>
                  </w:pPr>
                  <w:r>
                    <w:rPr>
                      <w:color w:val="auto"/>
                      <w:szCs w:val="21"/>
                    </w:rPr>
                    <w:t>项目有毒有害和易燃易爆危险物质存储量</w:t>
                  </w:r>
                  <w:r>
                    <w:rPr>
                      <w:rFonts w:hint="eastAsia"/>
                      <w:color w:val="auto"/>
                      <w:szCs w:val="21"/>
                    </w:rPr>
                    <w:t>未</w:t>
                  </w:r>
                  <w:r>
                    <w:rPr>
                      <w:color w:val="auto"/>
                      <w:szCs w:val="21"/>
                    </w:rPr>
                    <w:t>超过临界量，</w:t>
                  </w:r>
                  <w:r>
                    <w:rPr>
                      <w:rFonts w:hint="eastAsia"/>
                      <w:color w:val="auto"/>
                      <w:szCs w:val="21"/>
                    </w:rPr>
                    <w:t>无需</w:t>
                  </w:r>
                  <w:r>
                    <w:rPr>
                      <w:color w:val="auto"/>
                      <w:szCs w:val="21"/>
                    </w:rPr>
                    <w:t>设置风险专项评价</w:t>
                  </w:r>
                  <w:r>
                    <w:rPr>
                      <w:rFonts w:hint="eastAsia"/>
                      <w:color w:val="auto"/>
                      <w:szCs w:val="21"/>
                    </w:rPr>
                    <w:t>。</w:t>
                  </w:r>
                </w:p>
              </w:tc>
            </w:tr>
            <w:tr w14:paraId="62BD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Align w:val="center"/>
                </w:tcPr>
                <w:p w14:paraId="2857188C">
                  <w:pPr>
                    <w:jc w:val="center"/>
                    <w:rPr>
                      <w:color w:val="auto"/>
                      <w:szCs w:val="21"/>
                    </w:rPr>
                  </w:pPr>
                  <w:r>
                    <w:rPr>
                      <w:color w:val="auto"/>
                      <w:szCs w:val="21"/>
                    </w:rPr>
                    <w:t>生态</w:t>
                  </w:r>
                </w:p>
              </w:tc>
              <w:tc>
                <w:tcPr>
                  <w:tcW w:w="2832" w:type="pct"/>
                  <w:vAlign w:val="center"/>
                </w:tcPr>
                <w:p w14:paraId="5C22B0B5">
                  <w:pPr>
                    <w:jc w:val="center"/>
                    <w:rPr>
                      <w:color w:val="auto"/>
                      <w:szCs w:val="21"/>
                    </w:rPr>
                  </w:pPr>
                  <w:r>
                    <w:rPr>
                      <w:color w:val="auto"/>
                      <w:szCs w:val="21"/>
                    </w:rPr>
                    <w:t>取水口下游500米范围内有重要水生生物的自然产卵场、索饵场、越冬场和洄游通道的新增河道</w:t>
                  </w:r>
                  <w:r>
                    <w:rPr>
                      <w:rFonts w:hint="eastAsia"/>
                      <w:color w:val="auto"/>
                      <w:szCs w:val="21"/>
                    </w:rPr>
                    <w:t>取水</w:t>
                  </w:r>
                  <w:r>
                    <w:rPr>
                      <w:color w:val="auto"/>
                      <w:szCs w:val="21"/>
                    </w:rPr>
                    <w:t>的污染类建设项目</w:t>
                  </w:r>
                </w:p>
              </w:tc>
              <w:tc>
                <w:tcPr>
                  <w:tcW w:w="1608" w:type="pct"/>
                  <w:vAlign w:val="center"/>
                </w:tcPr>
                <w:p w14:paraId="6EAD5AD1">
                  <w:pPr>
                    <w:jc w:val="center"/>
                    <w:rPr>
                      <w:color w:val="auto"/>
                      <w:szCs w:val="21"/>
                    </w:rPr>
                  </w:pPr>
                  <w:r>
                    <w:rPr>
                      <w:rFonts w:hint="eastAsia"/>
                      <w:color w:val="auto"/>
                      <w:szCs w:val="21"/>
                    </w:rPr>
                    <w:t>本项目不涉及。</w:t>
                  </w:r>
                </w:p>
              </w:tc>
            </w:tr>
            <w:tr w14:paraId="1301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Align w:val="center"/>
                </w:tcPr>
                <w:p w14:paraId="3AB2CEB9">
                  <w:pPr>
                    <w:jc w:val="center"/>
                    <w:rPr>
                      <w:color w:val="auto"/>
                      <w:szCs w:val="21"/>
                    </w:rPr>
                  </w:pPr>
                  <w:r>
                    <w:rPr>
                      <w:color w:val="auto"/>
                      <w:szCs w:val="21"/>
                    </w:rPr>
                    <w:t>海洋</w:t>
                  </w:r>
                </w:p>
              </w:tc>
              <w:tc>
                <w:tcPr>
                  <w:tcW w:w="2832" w:type="pct"/>
                  <w:vAlign w:val="center"/>
                </w:tcPr>
                <w:p w14:paraId="4CBD2ACE">
                  <w:pPr>
                    <w:jc w:val="center"/>
                    <w:rPr>
                      <w:color w:val="auto"/>
                      <w:szCs w:val="21"/>
                    </w:rPr>
                  </w:pPr>
                  <w:r>
                    <w:rPr>
                      <w:color w:val="auto"/>
                      <w:szCs w:val="21"/>
                    </w:rPr>
                    <w:t>直接向海排放污染物的海洋工程建设项目</w:t>
                  </w:r>
                </w:p>
              </w:tc>
              <w:tc>
                <w:tcPr>
                  <w:tcW w:w="1608" w:type="pct"/>
                  <w:vAlign w:val="center"/>
                </w:tcPr>
                <w:p w14:paraId="50278646">
                  <w:pPr>
                    <w:jc w:val="center"/>
                    <w:rPr>
                      <w:color w:val="auto"/>
                      <w:szCs w:val="21"/>
                    </w:rPr>
                  </w:pPr>
                  <w:r>
                    <w:rPr>
                      <w:rFonts w:hint="eastAsia"/>
                      <w:color w:val="auto"/>
                      <w:szCs w:val="21"/>
                    </w:rPr>
                    <w:t>本项目不涉及。</w:t>
                  </w:r>
                </w:p>
              </w:tc>
            </w:tr>
          </w:tbl>
          <w:p w14:paraId="50701F91">
            <w:pPr>
              <w:keepNext/>
              <w:keepLines/>
              <w:pageBreakBefore w:val="0"/>
              <w:widowControl w:val="0"/>
              <w:kinsoku/>
              <w:wordWrap/>
              <w:overflowPunct/>
              <w:topLinePunct w:val="0"/>
              <w:autoSpaceDE w:val="0"/>
              <w:autoSpaceDN w:val="0"/>
              <w:bidi w:val="0"/>
              <w:adjustRightInd w:val="0"/>
              <w:snapToGrid w:val="0"/>
              <w:jc w:val="center"/>
              <w:textAlignment w:val="auto"/>
              <w:rPr>
                <w:rFonts w:ascii="宋体" w:hAnsi="宋体" w:cs="宋体"/>
                <w:color w:val="auto"/>
                <w:kern w:val="0"/>
                <w:sz w:val="24"/>
              </w:rPr>
            </w:pPr>
          </w:p>
        </w:tc>
      </w:tr>
      <w:tr w14:paraId="60DB01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94" w:hRule="atLeast"/>
          <w:jc w:val="center"/>
        </w:trPr>
        <w:tc>
          <w:tcPr>
            <w:tcW w:w="1378" w:type="dxa"/>
            <w:gridSpan w:val="2"/>
            <w:tcBorders>
              <w:tl2br w:val="nil"/>
              <w:tr2bl w:val="nil"/>
            </w:tcBorders>
            <w:vAlign w:val="center"/>
          </w:tcPr>
          <w:p w14:paraId="3072DA70">
            <w:pPr>
              <w:keepNext/>
              <w:keepLines/>
              <w:pageBreakBefore w:val="0"/>
              <w:widowControl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规划情况</w:t>
            </w:r>
          </w:p>
        </w:tc>
        <w:tc>
          <w:tcPr>
            <w:tcW w:w="7613" w:type="dxa"/>
            <w:gridSpan w:val="3"/>
            <w:tcBorders>
              <w:tl2br w:val="nil"/>
              <w:tr2bl w:val="nil"/>
            </w:tcBorders>
            <w:vAlign w:val="center"/>
          </w:tcPr>
          <w:p w14:paraId="28EAA51C">
            <w:pPr>
              <w:pStyle w:val="1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sz w:val="24"/>
                <w:szCs w:val="24"/>
                <w:lang w:eastAsia="zh-CN"/>
              </w:rPr>
            </w:pPr>
            <w:r>
              <w:rPr>
                <w:rFonts w:hint="eastAsia"/>
                <w:b/>
                <w:bCs/>
                <w:sz w:val="24"/>
                <w:szCs w:val="24"/>
                <w:lang w:eastAsia="zh-CN"/>
              </w:rPr>
              <w:t>规划名称：</w:t>
            </w:r>
            <w:r>
              <w:rPr>
                <w:rFonts w:hint="eastAsia"/>
                <w:sz w:val="24"/>
                <w:szCs w:val="24"/>
                <w:lang w:eastAsia="zh-CN"/>
              </w:rPr>
              <w:t>宿州市埇桥区顺河镇国土空间总体规划（2021-2035年）</w:t>
            </w:r>
          </w:p>
          <w:p w14:paraId="7EF59BF5">
            <w:pPr>
              <w:pStyle w:val="1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lang w:eastAsia="zh-CN"/>
              </w:rPr>
            </w:pPr>
            <w:r>
              <w:rPr>
                <w:rFonts w:hint="default" w:ascii="Times New Roman" w:hAnsi="Times New Roman" w:eastAsia="宋体" w:cs="Times New Roman"/>
                <w:b/>
                <w:bCs/>
                <w:color w:val="000000"/>
                <w:kern w:val="0"/>
                <w:sz w:val="24"/>
                <w:szCs w:val="24"/>
                <w:lang w:val="en-US" w:eastAsia="zh-CN" w:bidi="ar"/>
              </w:rPr>
              <w:t>审批机关</w:t>
            </w:r>
            <w:r>
              <w:rPr>
                <w:rFonts w:hint="default" w:ascii="Times New Roman" w:hAnsi="Times New Roman" w:eastAsia="宋体" w:cs="Times New Roman"/>
                <w:color w:val="000000"/>
                <w:kern w:val="0"/>
                <w:sz w:val="24"/>
                <w:szCs w:val="24"/>
                <w:lang w:val="en-US" w:eastAsia="zh-CN" w:bidi="ar"/>
              </w:rPr>
              <w:t>：</w:t>
            </w:r>
            <w:r>
              <w:rPr>
                <w:rFonts w:hint="eastAsia"/>
                <w:color w:val="000000"/>
                <w:sz w:val="24"/>
                <w:szCs w:val="24"/>
                <w:lang w:val="en-US" w:eastAsia="zh-CN"/>
              </w:rPr>
              <w:t>埇桥区人民政府</w:t>
            </w:r>
          </w:p>
        </w:tc>
      </w:tr>
      <w:tr w14:paraId="2B267B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2" w:hRule="atLeast"/>
          <w:jc w:val="center"/>
        </w:trPr>
        <w:tc>
          <w:tcPr>
            <w:tcW w:w="1378" w:type="dxa"/>
            <w:gridSpan w:val="2"/>
            <w:tcBorders>
              <w:tl2br w:val="nil"/>
              <w:tr2bl w:val="nil"/>
            </w:tcBorders>
            <w:vAlign w:val="center"/>
          </w:tcPr>
          <w:p w14:paraId="577D2085">
            <w:pPr>
              <w:keepNext/>
              <w:keepLines/>
              <w:pageBreakBefore w:val="0"/>
              <w:widowControl w:val="0"/>
              <w:kinsoku/>
              <w:wordWrap/>
              <w:overflowPunct/>
              <w:topLinePunct w:val="0"/>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规划环境影响评价情况</w:t>
            </w:r>
          </w:p>
        </w:tc>
        <w:tc>
          <w:tcPr>
            <w:tcW w:w="7613" w:type="dxa"/>
            <w:gridSpan w:val="3"/>
            <w:tcBorders>
              <w:tl2br w:val="nil"/>
              <w:tr2bl w:val="nil"/>
            </w:tcBorders>
            <w:vAlign w:val="center"/>
          </w:tcPr>
          <w:p w14:paraId="03D59C5A">
            <w:pPr>
              <w:keepNext/>
              <w:keepLines/>
              <w:pageBreakBefore w:val="0"/>
              <w:widowControl w:val="0"/>
              <w:kinsoku/>
              <w:wordWrap/>
              <w:overflowPunct/>
              <w:topLinePunct w:val="0"/>
              <w:autoSpaceDE w:val="0"/>
              <w:autoSpaceDN w:val="0"/>
              <w:bidi w:val="0"/>
              <w:adjustRightInd w:val="0"/>
              <w:snapToGrid w:val="0"/>
              <w:spacing w:line="312" w:lineRule="auto"/>
              <w:jc w:val="center"/>
              <w:textAlignment w:val="auto"/>
              <w:rPr>
                <w:rFonts w:ascii="宋体" w:hAnsi="宋体" w:cs="宋体"/>
                <w:color w:val="auto"/>
                <w:kern w:val="0"/>
                <w:sz w:val="24"/>
              </w:rPr>
            </w:pPr>
            <w:r>
              <w:rPr>
                <w:rFonts w:hint="eastAsia" w:ascii="宋体" w:hAnsi="宋体" w:cs="宋体"/>
                <w:color w:val="auto"/>
                <w:kern w:val="0"/>
                <w:sz w:val="24"/>
              </w:rPr>
              <w:t>无</w:t>
            </w:r>
          </w:p>
        </w:tc>
      </w:tr>
      <w:tr w14:paraId="746A16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18" w:hRule="atLeast"/>
          <w:jc w:val="center"/>
        </w:trPr>
        <w:tc>
          <w:tcPr>
            <w:tcW w:w="1378" w:type="dxa"/>
            <w:gridSpan w:val="2"/>
            <w:tcBorders>
              <w:tl2br w:val="nil"/>
              <w:tr2bl w:val="nil"/>
            </w:tcBorders>
            <w:vAlign w:val="center"/>
          </w:tcPr>
          <w:p w14:paraId="66348D6A">
            <w:pPr>
              <w:keepNext/>
              <w:keepLines/>
              <w:pageBreakBefore w:val="0"/>
              <w:widowControl w:val="0"/>
              <w:kinsoku/>
              <w:wordWrap/>
              <w:overflowPunct/>
              <w:topLinePunct w:val="0"/>
              <w:autoSpaceDE w:val="0"/>
              <w:autoSpaceDN w:val="0"/>
              <w:bidi w:val="0"/>
              <w:adjustRightInd w:val="0"/>
              <w:snapToGrid w:val="0"/>
              <w:jc w:val="center"/>
              <w:textAlignment w:val="auto"/>
              <w:rPr>
                <w:rFonts w:ascii="宋体" w:hAnsi="宋体" w:cs="宋体"/>
                <w:color w:val="auto"/>
                <w:kern w:val="0"/>
                <w:sz w:val="24"/>
              </w:rPr>
            </w:pPr>
            <w:r>
              <w:rPr>
                <w:rFonts w:hint="eastAsia" w:ascii="宋体" w:hAnsi="宋体" w:cs="宋体"/>
                <w:color w:val="auto"/>
                <w:kern w:val="0"/>
                <w:sz w:val="24"/>
              </w:rPr>
              <w:t>规划及规划环境影响评价符合性分析</w:t>
            </w:r>
          </w:p>
        </w:tc>
        <w:tc>
          <w:tcPr>
            <w:tcW w:w="7613" w:type="dxa"/>
            <w:gridSpan w:val="3"/>
            <w:tcBorders>
              <w:tl2br w:val="nil"/>
              <w:tr2bl w:val="nil"/>
            </w:tcBorders>
            <w:vAlign w:val="center"/>
          </w:tcPr>
          <w:p w14:paraId="4497F984">
            <w:pPr>
              <w:keepNext/>
              <w:keepLines/>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eastAsia="宋体" w:cs="宋体"/>
                <w:color w:val="auto"/>
                <w:kern w:val="0"/>
                <w:sz w:val="24"/>
                <w:lang w:val="en-US" w:eastAsia="zh-CN"/>
              </w:rPr>
            </w:pPr>
            <w:r>
              <w:rPr>
                <w:rFonts w:hint="eastAsia"/>
                <w:sz w:val="24"/>
                <w:szCs w:val="24"/>
              </w:rPr>
              <w:t>根据《宿州市埇桥区顺河镇国土空间总体规划（2021-2035年）》相关管控要求，项目选址位于规划工业用地范围内，用地性质与规划定位相符，项目建设符合国土空间规划。</w:t>
            </w:r>
          </w:p>
        </w:tc>
      </w:tr>
      <w:tr w14:paraId="014E30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18" w:hRule="atLeast"/>
          <w:jc w:val="center"/>
        </w:trPr>
        <w:tc>
          <w:tcPr>
            <w:tcW w:w="441" w:type="dxa"/>
            <w:tcBorders>
              <w:tl2br w:val="nil"/>
              <w:tr2bl w:val="nil"/>
            </w:tcBorders>
            <w:vAlign w:val="center"/>
          </w:tcPr>
          <w:p w14:paraId="7156ED2D">
            <w:pPr>
              <w:keepNext/>
              <w:keepLines/>
              <w:pageBreakBefore w:val="0"/>
              <w:widowControl w:val="0"/>
              <w:kinsoku/>
              <w:wordWrap/>
              <w:overflowPunct/>
              <w:topLinePunct w:val="0"/>
              <w:autoSpaceDE w:val="0"/>
              <w:autoSpaceDN w:val="0"/>
              <w:bidi w:val="0"/>
              <w:adjustRightInd w:val="0"/>
              <w:snapToGrid w:val="0"/>
              <w:jc w:val="center"/>
              <w:textAlignment w:val="auto"/>
              <w:rPr>
                <w:rFonts w:hint="eastAsia" w:ascii="宋体" w:hAnsi="宋体" w:cs="宋体"/>
                <w:color w:val="auto"/>
                <w:kern w:val="0"/>
                <w:sz w:val="24"/>
              </w:rPr>
            </w:pPr>
            <w:r>
              <w:rPr>
                <w:rFonts w:hint="eastAsia" w:ascii="宋体" w:hAnsi="宋体" w:cs="宋体"/>
                <w:color w:val="auto"/>
                <w:kern w:val="0"/>
                <w:sz w:val="24"/>
              </w:rPr>
              <w:t>其他符合性分析</w:t>
            </w:r>
          </w:p>
        </w:tc>
        <w:tc>
          <w:tcPr>
            <w:tcW w:w="8550" w:type="dxa"/>
            <w:gridSpan w:val="4"/>
            <w:tcBorders>
              <w:tl2br w:val="nil"/>
              <w:tr2bl w:val="nil"/>
            </w:tcBorders>
            <w:vAlign w:val="center"/>
          </w:tcPr>
          <w:p w14:paraId="6FEF06C7">
            <w:pPr>
              <w:keepNext/>
              <w:keepLines/>
              <w:pageBreakBefore w:val="0"/>
              <w:widowControl w:val="0"/>
              <w:kinsoku/>
              <w:wordWrap/>
              <w:overflowPunct/>
              <w:topLinePunct w:val="0"/>
              <w:autoSpaceDE w:val="0"/>
              <w:autoSpaceDN w:val="0"/>
              <w:bidi w:val="0"/>
              <w:adjustRightInd w:val="0"/>
              <w:snapToGrid w:val="0"/>
              <w:spacing w:before="120" w:beforeLines="50" w:line="360" w:lineRule="auto"/>
              <w:jc w:val="left"/>
              <w:textAlignment w:val="auto"/>
              <w:rPr>
                <w:b/>
                <w:bCs/>
                <w:color w:val="auto"/>
              </w:rPr>
            </w:pPr>
            <w:r>
              <w:rPr>
                <w:rFonts w:hint="eastAsia"/>
                <w:b/>
                <w:bCs/>
                <w:color w:val="auto"/>
                <w:sz w:val="24"/>
              </w:rPr>
              <w:t>1、分区管控与“三线一单”相符性分析</w:t>
            </w:r>
          </w:p>
          <w:p w14:paraId="05DD58F7">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ascii="宋体" w:hAnsi="宋体" w:eastAsia="宋体" w:cs="宋体"/>
                <w:sz w:val="24"/>
                <w:szCs w:val="24"/>
              </w:rPr>
            </w:pPr>
            <w:r>
              <w:rPr>
                <w:rFonts w:hint="default" w:ascii="Times New Roman" w:hAnsi="Times New Roman" w:eastAsia="宋体" w:cs="Times New Roman"/>
                <w:sz w:val="24"/>
                <w:szCs w:val="24"/>
              </w:rPr>
              <w:t>安徽省生态环境厅皖环发〔2026〕1号发布了《安徽省生态环境厅关于印发安徽省生态环境分区管控管理实施细则的通知》，为贯彻落实《中共安徽省委办公厅 安徽省人民政府办公厅关于加强生态环境分区管控的实施意见》，强化我省生态环</w:t>
            </w:r>
            <w:r>
              <w:rPr>
                <w:rFonts w:ascii="宋体" w:hAnsi="宋体" w:eastAsia="宋体" w:cs="宋体"/>
                <w:sz w:val="24"/>
                <w:szCs w:val="24"/>
              </w:rPr>
              <w:t>境分区管控管理，完善生态环境分区管控体系，根据《生态环境部关于印发〈生态环境分区管控管理暂行规定〉的通知》等要求，结合我省实际，实施生态环境分区管控。</w:t>
            </w:r>
          </w:p>
          <w:p w14:paraId="7427E11F">
            <w:pPr>
              <w:pStyle w:val="2"/>
              <w:keepNext/>
              <w:keepLines/>
              <w:pageBreakBefore w:val="0"/>
              <w:widowControl w:val="0"/>
              <w:kinsoku/>
              <w:wordWrap/>
              <w:overflowPunct/>
              <w:topLinePunct w:val="0"/>
              <w:bidi w:val="0"/>
              <w:spacing w:line="360" w:lineRule="auto"/>
              <w:ind w:firstLine="480" w:firstLineChars="200"/>
              <w:textAlignment w:val="auto"/>
              <w:rPr>
                <w:color w:val="auto"/>
              </w:rPr>
            </w:pPr>
            <w:r>
              <w:rPr>
                <w:rFonts w:hint="eastAsia"/>
                <w:color w:val="auto"/>
              </w:rPr>
              <w:t>（1）生</w:t>
            </w:r>
            <w:r>
              <w:rPr>
                <w:color w:val="auto"/>
              </w:rPr>
              <w:t>态保护红线</w:t>
            </w:r>
          </w:p>
          <w:p w14:paraId="32A96EA4">
            <w:pPr>
              <w:keepNext/>
              <w:keepLines/>
              <w:pageBreakBefore w:val="0"/>
              <w:widowControl w:val="0"/>
              <w:suppressLineNumbers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 w:cs="宋?"/>
                <w:color w:val="auto"/>
                <w:kern w:val="2"/>
                <w:sz w:val="24"/>
                <w:szCs w:val="24"/>
                <w:lang w:val="en-US" w:eastAsia="zh-CN" w:bidi="ar-SA"/>
              </w:rPr>
              <w:t>本项目位于</w:t>
            </w:r>
            <w:r>
              <w:rPr>
                <w:rFonts w:hint="default" w:ascii="Times New Roman" w:hAnsi="Times New Roman" w:eastAsia="宋体" w:cs="Times New Roman"/>
                <w:sz w:val="24"/>
                <w:szCs w:val="24"/>
                <w:lang w:eastAsia="zh-CN"/>
              </w:rPr>
              <w:t>安徽省宿州市埇桥区</w:t>
            </w:r>
            <w:r>
              <w:rPr>
                <w:rFonts w:hint="default" w:ascii="Times New Roman" w:hAnsi="Times New Roman" w:eastAsia="宋体" w:cs="Times New Roman"/>
                <w:sz w:val="24"/>
                <w:szCs w:val="24"/>
              </w:rPr>
              <w:t>顺河镇魏庄村魏武路北侧17号</w:t>
            </w:r>
            <w:r>
              <w:rPr>
                <w:color w:val="auto"/>
              </w:rPr>
              <w:t>，</w:t>
            </w:r>
            <w:r>
              <w:rPr>
                <w:rFonts w:hint="default" w:ascii="Times New Roman" w:hAnsi="Times New Roman" w:eastAsia="宋体" w:cs="Times New Roman"/>
                <w:color w:val="auto"/>
                <w:kern w:val="2"/>
                <w:sz w:val="24"/>
                <w:szCs w:val="24"/>
                <w:lang w:val="en-US" w:eastAsia="zh-CN" w:bidi="ar-SA"/>
              </w:rPr>
              <w:t>根据宿州市“三线一单”文本，对照宿州市生态保护红线和宿州市生态空间图，本项目不涉及生态保护红线。详见附图2区域生态红线图。</w:t>
            </w:r>
          </w:p>
          <w:p w14:paraId="12FDA54F">
            <w:pPr>
              <w:pStyle w:val="2"/>
              <w:keepNext/>
              <w:keepLines/>
              <w:pageBreakBefore w:val="0"/>
              <w:widowControl w:val="0"/>
              <w:kinsoku/>
              <w:wordWrap/>
              <w:overflowPunct/>
              <w:topLinePunct w:val="0"/>
              <w:bidi w:val="0"/>
              <w:spacing w:line="360" w:lineRule="auto"/>
              <w:ind w:firstLine="480" w:firstLineChars="200"/>
              <w:textAlignment w:val="auto"/>
              <w:rPr>
                <w:color w:val="auto"/>
              </w:rPr>
            </w:pPr>
            <w:r>
              <w:rPr>
                <w:rFonts w:hint="eastAsia"/>
                <w:color w:val="auto"/>
              </w:rPr>
              <w:t>（2）</w:t>
            </w:r>
            <w:r>
              <w:rPr>
                <w:color w:val="auto"/>
              </w:rPr>
              <w:t>环境质量底线</w:t>
            </w:r>
          </w:p>
          <w:p w14:paraId="367FFF65">
            <w:pPr>
              <w:pStyle w:val="2"/>
              <w:keepNext/>
              <w:keepLines/>
              <w:pageBreakBefore w:val="0"/>
              <w:widowControl w:val="0"/>
              <w:kinsoku/>
              <w:wordWrap/>
              <w:overflowPunct/>
              <w:topLinePunct w:val="0"/>
              <w:bidi w:val="0"/>
              <w:spacing w:line="360" w:lineRule="auto"/>
              <w:ind w:firstLine="480" w:firstLineChars="200"/>
              <w:textAlignment w:val="auto"/>
              <w:rPr>
                <w:color w:val="auto"/>
              </w:rPr>
            </w:pPr>
            <w:r>
              <w:rPr>
                <w:color w:val="auto"/>
              </w:rPr>
              <w:t>①大气环境</w:t>
            </w:r>
          </w:p>
          <w:p w14:paraId="6F8767A8">
            <w:pPr>
              <w:pStyle w:val="2"/>
              <w:keepNext/>
              <w:keepLines/>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lang w:val="en-US" w:eastAsia="zh-CN" w:bidi="ar-SA"/>
              </w:rPr>
              <w:t>根据《宿州市202</w:t>
            </w:r>
            <w:r>
              <w:rPr>
                <w:rFonts w:hint="eastAsia"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年环境质量报告》，O</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、PM</w:t>
            </w:r>
            <w:r>
              <w:rPr>
                <w:rFonts w:hint="default" w:ascii="Times New Roman" w:hAnsi="Times New Roman" w:eastAsia="宋体" w:cs="Times New Roman"/>
                <w:color w:val="auto"/>
                <w:kern w:val="2"/>
                <w:sz w:val="24"/>
                <w:szCs w:val="24"/>
                <w:vertAlign w:val="subscript"/>
                <w:lang w:val="en-US" w:eastAsia="zh-CN" w:bidi="ar-SA"/>
              </w:rPr>
              <w:t>10</w:t>
            </w:r>
            <w:r>
              <w:rPr>
                <w:rFonts w:hint="default" w:ascii="Times New Roman" w:hAnsi="Times New Roman" w:eastAsia="宋体" w:cs="Times New Roman"/>
                <w:color w:val="auto"/>
                <w:kern w:val="2"/>
                <w:sz w:val="24"/>
                <w:szCs w:val="24"/>
                <w:lang w:val="en-US" w:eastAsia="zh-CN" w:bidi="ar-SA"/>
              </w:rPr>
              <w:t>、PM</w:t>
            </w:r>
            <w:r>
              <w:rPr>
                <w:rFonts w:hint="default" w:ascii="Times New Roman" w:hAnsi="Times New Roman" w:eastAsia="宋体" w:cs="Times New Roman"/>
                <w:color w:val="auto"/>
                <w:kern w:val="2"/>
                <w:sz w:val="24"/>
                <w:szCs w:val="24"/>
                <w:vertAlign w:val="subscript"/>
                <w:lang w:val="en-US" w:eastAsia="zh-CN" w:bidi="ar-SA"/>
              </w:rPr>
              <w:t>2.5</w:t>
            </w:r>
            <w:r>
              <w:rPr>
                <w:rFonts w:hint="default" w:ascii="Times New Roman" w:hAnsi="Times New Roman" w:eastAsia="宋体" w:cs="Times New Roman"/>
                <w:color w:val="auto"/>
                <w:kern w:val="2"/>
                <w:sz w:val="24"/>
                <w:szCs w:val="24"/>
                <w:lang w:val="en-US" w:eastAsia="zh-CN" w:bidi="ar-SA"/>
              </w:rPr>
              <w:t>超过《环境空气质量标准》（GB3095-20</w:t>
            </w:r>
            <w:r>
              <w:rPr>
                <w:rFonts w:hint="eastAsia" w:cs="Times New Roman"/>
                <w:color w:val="auto"/>
                <w:kern w:val="2"/>
                <w:sz w:val="24"/>
                <w:szCs w:val="24"/>
                <w:lang w:val="en-US" w:eastAsia="zh-CN" w:bidi="ar-SA"/>
              </w:rPr>
              <w:t>26</w:t>
            </w:r>
            <w:r>
              <w:rPr>
                <w:rFonts w:hint="default" w:ascii="Times New Roman" w:hAnsi="Times New Roman" w:eastAsia="宋体" w:cs="Times New Roman"/>
                <w:color w:val="auto"/>
                <w:kern w:val="2"/>
                <w:sz w:val="24"/>
                <w:szCs w:val="24"/>
                <w:lang w:val="en-US" w:eastAsia="zh-CN" w:bidi="ar-SA"/>
              </w:rPr>
              <w:t>）中二级标准限值，</w:t>
            </w:r>
            <w:r>
              <w:rPr>
                <w:rFonts w:hint="default" w:ascii="Times New Roman" w:hAnsi="Times New Roman" w:eastAsia="宋体" w:cs="Times New Roman"/>
                <w:color w:val="auto"/>
                <w:kern w:val="2"/>
                <w:sz w:val="24"/>
                <w:szCs w:val="24"/>
                <w:highlight w:val="none"/>
                <w:lang w:val="en-US" w:eastAsia="zh-CN" w:bidi="ar-SA"/>
              </w:rPr>
              <w:t>因此，项目所在区域为环境空气质量不达标区。</w:t>
            </w:r>
          </w:p>
          <w:p w14:paraId="1D44DC3B">
            <w:pPr>
              <w:keepNext/>
              <w:keepLines/>
              <w:pageBreakBefore w:val="0"/>
              <w:widowControl w:val="0"/>
              <w:kinsoku/>
              <w:wordWrap/>
              <w:overflowPunct/>
              <w:topLinePunct w:val="0"/>
              <w:bidi w:val="0"/>
              <w:adjustRightInd w:val="0"/>
              <w:snapToGrid w:val="0"/>
              <w:spacing w:line="348" w:lineRule="auto"/>
              <w:ind w:firstLine="480" w:firstLineChars="200"/>
              <w:textAlignment w:val="auto"/>
              <w:rPr>
                <w:b w:val="0"/>
                <w:bCs w:val="0"/>
                <w:color w:val="auto"/>
                <w:sz w:val="24"/>
              </w:rPr>
            </w:pPr>
            <w:r>
              <w:rPr>
                <w:rFonts w:hint="eastAsia"/>
                <w:color w:val="auto"/>
                <w:sz w:val="24"/>
                <w:szCs w:val="24"/>
              </w:rPr>
              <w:t>本项目涉及主要大气污染物为生产过程中废气主要有</w:t>
            </w:r>
            <w:r>
              <w:rPr>
                <w:rFonts w:hint="eastAsia"/>
                <w:color w:val="auto"/>
                <w:sz w:val="24"/>
                <w:lang w:val="en-US" w:eastAsia="zh-CN"/>
              </w:rPr>
              <w:t>水泥筒仓呼吸废气、</w:t>
            </w:r>
            <w:r>
              <w:rPr>
                <w:rFonts w:hint="eastAsia"/>
                <w:color w:val="auto"/>
                <w:sz w:val="24"/>
                <w:lang w:eastAsia="zh-CN"/>
              </w:rPr>
              <w:t>粉煤灰筒仓呼吸废气、建筑掺和料筒仓呼吸废气、草木灰筒仓呼吸废气、投料废气、</w:t>
            </w:r>
            <w:r>
              <w:rPr>
                <w:rFonts w:hint="eastAsia" w:ascii="Times New Roman" w:hAnsi="Times New Roman" w:eastAsia="宋体" w:cs="Times New Roman"/>
                <w:b w:val="0"/>
                <w:bCs w:val="0"/>
                <w:color w:val="auto"/>
                <w:sz w:val="24"/>
                <w:lang w:eastAsia="zh-CN"/>
              </w:rPr>
              <w:t>污</w:t>
            </w:r>
            <w:r>
              <w:rPr>
                <w:rFonts w:hint="eastAsia"/>
                <w:b w:val="0"/>
                <w:bCs w:val="0"/>
                <w:color w:val="auto"/>
                <w:sz w:val="24"/>
              </w:rPr>
              <w:t>泥</w:t>
            </w:r>
            <w:r>
              <w:rPr>
                <w:rFonts w:hint="eastAsia"/>
                <w:b w:val="0"/>
                <w:bCs w:val="0"/>
                <w:color w:val="auto"/>
                <w:sz w:val="24"/>
                <w:lang w:eastAsia="zh-CN"/>
              </w:rPr>
              <w:t>贮存、矿化、陈化废气、</w:t>
            </w:r>
            <w:r>
              <w:rPr>
                <w:rFonts w:hint="eastAsia" w:cs="Times New Roman"/>
                <w:b w:val="0"/>
                <w:bCs/>
                <w:color w:val="auto"/>
                <w:sz w:val="24"/>
                <w:u w:val="none" w:color="auto"/>
                <w:lang w:eastAsia="zh-CN"/>
              </w:rPr>
              <w:t>卸料起尘、</w:t>
            </w:r>
            <w:r>
              <w:rPr>
                <w:rFonts w:hint="default" w:ascii="Times New Roman" w:hAnsi="Times New Roman" w:eastAsia="宋体" w:cs="Times New Roman"/>
                <w:b w:val="0"/>
                <w:bCs w:val="0"/>
                <w:color w:val="auto"/>
                <w:sz w:val="24"/>
                <w:u w:val="none" w:color="auto"/>
                <w:lang w:val="en-US" w:eastAsia="zh-CN"/>
              </w:rPr>
              <w:t>运输扬尘</w:t>
            </w:r>
            <w:r>
              <w:rPr>
                <w:rFonts w:hint="eastAsia"/>
                <w:color w:val="auto"/>
                <w:sz w:val="24"/>
              </w:rPr>
              <w:t>。</w:t>
            </w:r>
            <w:r>
              <w:rPr>
                <w:rFonts w:ascii="宋体" w:hAnsi="宋体" w:eastAsia="宋体" w:cs="宋体"/>
                <w:color w:val="auto"/>
                <w:sz w:val="24"/>
                <w:szCs w:val="24"/>
              </w:rPr>
              <w:t>本次评价要求；</w:t>
            </w:r>
            <w:r>
              <w:rPr>
                <w:rFonts w:hint="eastAsia"/>
                <w:color w:val="auto"/>
                <w:sz w:val="24"/>
                <w:lang w:val="en-US" w:eastAsia="zh-CN"/>
              </w:rPr>
              <w:t>水泥筒仓呼吸废气采用密闭收集，经脉冲式布袋除尘器处理后，通过15m高排气筒（DA001）排放；</w:t>
            </w:r>
            <w:r>
              <w:rPr>
                <w:rFonts w:hint="eastAsia"/>
                <w:color w:val="auto"/>
                <w:sz w:val="24"/>
                <w:lang w:eastAsia="zh-CN"/>
              </w:rPr>
              <w:t>粉煤灰筒仓呼吸废气采用</w:t>
            </w:r>
            <w:r>
              <w:rPr>
                <w:rFonts w:hint="eastAsia"/>
                <w:color w:val="auto"/>
                <w:sz w:val="24"/>
                <w:lang w:val="en-US" w:eastAsia="zh-CN"/>
              </w:rPr>
              <w:t>密闭收集，经脉冲式布袋除尘器处理后，通过15m高排气筒（DA002）排放；建筑掺和料筒仓呼吸废气采用密闭收集后密闭收集，经脉冲式布袋除尘器处理后，通过15m高排气筒（DA003）排放；</w:t>
            </w:r>
            <w:r>
              <w:rPr>
                <w:rFonts w:hint="eastAsia" w:ascii="Times New Roman" w:hAnsi="Times New Roman" w:eastAsia="宋体" w:cs="Times New Roman"/>
                <w:b w:val="0"/>
                <w:bCs w:val="0"/>
                <w:color w:val="auto"/>
                <w:kern w:val="2"/>
                <w:sz w:val="24"/>
                <w:szCs w:val="24"/>
                <w:lang w:val="en-US" w:eastAsia="zh-CN" w:bidi="ar-SA"/>
              </w:rPr>
              <w:t>草木灰</w:t>
            </w:r>
            <w:r>
              <w:rPr>
                <w:rFonts w:hint="eastAsia" w:cs="Times New Roman"/>
                <w:b w:val="0"/>
                <w:bCs w:val="0"/>
                <w:color w:val="auto"/>
                <w:kern w:val="2"/>
                <w:sz w:val="24"/>
                <w:szCs w:val="24"/>
                <w:lang w:val="en-US" w:eastAsia="zh-CN" w:bidi="ar-SA"/>
              </w:rPr>
              <w:t>筒仓</w:t>
            </w:r>
            <w:r>
              <w:rPr>
                <w:rFonts w:hint="eastAsia"/>
                <w:color w:val="auto"/>
                <w:sz w:val="24"/>
                <w:szCs w:val="24"/>
                <w:lang w:val="en-US" w:eastAsia="zh-CN"/>
              </w:rPr>
              <w:t>呼</w:t>
            </w:r>
            <w:r>
              <w:rPr>
                <w:rFonts w:hint="eastAsia"/>
                <w:color w:val="auto"/>
                <w:sz w:val="24"/>
                <w:lang w:val="en-US" w:eastAsia="zh-CN"/>
              </w:rPr>
              <w:t>吸废气采用密闭收集后，经脉冲式布袋除尘器处理后，通过15m高排气筒（DA004）排放</w:t>
            </w:r>
            <w:r>
              <w:rPr>
                <w:rFonts w:hint="eastAsia"/>
                <w:color w:val="auto"/>
                <w:sz w:val="24"/>
                <w:szCs w:val="24"/>
                <w:lang w:val="en-US" w:eastAsia="zh-CN"/>
              </w:rPr>
              <w:t>；</w:t>
            </w:r>
            <w:r>
              <w:rPr>
                <w:rFonts w:hint="default" w:ascii="Times New Roman" w:hAnsi="Times New Roman" w:eastAsia="宋体" w:cs="Times New Roman"/>
                <w:color w:val="auto"/>
                <w:kern w:val="2"/>
                <w:sz w:val="24"/>
                <w:szCs w:val="24"/>
                <w:lang w:val="en-US" w:eastAsia="zh-CN" w:bidi="ar-SA"/>
              </w:rPr>
              <w:t>投料废气</w:t>
            </w:r>
            <w:r>
              <w:rPr>
                <w:rFonts w:hint="eastAsia"/>
                <w:color w:val="auto"/>
                <w:sz w:val="24"/>
                <w:lang w:val="en-US" w:eastAsia="zh-CN"/>
              </w:rPr>
              <w:t>采用集气罩收集，经脉冲式布袋除尘器处理后，通过15m高排气筒（DA005）排放；污泥贮存、矿化、陈化废气采用密闭收集，经</w:t>
            </w:r>
            <w:r>
              <w:rPr>
                <w:rFonts w:hint="eastAsia"/>
                <w:color w:val="auto"/>
                <w:sz w:val="24"/>
                <w:szCs w:val="24"/>
                <w:lang w:eastAsia="zh-CN"/>
              </w:rPr>
              <w:t>生物除臭塔处理，通过</w:t>
            </w:r>
            <w:r>
              <w:rPr>
                <w:rFonts w:hint="eastAsia"/>
                <w:color w:val="auto"/>
                <w:sz w:val="24"/>
                <w:szCs w:val="24"/>
                <w:lang w:val="en-US" w:eastAsia="zh-CN"/>
              </w:rPr>
              <w:t>15m</w:t>
            </w:r>
            <w:r>
              <w:rPr>
                <w:rFonts w:hint="eastAsia"/>
                <w:color w:val="auto"/>
                <w:sz w:val="24"/>
                <w:szCs w:val="24"/>
              </w:rPr>
              <w:t>高排气筒（DA00</w:t>
            </w:r>
            <w:r>
              <w:rPr>
                <w:rFonts w:hint="eastAsia"/>
                <w:color w:val="auto"/>
                <w:sz w:val="24"/>
                <w:szCs w:val="24"/>
                <w:lang w:val="en-US" w:eastAsia="zh-CN"/>
              </w:rPr>
              <w:t>6</w:t>
            </w:r>
            <w:r>
              <w:rPr>
                <w:rFonts w:hint="eastAsia"/>
                <w:color w:val="auto"/>
                <w:sz w:val="24"/>
                <w:szCs w:val="24"/>
              </w:rPr>
              <w:t>）</w:t>
            </w:r>
            <w:r>
              <w:rPr>
                <w:rFonts w:hint="eastAsia"/>
                <w:color w:val="auto"/>
                <w:sz w:val="24"/>
                <w:szCs w:val="24"/>
                <w:lang w:eastAsia="zh-CN"/>
              </w:rPr>
              <w:t>排放；卸料起尘采用雾炮洒水降尘措施处理后无组织排放。</w:t>
            </w:r>
            <w:r>
              <w:rPr>
                <w:rFonts w:hint="default" w:ascii="Times New Roman" w:hAnsi="Times New Roman" w:eastAsia="宋体" w:cs="Times New Roman"/>
                <w:color w:val="auto"/>
                <w:kern w:val="2"/>
                <w:sz w:val="24"/>
                <w:szCs w:val="24"/>
                <w:highlight w:val="none"/>
                <w:lang w:val="en-US" w:eastAsia="zh-CN" w:bidi="ar-SA"/>
              </w:rPr>
              <w:t>本项</w:t>
            </w:r>
            <w:r>
              <w:rPr>
                <w:rFonts w:hint="default" w:ascii="Times New Roman" w:hAnsi="Times New Roman" w:eastAsia="宋体" w:cs="Times New Roman"/>
                <w:color w:val="auto"/>
                <w:kern w:val="2"/>
                <w:sz w:val="24"/>
                <w:szCs w:val="24"/>
                <w:lang w:val="en-US" w:eastAsia="zh-CN" w:bidi="ar-SA"/>
              </w:rPr>
              <w:t>目废气均采用可行性技术，本项目的建设对大气环境影响较小，符合环境质量底线要求。</w:t>
            </w:r>
          </w:p>
          <w:p w14:paraId="61DA4DB6">
            <w:pPr>
              <w:pStyle w:val="2"/>
              <w:keepNext/>
              <w:keepLines/>
              <w:pageBreakBefore w:val="0"/>
              <w:widowControl w:val="0"/>
              <w:kinsoku/>
              <w:wordWrap/>
              <w:overflowPunct/>
              <w:topLinePunct w:val="0"/>
              <w:bidi w:val="0"/>
              <w:spacing w:line="360" w:lineRule="auto"/>
              <w:ind w:firstLine="480" w:firstLineChars="200"/>
              <w:textAlignment w:val="auto"/>
              <w:rPr>
                <w:rFonts w:hint="eastAsia" w:eastAsia="宋体"/>
                <w:color w:val="auto"/>
                <w:lang w:eastAsia="zh-CN"/>
              </w:rPr>
            </w:pPr>
            <w:r>
              <w:rPr>
                <w:color w:val="auto"/>
              </w:rPr>
              <w:t>②</w:t>
            </w:r>
            <w:r>
              <w:rPr>
                <w:rFonts w:hint="eastAsia"/>
                <w:color w:val="auto"/>
                <w:lang w:eastAsia="zh-CN"/>
              </w:rPr>
              <w:t>地表水环境</w:t>
            </w:r>
          </w:p>
          <w:p w14:paraId="15118519">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snapToGrid/>
                <w:color w:val="auto"/>
                <w:spacing w:val="0"/>
                <w:kern w:val="0"/>
                <w:position w:val="0"/>
                <w:sz w:val="24"/>
                <w:szCs w:val="24"/>
                <w:highlight w:val="none"/>
                <w:lang w:val="en-US" w:eastAsia="zh-CN"/>
              </w:rPr>
              <w:t>根据202</w:t>
            </w:r>
            <w:r>
              <w:rPr>
                <w:rFonts w:hint="eastAsia" w:cs="Times New Roman"/>
                <w:snapToGrid/>
                <w:color w:val="auto"/>
                <w:spacing w:val="0"/>
                <w:kern w:val="0"/>
                <w:position w:val="0"/>
                <w:sz w:val="24"/>
                <w:szCs w:val="24"/>
                <w:highlight w:val="none"/>
                <w:lang w:val="en-US" w:eastAsia="zh-CN"/>
              </w:rPr>
              <w:t>4</w:t>
            </w:r>
            <w:r>
              <w:rPr>
                <w:rFonts w:hint="default" w:ascii="Times New Roman" w:hAnsi="Times New Roman" w:eastAsia="宋体" w:cs="Times New Roman"/>
                <w:snapToGrid/>
                <w:color w:val="auto"/>
                <w:spacing w:val="0"/>
                <w:kern w:val="0"/>
                <w:position w:val="0"/>
                <w:sz w:val="24"/>
                <w:szCs w:val="24"/>
                <w:highlight w:val="none"/>
                <w:lang w:val="en-US" w:eastAsia="zh-CN"/>
              </w:rPr>
              <w:t>年宿州市环境质量公告</w:t>
            </w:r>
            <w:r>
              <w:rPr>
                <w:rFonts w:hint="default" w:ascii="Times New Roman" w:hAnsi="Times New Roman" w:eastAsia="宋体" w:cs="Times New Roman"/>
                <w:color w:val="000000"/>
                <w:kern w:val="2"/>
                <w:sz w:val="24"/>
                <w:szCs w:val="24"/>
                <w:highlight w:val="none"/>
                <w:lang w:val="en-US" w:eastAsia="zh-CN" w:bidi="ar-SA"/>
              </w:rPr>
              <w:t>，本项目评价区域内地表水满足《地表水环境质量标准》（GB3838-2002）中</w:t>
            </w:r>
            <w:r>
              <w:rPr>
                <w:rFonts w:hint="default" w:ascii="Times New Roman" w:hAnsi="Times New Roman" w:eastAsia="微软雅黑" w:cs="Times New Roman"/>
                <w:color w:val="000000"/>
                <w:kern w:val="2"/>
                <w:sz w:val="24"/>
                <w:szCs w:val="24"/>
                <w:highlight w:val="none"/>
                <w:lang w:val="en-US" w:eastAsia="zh-CN" w:bidi="ar-SA"/>
              </w:rPr>
              <w:t>Ⅳ</w:t>
            </w:r>
            <w:r>
              <w:rPr>
                <w:rFonts w:hint="default" w:ascii="Times New Roman" w:hAnsi="Times New Roman" w:eastAsia="宋体" w:cs="Times New Roman"/>
                <w:color w:val="000000"/>
                <w:kern w:val="2"/>
                <w:sz w:val="24"/>
                <w:szCs w:val="24"/>
                <w:highlight w:val="none"/>
                <w:lang w:val="en-US" w:eastAsia="zh-CN" w:bidi="ar-SA"/>
              </w:rPr>
              <w:t>类标准要求。</w:t>
            </w:r>
          </w:p>
          <w:p w14:paraId="54D6B1B4">
            <w:pPr>
              <w:pStyle w:val="2"/>
              <w:keepNext/>
              <w:keepLines/>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auto"/>
                <w:kern w:val="2"/>
                <w:sz w:val="24"/>
                <w:szCs w:val="24"/>
                <w:highlight w:val="none"/>
                <w:lang w:val="en-US" w:eastAsia="zh-CN" w:bidi="ar-SA"/>
              </w:rPr>
              <w:t>本项目位于淮河流域，项目建设符合《安徽省淮河流域水污染防治条例》的要求。</w:t>
            </w:r>
            <w:r>
              <w:rPr>
                <w:color w:val="auto"/>
              </w:rPr>
              <w:t>本项目</w:t>
            </w:r>
            <w:r>
              <w:rPr>
                <w:rFonts w:hint="eastAsia"/>
                <w:color w:val="auto"/>
                <w:lang w:eastAsia="zh-CN"/>
              </w:rPr>
              <w:t>无生产废水</w:t>
            </w:r>
            <w:r>
              <w:rPr>
                <w:rFonts w:hint="eastAsia"/>
                <w:color w:val="auto"/>
              </w:rPr>
              <w:t>外排；生活污水经化粪池处理后定期清掏不外排</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对周围水环境影响较小。</w:t>
            </w:r>
          </w:p>
          <w:p w14:paraId="3B6AAD10">
            <w:pPr>
              <w:pStyle w:val="2"/>
              <w:keepNext/>
              <w:keepLines/>
              <w:pageBreakBefore w:val="0"/>
              <w:widowControl w:val="0"/>
              <w:kinsoku/>
              <w:wordWrap/>
              <w:overflowPunct/>
              <w:topLinePunct w:val="0"/>
              <w:bidi w:val="0"/>
              <w:spacing w:line="360" w:lineRule="auto"/>
              <w:ind w:firstLine="480" w:firstLineChars="200"/>
              <w:textAlignment w:val="auto"/>
              <w:rPr>
                <w:color w:val="auto"/>
              </w:rPr>
            </w:pPr>
            <w:r>
              <w:rPr>
                <w:color w:val="auto"/>
              </w:rPr>
              <w:t>③土壤环境</w:t>
            </w:r>
          </w:p>
          <w:p w14:paraId="16C40876">
            <w:pPr>
              <w:pStyle w:val="36"/>
              <w:keepNext/>
              <w:keepLines/>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本项目对可能产生土壤影响的各项途径均进行有效预防，避免污染土壤，因此本项目不会对区域土壤环境产生影响。</w:t>
            </w:r>
          </w:p>
          <w:p w14:paraId="377D9BB2">
            <w:pPr>
              <w:keepNext/>
              <w:keepLines/>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综上所述，本项目在加强环境管理并落实本评价要求的各项环保措施的情况下，本项目废水、废气、固废均得到合理处置，符合环境质量底线要求。</w:t>
            </w:r>
          </w:p>
          <w:p w14:paraId="2F3A6878">
            <w:pPr>
              <w:keepNext/>
              <w:keepLines/>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auto"/>
              </w:rPr>
            </w:pPr>
            <w:r>
              <w:rPr>
                <w:rFonts w:hint="eastAsia"/>
                <w:color w:val="auto"/>
                <w:sz w:val="24"/>
              </w:rPr>
              <w:t>（</w:t>
            </w:r>
            <w:r>
              <w:rPr>
                <w:color w:val="auto"/>
                <w:sz w:val="24"/>
              </w:rPr>
              <w:t>3</w:t>
            </w:r>
            <w:r>
              <w:rPr>
                <w:rFonts w:hint="eastAsia"/>
                <w:color w:val="auto"/>
                <w:sz w:val="24"/>
              </w:rPr>
              <w:t>）与资源利用上线相符性分析</w:t>
            </w:r>
          </w:p>
          <w:p w14:paraId="08BE0F35">
            <w:pPr>
              <w:keepNext/>
              <w:keepLines/>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项目用水、用电由市政供水管网和</w:t>
            </w:r>
            <w:r>
              <w:rPr>
                <w:rFonts w:hint="eastAsia" w:ascii="Times New Roman" w:hAnsi="Times New Roman" w:eastAsia="宋体" w:cs="Times New Roman"/>
                <w:color w:val="auto"/>
                <w:kern w:val="0"/>
                <w:sz w:val="24"/>
                <w:lang w:eastAsia="zh-CN"/>
              </w:rPr>
              <w:t>市政</w:t>
            </w:r>
            <w:r>
              <w:rPr>
                <w:rFonts w:hint="default" w:ascii="Times New Roman" w:hAnsi="Times New Roman" w:eastAsia="宋体" w:cs="Times New Roman"/>
                <w:color w:val="auto"/>
                <w:kern w:val="0"/>
                <w:sz w:val="24"/>
              </w:rPr>
              <w:t>供电提供，用地为工业用地，土地资源消耗符合要求。项目建成运营后资源消耗相对区域资源利用总量较少，符合资源利用上线的要求。</w:t>
            </w:r>
          </w:p>
          <w:p w14:paraId="66C56F09">
            <w:pPr>
              <w:keepNext/>
              <w:keepLines/>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auto"/>
              </w:rPr>
            </w:pPr>
            <w:r>
              <w:rPr>
                <w:rFonts w:hint="eastAsia"/>
                <w:color w:val="auto"/>
                <w:sz w:val="24"/>
              </w:rPr>
              <w:t>（</w:t>
            </w:r>
            <w:r>
              <w:rPr>
                <w:color w:val="auto"/>
                <w:sz w:val="24"/>
              </w:rPr>
              <w:t>4</w:t>
            </w:r>
            <w:r>
              <w:rPr>
                <w:rFonts w:hint="eastAsia"/>
                <w:color w:val="auto"/>
                <w:sz w:val="24"/>
              </w:rPr>
              <w:t>）</w:t>
            </w:r>
            <w:r>
              <w:rPr>
                <w:rFonts w:ascii="宋体" w:hAnsi="宋体" w:eastAsia="宋体" w:cs="宋体"/>
                <w:color w:val="auto"/>
                <w:sz w:val="24"/>
                <w:szCs w:val="24"/>
              </w:rPr>
              <w:t>与环境准入清单相符性分析</w:t>
            </w:r>
          </w:p>
          <w:p w14:paraId="7845F6ED">
            <w:pPr>
              <w:pStyle w:val="2"/>
              <w:keepNext/>
              <w:keepLines/>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rPr>
            </w:pPr>
            <w:r>
              <w:rPr>
                <w:rFonts w:ascii="宋体" w:hAnsi="宋体" w:eastAsia="宋体" w:cs="宋体"/>
                <w:color w:val="auto"/>
                <w:sz w:val="24"/>
                <w:szCs w:val="24"/>
              </w:rPr>
              <w:t>本项目位于</w:t>
            </w:r>
            <w:r>
              <w:rPr>
                <w:rFonts w:hint="eastAsia" w:ascii="宋体" w:hAnsi="宋体" w:eastAsia="宋体" w:cs="宋体"/>
                <w:color w:val="auto"/>
                <w:sz w:val="24"/>
                <w:szCs w:val="24"/>
                <w:lang w:eastAsia="zh-CN"/>
              </w:rPr>
              <w:t>安徽省宿州市埇桥区</w:t>
            </w:r>
            <w:r>
              <w:rPr>
                <w:rFonts w:ascii="宋体" w:hAnsi="宋体" w:eastAsia="宋体" w:cs="宋体"/>
                <w:color w:val="auto"/>
                <w:sz w:val="24"/>
                <w:szCs w:val="24"/>
              </w:rPr>
              <w:t>顺河镇魏庄村魏武路北侧17号，对照《宿州市“三线一单”生态环境准入清单》，本项目不在风景名胜区、集中式饮用水水源保护区、自然保护区、湿地公园、森林公园、地质公园、水产种质资源保护区、世界文化遗产地（大运河宿州段）等优先保护单元内，不属于禁止开发建设活动及不符合空间布局要求活动的重点管控单元内。</w:t>
            </w:r>
          </w:p>
          <w:p w14:paraId="388C6302">
            <w:pPr>
              <w:pStyle w:val="2"/>
              <w:keepNext/>
              <w:keepLines/>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（5）生态环境分区管控相符性分析</w:t>
            </w:r>
          </w:p>
          <w:p w14:paraId="780551AF">
            <w:pPr>
              <w:keepNext/>
              <w:keepLines/>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根据《宿州市“三线一单”》，宿州市共划定重点管控单元22个，面积为1641.71平方公里，占全市国土面积的16.52%，一般管控单元5个，面积为7225.23平方公里，占全市国土面积的72.7%。本项目位于宿州市</w:t>
            </w:r>
            <w:r>
              <w:rPr>
                <w:rFonts w:hint="eastAsia" w:ascii="宋体" w:hAnsi="宋体" w:eastAsia="宋体" w:cs="宋体"/>
                <w:color w:val="auto"/>
                <w:kern w:val="0"/>
                <w:sz w:val="24"/>
              </w:rPr>
              <w:t>“</w:t>
            </w:r>
            <w:r>
              <w:rPr>
                <w:rFonts w:hint="default" w:ascii="Times New Roman" w:hAnsi="Times New Roman" w:eastAsia="宋体" w:cs="Times New Roman"/>
                <w:color w:val="auto"/>
                <w:kern w:val="0"/>
                <w:sz w:val="24"/>
              </w:rPr>
              <w:t>三线一单</w:t>
            </w:r>
            <w:r>
              <w:rPr>
                <w:rFonts w:hint="eastAsia" w:ascii="宋体" w:hAnsi="宋体" w:eastAsia="宋体" w:cs="宋体"/>
                <w:color w:val="auto"/>
                <w:kern w:val="0"/>
                <w:sz w:val="24"/>
              </w:rPr>
              <w:t>”</w:t>
            </w:r>
            <w:r>
              <w:rPr>
                <w:rFonts w:hint="default" w:ascii="Times New Roman" w:hAnsi="Times New Roman" w:eastAsia="宋体" w:cs="Times New Roman"/>
                <w:color w:val="auto"/>
                <w:kern w:val="0"/>
                <w:sz w:val="24"/>
              </w:rPr>
              <w:t>生态环境分区管控的</w:t>
            </w:r>
            <w:r>
              <w:rPr>
                <w:rFonts w:hint="eastAsia" w:cs="Times New Roman"/>
                <w:color w:val="auto"/>
                <w:kern w:val="0"/>
                <w:sz w:val="24"/>
                <w:lang w:eastAsia="zh-CN"/>
              </w:rPr>
              <w:t>重点</w:t>
            </w:r>
            <w:r>
              <w:rPr>
                <w:rFonts w:hint="default" w:ascii="Times New Roman" w:hAnsi="Times New Roman" w:eastAsia="宋体" w:cs="Times New Roman"/>
                <w:color w:val="auto"/>
                <w:kern w:val="0"/>
                <w:sz w:val="24"/>
              </w:rPr>
              <w:t>管控单元内（环境管控单元编码：ZH34130220013）。详见下图。与宿州市分区管控要求分析内容见</w:t>
            </w:r>
            <w:r>
              <w:rPr>
                <w:rFonts w:hint="default" w:ascii="Times New Roman" w:hAnsi="Times New Roman" w:eastAsia="宋体" w:cs="Times New Roman"/>
                <w:color w:val="auto"/>
                <w:kern w:val="0"/>
                <w:sz w:val="24"/>
                <w:lang w:eastAsia="zh-CN"/>
              </w:rPr>
              <w:t>表</w:t>
            </w:r>
            <w:r>
              <w:rPr>
                <w:rFonts w:hint="eastAsia" w:cs="Times New Roman"/>
                <w:color w:val="auto"/>
                <w:kern w:val="0"/>
                <w:sz w:val="24"/>
                <w:lang w:val="en-US" w:eastAsia="zh-CN"/>
              </w:rPr>
              <w:t>1.2</w:t>
            </w:r>
            <w:r>
              <w:rPr>
                <w:rFonts w:hint="default" w:ascii="Times New Roman" w:hAnsi="Times New Roman" w:eastAsia="宋体" w:cs="Times New Roman"/>
                <w:color w:val="auto"/>
                <w:kern w:val="0"/>
                <w:sz w:val="24"/>
              </w:rPr>
              <w:t>。</w:t>
            </w:r>
          </w:p>
          <w:p w14:paraId="498A84B0">
            <w:pPr>
              <w:pStyle w:val="2"/>
              <w:keepNext/>
              <w:keepLines/>
              <w:pageBreakBefore w:val="0"/>
              <w:widowControl w:val="0"/>
              <w:kinsoku/>
              <w:wordWrap/>
              <w:overflowPunct/>
              <w:topLinePunct w:val="0"/>
              <w:bidi w:val="0"/>
              <w:jc w:val="center"/>
              <w:textAlignment w:val="auto"/>
              <w:rPr>
                <w:rFonts w:hint="default" w:ascii="Times New Roman" w:hAnsi="Times New Roman" w:eastAsia="宋体" w:cs="Times New Roman"/>
                <w:color w:val="auto"/>
                <w:sz w:val="24"/>
                <w:lang w:eastAsia="zh-CN"/>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1948815</wp:posOffset>
                      </wp:positionH>
                      <wp:positionV relativeFrom="paragraph">
                        <wp:posOffset>241935</wp:posOffset>
                      </wp:positionV>
                      <wp:extent cx="1152525" cy="371475"/>
                      <wp:effectExtent l="6350" t="6350" r="22225" b="517525"/>
                      <wp:wrapNone/>
                      <wp:docPr id="10" name="矩形标注 10"/>
                      <wp:cNvGraphicFramePr/>
                      <a:graphic xmlns:a="http://schemas.openxmlformats.org/drawingml/2006/main">
                        <a:graphicData uri="http://schemas.microsoft.com/office/word/2010/wordprocessingShape">
                          <wps:wsp>
                            <wps:cNvSpPr/>
                            <wps:spPr>
                              <a:xfrm>
                                <a:off x="2694305" y="6654165"/>
                                <a:ext cx="1152525" cy="371475"/>
                              </a:xfrm>
                              <a:prstGeom prst="wedgeRectCallout">
                                <a:avLst>
                                  <a:gd name="adj1" fmla="val -45426"/>
                                  <a:gd name="adj2" fmla="val 181282"/>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3483C22">
                                  <w:pPr>
                                    <w:jc w:val="center"/>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3.45pt;margin-top:19.05pt;height:29.25pt;width:90.75pt;z-index:251660288;v-text-anchor:middle;mso-width-relative:page;mso-height-relative:page;" fillcolor="#FFFFFF [3212]" filled="t" stroked="t" coordsize="21600,21600" o:gfxdata="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qf7Y+tgAAAAJAQAADwAAAAAAAAAB&#10;ACAAAAAiAAAAZHJzL2Rvd25yZXYueG1sUEsBAhQAFAAAAAgAh07iQFppJ5+7AgAAcgUAAA4AAAAA&#10;AAAAAQAgAAAAJwEAAGRycy9lMm9Eb2MueG1sUEsFBgAAAAAGAAYAWQEAAFQGAAAAAA==&#10;" adj="988,49957">
                      <v:fill on="t" focussize="0,0"/>
                      <v:stroke weight="1pt" color="#000000 [3213]" miterlimit="8" joinstyle="miter"/>
                      <v:imagedata o:title=""/>
                      <o:lock v:ext="edit" aspectratio="f"/>
                      <v:textbox>
                        <w:txbxContent>
                          <w:p w14:paraId="53483C22">
                            <w:pPr>
                              <w:jc w:val="center"/>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项目所在地</w:t>
                            </w:r>
                          </w:p>
                        </w:txbxContent>
                      </v:textbox>
                    </v:shape>
                  </w:pict>
                </mc:Fallback>
              </mc:AlternateContent>
            </w:r>
            <w:r>
              <w:drawing>
                <wp:inline distT="0" distB="0" distL="114300" distR="114300">
                  <wp:extent cx="5285105" cy="2306955"/>
                  <wp:effectExtent l="0" t="0" r="10795" b="171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6"/>
                          <a:stretch>
                            <a:fillRect/>
                          </a:stretch>
                        </pic:blipFill>
                        <pic:spPr>
                          <a:xfrm>
                            <a:off x="0" y="0"/>
                            <a:ext cx="5285105" cy="2306955"/>
                          </a:xfrm>
                          <a:prstGeom prst="rect">
                            <a:avLst/>
                          </a:prstGeom>
                          <a:noFill/>
                          <a:ln>
                            <a:noFill/>
                          </a:ln>
                        </pic:spPr>
                      </pic:pic>
                    </a:graphicData>
                  </a:graphic>
                </wp:inline>
              </w:drawing>
            </w:r>
          </w:p>
          <w:p w14:paraId="5810001E">
            <w:pPr>
              <w:keepNext/>
              <w:keepLines/>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图</w:t>
            </w: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1  </w:t>
            </w:r>
            <w:r>
              <w:rPr>
                <w:rFonts w:hint="default" w:ascii="Times New Roman" w:hAnsi="Times New Roman" w:eastAsia="宋体" w:cs="Times New Roman"/>
                <w:b/>
                <w:bCs/>
                <w:color w:val="auto"/>
                <w:kern w:val="0"/>
                <w:sz w:val="24"/>
                <w:szCs w:val="24"/>
                <w:lang w:val="en-US" w:eastAsia="zh-CN" w:bidi="ar"/>
              </w:rPr>
              <w:t>管控单元位置示意图</w:t>
            </w:r>
          </w:p>
          <w:p w14:paraId="42F615D4">
            <w:pPr>
              <w:keepNext/>
              <w:keepLines/>
              <w:pageBreakBefore w:val="0"/>
              <w:widowControl w:val="0"/>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表</w:t>
            </w:r>
            <w:r>
              <w:rPr>
                <w:rFonts w:hint="eastAsia" w:cs="Times New Roman"/>
                <w:b/>
                <w:bCs/>
                <w:color w:val="auto"/>
                <w:kern w:val="0"/>
                <w:sz w:val="24"/>
                <w:szCs w:val="24"/>
                <w:lang w:val="en-US" w:eastAsia="zh-CN" w:bidi="ar"/>
              </w:rPr>
              <w:t>1.2</w:t>
            </w:r>
            <w:r>
              <w:rPr>
                <w:rFonts w:hint="default" w:ascii="Times New Roman" w:hAnsi="Times New Roman" w:cs="Times New Roman"/>
                <w:b/>
                <w:bCs/>
                <w:color w:val="auto"/>
                <w:kern w:val="0"/>
                <w:sz w:val="24"/>
                <w:szCs w:val="24"/>
                <w:lang w:val="en-US" w:eastAsia="zh-CN" w:bidi="ar"/>
              </w:rPr>
              <w:t xml:space="preserve"> </w:t>
            </w:r>
            <w:r>
              <w:rPr>
                <w:rFonts w:hint="default" w:ascii="Times New Roman" w:hAnsi="Times New Roman" w:eastAsia="宋体" w:cs="Times New Roman"/>
                <w:b/>
                <w:bCs/>
                <w:color w:val="auto"/>
                <w:kern w:val="0"/>
                <w:sz w:val="24"/>
                <w:szCs w:val="24"/>
                <w:lang w:val="en-US" w:eastAsia="zh-CN" w:bidi="ar"/>
              </w:rPr>
              <w:t xml:space="preserve"> 本项目涉及“三线一单”管控单元及管控要求</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84"/>
              <w:gridCol w:w="1055"/>
              <w:gridCol w:w="5077"/>
              <w:gridCol w:w="1073"/>
            </w:tblGrid>
            <w:tr w14:paraId="278F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 w:type="pct"/>
                  <w:noWrap w:val="0"/>
                  <w:vAlign w:val="center"/>
                </w:tcPr>
                <w:p w14:paraId="2CDFFFD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序号</w:t>
                  </w:r>
                </w:p>
              </w:tc>
              <w:tc>
                <w:tcPr>
                  <w:tcW w:w="411" w:type="pct"/>
                  <w:noWrap w:val="0"/>
                  <w:vAlign w:val="center"/>
                </w:tcPr>
                <w:p w14:paraId="5D18F2F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管控名称</w:t>
                  </w:r>
                </w:p>
              </w:tc>
              <w:tc>
                <w:tcPr>
                  <w:tcW w:w="3683" w:type="pct"/>
                  <w:gridSpan w:val="2"/>
                  <w:noWrap w:val="0"/>
                  <w:vAlign w:val="center"/>
                </w:tcPr>
                <w:p w14:paraId="61E2E6B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管控要求</w:t>
                  </w:r>
                </w:p>
              </w:tc>
              <w:tc>
                <w:tcPr>
                  <w:tcW w:w="644" w:type="pct"/>
                  <w:noWrap w:val="0"/>
                  <w:vAlign w:val="center"/>
                </w:tcPr>
                <w:p w14:paraId="3E38902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相符性分析</w:t>
                  </w:r>
                </w:p>
              </w:tc>
            </w:tr>
            <w:tr w14:paraId="2E35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 w:type="pct"/>
                  <w:noWrap w:val="0"/>
                  <w:vAlign w:val="center"/>
                </w:tcPr>
                <w:p w14:paraId="51E7462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411" w:type="pct"/>
                  <w:vMerge w:val="restart"/>
                  <w:noWrap w:val="0"/>
                  <w:vAlign w:val="center"/>
                </w:tcPr>
                <w:p w14:paraId="1606641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重点管控单元</w:t>
                  </w:r>
                </w:p>
              </w:tc>
              <w:tc>
                <w:tcPr>
                  <w:tcW w:w="634" w:type="pct"/>
                  <w:noWrap w:val="0"/>
                  <w:vAlign w:val="center"/>
                </w:tcPr>
                <w:p w14:paraId="7286604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空间布局约束</w:t>
                  </w:r>
                </w:p>
              </w:tc>
              <w:tc>
                <w:tcPr>
                  <w:tcW w:w="3049" w:type="pct"/>
                  <w:noWrap w:val="0"/>
                  <w:vAlign w:val="center"/>
                </w:tcPr>
                <w:p w14:paraId="01FF5A5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1严格城市规划蓝线管理，城市规划区范围内应保留一定比例的水域面积，现有水域面积不得减少。新建项目一律不得违规占用水域。</w:t>
                  </w:r>
                </w:p>
                <w:p w14:paraId="612A7E1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2落实磷石膏综合利用途径，综合利用不畅的可利用现有磷石膏库堆存，不得新建、扩建磷石膏库</w:t>
                  </w:r>
                  <w:r>
                    <w:rPr>
                      <w:rFonts w:hint="eastAsia"/>
                      <w:color w:val="auto"/>
                      <w:sz w:val="21"/>
                      <w:szCs w:val="21"/>
                      <w:vertAlign w:val="baseline"/>
                      <w:lang w:val="en-US" w:eastAsia="zh-CN"/>
                    </w:rPr>
                    <w:t>（</w:t>
                  </w:r>
                  <w:r>
                    <w:rPr>
                      <w:rFonts w:hint="default"/>
                      <w:color w:val="auto"/>
                      <w:sz w:val="21"/>
                      <w:szCs w:val="21"/>
                      <w:vertAlign w:val="baseline"/>
                      <w:lang w:val="en-US" w:eastAsia="zh-CN"/>
                    </w:rPr>
                    <w:t>暂存场除外</w:t>
                  </w:r>
                  <w:r>
                    <w:rPr>
                      <w:rFonts w:hint="eastAsia"/>
                      <w:color w:val="auto"/>
                      <w:sz w:val="21"/>
                      <w:szCs w:val="21"/>
                      <w:vertAlign w:val="baseline"/>
                      <w:lang w:val="en-US" w:eastAsia="zh-CN"/>
                    </w:rPr>
                    <w:t>）</w:t>
                  </w:r>
                  <w:r>
                    <w:rPr>
                      <w:rFonts w:hint="default"/>
                      <w:color w:val="auto"/>
                      <w:sz w:val="21"/>
                      <w:szCs w:val="21"/>
                      <w:vertAlign w:val="baseline"/>
                      <w:lang w:val="en-US" w:eastAsia="zh-CN"/>
                    </w:rPr>
                    <w:t>。</w:t>
                  </w:r>
                </w:p>
                <w:p w14:paraId="60CB5DD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3坚持以水定城、以水定地、以水定人、以水定产，严格控制缺水地区、水污染严重地区和敏感区域高耗水、高污染行业发展，鼓励推动高耗水企业向水资源条件允许的工业园区集中。</w:t>
                  </w:r>
                </w:p>
                <w:p w14:paraId="386D8C6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4引导石化、化工、钢铁、建材、有色金属等重点行业合理布局，提高化工、有色金属、农副食品加工、印染、制革、原料药制造、电镀等行业集聚水平。</w:t>
                  </w:r>
                </w:p>
                <w:p w14:paraId="3322D2D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5严格控制缺水地区、水污染严重地区和敏感区域高耗水、高污染行业发展，鼓励推动高耗水企业向水资源条件允许的工业园区集中。</w:t>
                  </w:r>
                </w:p>
                <w:p w14:paraId="7BABB80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6新建、扩建磷化工项目应布设在依法合规设立的化工园区或具有化工定位的产业园区内，所在化工园区或产业园区应依法开展规划环境影响评价工作，磷化工建设项目应符合园区规划及规划环评要求。</w:t>
                  </w:r>
                </w:p>
                <w:p w14:paraId="4E9608A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7持续开展涉水“散乱污”企业 清理整治，严把能耗、环保等标准，促使一批达不到标准或淘汰类产能的企业，依法依规关停退出。</w:t>
                  </w:r>
                </w:p>
                <w:p w14:paraId="74F6616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8推动污染企业退出。城市建成区内现有钢铁、有色金属、造纸、印染、原料药制造、化工等污染较重的企业应有序搬迁改造或依法关闭。</w:t>
                  </w:r>
                </w:p>
                <w:p w14:paraId="7F4F072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9严格水域岸线用途管制，土地开发利用应按照有关法律法规和技术标准要求，留足河道、湖泊的管理和保护范围，非法挤占的应限期退出。</w:t>
                  </w:r>
                </w:p>
                <w:p w14:paraId="078FE2D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10国家禁止新建不符合国家产业政策的小型造纸、制革、印染、染料、炼焦、炼硫、炼砷、炼汞、炼油、电镀、农药、石棉、水泥、玻璃、钢铁、火电以及其他严重污染水环境的生产项目。1查明河道两岸和水体周边所有排污口，对污水直排的排污口实施截污纳管，实现旱季污水不入河。严格实施排污许可和排水许可制度，加强入河排污口监督监测。加强对小餐饮、理发店、洗车店等排污的执法管理，加大对乱排、偷排行为的整治和处罚力度。</w:t>
                  </w:r>
                </w:p>
                <w:p w14:paraId="612F05B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w:t>
                  </w:r>
                </w:p>
                <w:p w14:paraId="3D9BE7C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3科学确定城市河道疏浚范围和清淤深度，妥善处理底泥，严禁清淤底泥沿岸随意堆放或作为水体治理工程回填土，防止二次污染。</w:t>
                  </w:r>
                </w:p>
                <w:p w14:paraId="33D34E4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4严肃执法监督，严格执行排污许可、排水许可制度，严禁生活污水和工业废水直排水体。严防道路冲洗污水、洗车冲洗污水、餐饮泔水、施工排水等污水进入雨水口。</w:t>
                  </w:r>
                </w:p>
                <w:p w14:paraId="4D1807D3">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5积极推行低影响开发建设模式，建设滞、渗、蓄、用、排相结合的雨水收集利用设施，加快海绵城市建设。新建城区可渗透地面占总硬化地面面积比例要达到40%以上。</w:t>
                  </w:r>
                </w:p>
                <w:p w14:paraId="60E01CE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加快对河道两岸违法建设的清理。对河道湖泊绿线范围内的岸线进行排查、清理，重点治理河湖水域岸线乱建、乱占行为。对硬质驳岸的非行洪河道、渠道，有计划实施生态修复与改造。禁止开发建设活动的要求</w:t>
                  </w:r>
                  <w:r>
                    <w:rPr>
                      <w:rFonts w:hint="eastAsia"/>
                      <w:color w:val="auto"/>
                      <w:sz w:val="21"/>
                      <w:szCs w:val="21"/>
                      <w:vertAlign w:val="baseline"/>
                      <w:lang w:val="en-US" w:eastAsia="zh-CN"/>
                    </w:rPr>
                    <w:t>：</w:t>
                  </w:r>
                </w:p>
                <w:p w14:paraId="001A50C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1在城市城区及其近郊禁止新建、扩建钢铁、有色、石化、水泥、化工等重污染企业。</w:t>
                  </w:r>
                </w:p>
                <w:p w14:paraId="5C7724A3">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2禁止新建燃料类煤气发生炉（园区现有企业统一建设的清洁煤制气中心除外）。</w:t>
                  </w:r>
                </w:p>
                <w:p w14:paraId="20FD956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3严禁新增钢铁、焦化、电解铝、铸造、水泥和平板玻璃等产能；严格执行钢铁、水泥、平板玻璃等行业产能置换实施办法。</w:t>
                  </w:r>
                </w:p>
                <w:p w14:paraId="296320C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4严格执行国家关于“两高”产业准入目录和产能总量控制政策措施。严禁新增钢铁、焦化、电解铝、铸造、水泥和平板玻璃等产能；新、改、扩建涉及大宗物料运输的建设项目，原则上不得采用公路运输。</w:t>
                  </w:r>
                </w:p>
                <w:p w14:paraId="48D72B8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7非电行业新建项目，禁止配套建设自备纯凝、抽凝燃煤电站。</w:t>
                  </w:r>
                </w:p>
                <w:p w14:paraId="6EFD6CC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8在城市建成区及居民区、医院、学校等环境敏感区域，严禁现场露天灰土拌合。</w:t>
                  </w:r>
                </w:p>
                <w:p w14:paraId="149AF7E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w:t>
                  </w:r>
                </w:p>
                <w:p w14:paraId="0AAA21C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10禁止建设生产和使用高挥发性有机物含量涂料、油墨、胶粘剂、清洗剂等项目。</w:t>
                  </w:r>
                </w:p>
                <w:p w14:paraId="0814DFD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11禁止新建不符合国家规定的燃煤发电机组、燃油发电机组和燃煤热电机组。</w:t>
                  </w:r>
                </w:p>
                <w:p w14:paraId="44169C5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12禁止新建、扩建分散燃煤供热锅炉。</w:t>
                  </w:r>
                </w:p>
                <w:p w14:paraId="083BB9E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13在城市规划区内禁止新建、扩建大气污染严重的建设项目。</w:t>
                  </w:r>
                </w:p>
                <w:p w14:paraId="25590AE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禁止高灰分、高硫分煤炭进入市场。新建煤矿应当同步建设煤炭洗选设施，已建成的煤矿所采煤炭属于高灰分、高硫分的，应当在国家和省规定的期限内建成配套的煤炭洗选设施，使煤炭中的灰分、硫分达到规定的标准。15禁止在人口集中地区、机场周围、交通干线附近以及当地人民政府划定的区域露天焚烧秸秆、落叶、垃圾等产生烟尘污染的物质。</w:t>
                  </w:r>
                </w:p>
                <w:p w14:paraId="2A824013">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16在燃气管网和集中供热管网覆盖的区域，不得新建、扩建、改建燃烧煤炭、重油、渣油的供热设施；原有分散的中小型燃煤供热锅炉应当限期拆除。</w:t>
                  </w:r>
                </w:p>
                <w:p w14:paraId="03EA01D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17禁止在居民住宅楼、未配套设立专用烟道的商住综合楼、商住综合楼内与居住层相邻的商业楼层内新建、改建、扩建产生油烟、异味、废气的饮食服务项目。</w:t>
                  </w:r>
                </w:p>
                <w:p w14:paraId="2BFBF2C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18任何单位和个人不得在政府划定的禁止露天烧烤区域内露天烧烤食品或者为露天烧烤食品提供场地。</w:t>
                  </w:r>
                </w:p>
                <w:p w14:paraId="4792A14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19在机关、学校、医院、居民住宅区等人口集中地区和其他依法需要特殊保护的区域内，禁止从事下列生产活动：</w:t>
                  </w:r>
                </w:p>
                <w:p w14:paraId="7B9E52C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（1）橡胶制品生产、经营性喷漆、制骨胶、制骨粉、屠宰、畜禽养殖、生物发酵等产生恶臭、有毒有害气体的生产经营活动；</w:t>
                  </w:r>
                </w:p>
                <w:p w14:paraId="34D6813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（2）露天焚烧油毡、沥青、橡胶、塑料、皮革、垃圾或者其他可能产生恶臭、有毒有害气体的活动。</w:t>
                  </w:r>
                </w:p>
                <w:p w14:paraId="6F467A3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20严禁钢铁、水泥、电解铝、平板玻璃等行业新增产能，对确有必要新建的必须实施等量或减量置换。</w:t>
                  </w:r>
                </w:p>
                <w:p w14:paraId="7371581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21禁止淘汰落后类的产业进入开发区。</w:t>
                  </w:r>
                </w:p>
                <w:p w14:paraId="56B722B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22从事餐饮服务业的经营活动，不得有下列行为：</w:t>
                  </w:r>
                </w:p>
                <w:p w14:paraId="4C16B50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一）未经处理直接排放、倾倒废弃油脂和含油废物；（二）在居民住宅楼、未配套设立专用烟道的商住综合楼以及商住综合楼内与居住层相邻的商业楼层内新建、改建、扩建产生油烟、异味、废气的餐饮服务项目；（三）在当地人民政府禁止的区域内露天烧烤食品或者为露天烧烤食品提供场所。限制开发建设活动的要求:</w:t>
                  </w:r>
                </w:p>
                <w:p w14:paraId="77112FD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23加大钢铁、铸造、炼焦、建材、电解铝等产能压减力度。</w:t>
                  </w:r>
                </w:p>
                <w:p w14:paraId="5A3FFA1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24严格资源节约和环保准入门槛，转入项目必须符合国家产业政策、资源节约和污染物排放强度要求，避免产业转移中的资源浪费和污染扩散。</w:t>
                  </w:r>
                </w:p>
                <w:p w14:paraId="5E59A45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25对污染治理不规范的露天矿山，依法责令停产整治，整治完成并经相关部门组织验收合格后方可恢复生产。</w:t>
                  </w:r>
                </w:p>
                <w:p w14:paraId="3EE44B5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26加大落后产能淘汰和过剩产能压减力度。严防“地条钢”死灰复燃。</w:t>
                  </w:r>
                </w:p>
                <w:p w14:paraId="71CFF6D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28重点区域钢铁、水泥、焦化、石化、化工、有色等行业，二氧化硫、氮氧化物、颗粒物、挥发性有机物（VOCs）排放全面执行大气污染物特别排放限值。</w:t>
                  </w:r>
                </w:p>
                <w:p w14:paraId="1501376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29加大工业涂装、包装印刷等行业低挥发性有机物含量原辅材料替代力度，严格执行涂料、油墨、胶粘剂、清洗剂挥发性有机物含量限值标准，确保生产、销售、进口、使用符合标准的产品。</w:t>
                  </w:r>
                </w:p>
                <w:p w14:paraId="25634A8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30严格合理控制煤炭消费增长，大气污染防治重点区域内新建、改扩建用煤项目严格实施煤炭消费等量或减量替代。</w:t>
                  </w:r>
                </w:p>
                <w:p w14:paraId="279D149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31推动钢铁行业碳达峰。严格执行产能置换，严禁新增产能，依法依规淘汰落后产能。</w:t>
                  </w:r>
                </w:p>
                <w:p w14:paraId="7D3B6E2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32优化产能规模和布局，引导化工企业向产业园区转移，提高集聚发展水平。不符合空间布局要求活动的退出要求:33加快城市建成区、重点流域的重污染企业和危险化学品企业搬迁改造，加快推进危险化学品生产企业搬迁改造工程。</w:t>
                  </w:r>
                </w:p>
                <w:p w14:paraId="24C2AAE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34对城区内已建重污染企业要结合产业结构调整实施搬迁改造。</w:t>
                  </w:r>
                </w:p>
                <w:p w14:paraId="0875E80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35城市规划区内已建的大气污染严重的建设项目应当搬迁、改造，城市建成区应当在规定的时间内完成重污染企业搬迁、改造或者关闭退出。</w:t>
                  </w:r>
                </w:p>
                <w:p w14:paraId="5D05794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36严格执行环境保护法律法规，对超过大气和水等污染物排放标准排污，以及超过重点污染物总量控制指标排污的企业，责令限制生产、停产整治等；情节严重的，报经有批准权的地方政府批准，责令停业、关闭。依法打击违反固体废物管理法律法规行为。</w:t>
                  </w:r>
                </w:p>
                <w:p w14:paraId="02CED2D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37加快区域产业调整。加快城市建成区重污染企业搬迁改造或关闭退出；城市钢铁企业要切实采取彻底关停、转型发展、就地改造、域外搬迁等方式，推动转型升级。加大现有化工园区整治力度。退城企业，逾期不退城的予以停产。</w:t>
                  </w:r>
                </w:p>
                <w:p w14:paraId="040BDCD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38对不服从整改的餐饮企业，责令停业整治。依法关闭市、县（区）人民政府禁止区域内的露天餐饮、烧烤摊点，推广无炭烧烤。</w:t>
                  </w:r>
                </w:p>
                <w:p w14:paraId="033507D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39对违反资源环境法律法规、规划，污染环境、破坏生态、乱采滥挖的露天矿山，依法予以关闭；对污染治理不规范的露天矿山，依法责令停产整治，对拒不停产或擅自恢复生产的依法强制关闭。</w:t>
                  </w:r>
                </w:p>
                <w:p w14:paraId="50913AF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40对热效率低下、敞开未封闭，装备简易落后、自动化程度低，无组织排放突出，以及无治理设施或治理设施工艺落后等严重污染环境的工业炉窑，依法责令停业关闭。</w:t>
                  </w:r>
                </w:p>
                <w:p w14:paraId="3C463DB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41对以煤、石油焦、渣油、重油等为燃料的工业炉窑，加快使用清洁低碳能源以及利用工厂余热、电厂热力等进行替代。重点区域禁止掺烧高硫石油焦（硫含量大于3%）。玻璃行业全面禁止掺烧高硫石油焦。</w:t>
                  </w:r>
                </w:p>
                <w:p w14:paraId="30D41E7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42重点区域取缔燃煤热风炉，基本淘汰热电联产供热管网覆盖范围内的燃煤加热、烘干炉（窑）。加快推动铸造（10吨/小时及以下）、岩棉等行业冲天炉改为电炉。</w:t>
                  </w:r>
                </w:p>
                <w:p w14:paraId="522F686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43严格执行水泥熟料、平板玻璃产能置换要求，实施水泥常态化错峰生产，有序退出低效产能。推进燃煤窑炉清洁能源替代，逐步淘汰钢铁企业煤气发生炉。</w:t>
                  </w:r>
                </w:p>
                <w:p w14:paraId="13ADA10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其他空间布局约束要求:44强化“散乱污”企业综合整治。全面开展“散乱污”企业及集群综合整治行动。根据产业政策、产业布局规划，以及土地、环保、质量、安全、能耗等要求，制定“散乱污”企业及集群整治标准。按照“先停后治”的原则，实施分类处置。</w:t>
                  </w:r>
                </w:p>
                <w:p w14:paraId="6462055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45企业应当全面推进清洁生产，优先采用能源和原材料利用效率高、污染物排放量少的清洁生产技术、工艺和设备，淘汰严重污染大气环境质量的 产品、落后工艺和落后设备，减少大气污染物的产生和排放。禁止开发建 设活动的要求：1 禁止在淮河流域新建化学制浆造纸企业和印染、制革、化工、电镀、酿造等污染严重的小型企业。 2</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在饮用水水源保护区内，禁止设置排污口。在风景名胜区水体、重要</w:t>
                  </w:r>
                  <w:r>
                    <w:rPr>
                      <w:rFonts w:hint="eastAsia"/>
                      <w:color w:val="auto"/>
                      <w:sz w:val="21"/>
                      <w:szCs w:val="21"/>
                      <w:vertAlign w:val="baseline"/>
                      <w:lang w:val="en-US" w:eastAsia="zh-CN"/>
                    </w:rPr>
                    <w:t>渔业</w:t>
                  </w:r>
                  <w:r>
                    <w:rPr>
                      <w:rFonts w:hint="default"/>
                      <w:color w:val="auto"/>
                      <w:sz w:val="21"/>
                      <w:szCs w:val="21"/>
                      <w:vertAlign w:val="baseline"/>
                      <w:lang w:val="en-US" w:eastAsia="zh-CN"/>
                    </w:rPr>
                    <w:t>水体和其他具有特殊经济文化价值的水体的保护区内，不得新建排污口。 3</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禁止下列行为：</w:t>
                  </w:r>
                  <w:r>
                    <w:rPr>
                      <w:rFonts w:hint="eastAsia"/>
                      <w:color w:val="auto"/>
                      <w:sz w:val="21"/>
                      <w:szCs w:val="21"/>
                      <w:vertAlign w:val="baseline"/>
                      <w:lang w:val="en-US" w:eastAsia="zh-CN"/>
                    </w:rPr>
                    <w:t>（</w:t>
                  </w:r>
                  <w:r>
                    <w:rPr>
                      <w:rFonts w:hint="default"/>
                      <w:color w:val="auto"/>
                      <w:sz w:val="21"/>
                      <w:szCs w:val="21"/>
                      <w:vertAlign w:val="baseline"/>
                      <w:lang w:val="en-US" w:eastAsia="zh-CN"/>
                    </w:rPr>
                    <w:t>一</w:t>
                  </w:r>
                  <w:r>
                    <w:rPr>
                      <w:rFonts w:hint="eastAsia"/>
                      <w:color w:val="auto"/>
                      <w:sz w:val="21"/>
                      <w:szCs w:val="21"/>
                      <w:vertAlign w:val="baseline"/>
                      <w:lang w:val="en-US" w:eastAsia="zh-CN"/>
                    </w:rPr>
                    <w:t>）</w:t>
                  </w:r>
                  <w:r>
                    <w:rPr>
                      <w:rFonts w:hint="default"/>
                      <w:color w:val="auto"/>
                      <w:sz w:val="21"/>
                      <w:szCs w:val="21"/>
                      <w:vertAlign w:val="baseline"/>
                      <w:lang w:val="en-US" w:eastAsia="zh-CN"/>
                    </w:rPr>
                    <w:t>向水体排放或者倾倒油类、酸液、碱液和其他有毒 有害液体；</w:t>
                  </w:r>
                  <w:r>
                    <w:rPr>
                      <w:rFonts w:hint="eastAsia"/>
                      <w:color w:val="auto"/>
                      <w:sz w:val="21"/>
                      <w:szCs w:val="21"/>
                      <w:vertAlign w:val="baseline"/>
                      <w:lang w:val="en-US" w:eastAsia="zh-CN"/>
                    </w:rPr>
                    <w:t>（</w:t>
                  </w:r>
                  <w:r>
                    <w:rPr>
                      <w:rFonts w:hint="default"/>
                      <w:color w:val="auto"/>
                      <w:sz w:val="21"/>
                      <w:szCs w:val="21"/>
                      <w:vertAlign w:val="baseline"/>
                      <w:lang w:val="en-US" w:eastAsia="zh-CN"/>
                    </w:rPr>
                    <w:t>二</w:t>
                  </w:r>
                  <w:r>
                    <w:rPr>
                      <w:rFonts w:hint="eastAsia"/>
                      <w:color w:val="auto"/>
                      <w:sz w:val="21"/>
                      <w:szCs w:val="21"/>
                      <w:vertAlign w:val="baseline"/>
                      <w:lang w:val="en-US" w:eastAsia="zh-CN"/>
                    </w:rPr>
                    <w:t>）</w:t>
                  </w:r>
                  <w:r>
                    <w:rPr>
                      <w:rFonts w:hint="default"/>
                      <w:color w:val="auto"/>
                      <w:sz w:val="21"/>
                      <w:szCs w:val="21"/>
                      <w:vertAlign w:val="baseline"/>
                      <w:lang w:val="en-US" w:eastAsia="zh-CN"/>
                    </w:rPr>
                    <w:t>在水体中清洗装贮过有毒有害污染物的车辆、船舶和容器 ；</w:t>
                  </w:r>
                  <w:r>
                    <w:rPr>
                      <w:rFonts w:hint="eastAsia"/>
                      <w:color w:val="auto"/>
                      <w:sz w:val="21"/>
                      <w:szCs w:val="21"/>
                      <w:vertAlign w:val="baseline"/>
                      <w:lang w:val="en-US" w:eastAsia="zh-CN"/>
                    </w:rPr>
                    <w:t>（</w:t>
                  </w:r>
                  <w:r>
                    <w:rPr>
                      <w:rFonts w:hint="default"/>
                      <w:color w:val="auto"/>
                      <w:sz w:val="21"/>
                      <w:szCs w:val="21"/>
                      <w:vertAlign w:val="baseline"/>
                      <w:lang w:val="en-US" w:eastAsia="zh-CN"/>
                    </w:rPr>
                    <w:t>三</w:t>
                  </w:r>
                  <w:r>
                    <w:rPr>
                      <w:rFonts w:hint="eastAsia"/>
                      <w:color w:val="auto"/>
                      <w:sz w:val="21"/>
                      <w:szCs w:val="21"/>
                      <w:vertAlign w:val="baseline"/>
                      <w:lang w:val="en-US" w:eastAsia="zh-CN"/>
                    </w:rPr>
                    <w:t>）</w:t>
                  </w:r>
                  <w:r>
                    <w:rPr>
                      <w:rFonts w:hint="default"/>
                      <w:color w:val="auto"/>
                      <w:sz w:val="21"/>
                      <w:szCs w:val="21"/>
                      <w:vertAlign w:val="baseline"/>
                      <w:lang w:val="en-US" w:eastAsia="zh-CN"/>
                    </w:rPr>
                    <w:t>向水体排放、倾倒含有汞、镉、砷、铬、铅、氰化物、黄磷等可溶 性剧毒废液或者将上述物质直接埋入地下；</w:t>
                  </w:r>
                  <w:r>
                    <w:rPr>
                      <w:rFonts w:hint="eastAsia"/>
                      <w:color w:val="auto"/>
                      <w:sz w:val="21"/>
                      <w:szCs w:val="21"/>
                      <w:vertAlign w:val="baseline"/>
                      <w:lang w:val="en-US" w:eastAsia="zh-CN"/>
                    </w:rPr>
                    <w:t>（</w:t>
                  </w:r>
                  <w:r>
                    <w:rPr>
                      <w:rFonts w:hint="default"/>
                      <w:color w:val="auto"/>
                      <w:sz w:val="21"/>
                      <w:szCs w:val="21"/>
                      <w:vertAlign w:val="baseline"/>
                      <w:lang w:val="en-US" w:eastAsia="zh-CN"/>
                    </w:rPr>
                    <w:t>四</w:t>
                  </w:r>
                  <w:r>
                    <w:rPr>
                      <w:rFonts w:hint="eastAsia"/>
                      <w:color w:val="auto"/>
                      <w:sz w:val="21"/>
                      <w:szCs w:val="21"/>
                      <w:vertAlign w:val="baseline"/>
                      <w:lang w:val="en-US" w:eastAsia="zh-CN"/>
                    </w:rPr>
                    <w:t>）</w:t>
                  </w:r>
                  <w:r>
                    <w:rPr>
                      <w:rFonts w:hint="default"/>
                      <w:color w:val="auto"/>
                      <w:sz w:val="21"/>
                      <w:szCs w:val="21"/>
                      <w:vertAlign w:val="baseline"/>
                      <w:lang w:val="en-US" w:eastAsia="zh-CN"/>
                    </w:rPr>
                    <w:t>向水体排放、倾倒工业废 渣、城镇垃圾和其他废弃物；</w:t>
                  </w:r>
                  <w:r>
                    <w:rPr>
                      <w:rFonts w:hint="eastAsia"/>
                      <w:color w:val="auto"/>
                      <w:sz w:val="21"/>
                      <w:szCs w:val="21"/>
                      <w:vertAlign w:val="baseline"/>
                      <w:lang w:val="en-US" w:eastAsia="zh-CN"/>
                    </w:rPr>
                    <w:t>（</w:t>
                  </w:r>
                  <w:r>
                    <w:rPr>
                      <w:rFonts w:hint="default"/>
                      <w:color w:val="auto"/>
                      <w:sz w:val="21"/>
                      <w:szCs w:val="21"/>
                      <w:vertAlign w:val="baseline"/>
                      <w:lang w:val="en-US" w:eastAsia="zh-CN"/>
                    </w:rPr>
                    <w:t>五</w:t>
                  </w:r>
                  <w:r>
                    <w:rPr>
                      <w:rFonts w:hint="eastAsia"/>
                      <w:color w:val="auto"/>
                      <w:sz w:val="21"/>
                      <w:szCs w:val="21"/>
                      <w:vertAlign w:val="baseline"/>
                      <w:lang w:val="en-US" w:eastAsia="zh-CN"/>
                    </w:rPr>
                    <w:t>）</w:t>
                  </w:r>
                  <w:r>
                    <w:rPr>
                      <w:rFonts w:hint="default"/>
                      <w:color w:val="auto"/>
                      <w:sz w:val="21"/>
                      <w:szCs w:val="21"/>
                      <w:vertAlign w:val="baseline"/>
                      <w:lang w:val="en-US" w:eastAsia="zh-CN"/>
                    </w:rPr>
                    <w:t>向水体排放、倾倒放射性固体废弃物或 者放射性废水；</w:t>
                  </w:r>
                  <w:r>
                    <w:rPr>
                      <w:rFonts w:hint="eastAsia"/>
                      <w:color w:val="auto"/>
                      <w:sz w:val="21"/>
                      <w:szCs w:val="21"/>
                      <w:vertAlign w:val="baseline"/>
                      <w:lang w:val="en-US" w:eastAsia="zh-CN"/>
                    </w:rPr>
                    <w:t>（</w:t>
                  </w:r>
                  <w:r>
                    <w:rPr>
                      <w:rFonts w:hint="default"/>
                      <w:color w:val="auto"/>
                      <w:sz w:val="21"/>
                      <w:szCs w:val="21"/>
                      <w:vertAlign w:val="baseline"/>
                      <w:lang w:val="en-US" w:eastAsia="zh-CN"/>
                    </w:rPr>
                    <w:t>六</w:t>
                  </w:r>
                  <w:r>
                    <w:rPr>
                      <w:rFonts w:hint="eastAsia"/>
                      <w:color w:val="auto"/>
                      <w:sz w:val="21"/>
                      <w:szCs w:val="21"/>
                      <w:vertAlign w:val="baseline"/>
                      <w:lang w:val="en-US" w:eastAsia="zh-CN"/>
                    </w:rPr>
                    <w:t>）</w:t>
                  </w:r>
                  <w:r>
                    <w:rPr>
                      <w:rFonts w:hint="default"/>
                      <w:color w:val="auto"/>
                      <w:sz w:val="21"/>
                      <w:szCs w:val="21"/>
                      <w:vertAlign w:val="baseline"/>
                      <w:lang w:val="en-US" w:eastAsia="zh-CN"/>
                    </w:rPr>
                    <w:t>利用渗井、渗坑、裂隙、溶洞、塌陷区和废弃矿坑排 放、倾倒，或者利用无防渗措施的沟渠、坑塘输送或者存贮含毒污染物或 者病原体的废水和其他废弃物；</w:t>
                  </w:r>
                  <w:r>
                    <w:rPr>
                      <w:rFonts w:hint="eastAsia"/>
                      <w:color w:val="auto"/>
                      <w:sz w:val="21"/>
                      <w:szCs w:val="21"/>
                      <w:vertAlign w:val="baseline"/>
                      <w:lang w:val="en-US" w:eastAsia="zh-CN"/>
                    </w:rPr>
                    <w:t>（</w:t>
                  </w:r>
                  <w:r>
                    <w:rPr>
                      <w:rFonts w:hint="default"/>
                      <w:color w:val="auto"/>
                      <w:sz w:val="21"/>
                      <w:szCs w:val="21"/>
                      <w:vertAlign w:val="baseline"/>
                      <w:lang w:val="en-US" w:eastAsia="zh-CN"/>
                    </w:rPr>
                    <w:t>七</w:t>
                  </w:r>
                  <w:r>
                    <w:rPr>
                      <w:rFonts w:hint="eastAsia"/>
                      <w:color w:val="auto"/>
                      <w:sz w:val="21"/>
                      <w:szCs w:val="21"/>
                      <w:vertAlign w:val="baseline"/>
                      <w:lang w:val="en-US" w:eastAsia="zh-CN"/>
                    </w:rPr>
                    <w:t>）</w:t>
                  </w:r>
                  <w:r>
                    <w:rPr>
                      <w:rFonts w:hint="default"/>
                      <w:color w:val="auto"/>
                      <w:sz w:val="21"/>
                      <w:szCs w:val="21"/>
                      <w:vertAlign w:val="baseline"/>
                      <w:lang w:val="en-US" w:eastAsia="zh-CN"/>
                    </w:rPr>
                    <w:t>在河流、湖泊、运河、渠道、水库最 高水位线以下的滩地和岸坡堆放、贮存固体废弃物和其他污染物；</w:t>
                  </w:r>
                  <w:r>
                    <w:rPr>
                      <w:rFonts w:hint="eastAsia"/>
                      <w:color w:val="auto"/>
                      <w:sz w:val="21"/>
                      <w:szCs w:val="21"/>
                      <w:vertAlign w:val="baseline"/>
                      <w:lang w:val="en-US" w:eastAsia="zh-CN"/>
                    </w:rPr>
                    <w:t>（</w:t>
                  </w:r>
                  <w:r>
                    <w:rPr>
                      <w:rFonts w:hint="default"/>
                      <w:color w:val="auto"/>
                      <w:sz w:val="21"/>
                      <w:szCs w:val="21"/>
                      <w:vertAlign w:val="baseline"/>
                      <w:lang w:val="en-US" w:eastAsia="zh-CN"/>
                    </w:rPr>
                    <w:t>八</w:t>
                  </w:r>
                  <w:r>
                    <w:rPr>
                      <w:rFonts w:hint="eastAsia"/>
                      <w:color w:val="auto"/>
                      <w:sz w:val="21"/>
                      <w:szCs w:val="21"/>
                      <w:vertAlign w:val="baseline"/>
                      <w:lang w:val="en-US" w:eastAsia="zh-CN"/>
                    </w:rPr>
                    <w:t>）</w:t>
                  </w:r>
                  <w:r>
                    <w:rPr>
                      <w:rFonts w:hint="default"/>
                      <w:color w:val="auto"/>
                      <w:sz w:val="21"/>
                      <w:szCs w:val="21"/>
                      <w:vertAlign w:val="baseline"/>
                      <w:lang w:val="en-US" w:eastAsia="zh-CN"/>
                    </w:rPr>
                    <w:t>围 湖和其他破坏水环境生态平衡的活动；</w:t>
                  </w:r>
                  <w:r>
                    <w:rPr>
                      <w:rFonts w:hint="eastAsia"/>
                      <w:color w:val="auto"/>
                      <w:sz w:val="21"/>
                      <w:szCs w:val="21"/>
                      <w:vertAlign w:val="baseline"/>
                      <w:lang w:val="en-US" w:eastAsia="zh-CN"/>
                    </w:rPr>
                    <w:t>（</w:t>
                  </w:r>
                  <w:r>
                    <w:rPr>
                      <w:rFonts w:hint="default"/>
                      <w:color w:val="auto"/>
                      <w:sz w:val="21"/>
                      <w:szCs w:val="21"/>
                      <w:vertAlign w:val="baseline"/>
                      <w:lang w:val="en-US" w:eastAsia="zh-CN"/>
                    </w:rPr>
                    <w:t>九</w:t>
                  </w:r>
                  <w:r>
                    <w:rPr>
                      <w:rFonts w:hint="eastAsia"/>
                      <w:color w:val="auto"/>
                      <w:sz w:val="21"/>
                      <w:szCs w:val="21"/>
                      <w:vertAlign w:val="baseline"/>
                      <w:lang w:val="en-US" w:eastAsia="zh-CN"/>
                    </w:rPr>
                    <w:t>）</w:t>
                  </w:r>
                  <w:r>
                    <w:rPr>
                      <w:rFonts w:hint="default"/>
                      <w:color w:val="auto"/>
                      <w:sz w:val="21"/>
                      <w:szCs w:val="21"/>
                      <w:vertAlign w:val="baseline"/>
                      <w:lang w:val="en-US" w:eastAsia="zh-CN"/>
                    </w:rPr>
                    <w:t>引进不符合国家环境保护规定 要求的技术和设备；</w:t>
                  </w:r>
                  <w:r>
                    <w:rPr>
                      <w:rFonts w:hint="eastAsia"/>
                      <w:color w:val="auto"/>
                      <w:sz w:val="21"/>
                      <w:szCs w:val="21"/>
                      <w:vertAlign w:val="baseline"/>
                      <w:lang w:val="en-US" w:eastAsia="zh-CN"/>
                    </w:rPr>
                    <w:t>（</w:t>
                  </w:r>
                  <w:r>
                    <w:rPr>
                      <w:rFonts w:hint="default"/>
                      <w:color w:val="auto"/>
                      <w:sz w:val="21"/>
                      <w:szCs w:val="21"/>
                      <w:vertAlign w:val="baseline"/>
                      <w:lang w:val="en-US" w:eastAsia="zh-CN"/>
                    </w:rPr>
                    <w:t>十</w:t>
                  </w:r>
                  <w:r>
                    <w:rPr>
                      <w:rFonts w:hint="eastAsia"/>
                      <w:color w:val="auto"/>
                      <w:sz w:val="21"/>
                      <w:szCs w:val="21"/>
                      <w:vertAlign w:val="baseline"/>
                      <w:lang w:val="en-US" w:eastAsia="zh-CN"/>
                    </w:rPr>
                    <w:t>）法律法规</w:t>
                  </w:r>
                  <w:r>
                    <w:rPr>
                      <w:rFonts w:hint="default"/>
                      <w:color w:val="auto"/>
                      <w:sz w:val="21"/>
                      <w:szCs w:val="21"/>
                      <w:vertAlign w:val="baseline"/>
                      <w:lang w:val="en-US" w:eastAsia="zh-CN"/>
                    </w:rPr>
                    <w:t>禁止的其他行为。 4</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在淮河水域航行的船舶，应当遵守国家和省有关内河的船舶污染物排放标准，禁止向水体排放残油、废油、不符合规定的船舶压载水和倾倒船舶垃圾。 5</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全面停止天然林商业性采伐。 6</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坚持节约优先、保护优先、自然恢复为主的方针，依法有序推进新建</w:t>
                  </w:r>
                  <w:r>
                    <w:rPr>
                      <w:rFonts w:hint="eastAsia"/>
                      <w:color w:val="auto"/>
                      <w:sz w:val="21"/>
                      <w:szCs w:val="21"/>
                      <w:vertAlign w:val="baseline"/>
                      <w:lang w:val="en-US" w:eastAsia="zh-CN"/>
                    </w:rPr>
                    <w:t>露天矿山</w:t>
                  </w:r>
                  <w:r>
                    <w:rPr>
                      <w:rFonts w:hint="default"/>
                      <w:color w:val="auto"/>
                      <w:sz w:val="21"/>
                      <w:szCs w:val="21"/>
                      <w:vertAlign w:val="baseline"/>
                      <w:lang w:val="en-US" w:eastAsia="zh-CN"/>
                    </w:rPr>
                    <w:t>开采，严禁在自然保护区、风景名胜区、地质公园等禁止开采区域内新设矿权。 7</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坚持</w:t>
                  </w:r>
                  <w:r>
                    <w:rPr>
                      <w:rFonts w:hint="eastAsia"/>
                      <w:color w:val="auto"/>
                      <w:sz w:val="21"/>
                      <w:szCs w:val="21"/>
                      <w:vertAlign w:val="baseline"/>
                      <w:lang w:val="en-US" w:eastAsia="zh-CN"/>
                    </w:rPr>
                    <w:t>水资源、水生态、水环境、水灾害</w:t>
                  </w:r>
                  <w:r>
                    <w:rPr>
                      <w:rFonts w:hint="default"/>
                      <w:color w:val="auto"/>
                      <w:sz w:val="21"/>
                      <w:szCs w:val="21"/>
                      <w:vertAlign w:val="baseline"/>
                      <w:lang w:val="en-US" w:eastAsia="zh-CN"/>
                    </w:rPr>
                    <w:t>统筹治理，严格落实水产种质资源</w:t>
                  </w:r>
                  <w:r>
                    <w:rPr>
                      <w:rFonts w:hint="eastAsia"/>
                      <w:color w:val="auto"/>
                      <w:sz w:val="21"/>
                      <w:szCs w:val="21"/>
                      <w:vertAlign w:val="baseline"/>
                      <w:lang w:val="en-US" w:eastAsia="zh-CN"/>
                    </w:rPr>
                    <w:t>保护区</w:t>
                  </w:r>
                  <w:r>
                    <w:rPr>
                      <w:rFonts w:hint="default"/>
                      <w:color w:val="auto"/>
                      <w:sz w:val="21"/>
                      <w:szCs w:val="21"/>
                      <w:vertAlign w:val="baseline"/>
                      <w:lang w:val="en-US" w:eastAsia="zh-CN"/>
                    </w:rPr>
                    <w:t>和自然保护区全面禁捕措施。 限制开发建设活动的要求：8</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严格限制在淮河流域新建印染、制革、化工、电镀、酿造等大中型项目或者其他污染严重的项目</w:t>
                  </w:r>
                  <w:r>
                    <w:rPr>
                      <w:rFonts w:hint="eastAsia"/>
                      <w:color w:val="auto"/>
                      <w:sz w:val="21"/>
                      <w:szCs w:val="21"/>
                      <w:vertAlign w:val="baseline"/>
                      <w:lang w:val="en-US" w:eastAsia="zh-CN"/>
                    </w:rPr>
                    <w:t>。</w:t>
                  </w:r>
                  <w:r>
                    <w:rPr>
                      <w:rFonts w:hint="default"/>
                      <w:color w:val="auto"/>
                      <w:sz w:val="21"/>
                      <w:szCs w:val="21"/>
                      <w:vertAlign w:val="baseline"/>
                      <w:lang w:val="en-US" w:eastAsia="zh-CN"/>
                    </w:rPr>
                    <w:t>建设该类</w:t>
                  </w:r>
                  <w:r>
                    <w:rPr>
                      <w:rFonts w:hint="eastAsia"/>
                      <w:color w:val="auto"/>
                      <w:sz w:val="21"/>
                      <w:szCs w:val="21"/>
                      <w:vertAlign w:val="baseline"/>
                      <w:lang w:val="en-US" w:eastAsia="zh-CN"/>
                    </w:rPr>
                    <w:t>项目</w:t>
                  </w:r>
                  <w:r>
                    <w:rPr>
                      <w:rFonts w:hint="default"/>
                      <w:color w:val="auto"/>
                      <w:sz w:val="21"/>
                      <w:szCs w:val="21"/>
                      <w:vertAlign w:val="baseline"/>
                      <w:lang w:val="en-US" w:eastAsia="zh-CN"/>
                    </w:rPr>
                    <w:t>，应当事前征得省人民政府生态环境行政主管部门的同意，并按照规定</w:t>
                  </w:r>
                  <w:r>
                    <w:rPr>
                      <w:rFonts w:hint="eastAsia"/>
                      <w:color w:val="auto"/>
                      <w:sz w:val="21"/>
                      <w:szCs w:val="21"/>
                      <w:vertAlign w:val="baseline"/>
                      <w:lang w:val="en-US" w:eastAsia="zh-CN"/>
                    </w:rPr>
                    <w:t>办理</w:t>
                  </w:r>
                  <w:r>
                    <w:rPr>
                      <w:rFonts w:hint="default"/>
                      <w:color w:val="auto"/>
                      <w:sz w:val="21"/>
                      <w:szCs w:val="21"/>
                      <w:vertAlign w:val="baseline"/>
                      <w:lang w:val="en-US" w:eastAsia="zh-CN"/>
                    </w:rPr>
                    <w:t>有关手续。 9</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新建、改建、扩建直接或者间接向水体排放污染物的建设项目和其他</w:t>
                  </w:r>
                  <w:r>
                    <w:rPr>
                      <w:rFonts w:hint="eastAsia"/>
                      <w:color w:val="auto"/>
                      <w:sz w:val="21"/>
                      <w:szCs w:val="21"/>
                      <w:vertAlign w:val="baseline"/>
                      <w:lang w:val="en-US" w:eastAsia="zh-CN"/>
                    </w:rPr>
                    <w:t>水上</w:t>
                  </w:r>
                  <w:r>
                    <w:rPr>
                      <w:rFonts w:hint="default"/>
                      <w:color w:val="auto"/>
                      <w:sz w:val="21"/>
                      <w:szCs w:val="21"/>
                      <w:vertAlign w:val="baseline"/>
                      <w:lang w:val="en-US" w:eastAsia="zh-CN"/>
                    </w:rPr>
                    <w:t>设施，应当依法进行环境影响评价。建设项目的水污染防治设施，应当符合经批准或者备案的环境影响评价文件的要求，并与主体工程同时设计、同时施工、同时投入使用。新建、扩建、改建项目，除执行前款规定外 ，还应当遵守下列规定：（一）新建项目的选址应符合城市总体规划，避 开饮用水水源地和对环境有特殊要求的功能区；（二）采用资源利用率高 、污染物排放量少的先进设备和先进工艺；（三）改建、扩建项目和技改 项目应当把水污染治理纳入项目内容。工程配套建设的水污染防治设施竣 工后，建设单位应当按照国务院生态环境行政主管部门规定的标准和程序进行验收。验收合格后，方可投入使用；未经验收或者验收不合格的，不 得投入生产或者使用。 10</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在保护区附近新建排污口，应当保证保护区水体不受污染。 11</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严格环境准入，在水污染防治重点控制单元的区域内，限制新建耗水量大、废水排放量大的项目和单纯扩大产能的项目。严格控制缺水地区、</w:t>
                  </w:r>
                  <w:r>
                    <w:rPr>
                      <w:rFonts w:hint="eastAsia"/>
                      <w:color w:val="auto"/>
                      <w:sz w:val="21"/>
                      <w:szCs w:val="21"/>
                      <w:vertAlign w:val="baseline"/>
                      <w:lang w:val="en-US" w:eastAsia="zh-CN"/>
                    </w:rPr>
                    <w:t>水污染</w:t>
                  </w:r>
                  <w:r>
                    <w:rPr>
                      <w:rFonts w:hint="default"/>
                      <w:color w:val="auto"/>
                      <w:sz w:val="21"/>
                      <w:szCs w:val="21"/>
                      <w:vertAlign w:val="baseline"/>
                      <w:lang w:val="en-US" w:eastAsia="zh-CN"/>
                    </w:rPr>
                    <w:t>严重地区和敏感区域高耗水、高污染行业发展。 12</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严格管控重污染耕地，划定农产品禁止生产区，加强对严格管控类耕地的用途管理。实施建设用地准入管理，城市控制性详细规划涉及疑似污染地块或污染地块的，应根据规划用途明确其土壤环境质量要求并作为规划许可条件。 13</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完善规模畜禽养殖场污染治理设施，科学划定畜禽养殖禁养区、限养区，实行适度规模养殖。 不符合空间布局要求活动的退出要求：14</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加强重金属污染源头控制和</w:t>
                  </w:r>
                  <w:r>
                    <w:rPr>
                      <w:rFonts w:hint="eastAsia"/>
                      <w:color w:val="auto"/>
                      <w:sz w:val="21"/>
                      <w:szCs w:val="21"/>
                      <w:vertAlign w:val="baseline"/>
                      <w:lang w:val="en-US" w:eastAsia="zh-CN"/>
                    </w:rPr>
                    <w:t>重金属</w:t>
                  </w:r>
                  <w:r>
                    <w:rPr>
                      <w:rFonts w:hint="default"/>
                      <w:color w:val="auto"/>
                      <w:sz w:val="21"/>
                      <w:szCs w:val="21"/>
                      <w:vertAlign w:val="baseline"/>
                      <w:lang w:val="en-US" w:eastAsia="zh-CN"/>
                    </w:rPr>
                    <w:t>重点防控区域治理，对重要粮食生产区域周边的工矿企业实施重金属</w:t>
                  </w:r>
                  <w:r>
                    <w:rPr>
                      <w:rFonts w:hint="eastAsia"/>
                      <w:color w:val="auto"/>
                      <w:sz w:val="21"/>
                      <w:szCs w:val="21"/>
                      <w:vertAlign w:val="baseline"/>
                      <w:lang w:val="en-US" w:eastAsia="zh-CN"/>
                    </w:rPr>
                    <w:t>排放</w:t>
                  </w:r>
                  <w:r>
                    <w:rPr>
                      <w:rFonts w:hint="default"/>
                      <w:color w:val="auto"/>
                      <w:sz w:val="21"/>
                      <w:szCs w:val="21"/>
                      <w:vertAlign w:val="baseline"/>
                      <w:lang w:val="en-US" w:eastAsia="zh-CN"/>
                    </w:rPr>
                    <w:t>总量控制，对达不到环保要求的企业要限期升级改造或依法关闭、搬迁。 15</w:t>
                  </w:r>
                  <w:r>
                    <w:rPr>
                      <w:rFonts w:hint="eastAsia"/>
                      <w:color w:val="auto"/>
                      <w:sz w:val="21"/>
                      <w:szCs w:val="21"/>
                      <w:vertAlign w:val="baseline"/>
                      <w:lang w:val="en-US" w:eastAsia="zh-CN"/>
                    </w:rPr>
                    <w:t xml:space="preserve">. </w:t>
                  </w:r>
                  <w:r>
                    <w:rPr>
                      <w:rFonts w:hint="default"/>
                      <w:color w:val="auto"/>
                      <w:sz w:val="21"/>
                      <w:szCs w:val="21"/>
                      <w:vertAlign w:val="baseline"/>
                      <w:lang w:val="en-US" w:eastAsia="zh-CN"/>
                    </w:rPr>
                    <w:t>依法开展环境影响评价工作，严格落实生态环境损害责任追究问责制度，对不符合要求占用的岸线、河段、土地和布局的产业，必须无条件退出。 其他空间布局约束要求</w:t>
                  </w:r>
                  <w:r>
                    <w:rPr>
                      <w:rFonts w:hint="eastAsia"/>
                      <w:color w:val="auto"/>
                      <w:sz w:val="21"/>
                      <w:szCs w:val="21"/>
                      <w:vertAlign w:val="baseline"/>
                      <w:lang w:val="en-US" w:eastAsia="zh-CN"/>
                    </w:rPr>
                    <w:t xml:space="preserve">：16. </w:t>
                  </w:r>
                  <w:r>
                    <w:rPr>
                      <w:rFonts w:hint="default"/>
                      <w:color w:val="auto"/>
                      <w:sz w:val="21"/>
                      <w:szCs w:val="21"/>
                      <w:vertAlign w:val="baseline"/>
                      <w:lang w:val="en-US" w:eastAsia="zh-CN"/>
                    </w:rPr>
                    <w:t>推进农业水价综合改革，推广节水灌溉</w:t>
                  </w:r>
                  <w:r>
                    <w:rPr>
                      <w:rFonts w:hint="eastAsia"/>
                      <w:color w:val="auto"/>
                      <w:sz w:val="21"/>
                      <w:szCs w:val="21"/>
                      <w:vertAlign w:val="baseline"/>
                      <w:lang w:val="en-US" w:eastAsia="zh-CN"/>
                    </w:rPr>
                    <w:t>水肥一体化</w:t>
                  </w:r>
                  <w:r>
                    <w:rPr>
                      <w:rFonts w:hint="default"/>
                      <w:color w:val="auto"/>
                      <w:sz w:val="21"/>
                      <w:szCs w:val="21"/>
                      <w:vertAlign w:val="baseline"/>
                      <w:lang w:val="en-US" w:eastAsia="zh-CN"/>
                    </w:rPr>
                    <w:t>技术，提高农业灌溉水利用效率。在缺水地区试行退地减水，有序调整 种植业结构与布局。加快产业升级，降低单位工业增加值用水量，大力开 展节水型载体建设。提高城镇水资源重复利用率，促进再生水利用。1</w:t>
                  </w:r>
                  <w:r>
                    <w:rPr>
                      <w:rFonts w:hint="eastAsia"/>
                      <w:color w:val="auto"/>
                      <w:sz w:val="21"/>
                      <w:szCs w:val="21"/>
                      <w:vertAlign w:val="baseline"/>
                      <w:lang w:val="en-US" w:eastAsia="zh-CN"/>
                    </w:rPr>
                    <w:t>.</w:t>
                  </w:r>
                  <w:r>
                    <w:rPr>
                      <w:rFonts w:hint="default"/>
                      <w:color w:val="auto"/>
                      <w:sz w:val="21"/>
                      <w:szCs w:val="21"/>
                      <w:vertAlign w:val="baseline"/>
                      <w:lang w:val="en-US" w:eastAsia="zh-CN"/>
                    </w:rPr>
                    <w:t xml:space="preserve"> </w:t>
                  </w:r>
                  <w:r>
                    <w:rPr>
                      <w:rFonts w:hint="eastAsia"/>
                      <w:color w:val="auto"/>
                      <w:sz w:val="21"/>
                      <w:szCs w:val="21"/>
                      <w:vertAlign w:val="baseline"/>
                      <w:lang w:val="en-US" w:eastAsia="zh-CN"/>
                    </w:rPr>
                    <w:t>禁止</w:t>
                  </w:r>
                  <w:r>
                    <w:rPr>
                      <w:rFonts w:hint="default"/>
                      <w:color w:val="auto"/>
                      <w:sz w:val="21"/>
                      <w:szCs w:val="21"/>
                      <w:vertAlign w:val="baseline"/>
                      <w:lang w:val="en-US" w:eastAsia="zh-CN"/>
                    </w:rPr>
                    <w:t>新建化工园区，加大现有化工园区整治力度，加快城市建成区和重点</w:t>
                  </w:r>
                  <w:r>
                    <w:rPr>
                      <w:rFonts w:hint="eastAsia"/>
                      <w:color w:val="auto"/>
                      <w:sz w:val="21"/>
                      <w:szCs w:val="21"/>
                      <w:vertAlign w:val="baseline"/>
                      <w:lang w:val="en-US" w:eastAsia="zh-CN"/>
                    </w:rPr>
                    <w:t>流域</w:t>
                  </w:r>
                  <w:r>
                    <w:rPr>
                      <w:rFonts w:hint="default"/>
                      <w:color w:val="auto"/>
                      <w:sz w:val="21"/>
                      <w:szCs w:val="21"/>
                      <w:vertAlign w:val="baseline"/>
                      <w:lang w:val="en-US" w:eastAsia="zh-CN"/>
                    </w:rPr>
                    <w:t>等环境敏感区的重污染企业和危险化学品企业搬迁改造</w:t>
                  </w:r>
                  <w:r>
                    <w:rPr>
                      <w:rFonts w:hint="eastAsia"/>
                      <w:color w:val="auto"/>
                      <w:sz w:val="21"/>
                      <w:szCs w:val="21"/>
                      <w:vertAlign w:val="baseline"/>
                      <w:lang w:val="en-US" w:eastAsia="zh-CN"/>
                    </w:rPr>
                    <w:t>。</w:t>
                  </w:r>
                  <w:r>
                    <w:rPr>
                      <w:rFonts w:hint="default"/>
                      <w:color w:val="auto"/>
                      <w:sz w:val="21"/>
                      <w:szCs w:val="21"/>
                      <w:vertAlign w:val="baseline"/>
                      <w:lang w:val="en-US" w:eastAsia="zh-CN"/>
                    </w:rPr>
                    <w:t>2018年年底前，将</w:t>
                  </w:r>
                  <w:r>
                    <w:rPr>
                      <w:rFonts w:hint="eastAsia"/>
                      <w:color w:val="auto"/>
                      <w:sz w:val="21"/>
                      <w:szCs w:val="21"/>
                      <w:vertAlign w:val="baseline"/>
                      <w:lang w:val="en-US" w:eastAsia="zh-CN"/>
                    </w:rPr>
                    <w:t>制定</w:t>
                  </w:r>
                  <w:r>
                    <w:rPr>
                      <w:rFonts w:hint="default"/>
                      <w:color w:val="auto"/>
                      <w:sz w:val="21"/>
                      <w:szCs w:val="21"/>
                      <w:vertAlign w:val="baseline"/>
                      <w:lang w:val="en-US" w:eastAsia="zh-CN"/>
                    </w:rPr>
                    <w:t>专项计划并向社会公开。 2.全面禁止洋垃圾入境，严厉打击走私。 3.禁止新增化工园区，加大现有化工园区整治力度。已明确的退城企业 ，要明确时间表，逾期不退城的予以停产。 4.禁止新建企业自备燃煤设施。 5.在城市规划区内禁止新建废气污染严重的建设项目。 6.优化产业布局，划定并坚守生态红线，严禁在生态脆弱或环境敏感区建 设“两高”项目。 7.严禁采用国家限制和淘汰的采选技术、工艺和设备，强化矿山</w:t>
                  </w:r>
                  <w:r>
                    <w:rPr>
                      <w:rFonts w:hint="eastAsia"/>
                      <w:color w:val="auto"/>
                      <w:sz w:val="21"/>
                      <w:szCs w:val="21"/>
                      <w:vertAlign w:val="baseline"/>
                      <w:lang w:val="en-US" w:eastAsia="zh-CN"/>
                    </w:rPr>
                    <w:t>环境污染防治</w:t>
                  </w:r>
                  <w:r>
                    <w:rPr>
                      <w:rFonts w:hint="default"/>
                      <w:color w:val="auto"/>
                      <w:sz w:val="21"/>
                      <w:szCs w:val="21"/>
                      <w:vertAlign w:val="baseline"/>
                      <w:lang w:val="en-US" w:eastAsia="zh-CN"/>
                    </w:rPr>
                    <w:t>与生态恢复治理。加强生产矿山开采活 动与造地、复垦、恢复植被等生态修复同步实施。 8.严格禁止超出本地区资源环境承载能力的产业进入，逐步“关停并转 ”高污染和高耗水产业。 9.严格执行相关行业企业布局选址要求，禁止在居民区、学校、医疗和养 老机构等周边新建重污染行业企业</w:t>
                  </w:r>
                  <w:r>
                    <w:rPr>
                      <w:rFonts w:hint="eastAsia"/>
                      <w:color w:val="auto"/>
                      <w:sz w:val="21"/>
                      <w:szCs w:val="21"/>
                      <w:vertAlign w:val="baseline"/>
                      <w:lang w:val="en-US" w:eastAsia="zh-CN"/>
                    </w:rPr>
                    <w:t>；</w:t>
                  </w:r>
                  <w:r>
                    <w:rPr>
                      <w:rFonts w:hint="default"/>
                      <w:color w:val="auto"/>
                      <w:sz w:val="21"/>
                      <w:szCs w:val="21"/>
                      <w:vertAlign w:val="baseline"/>
                      <w:lang w:val="en-US" w:eastAsia="zh-CN"/>
                    </w:rPr>
                    <w:t>结合推进新型城镇化、产业结构调整和化解过剩产能等，有序搬迁或依法关闭对土壤造成严重污染的现有企业。</w:t>
                  </w:r>
                </w:p>
                <w:p w14:paraId="1B239EF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10.严把项目准入关，严格禁止与主体功能不符的产业进入。</w:t>
                  </w:r>
                </w:p>
                <w:p w14:paraId="3067F54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11.禁止新建大规模工业开发区，严格控制开发区范围，已有工业开发区需转型为绿色生态工业区。</w:t>
                  </w:r>
                </w:p>
                <w:p w14:paraId="72D073D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12.在新型城镇化工业化集聚发展区内，将环境影响较大、土地利用效率低、资源消耗多、产能过剩的产业列入限制类，将高耗水、高污染、高耗能的产业列入禁止类。</w:t>
                  </w:r>
                </w:p>
                <w:p w14:paraId="7C3B43D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13.严格落实河长制，加强水源地保护，严禁对地表及地下水有较大污染的企业进入，严格控制面源污染，逐步淘汰与主体功能区不符的产业。</w:t>
                  </w:r>
                </w:p>
                <w:p w14:paraId="3511C7D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14.禁止新建企业自备燃煤设施</w:t>
                  </w:r>
                </w:p>
                <w:p w14:paraId="5EDCC02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15.原则上不得新建热电联产和天然气化工项目</w:t>
                  </w:r>
                </w:p>
                <w:p w14:paraId="44B9ED0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16.禁止进口或者销售超过污染物排放标准的非道路移动机械。</w:t>
                  </w:r>
                </w:p>
                <w:p w14:paraId="203D7F4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17.禁止生产、进口、销售不符合标准的非道路移动机械用燃料、发动机油、氮氧化物还原剂和润滑油添加剂以及其他添加剂。</w:t>
                  </w:r>
                </w:p>
                <w:p w14:paraId="1259EFC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18.禁止生产厚度小于0.025毫米超薄塑料购物袋、厚度小于0.01毫米的聚乙烯农用地膜。</w:t>
                  </w:r>
                </w:p>
                <w:p w14:paraId="664688A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19.禁止生产含塑料微珠日化产品等部分危害环境和人体健康的产品。</w:t>
                  </w:r>
                </w:p>
                <w:p w14:paraId="77C2EFC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20.严禁新建《产业结构调整指导目录》限制类和新（改、扩）建</w:t>
                  </w:r>
                  <w:r>
                    <w:rPr>
                      <w:rFonts w:hint="eastAsia"/>
                      <w:color w:val="auto"/>
                      <w:sz w:val="21"/>
                      <w:szCs w:val="21"/>
                      <w:vertAlign w:val="baseline"/>
                      <w:lang w:val="en-US" w:eastAsia="zh-CN"/>
                    </w:rPr>
                    <w:t>淘汰</w:t>
                  </w:r>
                  <w:r>
                    <w:rPr>
                      <w:rFonts w:hint="default"/>
                      <w:color w:val="auto"/>
                      <w:sz w:val="21"/>
                      <w:szCs w:val="21"/>
                      <w:vertAlign w:val="baseline"/>
                      <w:lang w:val="en-US" w:eastAsia="zh-CN"/>
                    </w:rPr>
                    <w:t>类化工项目。</w:t>
                  </w:r>
                </w:p>
                <w:p w14:paraId="1A7CB23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21.严禁未批先建。禁止建设达不到安全标准的落后生产工艺、未委托具有相应资质设计单位进行工艺设计、搬迁使用旧设备的新（改、扩）建项目。</w:t>
                  </w:r>
                </w:p>
                <w:p w14:paraId="2B9A6D6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22.新（改、扩）建精细化工项目，按规定开展反应安全风险评估，禁止反应工艺危险度5级的项目。</w:t>
                  </w:r>
                </w:p>
                <w:p w14:paraId="6D9E026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23.原则上在自然保护区的核心区和缓冲区禁止开展增殖渔业。</w:t>
                  </w:r>
                </w:p>
                <w:p w14:paraId="65F3A72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24.在禁养区内，严格禁止生产性养殖。</w:t>
                  </w:r>
                </w:p>
                <w:p w14:paraId="2E96403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25.扎实落实市总河长2号令</w:t>
                  </w:r>
                  <w:r>
                    <w:rPr>
                      <w:rFonts w:hint="eastAsia"/>
                      <w:color w:val="auto"/>
                      <w:sz w:val="21"/>
                      <w:szCs w:val="21"/>
                      <w:vertAlign w:val="baseline"/>
                      <w:lang w:val="en-US" w:eastAsia="zh-CN"/>
                    </w:rPr>
                    <w:t>，</w:t>
                  </w:r>
                  <w:r>
                    <w:rPr>
                      <w:rFonts w:hint="default"/>
                      <w:color w:val="auto"/>
                      <w:sz w:val="21"/>
                      <w:szCs w:val="21"/>
                      <w:vertAlign w:val="baseline"/>
                      <w:lang w:val="en-US" w:eastAsia="zh-CN"/>
                    </w:rPr>
                    <w:t>全市范围内禁止</w:t>
                  </w:r>
                  <w:r>
                    <w:rPr>
                      <w:rFonts w:hint="eastAsia"/>
                      <w:color w:val="auto"/>
                      <w:sz w:val="21"/>
                      <w:szCs w:val="21"/>
                      <w:vertAlign w:val="baseline"/>
                      <w:lang w:val="en-US" w:eastAsia="zh-CN"/>
                    </w:rPr>
                    <w:t>在河</w:t>
                  </w:r>
                  <w:r>
                    <w:rPr>
                      <w:rFonts w:hint="default"/>
                      <w:color w:val="auto"/>
                      <w:sz w:val="21"/>
                      <w:szCs w:val="21"/>
                      <w:vertAlign w:val="baseline"/>
                      <w:lang w:val="en-US" w:eastAsia="zh-CN"/>
                    </w:rPr>
                    <w:t>坡、堤坡、干涸河床农田耕种，禁止侵占自然湿地等水源涵养空间</w:t>
                  </w:r>
                  <w:r>
                    <w:rPr>
                      <w:rFonts w:hint="eastAsia"/>
                      <w:color w:val="auto"/>
                      <w:sz w:val="21"/>
                      <w:szCs w:val="21"/>
                      <w:vertAlign w:val="baseline"/>
                      <w:lang w:val="en-US" w:eastAsia="zh-CN"/>
                    </w:rPr>
                    <w:t>，</w:t>
                  </w:r>
                  <w:r>
                    <w:rPr>
                      <w:rFonts w:hint="default"/>
                      <w:color w:val="auto"/>
                      <w:sz w:val="21"/>
                      <w:szCs w:val="21"/>
                      <w:vertAlign w:val="baseline"/>
                      <w:lang w:val="en-US" w:eastAsia="zh-CN"/>
                    </w:rPr>
                    <w:t>进一步减少农药、化肥施用量和入河量。</w:t>
                  </w:r>
                </w:p>
                <w:p w14:paraId="7A252EA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1.开展重点区域、重点流域、重点行业和产业布局规划环评，调整优化不符合生态环境功能定位的产业布局、规模和结构，严格控制环境风险项目。</w:t>
                  </w:r>
                </w:p>
                <w:p w14:paraId="7BDAFF3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2.落实国家相关要求，严格限制高风险化学品生产、使用、进出口，并逐步淘汰、替代。</w:t>
                  </w:r>
                </w:p>
                <w:p w14:paraId="36FFF88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3.严格控制高耗水新建、改扩建项目，推进高耗水企业向水资源条件允许的工业园区集中。</w:t>
                  </w:r>
                </w:p>
                <w:p w14:paraId="2716ABA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进一步增加大中型矿山的比例（55%），矿石产量和采矿业总产值保持持续增长，精加工的矿产品比例进一步提高，严格控制小矿山数量，矿产资源开发利用方式得到根本性好转。5.限制低水平开发企业进入矿区，对区内已有低水平开发企业采用政府引带、企业运作等市场方式进行整合，控制开采总量，提高“三率”达标率。</w:t>
                  </w:r>
                </w:p>
                <w:p w14:paraId="2ABC8D2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6.在限制开发区域和禁止开发区域，新上涉及锅炉项目全部采用电锅炉。</w:t>
                  </w:r>
                </w:p>
                <w:p w14:paraId="1CF5464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7.严格控制重金属排放总量，重金属排放量比2015年不增加，对现有涉重企业改扩建项目要采取“增产不增污”</w:t>
                  </w:r>
                  <w:r>
                    <w:rPr>
                      <w:rFonts w:hint="eastAsia"/>
                      <w:color w:val="auto"/>
                      <w:sz w:val="21"/>
                      <w:szCs w:val="21"/>
                      <w:vertAlign w:val="baseline"/>
                      <w:lang w:val="en-US" w:eastAsia="zh-CN"/>
                    </w:rPr>
                    <w:t>的措施。</w:t>
                  </w:r>
                </w:p>
                <w:p w14:paraId="48678A5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8.在农业发展区，以基本农田和一般农田保护为重点，限制进行大规模、高强度的工业化城镇化开发活动。</w:t>
                  </w:r>
                </w:p>
                <w:p w14:paraId="4175CBD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9.严格控制缺水地区、水污染严重地区和敏感区域高耗水、高污染行业发展，新建、改建、扩建重点行业建设项目实行主要污染物排放减量置换。</w:t>
                  </w:r>
                </w:p>
                <w:p w14:paraId="1EFFF7C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10.严格控制在优先保护类耕地集中区域新建化工、电镀、制革等行业企业，现有相关行业企业要采用新技术、新工艺，加快提标升级改造步伐。</w:t>
                  </w:r>
                </w:p>
                <w:p w14:paraId="47FB244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11.严格控制开发区范围，已有工业开发区需转型为绿色生态工业区。</w:t>
                  </w:r>
                </w:p>
                <w:p w14:paraId="6231ADC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12.将环境影响较大、土地利用效率低、资源消耗多、产能过剩的产业列入限制类发展产业。</w:t>
                  </w:r>
                </w:p>
                <w:p w14:paraId="1585715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13.有效规范空间开发秩序，合理控制空间开发强度，切实将各类开发活动限制在资源环境承载能力之内。</w:t>
                  </w:r>
                </w:p>
                <w:p w14:paraId="11432A5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14.建成区严格控制新建生物质锅炉。</w:t>
                  </w:r>
                </w:p>
                <w:p w14:paraId="00C9674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15.严控化石能源消费总量，新、改、扩建项目严格实施煤炭等量或减量替代。</w:t>
                  </w:r>
                </w:p>
                <w:p w14:paraId="5C9A0D9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16.严格限制新建剧毒化学品生产项目，实现剧毒化学品生产企业只减不增</w:t>
                  </w:r>
                  <w:r>
                    <w:rPr>
                      <w:rFonts w:hint="eastAsia"/>
                      <w:color w:val="auto"/>
                      <w:sz w:val="21"/>
                      <w:szCs w:val="21"/>
                      <w:vertAlign w:val="baseline"/>
                      <w:lang w:val="en-US" w:eastAsia="zh-CN"/>
                    </w:rPr>
                    <w:t>，</w:t>
                  </w:r>
                  <w:r>
                    <w:rPr>
                      <w:rFonts w:hint="default"/>
                      <w:color w:val="auto"/>
                      <w:sz w:val="21"/>
                      <w:szCs w:val="21"/>
                      <w:vertAlign w:val="baseline"/>
                      <w:lang w:val="en-US" w:eastAsia="zh-CN"/>
                    </w:rPr>
                    <w:t>原则上不再批准新设光气生产企业。</w:t>
                  </w:r>
                </w:p>
                <w:p w14:paraId="1A82FCB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17.严格控制尿素、电石、纯碱</w:t>
                  </w:r>
                  <w:r>
                    <w:rPr>
                      <w:rFonts w:hint="eastAsia"/>
                      <w:color w:val="auto"/>
                      <w:sz w:val="21"/>
                      <w:szCs w:val="21"/>
                      <w:vertAlign w:val="baseline"/>
                      <w:lang w:val="en-US" w:eastAsia="zh-CN"/>
                    </w:rPr>
                    <w:t>（</w:t>
                  </w:r>
                  <w:r>
                    <w:rPr>
                      <w:rFonts w:hint="default"/>
                      <w:color w:val="auto"/>
                      <w:sz w:val="21"/>
                      <w:szCs w:val="21"/>
                      <w:vertAlign w:val="baseline"/>
                      <w:lang w:val="en-US" w:eastAsia="zh-CN"/>
                    </w:rPr>
                    <w:t>天然碱除外</w:t>
                  </w:r>
                  <w:r>
                    <w:rPr>
                      <w:rFonts w:hint="eastAsia"/>
                      <w:color w:val="auto"/>
                      <w:sz w:val="21"/>
                      <w:szCs w:val="21"/>
                      <w:vertAlign w:val="baseline"/>
                      <w:lang w:val="en-US" w:eastAsia="zh-CN"/>
                    </w:rPr>
                    <w:t>）</w:t>
                  </w:r>
                  <w:r>
                    <w:rPr>
                      <w:rFonts w:hint="default"/>
                      <w:color w:val="auto"/>
                      <w:sz w:val="21"/>
                      <w:szCs w:val="21"/>
                      <w:vertAlign w:val="baseline"/>
                      <w:lang w:val="en-US" w:eastAsia="zh-CN"/>
                    </w:rPr>
                    <w:t>等过剩行业新增产能，确有必要建设的项目实行等量或减量置换。严格控制引进涉及光气化、硝化、重氮化、偶氮化工艺以及硝酸铵、硝酸胍、硝基苯系物等爆炸性化学品等高风险项目，原则上非重大产业配套、产业链衔接或高新产品项目不再引进。</w:t>
                  </w:r>
                </w:p>
                <w:p w14:paraId="26BC802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18.新</w:t>
                  </w:r>
                  <w:r>
                    <w:rPr>
                      <w:rFonts w:hint="eastAsia"/>
                      <w:color w:val="auto"/>
                      <w:sz w:val="21"/>
                      <w:szCs w:val="21"/>
                      <w:vertAlign w:val="baseline"/>
                      <w:lang w:val="en-US" w:eastAsia="zh-CN"/>
                    </w:rPr>
                    <w:t>（</w:t>
                  </w:r>
                  <w:r>
                    <w:rPr>
                      <w:rFonts w:hint="default"/>
                      <w:color w:val="auto"/>
                      <w:sz w:val="21"/>
                      <w:szCs w:val="21"/>
                      <w:vertAlign w:val="baseline"/>
                      <w:lang w:val="en-US" w:eastAsia="zh-CN"/>
                    </w:rPr>
                    <w:t>改、扩</w:t>
                  </w:r>
                  <w:r>
                    <w:rPr>
                      <w:rFonts w:hint="eastAsia"/>
                      <w:color w:val="auto"/>
                      <w:sz w:val="21"/>
                      <w:szCs w:val="21"/>
                      <w:vertAlign w:val="baseline"/>
                      <w:lang w:val="en-US" w:eastAsia="zh-CN"/>
                    </w:rPr>
                    <w:t>）</w:t>
                  </w:r>
                  <w:r>
                    <w:rPr>
                      <w:rFonts w:hint="default"/>
                      <w:color w:val="auto"/>
                      <w:sz w:val="21"/>
                      <w:szCs w:val="21"/>
                      <w:vertAlign w:val="baseline"/>
                      <w:lang w:val="en-US" w:eastAsia="zh-CN"/>
                    </w:rPr>
                    <w:t>建精细化工项目，按规定开展反应安全风险评估</w:t>
                  </w:r>
                  <w:r>
                    <w:rPr>
                      <w:rFonts w:hint="eastAsia"/>
                      <w:color w:val="auto"/>
                      <w:sz w:val="21"/>
                      <w:szCs w:val="21"/>
                      <w:vertAlign w:val="baseline"/>
                      <w:lang w:val="en-US" w:eastAsia="zh-CN"/>
                    </w:rPr>
                    <w:t>，</w:t>
                  </w:r>
                  <w:r>
                    <w:rPr>
                      <w:rFonts w:hint="default"/>
                      <w:color w:val="auto"/>
                      <w:sz w:val="21"/>
                      <w:szCs w:val="21"/>
                      <w:vertAlign w:val="baseline"/>
                      <w:lang w:val="en-US" w:eastAsia="zh-CN"/>
                    </w:rPr>
                    <w:t>严格限制反应工艺危险度4级的项目。</w:t>
                  </w:r>
                </w:p>
                <w:p w14:paraId="46FE0DB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19.在禁养区内可适度发展增殖渔业，按照水域承载力确定适宜的放养种类、放养量、放养比例、捕捞时间和捕捞量，起 捕应使用专门的渔具渔法，以最大限度减少对非增殖品种的误捕，确保不对非增殖生物资源和生态环境造成损害。发展增殖渔业要严格遵守《水生生物增殖放流管理规定》，严防种质退化和疫病传播。</w:t>
                  </w:r>
                </w:p>
                <w:p w14:paraId="3DAF2A1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20.在饮用水水源保护区、自然保护区的实验区，可根据资源调查结果合理投放滤食性、肉食性、草食性的当地土著品种，投放品种以鲢、鳙等滤食性鱼类为主。</w:t>
                  </w:r>
                </w:p>
                <w:p w14:paraId="25A6F84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21.在水产种质资源保护区，增殖渔业的起捕活动应在特别保护期以外的时间开展。</w:t>
                  </w:r>
                </w:p>
                <w:p w14:paraId="076CB4E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22.限养区内生产性养殖要严格按照《养殖水域滩涂规划》 要求，饲养滤食性鱼类的网箱围栏养殖总面积不超过水域面积的 1%，饲养吃食性鱼类的网箱围栏养殖总面积不超过水域面积的 0.25%。</w:t>
                  </w:r>
                </w:p>
                <w:p w14:paraId="5D57051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23.鼓励宾馆、饭店、景区推出绿色旅游、绿色 消费措施，全面实施限塑令，严格限制一次性用品、餐具使用。</w:t>
                  </w:r>
                </w:p>
                <w:p w14:paraId="74ADCCA3">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1.严格执行污染排放标准，加大钢铁等重点行业落后产能淘汰力度。</w:t>
                  </w:r>
                </w:p>
                <w:p w14:paraId="1C5AC7E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2.加大排放高、污染重的煤电机组淘汰力度。</w:t>
                  </w:r>
                </w:p>
                <w:p w14:paraId="4FF495D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3.坚决关停用地、工商手续不全并难以通过改造达标的企业，限期治理可</w:t>
                  </w:r>
                </w:p>
                <w:p w14:paraId="5C7FDEF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已</w:t>
                  </w:r>
                  <w:r>
                    <w:rPr>
                      <w:rFonts w:hint="default"/>
                      <w:color w:val="auto"/>
                      <w:sz w:val="21"/>
                      <w:szCs w:val="21"/>
                      <w:vertAlign w:val="baseline"/>
                      <w:lang w:val="en-US" w:eastAsia="zh-CN"/>
                    </w:rPr>
                    <w:t>达标改造的企业，逾期依法一律关停。</w:t>
                  </w:r>
                </w:p>
                <w:p w14:paraId="5FED243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4.加快推进30万千瓦及以上热电联产机组供热半径30公里范围内燃煤锅炉</w:t>
                  </w:r>
                </w:p>
                <w:p w14:paraId="49189FB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和低效燃煤小热电关停整合。</w:t>
                  </w:r>
                </w:p>
                <w:p w14:paraId="4FBA4D1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5.取缔不达标燃料类煤气发生炉。</w:t>
                  </w:r>
                </w:p>
                <w:p w14:paraId="2781B51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6.确保区域内35蒸吨/小时以下燃煤锅炉清零，基本淘汰每小时35蒸吨以下茶水炉、经营性炉灶、储粮烘干设备等燃煤设施。</w:t>
                  </w:r>
                </w:p>
                <w:p w14:paraId="613A324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7.继续</w:t>
                  </w:r>
                  <w:r>
                    <w:rPr>
                      <w:rFonts w:hint="eastAsia"/>
                      <w:color w:val="auto"/>
                      <w:sz w:val="21"/>
                      <w:szCs w:val="21"/>
                      <w:vertAlign w:val="baseline"/>
                      <w:lang w:val="en-US" w:eastAsia="zh-CN"/>
                    </w:rPr>
                    <w:t>淘汰</w:t>
                  </w:r>
                  <w:r>
                    <w:rPr>
                      <w:rFonts w:hint="default"/>
                      <w:color w:val="auto"/>
                      <w:sz w:val="21"/>
                      <w:szCs w:val="21"/>
                      <w:vertAlign w:val="baseline"/>
                      <w:lang w:val="en-US" w:eastAsia="zh-CN"/>
                    </w:rPr>
                    <w:t>涉重金属重点行业落后产能，坚持依法依规，通过加大执法检查等措施，使涉重金属重点行业落后产能退出市场。</w:t>
                  </w:r>
                </w:p>
                <w:p w14:paraId="0F5E572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8.强化产业准入和淘汰制度，淘汰区内过剩、落后产能，实现“三高一低”企业逐步退出。</w:t>
                  </w:r>
                </w:p>
                <w:p w14:paraId="55CD0A0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9.推进矿权整合，关闭退出资源枯竭、灾害严重、扭亏无望等矿井，有序开发煤炭资源。</w:t>
                  </w:r>
                </w:p>
                <w:p w14:paraId="4579E8F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10.逐步“关停并转”高污染和高耗水产业。</w:t>
                  </w:r>
                </w:p>
                <w:p w14:paraId="59DEA18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11.依法依规拆除不符合要求的自备油罐及装置。</w:t>
                  </w:r>
                </w:p>
                <w:p w14:paraId="3016076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12.依法清理非法流动加油车</w:t>
                  </w:r>
                </w:p>
                <w:p w14:paraId="1CCE245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13.供热范围覆盖内的生物质锅炉一律取缔</w:t>
                  </w:r>
                </w:p>
                <w:p w14:paraId="28863B2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对符合下列五种情形且整改无望的，实施关停取缔。（1）国家产业政策明令淘汰的“散乱污”工业企业（作坊）。（2）无证无照或证照不全、违规经营的“散乱污”工业企业（作坊）。（3）环境污染严重、安全隐患突出且整改无望的“散乱污”工业企业（作坊）。（4）不符合产业布局规划的“散乱污”工业企业（作坊）。（5）违法用地、违法建设的“散乱污”工业企业（作坊）。</w:t>
                  </w:r>
                </w:p>
                <w:p w14:paraId="69EE328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1.加快全市建成区及临近周边重污染企业搬迁改造或关闭退出，推动实施低端化工等重污染企业搬迁工程。加大现有化工园区整治力度，明确退城企业的时间表，逾期不退城的予以停产。</w:t>
                  </w:r>
                </w:p>
                <w:p w14:paraId="3ECC353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2.大力淘汰关停环保、能耗、安全等不达标的30万千瓦以下燃煤机组；</w:t>
                  </w:r>
                </w:p>
                <w:p w14:paraId="7149CBC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1.沿沱河、唐河、北沱河两侧500米内所有养殖场进行全面清理。</w:t>
                  </w:r>
                </w:p>
                <w:p w14:paraId="1C04C07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2.新、改、扩建涉及大宗物料运输的建设项目，原则上宜采用铁路运输。</w:t>
                  </w:r>
                </w:p>
              </w:tc>
              <w:tc>
                <w:tcPr>
                  <w:tcW w:w="644" w:type="pct"/>
                  <w:noWrap w:val="0"/>
                  <w:vAlign w:val="center"/>
                </w:tcPr>
                <w:p w14:paraId="28A1228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本项目不涉及禁止或限制行为，符合相关管控要求</w:t>
                  </w:r>
                </w:p>
              </w:tc>
            </w:tr>
            <w:tr w14:paraId="2BC2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 w:type="pct"/>
                  <w:noWrap w:val="0"/>
                  <w:vAlign w:val="center"/>
                </w:tcPr>
                <w:p w14:paraId="0F516C5A">
                  <w:pPr>
                    <w:keepNext w:val="0"/>
                    <w:keepLines w:val="0"/>
                    <w:pageBreakBefore w:val="0"/>
                    <w:widowControl/>
                    <w:suppressLineNumbers w:val="0"/>
                    <w:kinsoku/>
                    <w:wordWrap/>
                    <w:overflowPunct/>
                    <w:topLinePunct w:val="0"/>
                    <w:bidi w:val="0"/>
                    <w:snapToGrid/>
                    <w:ind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w:t>
                  </w:r>
                </w:p>
              </w:tc>
              <w:tc>
                <w:tcPr>
                  <w:tcW w:w="411" w:type="pct"/>
                  <w:vMerge w:val="continue"/>
                  <w:noWrap w:val="0"/>
                  <w:vAlign w:val="center"/>
                </w:tcPr>
                <w:p w14:paraId="33F3272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p>
              </w:tc>
              <w:tc>
                <w:tcPr>
                  <w:tcW w:w="634" w:type="pct"/>
                  <w:noWrap w:val="0"/>
                  <w:vAlign w:val="center"/>
                </w:tcPr>
                <w:p w14:paraId="36F8EDD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污染物排放管</w:t>
                  </w:r>
                </w:p>
                <w:p w14:paraId="6F8E0D2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控</w:t>
                  </w:r>
                </w:p>
              </w:tc>
              <w:tc>
                <w:tcPr>
                  <w:tcW w:w="3049" w:type="pct"/>
                  <w:noWrap w:val="0"/>
                  <w:vAlign w:val="center"/>
                </w:tcPr>
                <w:p w14:paraId="1B5CB7A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p w14:paraId="6268C67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2积极推进清洁生产审核，对焦化、 有色金属、石化、化工、电镀、制革、石油开采、造纸、印染、 农副食品加工等行业，全面推进清洁生产改造或清洁化改造。</w:t>
                  </w:r>
                </w:p>
                <w:p w14:paraId="20E6CBF3">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w:t>
                  </w:r>
                </w:p>
                <w:p w14:paraId="6841003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4专项整治十大重点行业。制定造纸、焦化、氮肥、有色金属、印染、农副食品加工、原料药制造、制革、农药、电镀等行业专项治理方案，对重点行业企业实施清洁化改造。</w:t>
                  </w:r>
                </w:p>
                <w:p w14:paraId="65640863">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5实施技术、工艺、设备等生态化、循环化改造，加快布局分散的企业向园区集中，按要求设置生态隔离带，建设相应的防护工程。</w:t>
                  </w:r>
                </w:p>
                <w:p w14:paraId="23E4A8B3">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p>
                <w:p w14:paraId="172D35E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1实行厂网一体化建设，推行厂网一体化管理。深入开展城镇污水处理提质增效行动，加快推进城市老旧小区和管网空白区污水管网建设，实施城市、县城市政污水管网更新修复。因地制宜，稳步推进城市初期雨水收集处理设施建设。</w:t>
                  </w:r>
                </w:p>
                <w:p w14:paraId="1B0CFBF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2持续推进乡镇污水主管网、到户支管网建设和破损、混接管网整治，进一步提高污水收集率和污水进水浓度，强化专业化运维，提高乡镇污水处理设施运行稳定性。</w:t>
                  </w:r>
                </w:p>
                <w:p w14:paraId="41B03E0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3加快推进城市老旧小区和管网空白区污水管网建设，实施城市、县城市政污水管网更新修复。加快推进城市污水再生利用设施建设，提高污水处理再生水利用率。</w:t>
                  </w:r>
                </w:p>
                <w:p w14:paraId="154A667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4推进污泥处理处置。污水处理设施产生的污泥应进行稳定化、无害化和资源化处理处置，禁止处理处置不达标的污泥进入耕地。非法污泥堆放点</w:t>
                  </w:r>
                </w:p>
                <w:p w14:paraId="661D155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一律予以取缔。允许排放量要求</w:t>
                  </w:r>
                  <w:r>
                    <w:rPr>
                      <w:rFonts w:hint="eastAsia"/>
                      <w:color w:val="auto"/>
                      <w:sz w:val="21"/>
                      <w:szCs w:val="21"/>
                      <w:vertAlign w:val="baseline"/>
                      <w:lang w:val="en-US" w:eastAsia="zh-CN"/>
                    </w:rPr>
                    <w:t>：</w:t>
                  </w:r>
                </w:p>
                <w:p w14:paraId="1EF16DB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w:t>
                  </w:r>
                  <w:r>
                    <w:rPr>
                      <w:rFonts w:hint="eastAsia"/>
                      <w:color w:val="auto"/>
                      <w:sz w:val="21"/>
                      <w:szCs w:val="21"/>
                      <w:vertAlign w:val="baseline"/>
                      <w:lang w:val="en-US" w:eastAsia="zh-CN"/>
                    </w:rPr>
                    <w:t>. 环境</w:t>
                  </w:r>
                  <w:r>
                    <w:rPr>
                      <w:rFonts w:hint="default"/>
                      <w:color w:val="auto"/>
                      <w:sz w:val="21"/>
                      <w:szCs w:val="21"/>
                      <w:vertAlign w:val="baseline"/>
                      <w:lang w:val="en-US" w:eastAsia="zh-CN"/>
                    </w:rPr>
                    <w:t>空气质量持续改善，全省细颗粒物（PM2.5）浓度总体达标，基本消除重污染天气，优良天数比率进一步提升。</w:t>
                  </w:r>
                </w:p>
                <w:p w14:paraId="52551C8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2化学需氧量、氨氮、氮氧化物、挥发性有机物等4项主要污染物重点工程减排量分别累计达到13.67万吨、0.69万吨、8.3万吨、3.07万吨。</w:t>
                  </w:r>
                </w:p>
                <w:p w14:paraId="25B1D4A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严格合理控制煤炭消费增长，大气污染防治重点区域内新、改、扩建用煤项目实施煤炭消费等量或减量替代。重点削减非电力用煤，各市将减煤目标按年度分解落实到重点耗煤企业，实施“一企一策”减煤诊断。</w:t>
                  </w:r>
                </w:p>
                <w:p w14:paraId="0242A84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4新建、改建、扩建排放重点大气污染物的项目不符合总量控制要求的，不得通过环境影响评价。区域大气污染物削减/替代要求</w:t>
                  </w:r>
                  <w:r>
                    <w:rPr>
                      <w:rFonts w:hint="eastAsia"/>
                      <w:color w:val="auto"/>
                      <w:sz w:val="21"/>
                      <w:szCs w:val="21"/>
                      <w:vertAlign w:val="baseline"/>
                      <w:lang w:val="en-US" w:eastAsia="zh-CN"/>
                    </w:rPr>
                    <w:t>：</w:t>
                  </w:r>
                </w:p>
                <w:p w14:paraId="79540D7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5进出钢铁企业的铁精矿、煤炭、焦炭等大</w:t>
                  </w:r>
                </w:p>
                <w:p w14:paraId="4FE746F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宗物料和产品采用铁路、水路、管道或管状带式输送机等清洁方式运输比例不低于80%；达不到的，汽车运输部分应全部采用新能源汽车或达到国六排放标准的汽车（2021年底前可采用国五排放标准的汽车）。</w:t>
                  </w:r>
                </w:p>
                <w:p w14:paraId="2ADE118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6对以煤、石油焦、渣油、重油等为燃料的工业炉窑，加快使用清洁低碳能源以及利用工厂余热、电厂热力等进行替代。</w:t>
                  </w:r>
                </w:p>
                <w:p w14:paraId="3ED674B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推动具备条件的省级以上园区全部实施循环化改造。（责任单位：省发展改革委，配合单位：省经济和信息化厅等）推动工业园区能源系统整体优化，鼓励工业企业、园区优先使用可再生能源。推进园区电、热、冷、气等多种能源协同的综合能源项目建设。</w:t>
                  </w:r>
                </w:p>
                <w:p w14:paraId="307AE75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8进一步强化区域协作机制，完善重污染天气应对和重点行业绩效分级管理体系，突出PM2.5和臭氧协同控制，加大钢铁、水泥、焦化、玻璃等行业以及工业锅炉、炉窑、移动源氮氧化物减排力度。</w:t>
                  </w:r>
                </w:p>
                <w:p w14:paraId="5B38E23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w:t>
                  </w:r>
                </w:p>
                <w:p w14:paraId="63BB7E1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10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p w14:paraId="3CC60F13">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p w14:paraId="2671439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现有源提标升级改造</w:t>
                  </w:r>
                  <w:r>
                    <w:rPr>
                      <w:rFonts w:hint="eastAsia"/>
                      <w:color w:val="auto"/>
                      <w:sz w:val="21"/>
                      <w:szCs w:val="21"/>
                      <w:vertAlign w:val="baseline"/>
                      <w:lang w:val="en-US" w:eastAsia="zh-CN"/>
                    </w:rPr>
                    <w:t>：</w:t>
                  </w:r>
                </w:p>
                <w:p w14:paraId="1F59A9F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12污染物排放标准中有特别排放限值的标准的行业，二氧化硫、氮氧化物、颗粒物、挥发性有机物（VOCs）全面执行大气污染物特别排放限值。已核发排污许可证的，应严格执行许可要求。</w:t>
                  </w:r>
                </w:p>
                <w:p w14:paraId="33D8D6A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13对国家级新区、工业园区、高新区等进行集中整治，限期进行达标改造。</w:t>
                  </w:r>
                </w:p>
                <w:p w14:paraId="7699F03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14按《挥发性有机物无组织排放控制标准》（GB 37822-2019）要求，做好VOCs物料储存、物料转移和输送、工艺过程、设备与管线组件、敞开液面VOCs排放，以及VOCs无组织排放废气收集处理系统要求。</w:t>
                  </w:r>
                </w:p>
                <w:p w14:paraId="28D7FBC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15新改扩建（含搬迁）钢铁项目要严格执行产能置换实施办法，按照钢铁企业超低排放指标要求，同步配套建设高效脱硫、脱硝、除尘设施，落实物料储存、输送及生产工艺过程无组织排放管控措施。</w:t>
                  </w:r>
                </w:p>
                <w:p w14:paraId="0B7B820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16烧结机机头、球团焙烧烟气颗粒物、二氧化硫、氮氧化物排放浓度小时均值分别不高于10、35、50毫克/立方米；其他主要污染源颗粒物、二氧化硫、氮氧化物排放浓度小时均值原则上分别不高于10、50、200毫克/立方米，达到超低排放的钢铁企业每月至少95%以上时段小时均值排放浓度满足上述要求。</w:t>
                  </w:r>
                </w:p>
                <w:p w14:paraId="57A30353">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17已有行业排放标准的工业炉窑，严格执行行业排放标准相关规定，配套建设高效脱硫脱硝除尘设施，确保稳定达标排放。已制定更严格地方排放标准的，按地方标准执行。</w:t>
                  </w:r>
                </w:p>
                <w:p w14:paraId="63F6EFA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18铸造行业烧结、高炉工序污染排放控制按照钢铁行业相关标准要求执行；原则上按照颗粒物、二氧化硫、氮氧化物排放限值分别不高于30、200、300毫克/立方米实施改造，其中，日用玻璃、玻璃棉氮氧化物排放限值不高于400毫克/立方米。</w:t>
                  </w:r>
                </w:p>
                <w:p w14:paraId="0B039EB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19城市建成区生物质锅炉实施超低排放改造。</w:t>
                  </w:r>
                </w:p>
                <w:p w14:paraId="5CE69D2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20实施煤电节能降碳改造、灵活性改造、供热改造“三改联动”，推动煤电由主体电源向支撑性、调节性电源转变。其他污染物排放管控要求</w:t>
                  </w:r>
                  <w:r>
                    <w:rPr>
                      <w:rFonts w:hint="eastAsia"/>
                      <w:color w:val="auto"/>
                      <w:sz w:val="21"/>
                      <w:szCs w:val="21"/>
                      <w:vertAlign w:val="baseline"/>
                      <w:lang w:val="en-US" w:eastAsia="zh-CN"/>
                    </w:rPr>
                    <w:t>：</w:t>
                  </w:r>
                  <w:r>
                    <w:rPr>
                      <w:rFonts w:hint="default"/>
                      <w:color w:val="auto"/>
                      <w:sz w:val="21"/>
                      <w:szCs w:val="21"/>
                      <w:vertAlign w:val="baseline"/>
                      <w:lang w:val="en-US" w:eastAsia="zh-CN"/>
                    </w:rPr>
                    <w:t>21强化工业企业无组织排放管理，推进挥发性有机物排放综合整治，开展大气氨排放控制试点。</w:t>
                  </w:r>
                </w:p>
                <w:p w14:paraId="484B5BC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22依法严禁秸秆露天焚烧，全面推进综合利用。</w:t>
                  </w:r>
                </w:p>
                <w:p w14:paraId="32B4EB7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23深化工业污染治理，工业污染源全面达标排放，未达标排放的企业一律依法停产整治。</w:t>
                  </w:r>
                </w:p>
                <w:p w14:paraId="4DA6B17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24露天开采、加工矿产资源，应当采取喷淋、集中开采、运输道路硬化绿化等防止扬尘污染的措施。</w:t>
                  </w:r>
                </w:p>
                <w:p w14:paraId="68E4435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25合理控制燃油机动车保有量，严格控制重型柴油车进入城市建成区，限制摩托车的行驶范围，并向社会公告。机动车和船舶向大气排放污染物不得超过规定的排放标准。</w:t>
                  </w:r>
                </w:p>
                <w:p w14:paraId="07760CD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26农业生产经营者应当改进施肥方式，科学合理施用化肥并按照国家有关规定使用农药，减少氨、挥发性有机物等大气污染物的排放。禁止在人口集中地区对树木、花草喷洒剧毒、高毒农药。</w:t>
                  </w:r>
                </w:p>
                <w:p w14:paraId="5B1AE9B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27工业生产中产生的可燃性气体应当回收利用。不具备回收利用条件而向大气排放的，应当进行污染防治处理</w:t>
                  </w:r>
                  <w:r>
                    <w:rPr>
                      <w:rFonts w:hint="eastAsia"/>
                      <w:color w:val="auto"/>
                      <w:sz w:val="21"/>
                      <w:szCs w:val="21"/>
                      <w:vertAlign w:val="baseline"/>
                      <w:lang w:val="en-US" w:eastAsia="zh-CN"/>
                    </w:rPr>
                    <w:t>。</w:t>
                  </w:r>
                </w:p>
                <w:p w14:paraId="7736B3B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28强化餐饮油烟和露天烧烤治理。加强餐饮油烟污染治理，对未安装油烟净化设施、不正常使用油烟净化设施或者未采取其他油烟净化措施，超过排放标准排放油烟的，依法责令改正，并处以罚款。</w:t>
                  </w:r>
                </w:p>
                <w:p w14:paraId="46F6B97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29县级以上城市建成区禁止销售、燃放烟花爆竹。</w:t>
                  </w:r>
                </w:p>
                <w:p w14:paraId="2ED501F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30非煤矿山企业对产生扬尘的作业场所，应当按《安徽省非煤矿山管理条例》采取相应污染防治措施。</w:t>
                  </w:r>
                </w:p>
                <w:p w14:paraId="256921D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31建筑工程施工现场扬尘污染防治应做到工地周边围挡、物料堆放覆盖、路面硬化、土方开挖湿法作业、出入车辆清洗、渣土车辆密闭运输“六个百分之百”。具体要求执行</w:t>
                  </w:r>
                  <w:r>
                    <w:rPr>
                      <w:rFonts w:hint="eastAsia"/>
                      <w:color w:val="auto"/>
                      <w:sz w:val="21"/>
                      <w:szCs w:val="21"/>
                      <w:vertAlign w:val="baseline"/>
                      <w:lang w:val="en-US" w:eastAsia="zh-CN"/>
                    </w:rPr>
                    <w:t>《建筑工程施工和预拌混凝土生产扬尘污染防治标准（试行）》</w:t>
                  </w:r>
                  <w:r>
                    <w:rPr>
                      <w:rFonts w:hint="default"/>
                      <w:color w:val="auto"/>
                      <w:sz w:val="21"/>
                      <w:szCs w:val="21"/>
                      <w:vertAlign w:val="baseline"/>
                      <w:lang w:val="en-US" w:eastAsia="zh-CN"/>
                    </w:rPr>
                    <w:t>。</w:t>
                  </w:r>
                </w:p>
                <w:p w14:paraId="19A66AA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32裸露地面扬尘、道路扬尘、装卸扬尘控制具体要求从严执行《安徽省大气污染防治条例》和《安徽省打赢蓝天保卫战三年行动计划实施方案》等要求。允许排放量要求：1按照省政府下达给区域各市的允许排放量相关要求执行。</w:t>
                  </w:r>
                </w:p>
                <w:p w14:paraId="5088871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现有源提标升级改造：2全面排查并淘汰经整改环保仍不达标的落后产能，集中治理产业集聚区水污染，全面建成污水集中处理及重污染企业污水预处理设施。实施重污染行业专项整治，加强清洁生产审核和工业用水循环利用。</w:t>
                  </w:r>
                </w:p>
                <w:p w14:paraId="4D54440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其他污染物排放管控要求：3完善大气污染物排放总量控制制度，加强对工业烟尘、粉尘、城市扬尘和有毒有害空气污染物排放的协同控制。严格煤炭消费总量，增加清洁能源供给和使用，力争实现煤炭消费负增长。强化机动车尾气治理，优先发展公共交通，严禁秸秆露天焚烧，推进秸秆综合利用，全面推行“绿色施工”。</w:t>
                  </w:r>
                </w:p>
                <w:p w14:paraId="645E415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加快城镇污水垃圾处理设施和配套管网建设，提升污泥处理处置水平。逐步推进老城区雨污分流改造，新建城区严格实行雨污分流。推进村庄生活污水治理，因村制宜选择接入市政管网、建设小型设施相对集中处理、分散处理等模式，提高生活污水处理水平。</w:t>
                  </w:r>
                </w:p>
                <w:p w14:paraId="4FC68CC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5加强船舶港口污染控制，增强港口码头污染防治能力。</w:t>
                  </w:r>
                </w:p>
                <w:p w14:paraId="5368EA6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建立农业面源污染监测体系，严格控制农业面源污染。加强秸秆、农膜、农产品加工剩余物等农业废弃物综合利用，推进种养结合的废弃物无害化处理、资源化利用，构建废弃物收集、转化、应用全链条污染防治与资源化利用体系。推进农业面源污染综合防治示范区建设，加快发展循环农业，实施化肥农药使用量零增长行动，加大测土配方施肥推广力度，引导科学施肥，提高化肥利用效率，强化病虫害统防统治，推广绿色防控技术，广泛使用高效低毒低残留农药。</w:t>
                  </w:r>
                </w:p>
                <w:p w14:paraId="331338D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7向淮河流域水体排放含病原体废水的，应当经过消毒处理，符合国家和省规定的有关标准后，方可排放。向水体排放含热废水，应当采取措施，保证水体的水温符合水环境质量标准。</w:t>
                  </w:r>
                </w:p>
                <w:p w14:paraId="0DAD143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 船舶装载运输油类或者有毒货物，应当采取防止散落、溢流和渗漏措施，防止货物落水造成水污染。</w:t>
                  </w:r>
                </w:p>
                <w:p w14:paraId="232FD79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省及淮河流域县级以上人民政府应当推广精准施肥、生物防治病虫害等先进适用的农业生产技术，推广使用高效、低毒、低残留农药，减少化肥、农药使用量，支持秸秆综合利用和畜禽粪污处理设施建设，调整农业产业结构，发展绿色生态农业，开展清洁小流域建设，有效控制农业面源污染。</w:t>
                  </w:r>
                </w:p>
                <w:p w14:paraId="54D5784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1.十四五期间，全市化学需氧量、氨氮、氮氧化物、挥发性有机物减排量分别达到0.5895万吨、0.0371万吨、0.6695万吨、0.1362万吨。</w:t>
                  </w:r>
                </w:p>
                <w:p w14:paraId="31A0B1A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2.每小时35 蒸吨至65 蒸吨燃煤锅炉全部执行特别排放限值，每小时65蒸吨以上燃煤锅炉全部实施节能和超低排放改造。</w:t>
                  </w:r>
                </w:p>
                <w:p w14:paraId="31901BB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1.实施工业污染源全面达标排放控制，重点工业污染源全面安装烟气在线监控设施。分行业按期执行特别排放限值要求</w:t>
                  </w:r>
                  <w:r>
                    <w:rPr>
                      <w:rFonts w:hint="eastAsia"/>
                      <w:color w:val="auto"/>
                      <w:sz w:val="21"/>
                      <w:szCs w:val="21"/>
                      <w:vertAlign w:val="baseline"/>
                      <w:lang w:val="en-US" w:eastAsia="zh-CN"/>
                    </w:rPr>
                    <w:t>，</w:t>
                  </w:r>
                  <w:r>
                    <w:rPr>
                      <w:rFonts w:hint="default"/>
                      <w:color w:val="auto"/>
                      <w:sz w:val="21"/>
                      <w:szCs w:val="21"/>
                      <w:vertAlign w:val="baseline"/>
                      <w:lang w:val="en-US" w:eastAsia="zh-CN"/>
                    </w:rPr>
                    <w:t>新、改、扩建项目和现有项目全面执行特别排放限值。继续推进重点行业污染治理设施升级改造，强化工业企业无组织排放治理，在安全许可要求下，实施封闭储存、密闭输送、系统收集。</w:t>
                  </w:r>
                </w:p>
                <w:p w14:paraId="31ED091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涂料、油墨、胶粘剂、农药等生产企业应采用密闭一体化生产技术，统一收集挥发性有机物废气并净化处理，净化效率应大于90%，加强工艺过程无组织排放控制，全面推行泄漏检测与修复（LDAR）制度；加强废水、废液和废渣系统逸散排放控制，推进治污设施升级改造，确保连续达标排放；全面推进油品储运销VOCs治理，积极推进储油库和加油站安装油气回收自动监测设备。</w:t>
                  </w:r>
                </w:p>
                <w:p w14:paraId="4C18F3B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严格新车环境准入、加速老旧高排放车辆淘汰，强化机动车环保管理能力建设，构建绿色交通体系。严厉查处机动车超标排放，强化在用车定期排放检验，不达标车辆不得上路行驶。全面落实机动车排放检测/维护（I/M）制度，超标车辆应进行维修。</w:t>
                  </w:r>
                </w:p>
                <w:p w14:paraId="43ADE9B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逐步停用不符合国Ⅲ标准要求的挖掘机、装载机、叉车、压路机、平地机、推土机等非道路移动机械。严格市场准入，所有制造、进口和销售的非道路移动机械不得装用不符合《非道路移动机械用柴油机排气污染物排放限值及测量方法（中国第三、四阶段）》（GB20891-2014）第三阶段要求的柴油机。</w:t>
                  </w:r>
                </w:p>
                <w:p w14:paraId="3869AE6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施工现场必须设置全封闭围挡，主要路段围挡高度不得低于2.5米，一般路段围挡高度不得低于1.8米。施工现场内堆放的砂、石、砖等散装易产生尘埃的物料进行封闭式管理，并用密目网进行覆盖。施工现场出入口内道路、加工区、办公区、生活区实施混凝土硬化。硬化后的地面，不得有浮土、积土，裸露场地应当采取覆盖或绿化措施，祼土堆积时间超过3个月以上的必须绿化。施工现场出入口必须配备车辆冲洗系统，设置排水、泥浆沉淀池等设施，建立冲洗制度并设专人管理，并保持设备处于开启使用状态，视频监控装置要实时监控，严禁车辆带泥上路，并保存车辆冲洗影像资料。楼层垃圾要及时清理，清理时必须采用湿式作业，清运时采用封闭式管道或装袋，严禁高处抛洒；现场须设置垃圾池，渣土等建筑垃圾集中、分类堆放在垃圾池内，严密遮盖，需要运输、处理的，渣土车辆需密闭运输。土方作业时要实行分段施工，必须采用洒水车、雾炮机等设备进行降尘、抑尘，并安排专人及时清扫路面遗撒泥土，使作业区、路面始终保持湿润状态，做到不泥泞、不扬尘。塔式起重机安装高压喷淋系统，覆盖整个施工区域，每天不少于4次喷淋作业；外脚手架在首层悬挑周围或者10米高度设置喷淋系统，每隔5米设置一个喷头；道路安装喷淋系统定时洒水减少扬尘。</w:t>
                  </w:r>
                </w:p>
                <w:p w14:paraId="0294287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6.市区道路机械化清扫率达到100%，县城建成区达到86%。落实建筑垃圾运输属地管理职责</w:t>
                  </w:r>
                  <w:r>
                    <w:rPr>
                      <w:rFonts w:hint="eastAsia"/>
                      <w:color w:val="auto"/>
                      <w:sz w:val="21"/>
                      <w:szCs w:val="21"/>
                      <w:vertAlign w:val="baseline"/>
                      <w:lang w:val="en-US" w:eastAsia="zh-CN"/>
                    </w:rPr>
                    <w:t>，</w:t>
                  </w:r>
                  <w:r>
                    <w:rPr>
                      <w:rFonts w:hint="default"/>
                      <w:color w:val="auto"/>
                      <w:sz w:val="21"/>
                      <w:szCs w:val="21"/>
                      <w:vertAlign w:val="baseline"/>
                      <w:lang w:val="en-US" w:eastAsia="zh-CN"/>
                    </w:rPr>
                    <w:t>建筑垃圾运输许可车辆密闭率达到100%以上。</w:t>
                  </w:r>
                </w:p>
                <w:p w14:paraId="641BF5F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7.对露天堆放易产生扬尘的渣土、煤炭、沙石、垃圾等场所</w:t>
                  </w:r>
                  <w:r>
                    <w:rPr>
                      <w:rFonts w:hint="eastAsia"/>
                      <w:color w:val="auto"/>
                      <w:sz w:val="21"/>
                      <w:szCs w:val="21"/>
                      <w:vertAlign w:val="baseline"/>
                      <w:lang w:val="en-US" w:eastAsia="zh-CN"/>
                    </w:rPr>
                    <w:t>，</w:t>
                  </w:r>
                  <w:r>
                    <w:rPr>
                      <w:rFonts w:hint="default"/>
                      <w:color w:val="auto"/>
                      <w:sz w:val="21"/>
                      <w:szCs w:val="21"/>
                      <w:vertAlign w:val="baseline"/>
                      <w:lang w:val="en-US" w:eastAsia="zh-CN"/>
                    </w:rPr>
                    <w:t>采取洒水、覆盖、绿化等措施</w:t>
                  </w:r>
                  <w:r>
                    <w:rPr>
                      <w:rFonts w:hint="eastAsia"/>
                      <w:color w:val="auto"/>
                      <w:sz w:val="21"/>
                      <w:szCs w:val="21"/>
                      <w:vertAlign w:val="baseline"/>
                      <w:lang w:val="en-US" w:eastAsia="zh-CN"/>
                    </w:rPr>
                    <w:t>，</w:t>
                  </w:r>
                  <w:r>
                    <w:rPr>
                      <w:rFonts w:hint="default"/>
                      <w:color w:val="auto"/>
                      <w:sz w:val="21"/>
                      <w:szCs w:val="21"/>
                      <w:vertAlign w:val="baseline"/>
                      <w:lang w:val="en-US" w:eastAsia="zh-CN"/>
                    </w:rPr>
                    <w:t>减少扬尘污染。规范铁路、公路等货物运输管理</w:t>
                  </w:r>
                  <w:r>
                    <w:rPr>
                      <w:rFonts w:hint="eastAsia"/>
                      <w:color w:val="auto"/>
                      <w:sz w:val="21"/>
                      <w:szCs w:val="21"/>
                      <w:vertAlign w:val="baseline"/>
                      <w:lang w:val="en-US" w:eastAsia="zh-CN"/>
                    </w:rPr>
                    <w:t>，</w:t>
                  </w:r>
                  <w:r>
                    <w:rPr>
                      <w:rFonts w:hint="default"/>
                      <w:color w:val="auto"/>
                      <w:sz w:val="21"/>
                      <w:szCs w:val="21"/>
                      <w:vertAlign w:val="baseline"/>
                      <w:lang w:val="en-US" w:eastAsia="zh-CN"/>
                    </w:rPr>
                    <w:t>涉及散装货物运输业务且有烟粉尘排放的铁路货运站、道路货运站场以及其他物流露天堆场</w:t>
                  </w:r>
                  <w:r>
                    <w:rPr>
                      <w:rFonts w:hint="eastAsia"/>
                      <w:color w:val="auto"/>
                      <w:sz w:val="21"/>
                      <w:szCs w:val="21"/>
                      <w:vertAlign w:val="baseline"/>
                      <w:lang w:val="en-US" w:eastAsia="zh-CN"/>
                    </w:rPr>
                    <w:t>，</w:t>
                  </w:r>
                  <w:r>
                    <w:rPr>
                      <w:rFonts w:hint="default"/>
                      <w:color w:val="auto"/>
                      <w:sz w:val="21"/>
                      <w:szCs w:val="21"/>
                      <w:vertAlign w:val="baseline"/>
                      <w:lang w:val="en-US" w:eastAsia="zh-CN"/>
                    </w:rPr>
                    <w:t>应采取有效封闭措施减少扬尘污染；确实无法封闭的</w:t>
                  </w:r>
                  <w:r>
                    <w:rPr>
                      <w:rFonts w:hint="eastAsia"/>
                      <w:color w:val="auto"/>
                      <w:sz w:val="21"/>
                      <w:szCs w:val="21"/>
                      <w:vertAlign w:val="baseline"/>
                      <w:lang w:val="en-US" w:eastAsia="zh-CN"/>
                    </w:rPr>
                    <w:t>，</w:t>
                  </w:r>
                  <w:r>
                    <w:rPr>
                      <w:rFonts w:hint="default"/>
                      <w:color w:val="auto"/>
                      <w:sz w:val="21"/>
                      <w:szCs w:val="21"/>
                      <w:vertAlign w:val="baseline"/>
                      <w:lang w:val="en-US" w:eastAsia="zh-CN"/>
                    </w:rPr>
                    <w:t>应建设防风抑尘设施。</w:t>
                  </w:r>
                </w:p>
                <w:p w14:paraId="5D4888E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8.十四五期间，全面消除露天焚烧秸秆现象</w:t>
                  </w:r>
                </w:p>
                <w:p w14:paraId="06BCE6F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9.2025年底前，全市农药利用率、化肥利用率、农作物病虫害绿色防控覆盖率分别达到 43%、45%、30%以上。</w:t>
                  </w:r>
                </w:p>
                <w:p w14:paraId="4957262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10.到2025年，全市秸秆综合利用率达到 92%以上。</w:t>
                  </w:r>
                </w:p>
                <w:p w14:paraId="2308408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11.到2025年，所有规模养殖场粪污处理装备全配套，畜禽养殖粪污综合利用率达到85%。</w:t>
                  </w:r>
                </w:p>
                <w:p w14:paraId="7D0D24C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12.到2025年，农村生活污水治理率达到25%以上。</w:t>
                  </w:r>
                </w:p>
                <w:p w14:paraId="138BBD9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13.2022年细颗粒物（PM2.5）控制目标46.0微克/立方米，力争目标43.7微克/立方米；空气质量优良天数比率控制目标70%；重污染天数控制目标3天；地表水达到或好于Ⅲ类水体比例控制目标46.2%；劣Ⅴ类水体比例控制目标0%；氮氧化物重点工程减排量控制目标2678吨；挥发性有机物重点工程减排量控制目标545吨；化学需氧量重点工程减排量控制目标2358吨；氨氮重点工程减排量控制目标148吨。</w:t>
                  </w:r>
                </w:p>
                <w:p w14:paraId="020B41D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1.在能源、冶金、建材、有色、化工、电镀、造纸、印染、农副食品加工等行业，全面推进清洁生产改造或清洁化改造。</w:t>
                  </w:r>
                </w:p>
                <w:p w14:paraId="50E2CEE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2.每小时35 蒸吨至65 蒸吨燃煤锅炉全部执行特别排放限值，每小时65 蒸吨以上燃煤锅炉全部实施节能和超低排放改造。</w:t>
                  </w:r>
                </w:p>
                <w:p w14:paraId="3D4E435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3.推进现有企业和园区开展以节水为重点内容的绿色高质量转型升级和循环化改造，加快节水及水循环利用设施建设，促进企业间水梯级串联循环利用。</w:t>
                  </w:r>
                </w:p>
                <w:p w14:paraId="36A590F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4.加快推进现役煤电机组超低排放与节能改造。</w:t>
                  </w:r>
                </w:p>
                <w:p w14:paraId="2781628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5.加大城市及周边现有燃煤发电机组的供热改造力度，优先利用背压热电联产机组替代分散燃煤锅炉，扩大集中供热面积。鼓励现有大型发电机组实施供热改造。</w:t>
                  </w:r>
                </w:p>
                <w:p w14:paraId="0F68548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6.取消燃煤电厂烟气旁路，对不能稳定达标的脱硫设施进行升级改造。</w:t>
                  </w:r>
                </w:p>
                <w:p w14:paraId="369FF4D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7.实施每小时20蒸吨以上的燃煤锅炉脱硫设施建设及除尘设施升级改造。</w:t>
                  </w:r>
                </w:p>
                <w:p w14:paraId="41BD7BC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8.提升改造电力、化工、水泥等工业领域低氮燃烧、除尘、脱硝、脱硫设施，强化二氧化硫、氮氧化物、颗粒物及挥发性有机物污染治理。</w:t>
                  </w:r>
                </w:p>
                <w:p w14:paraId="62C36F7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9.加快城镇污水处理设施建设与改造，对辖区重点流域污水处理厂进行提标改造，推进重点流域污水处理厂全面达标排放。</w:t>
                  </w:r>
                </w:p>
                <w:p w14:paraId="31F830F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10.推进造纸、农副产品加工、原料药制造、化工生产、制革、农药等重点行业专项治理，实施清洁化改造。</w:t>
                  </w:r>
                </w:p>
                <w:p w14:paraId="6BD33AB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11.2017 年底前，造纸行业力争完成采取低污染制浆技术，印染行业实施低排水染整工艺改造，制药（抗生素、维生素）行业实施绿色酶法生产技术改造，制革行业实施铬减量化和封闭循环利用技术改造。</w:t>
                  </w:r>
                </w:p>
                <w:p w14:paraId="195D0DD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12.对现有涉重企业改扩建项目要采取“增产不增污”。</w:t>
                  </w:r>
                </w:p>
                <w:p w14:paraId="5A33A19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13.在能源、冶金、建材、有色、化工、电镀、造纸、印染、农副食品加工等行业，全面推进清洁生产改造或清洁化改造。</w:t>
                  </w:r>
                </w:p>
                <w:p w14:paraId="765BBDA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建材、化工、陶瓷等行业按照“改造提升一批、优化整合一批、淘汰退出一批”的总体要求，提升产业发展质量和环保治理水平，全市原则上关闭一半砖瓦窑企业，同时要确保保留下来的砖瓦窑企业各项环保措施符合要求、排放稳定达标。</w:t>
                  </w:r>
                </w:p>
                <w:p w14:paraId="396582F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15.鼓励电力行业实施超净排放改造，其他行业参照重污染天气应急减排指南B级以上绩效开展提标改造。</w:t>
                  </w:r>
                </w:p>
                <w:p w14:paraId="14B6039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16.积极推进陶瓷、玻璃等行业清洁燃料替代工程。</w:t>
                  </w:r>
                </w:p>
                <w:p w14:paraId="7A5AE2B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1.全面开展加油站、储油库和油罐车油气回收治理设施运行维护情况监督检查，推动企业制定实施日查、自检、年检和维护制度。</w:t>
                  </w:r>
                </w:p>
                <w:p w14:paraId="149F749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2.完善规模畜禽养殖场污染治理设施，持续完善畜禽养殖禁养区、限养区的科学划定，实行适度规模养殖。加快畜禽规模养殖场（小区）标准化改造和建设，到 2025 年，所有规模养殖场粪污处理装备全配套，畜禽养殖粪污综合利用率达到85%。</w:t>
                  </w:r>
                </w:p>
                <w:p w14:paraId="3ADB971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3.严禁将城镇生活垃圾、污泥、工业废物直接作为肥料。</w:t>
                  </w:r>
                </w:p>
                <w:p w14:paraId="5E64081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4.施工现场严禁使用尾气排放未达国家标准的车辆和非道路移动机械设备。</w:t>
                  </w:r>
                </w:p>
                <w:p w14:paraId="38C5EB4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5.施工现场禁止焚烧沥青、油毡、橡胶、塑料、皮革、散煤、木柴、垃圾以及其他产生有毒有害烟尘和恶臭气体的物质。</w:t>
                  </w:r>
                </w:p>
                <w:p w14:paraId="227EBFC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6.禁止国五以下的柴油货车、农用车、三轮车进入禁行区。</w:t>
                  </w:r>
                </w:p>
                <w:p w14:paraId="0234035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7.禁止现场砂浆搅拌，减少现场污染源，全面推广应用预拌砂浆。</w:t>
                  </w:r>
                </w:p>
                <w:p w14:paraId="559C16A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8.严禁露天焚烧垃圾，严防露天焚烧垃圾和有烟烧烤死灰复燃。全面规范治理露天烧烤污染</w:t>
                  </w:r>
                  <w:r>
                    <w:rPr>
                      <w:rFonts w:hint="eastAsia"/>
                      <w:color w:val="auto"/>
                      <w:sz w:val="21"/>
                      <w:szCs w:val="21"/>
                      <w:vertAlign w:val="baseline"/>
                      <w:lang w:val="en-US" w:eastAsia="zh-CN"/>
                    </w:rPr>
                    <w:t>，</w:t>
                  </w:r>
                  <w:r>
                    <w:rPr>
                      <w:rFonts w:hint="default"/>
                      <w:color w:val="auto"/>
                      <w:sz w:val="21"/>
                      <w:szCs w:val="21"/>
                      <w:vertAlign w:val="baseline"/>
                      <w:lang w:val="en-US" w:eastAsia="zh-CN"/>
                    </w:rPr>
                    <w:t>任何单位和个人不得在非指定区域露天烧烤或为露天烧烤提供场所。</w:t>
                  </w:r>
                </w:p>
                <w:p w14:paraId="17A4250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9.严格依法取缔未经审批从事喷涂作业和露天喷涂或刷漆行为。</w:t>
                  </w:r>
                </w:p>
                <w:p w14:paraId="1D3ED373">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10.在高排放非道路移动机械禁限行区内，严格限制高排放车辆和机械使用，杜绝排放控制区“冒黑烟”现象。</w:t>
                  </w:r>
                </w:p>
                <w:p w14:paraId="5EE80F1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11.加强港口码头船舶污染防治。400总吨以下小型船舶生活污水采取船上储存、交岸接收的方式处置。</w:t>
                  </w:r>
                </w:p>
                <w:p w14:paraId="5D2144E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12.到2025年底，土壤污染重点监管单位排污许可证应当全部载明土壤污染防治义务，至少完成一次土壤和地下水隐患排查，制定整改方案和台账并落实。</w:t>
                  </w:r>
                </w:p>
              </w:tc>
              <w:tc>
                <w:tcPr>
                  <w:tcW w:w="644" w:type="pct"/>
                  <w:noWrap w:val="0"/>
                  <w:vAlign w:val="center"/>
                </w:tcPr>
                <w:p w14:paraId="3C52FCA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本项目不涉及禁止或限制行为，符合相关管控要求</w:t>
                  </w:r>
                </w:p>
              </w:tc>
            </w:tr>
            <w:tr w14:paraId="0145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 w:type="pct"/>
                  <w:noWrap w:val="0"/>
                  <w:vAlign w:val="center"/>
                </w:tcPr>
                <w:p w14:paraId="27C52077">
                  <w:pPr>
                    <w:keepNext w:val="0"/>
                    <w:keepLines w:val="0"/>
                    <w:pageBreakBefore w:val="0"/>
                    <w:widowControl/>
                    <w:suppressLineNumbers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w:t>
                  </w:r>
                </w:p>
              </w:tc>
              <w:tc>
                <w:tcPr>
                  <w:tcW w:w="411" w:type="pct"/>
                  <w:vMerge w:val="continue"/>
                  <w:noWrap w:val="0"/>
                  <w:vAlign w:val="center"/>
                </w:tcPr>
                <w:p w14:paraId="3D8B583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p>
              </w:tc>
              <w:tc>
                <w:tcPr>
                  <w:tcW w:w="634" w:type="pct"/>
                  <w:noWrap w:val="0"/>
                  <w:vAlign w:val="center"/>
                </w:tcPr>
                <w:p w14:paraId="1D5CEDD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ascii="宋体" w:hAnsi="宋体" w:eastAsia="宋体" w:cs="宋体"/>
                      <w:sz w:val="21"/>
                      <w:szCs w:val="21"/>
                    </w:rPr>
                    <w:t>资源开发效率 要求</w:t>
                  </w:r>
                </w:p>
              </w:tc>
              <w:tc>
                <w:tcPr>
                  <w:tcW w:w="3049" w:type="pct"/>
                  <w:noWrap w:val="0"/>
                  <w:vAlign w:val="center"/>
                </w:tcPr>
                <w:p w14:paraId="3B22821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到2025年，全省用水总量控制在306亿立方米以内，万元GDP用水量、万元工业增加值用水量较2020年均下降18%，农田灌溉水有效利用系数达到0.58。</w:t>
                  </w:r>
                </w:p>
                <w:p w14:paraId="11BF9D7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1严格落实主体功能区规划，在生态脆弱、严重缺水和地下水超采地区，严格控制高耗水新建、改建、扩建项目，推进高耗水企业向水资源条件允许的工业园区集中。对采用列入淘汰目录工艺、技术和装备的项目，不予批准取水许可；未按期淘汰的，有关部门和地方政府要依法严格查处。</w:t>
                  </w:r>
                </w:p>
                <w:p w14:paraId="06591BF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2在地面沉降、地裂缝、岩溶塌陷等地质灾害易发区开发利用地下水，应进行地质灾害危险性评估。地下水限采区内不得新增地下水开采量。严控工农业等生产性用水新增地下水开采量；城乡居民生活和特殊水质要求确需增加开采量的，必须通过压减生产性用水，确保不增加现状开采量。</w:t>
                  </w:r>
                </w:p>
                <w:p w14:paraId="49D9438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3严格控制开采深层承压水，地热水、矿泉水开发应严格实行取水许可和采矿许可。依法规范机井建设管理，排查登记已建机井，未经批准的和公共供水管网覆盖范围内自备水井，一律予以关闭。</w:t>
                  </w:r>
                </w:p>
                <w:p w14:paraId="1F6D45F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4在地下水超采区，禁止农业、工业建设项目和服务业新增取用中深层地下水，并削减开采量，逐步实现地下水采补平衡。</w:t>
                  </w:r>
                </w:p>
                <w:p w14:paraId="788F6E6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5城市公共供水管网能够满足用水需要却通过自备取水设施取用地下水的，取水许可不予审批；地下水严重超采地区取用地下水的，取水许可不予审批。</w:t>
                  </w:r>
                </w:p>
                <w:p w14:paraId="1374F6C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6在城市公共供水管网覆盖的区域内，禁止新建地下水取水井用于餐饮、洗浴、洗车等服务业和小区、单位集中供水等。</w:t>
                  </w:r>
                </w:p>
                <w:p w14:paraId="772A073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7皖北平原地区应当限制高耗水、重污染产业发展，提高城镇污水处理标准，加强污水、采矿排水再生利用；支持规模农业使用高效节水灌溉技术；对地下水超采地区，应当制定综合治理措施，控制开采量，逐步实现采补平衡。</w:t>
                  </w:r>
                </w:p>
                <w:p w14:paraId="0EB376B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1坚持集中式与分布式建设并举，因地制宜建设集中式光伏发电项目，推动整县（市、区）屋顶分布式光伏发电试点工作。坚持集中式和分散式相结合，有序推进皖北平原连片风电项目建设，稳妥推进皖西南地区集中式风电项目建设，鼓励分散式风电商业模式创新。大力推进风光储一体化建设。加快建设一批抽水蓄能电站，打造千万千瓦级绿色储能基地。多元高效利用生物质能，推进农林生物质热电联产项目新建和供热改造，合理规划城镇生活垃圾焚烧发电项目，统筹布局生物燃料乙醇项目，适度发展先进生物质液体燃料。到2025年，非化石能源占能源消费总量比重达到15.5%以上。</w:t>
                  </w:r>
                </w:p>
                <w:p w14:paraId="50B7124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2推动煤电行业实施节能降耗改造、供热改造和灵活性改造“三改联动”。加快供热管网建设，淘汰管网覆盖范围内的燃煤锅炉和散煤。到2025年，火电平均供电煤耗降至295克标煤/千瓦时，散煤基本清零。</w:t>
                  </w:r>
                </w:p>
                <w:p w14:paraId="7F9CEFC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3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4推动光伏发电规模化发展，充分利用荒山荒坡、采煤沉陷区等未利用空间，建设集中式光伏电站。加快工业园区、公共建筑、居民住宅等屋顶光伏建设，有序推动国家整县（市、区）屋顶分布式光伏开发试点，因地制宜推进“光伏+”项目。</w:t>
                  </w:r>
                </w:p>
                <w:p w14:paraId="5769ECD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5积极开发风电资源，在皖北平原、皖西南地区建设集中连片风电，持续推进就近接入、就地消纳的分散式风电建设。</w:t>
                  </w:r>
                </w:p>
                <w:p w14:paraId="392D13F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6大力推广新能源汽车，推动城市公共服务车辆、政府公务用车新能源或清洁能源替代水资源利用总量及效率要求：1按照省政府下达给区域各市的水资源利用总量及效率要求执行。地下水开采要求：2兴建地下工程设施或者进行地下勘探、采矿等活动，应当采取防护性措施，防止地下水污染。</w:t>
                  </w:r>
                </w:p>
                <w:p w14:paraId="09CEBE9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3开采地下水时，对下列含水层应当分层开采，不得混合开采：（一）半咸水、咸水、卤水层；（二）已受污染的含水层；（三）含有毒有害元素，超过生活饮用水卫生标准的水层；（四）有医疗价值和特殊经济价值的地下热水、温泉水和矿泉水。</w:t>
                  </w:r>
                </w:p>
                <w:p w14:paraId="158BE49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4淮河流域地下水开采区应当依靠降雨、地下径流、河流和湖泊、水库渗漏等补给地下水。人工回灌补给地下水，不得恶化地下水质。</w:t>
                  </w:r>
                </w:p>
                <w:p w14:paraId="122D7F4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能源利用总量及效率要求：5按照省政府下达给区域各市能源利用总量及效率要求执行。</w:t>
                  </w:r>
                </w:p>
                <w:p w14:paraId="4D4DDD2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禁燃区要求：6按照省级清单中禁燃区要求执行。其他资源利用效率要求：7土地资源利用效率按照省政府下达给区域各市的要求执行。1.到十四五末，埇桥区、灵璧县、泗县、萧县、砀山县万元工业增加值用水量比2020年分别下降14%、32%、25%、16%、22%、19%，万元GDP用水量比2020年分别下降15%、16%、16%、15%、16%、15%，农田灌溉水有效利用系数控制为0.65。</w:t>
                  </w:r>
                </w:p>
                <w:p w14:paraId="59E6850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2.到2025 年，全市用水总量控制在11.71亿立方米以内，其中城乡生活及工业用水总量6.0亿立方米。</w:t>
                  </w:r>
                </w:p>
                <w:p w14:paraId="67A4B0C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3.到2022 年，规模以上工业用水重复利用率达到91%以上，万元国内生产总值用水量、万元工业增加值用水量较2015 年分别降低32%和27%，农田灌溉水有效利用系数提高到0.65以上。</w:t>
                  </w:r>
                </w:p>
                <w:p w14:paraId="2C7190F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4.到2035 年，全市用水总量控制在15亿m3以内。新建耗煤项目实行煤炭减量替代。对煤炭开采与洗选业、化学原料和化学制品制造业、非金属矿物制品业、黑色金属冶炼和压延加工业、有色金属冶炼和压延加工业、电力热力生产和供应业等行业新增耗煤（电力行业除外），实施煤炭消费量1.5倍减量替代。继续推进电能替代燃煤和燃油工作，替代规模达到省下达的指标要求。</w:t>
                  </w:r>
                </w:p>
                <w:p w14:paraId="507158E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1.在地下水超采区，禁止农业、工业建设项目和服务业新增取用地下水。</w:t>
                  </w:r>
                </w:p>
                <w:p w14:paraId="4C930B4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2.在地下水禁止开采区内，禁止新建、改建和扩建取用地下水的建设项目。已有的地下水取水工程，应当统一规划建设替代水源。</w:t>
                  </w:r>
                </w:p>
                <w:p w14:paraId="0615F35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3.在地下水限制开采区内，不得新增地下水开采量。确需新建地下水取水工程的，应当经省人民政府水行政主管部门批准。</w:t>
                  </w:r>
                </w:p>
                <w:p w14:paraId="065171F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4. 建设单位因施工需要直接取用地下水的，应当向具有审批权限的水行政主管部门申请临时取水。</w:t>
                  </w:r>
                </w:p>
                <w:p w14:paraId="22C6D77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5.城市公共供水管网覆盖区域和饮用水水源保护区内禁止取用地下水用于地源热泵系统。</w:t>
                  </w:r>
                </w:p>
                <w:p w14:paraId="6358627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6.在地面沉降、地裂缝、岩溶塌陷等地质灾害易发区开发利用地下水，应进行地质灾害危险性评估。</w:t>
                  </w:r>
                </w:p>
                <w:p w14:paraId="4FB74AB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7.严格控制开采深层承压水，地热水、矿泉水开发应严格实行取水许可和采矿许可。</w:t>
                  </w:r>
                </w:p>
                <w:p w14:paraId="391F5B6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1. 除集中供热企业外，禁燃区内禁止新建、扩建燃用高污染燃料的设施，禁止销售、燃用各类型高污染燃料。</w:t>
                  </w:r>
                </w:p>
                <w:p w14:paraId="725C674C">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2.宿州市禁燃区内各乡镇、街道、园区管委会要加强对民用煤制品的监督管理，禁燃区内禁止销售、燃用民用煤制品，餐饮服务场所不得燃用煤炭及其制品，非道路移动机械不得燃用渣油和重油；鼓励使用太阳能、电能、天然气、液化石油气、沼气等清洁能源或者依托周边已有热电机组实施集中供热；推进农村清洁能源的替代和开发利用。</w:t>
                  </w:r>
                </w:p>
                <w:p w14:paraId="5CFB542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3.禁燃区内禁止使用散煤等高污染燃料，逐步实现无煤化。</w:t>
                  </w:r>
                </w:p>
                <w:p w14:paraId="2F4EA6D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4.市区京台高速以东，南外环以北、沱河路以西、新汴河以南；全市所有文物保护单位，车站等交通枢纽及铁路线路安全保护区，易燃易爆物品生产、储存单位，输变电设施安全保护区，医疗机构、学校（含幼儿园）、敬（养）老院、图书馆、档案馆、博物馆、文化馆、商场、影剧院，景区、林地、公园、绿地、苗圃，房屋室内及其公共走廊、楼梯、屋顶、阳台、窗口和党政机关办公场所等范围内，禁放区域内禁止经营、储存、燃放烟花爆竹。迎接国家庆典等重大活动需要燃放礼花的，由宿州市人民政府决定并发布通告。</w:t>
                  </w:r>
                </w:p>
                <w:p w14:paraId="1C31776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5.坚决取缔禁燃区非法经营散煤网点。</w:t>
                  </w:r>
                </w:p>
                <w:p w14:paraId="000DC141">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严格水域岸线用途管制，土地开发利用应按照有关法律法规和技术标准要求，留足河道、湖泊的管理和保护范围，非法挤占的应限期退出。</w:t>
                  </w:r>
                </w:p>
              </w:tc>
              <w:tc>
                <w:tcPr>
                  <w:tcW w:w="644" w:type="pct"/>
                  <w:noWrap w:val="0"/>
                  <w:vAlign w:val="center"/>
                </w:tcPr>
                <w:p w14:paraId="0A2B991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sz w:val="21"/>
                      <w:szCs w:val="21"/>
                      <w:vertAlign w:val="baseline"/>
                      <w:lang w:val="en-US" w:eastAsia="zh-CN"/>
                    </w:rPr>
                    <w:t>本项目不涉及禁止或限制行为，符合相关管控要求</w:t>
                  </w:r>
                </w:p>
              </w:tc>
            </w:tr>
          </w:tbl>
          <w:p w14:paraId="124B7AFF">
            <w:pPr>
              <w:keepNext/>
              <w:keepLines/>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综上所述，本项目建设满足生态保护红线、环境质量底线、资源利用上线，且不在环境准入负面清单中，符合“三线一单与分区管控”要求。</w:t>
            </w:r>
          </w:p>
          <w:p w14:paraId="6BCED45E">
            <w:pPr>
              <w:keepNext/>
              <w:keepLines/>
              <w:pageBreakBefore w:val="0"/>
              <w:widowControl w:val="0"/>
              <w:kinsoku/>
              <w:wordWrap/>
              <w:overflowPunct/>
              <w:topLinePunct w:val="0"/>
              <w:bidi w:val="0"/>
              <w:adjustRightInd w:val="0"/>
              <w:snapToGrid w:val="0"/>
              <w:spacing w:line="360" w:lineRule="auto"/>
              <w:textAlignment w:val="auto"/>
              <w:rPr>
                <w:rFonts w:hint="eastAsia" w:eastAsia="宋体"/>
                <w:b/>
                <w:bCs/>
                <w:color w:val="auto"/>
                <w:sz w:val="24"/>
                <w:lang w:eastAsia="zh-CN"/>
              </w:rPr>
            </w:pPr>
            <w:r>
              <w:rPr>
                <w:rFonts w:hint="eastAsia"/>
                <w:b/>
                <w:bCs/>
                <w:color w:val="auto"/>
                <w:sz w:val="24"/>
                <w:lang w:val="en-US" w:eastAsia="zh-CN"/>
              </w:rPr>
              <w:t>2</w:t>
            </w:r>
            <w:r>
              <w:rPr>
                <w:b/>
                <w:bCs/>
                <w:color w:val="auto"/>
                <w:sz w:val="24"/>
              </w:rPr>
              <w:t>、</w:t>
            </w:r>
            <w:r>
              <w:rPr>
                <w:rFonts w:hint="eastAsia"/>
                <w:b/>
                <w:bCs/>
                <w:color w:val="auto"/>
                <w:sz w:val="24"/>
              </w:rPr>
              <w:t>其他政策符合性分析</w:t>
            </w:r>
          </w:p>
          <w:p w14:paraId="3538DB77">
            <w:pPr>
              <w:pStyle w:val="42"/>
              <w:keepNext/>
              <w:keepLines/>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b w:val="0"/>
                <w:bCs/>
                <w:color w:val="auto"/>
                <w:sz w:val="24"/>
              </w:rPr>
            </w:pPr>
            <w:r>
              <w:rPr>
                <w:rFonts w:hint="eastAsia"/>
                <w:b w:val="0"/>
                <w:bCs/>
                <w:color w:val="auto"/>
                <w:sz w:val="24"/>
              </w:rPr>
              <w:t>（1）项目与《中共中央国务院关于深入打好污染防治攻坚战的意见》相符性分析</w:t>
            </w:r>
          </w:p>
          <w:p w14:paraId="5C0C7621">
            <w:pPr>
              <w:pStyle w:val="42"/>
              <w:keepNext/>
              <w:keepLines/>
              <w:pageBreakBefore w:val="0"/>
              <w:widowControl w:val="0"/>
              <w:kinsoku/>
              <w:wordWrap/>
              <w:overflowPunct/>
              <w:topLinePunct w:val="0"/>
              <w:autoSpaceDE/>
              <w:autoSpaceDN/>
              <w:bidi w:val="0"/>
              <w:adjustRightInd/>
              <w:snapToGrid/>
              <w:spacing w:line="360" w:lineRule="auto"/>
              <w:textAlignment w:val="auto"/>
              <w:rPr>
                <w:color w:val="auto"/>
              </w:rPr>
            </w:pPr>
            <w:r>
              <w:rPr>
                <w:bCs/>
                <w:color w:val="auto"/>
                <w:sz w:val="24"/>
              </w:rPr>
              <w:t>表</w:t>
            </w:r>
            <w:r>
              <w:rPr>
                <w:rFonts w:hint="eastAsia"/>
                <w:bCs/>
                <w:color w:val="auto"/>
                <w:sz w:val="24"/>
                <w:lang w:val="en-US" w:eastAsia="zh-CN"/>
              </w:rPr>
              <w:t>1.3</w:t>
            </w:r>
            <w:r>
              <w:rPr>
                <w:bCs/>
                <w:color w:val="auto"/>
                <w:sz w:val="24"/>
              </w:rPr>
              <w:t xml:space="preserve">  </w:t>
            </w:r>
            <w:r>
              <w:rPr>
                <w:rFonts w:hint="eastAsia"/>
                <w:color w:val="auto"/>
                <w:sz w:val="24"/>
              </w:rPr>
              <w:t>与</w:t>
            </w:r>
            <w:r>
              <w:rPr>
                <w:rFonts w:hint="eastAsia" w:ascii="宋体" w:hAnsi="宋体"/>
                <w:color w:val="auto"/>
                <w:sz w:val="24"/>
              </w:rPr>
              <w:t>《中共中央国务院关于深入打好污染防治攻坚战的意见》</w:t>
            </w:r>
            <w:r>
              <w:rPr>
                <w:rFonts w:hint="eastAsia"/>
                <w:color w:val="auto"/>
                <w:sz w:val="24"/>
              </w:rPr>
              <w:t>相符性分析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3050"/>
              <w:gridCol w:w="3518"/>
              <w:gridCol w:w="1015"/>
            </w:tblGrid>
            <w:tr w14:paraId="609B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Align w:val="center"/>
                </w:tcPr>
                <w:p w14:paraId="02F455C3">
                  <w:pPr>
                    <w:keepNext/>
                    <w:keepLines/>
                    <w:pageBreakBefore w:val="0"/>
                    <w:widowControl w:val="0"/>
                    <w:kinsoku/>
                    <w:wordWrap/>
                    <w:overflowPunct/>
                    <w:topLinePunct w:val="0"/>
                    <w:bidi w:val="0"/>
                    <w:adjustRightInd w:val="0"/>
                    <w:snapToGrid w:val="0"/>
                    <w:jc w:val="center"/>
                    <w:textAlignment w:val="auto"/>
                    <w:rPr>
                      <w:color w:val="auto"/>
                    </w:rPr>
                  </w:pPr>
                  <w:r>
                    <w:rPr>
                      <w:color w:val="auto"/>
                    </w:rPr>
                    <w:t>序号</w:t>
                  </w:r>
                </w:p>
              </w:tc>
              <w:tc>
                <w:tcPr>
                  <w:tcW w:w="2999" w:type="dxa"/>
                  <w:vAlign w:val="center"/>
                </w:tcPr>
                <w:p w14:paraId="7826B788">
                  <w:pPr>
                    <w:keepNext/>
                    <w:keepLines/>
                    <w:pageBreakBefore w:val="0"/>
                    <w:widowControl w:val="0"/>
                    <w:kinsoku/>
                    <w:wordWrap/>
                    <w:overflowPunct/>
                    <w:topLinePunct w:val="0"/>
                    <w:bidi w:val="0"/>
                    <w:adjustRightInd w:val="0"/>
                    <w:snapToGrid w:val="0"/>
                    <w:jc w:val="center"/>
                    <w:textAlignment w:val="auto"/>
                    <w:rPr>
                      <w:color w:val="auto"/>
                      <w:szCs w:val="21"/>
                    </w:rPr>
                  </w:pPr>
                  <w:r>
                    <w:rPr>
                      <w:rFonts w:hint="eastAsia" w:ascii="宋体" w:hAnsi="宋体"/>
                      <w:color w:val="auto"/>
                      <w:szCs w:val="21"/>
                    </w:rPr>
                    <w:t>中共中央国务院关于深入打好污染防治攻坚战的意见</w:t>
                  </w:r>
                </w:p>
              </w:tc>
              <w:tc>
                <w:tcPr>
                  <w:tcW w:w="3459" w:type="dxa"/>
                  <w:vAlign w:val="center"/>
                </w:tcPr>
                <w:p w14:paraId="0BF49FF5">
                  <w:pPr>
                    <w:keepNext/>
                    <w:keepLines/>
                    <w:pageBreakBefore w:val="0"/>
                    <w:widowControl w:val="0"/>
                    <w:kinsoku/>
                    <w:wordWrap/>
                    <w:overflowPunct/>
                    <w:topLinePunct w:val="0"/>
                    <w:bidi w:val="0"/>
                    <w:adjustRightInd w:val="0"/>
                    <w:snapToGrid w:val="0"/>
                    <w:jc w:val="center"/>
                    <w:textAlignment w:val="auto"/>
                    <w:rPr>
                      <w:color w:val="auto"/>
                    </w:rPr>
                  </w:pPr>
                  <w:r>
                    <w:rPr>
                      <w:color w:val="auto"/>
                    </w:rPr>
                    <w:t>项目情况</w:t>
                  </w:r>
                </w:p>
              </w:tc>
              <w:tc>
                <w:tcPr>
                  <w:tcW w:w="998" w:type="dxa"/>
                  <w:vAlign w:val="center"/>
                </w:tcPr>
                <w:p w14:paraId="0AA16963">
                  <w:pPr>
                    <w:keepNext/>
                    <w:keepLines/>
                    <w:pageBreakBefore w:val="0"/>
                    <w:widowControl w:val="0"/>
                    <w:kinsoku/>
                    <w:wordWrap/>
                    <w:overflowPunct/>
                    <w:topLinePunct w:val="0"/>
                    <w:bidi w:val="0"/>
                    <w:adjustRightInd w:val="0"/>
                    <w:snapToGrid w:val="0"/>
                    <w:jc w:val="center"/>
                    <w:textAlignment w:val="auto"/>
                    <w:rPr>
                      <w:color w:val="auto"/>
                    </w:rPr>
                  </w:pPr>
                  <w:r>
                    <w:rPr>
                      <w:color w:val="auto"/>
                    </w:rPr>
                    <w:t>相符性</w:t>
                  </w:r>
                </w:p>
              </w:tc>
            </w:tr>
            <w:tr w14:paraId="7A8E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Align w:val="center"/>
                </w:tcPr>
                <w:p w14:paraId="5C8561B9">
                  <w:pPr>
                    <w:keepNext/>
                    <w:keepLines/>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2999" w:type="dxa"/>
                  <w:vAlign w:val="center"/>
                </w:tcPr>
                <w:p w14:paraId="27BE5558">
                  <w:pPr>
                    <w:keepNext/>
                    <w:keepLines/>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FFFFFF"/>
                    </w:rPr>
                    <w:t>着力打好重污染天气消除攻坚战。聚焦秋冬季细颗粒物污染，加大重点区域、重点行业结构调整和污染治理力度。京津冀及周边地区、汾渭平原持续开展秋冬季大气污染综合治理专项行动。东北地区加强秸秆禁烧管控和采暖燃煤污染治理。天山北坡城市群加强兵地协作，钢铁、有色金属、化工等行业参照重点区域执行重污染天气应急减排措施。科学调整大气污染防治重点区域范围，构建省市县三级重污染天气应急预案体系，实施重点行业企业绩效分级管理，依法严厉打击不落实应急减排措施行为。到2025年，全国重度及以上污染天数比率控制在1%以内。</w:t>
                  </w:r>
                </w:p>
              </w:tc>
              <w:tc>
                <w:tcPr>
                  <w:tcW w:w="3459" w:type="dxa"/>
                  <w:vAlign w:val="center"/>
                </w:tcPr>
                <w:p w14:paraId="130BE5A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lang w:eastAsia="zh-CN"/>
                    </w:rPr>
                  </w:pPr>
                  <w:r>
                    <w:rPr>
                      <w:rFonts w:hint="eastAsia" w:eastAsia="宋体"/>
                      <w:color w:val="auto"/>
                      <w:lang w:eastAsia="zh-CN"/>
                    </w:rPr>
                    <w:t>本项目涉及主要大气污染物为生产过程中废气主要有水泥</w:t>
                  </w:r>
                  <w:r>
                    <w:rPr>
                      <w:rFonts w:hint="eastAsia"/>
                      <w:color w:val="auto"/>
                      <w:lang w:eastAsia="zh-CN"/>
                    </w:rPr>
                    <w:t>筒仓</w:t>
                  </w:r>
                  <w:r>
                    <w:rPr>
                      <w:rFonts w:hint="eastAsia" w:eastAsia="宋体"/>
                      <w:color w:val="auto"/>
                      <w:lang w:eastAsia="zh-CN"/>
                    </w:rPr>
                    <w:t>呼吸废气、粉煤灰</w:t>
                  </w:r>
                  <w:r>
                    <w:rPr>
                      <w:rFonts w:hint="eastAsia"/>
                      <w:color w:val="auto"/>
                      <w:lang w:eastAsia="zh-CN"/>
                    </w:rPr>
                    <w:t>筒仓</w:t>
                  </w:r>
                  <w:r>
                    <w:rPr>
                      <w:rFonts w:hint="eastAsia" w:eastAsia="宋体"/>
                      <w:color w:val="auto"/>
                      <w:lang w:eastAsia="zh-CN"/>
                    </w:rPr>
                    <w:t>呼吸废气、</w:t>
                  </w:r>
                  <w:r>
                    <w:rPr>
                      <w:rFonts w:hint="eastAsia"/>
                      <w:color w:val="auto"/>
                      <w:lang w:eastAsia="zh-CN"/>
                    </w:rPr>
                    <w:t>建筑掺和料筒仓</w:t>
                  </w:r>
                  <w:r>
                    <w:rPr>
                      <w:rFonts w:hint="eastAsia" w:eastAsia="宋体"/>
                      <w:color w:val="auto"/>
                      <w:lang w:eastAsia="zh-CN"/>
                    </w:rPr>
                    <w:t>呼吸废气、草木灰</w:t>
                  </w:r>
                  <w:r>
                    <w:rPr>
                      <w:rFonts w:hint="eastAsia"/>
                      <w:color w:val="auto"/>
                      <w:lang w:eastAsia="zh-CN"/>
                    </w:rPr>
                    <w:t>筒仓</w:t>
                  </w:r>
                  <w:r>
                    <w:rPr>
                      <w:rFonts w:hint="eastAsia" w:eastAsia="宋体"/>
                      <w:color w:val="auto"/>
                      <w:lang w:eastAsia="zh-CN"/>
                    </w:rPr>
                    <w:t>呼吸废气、投料废气、污泥贮存、矿化、陈化废气、卸料起尘、运输扬尘。本次评价要求；水泥</w:t>
                  </w:r>
                  <w:r>
                    <w:rPr>
                      <w:rFonts w:hint="eastAsia"/>
                      <w:color w:val="auto"/>
                      <w:lang w:eastAsia="zh-CN"/>
                    </w:rPr>
                    <w:t>筒仓</w:t>
                  </w:r>
                  <w:r>
                    <w:rPr>
                      <w:rFonts w:hint="eastAsia" w:eastAsia="宋体"/>
                      <w:color w:val="auto"/>
                      <w:lang w:eastAsia="zh-CN"/>
                    </w:rPr>
                    <w:t>呼吸废气采用密闭收集，经脉冲式布袋除尘器处理后，通过15m高排气筒（DA001）排放；粉煤灰</w:t>
                  </w:r>
                  <w:r>
                    <w:rPr>
                      <w:rFonts w:hint="eastAsia"/>
                      <w:color w:val="auto"/>
                      <w:lang w:eastAsia="zh-CN"/>
                    </w:rPr>
                    <w:t>筒仓</w:t>
                  </w:r>
                  <w:r>
                    <w:rPr>
                      <w:rFonts w:hint="eastAsia" w:eastAsia="宋体"/>
                      <w:color w:val="auto"/>
                      <w:lang w:eastAsia="zh-CN"/>
                    </w:rPr>
                    <w:t>呼吸废气采用密闭收集，经脉冲式布袋除尘器处理后，通过15m高排气筒（DA002）排放；</w:t>
                  </w:r>
                  <w:r>
                    <w:rPr>
                      <w:rFonts w:hint="eastAsia"/>
                      <w:color w:val="auto"/>
                      <w:lang w:eastAsia="zh-CN"/>
                    </w:rPr>
                    <w:t>建筑掺和料筒仓</w:t>
                  </w:r>
                  <w:r>
                    <w:rPr>
                      <w:rFonts w:hint="eastAsia" w:eastAsia="宋体"/>
                      <w:color w:val="auto"/>
                      <w:lang w:eastAsia="zh-CN"/>
                    </w:rPr>
                    <w:t>呼吸废气采用密闭收集后密闭收集，经脉冲式布袋除尘器处理后，通过15m高排气筒（DA003）排放；草木灰</w:t>
                  </w:r>
                  <w:r>
                    <w:rPr>
                      <w:rFonts w:hint="eastAsia"/>
                      <w:color w:val="auto"/>
                      <w:lang w:eastAsia="zh-CN"/>
                    </w:rPr>
                    <w:t>筒仓</w:t>
                  </w:r>
                  <w:r>
                    <w:rPr>
                      <w:rFonts w:hint="eastAsia" w:eastAsia="宋体"/>
                      <w:color w:val="auto"/>
                      <w:lang w:eastAsia="zh-CN"/>
                    </w:rPr>
                    <w:t>呼吸废气采用密闭收集后，经脉冲式布袋除尘器处理后，通过15m高排气筒（DA004）排放；投料废气采用集气罩收集，经脉冲式布袋除尘器处理后，通过15m高排气筒（DA005）排放；污泥贮存、矿化、陈化废气采用密闭收集，经生物除臭塔处理，通过15m高排气筒（DA006）排放；卸料起尘采用雾炮洒水降尘措施处理后无组织排放。</w:t>
                  </w:r>
                </w:p>
              </w:tc>
              <w:tc>
                <w:tcPr>
                  <w:tcW w:w="998" w:type="dxa"/>
                  <w:vAlign w:val="center"/>
                </w:tcPr>
                <w:p w14:paraId="58BC03CC">
                  <w:pPr>
                    <w:keepNext/>
                    <w:keepLines/>
                    <w:pageBreakBefore w:val="0"/>
                    <w:widowControl w:val="0"/>
                    <w:kinsoku/>
                    <w:wordWrap/>
                    <w:overflowPunct/>
                    <w:topLinePunct w:val="0"/>
                    <w:bidi w:val="0"/>
                    <w:adjustRightInd w:val="0"/>
                    <w:snapToGrid w:val="0"/>
                    <w:jc w:val="center"/>
                    <w:textAlignment w:val="auto"/>
                    <w:rPr>
                      <w:color w:val="auto"/>
                    </w:rPr>
                  </w:pPr>
                  <w:r>
                    <w:rPr>
                      <w:color w:val="auto"/>
                    </w:rPr>
                    <w:t>相符</w:t>
                  </w:r>
                </w:p>
              </w:tc>
            </w:tr>
          </w:tbl>
          <w:p w14:paraId="5696FB47">
            <w:pPr>
              <w:pStyle w:val="69"/>
              <w:keepNext/>
              <w:keepLines/>
              <w:pageBreakBefore w:val="0"/>
              <w:widowControl w:val="0"/>
              <w:kinsoku/>
              <w:wordWrap/>
              <w:overflowPunct/>
              <w:topLinePunct w:val="0"/>
              <w:autoSpaceDE w:val="0"/>
              <w:autoSpaceDN w:val="0"/>
              <w:bidi w:val="0"/>
              <w:adjustRightInd/>
              <w:snapToGrid/>
              <w:ind w:firstLine="480" w:firstLineChars="200"/>
              <w:textAlignment w:val="auto"/>
              <w:rPr>
                <w:rFonts w:hint="default" w:ascii="Times New Roman" w:hAnsi="Times New Roman" w:cs="Times New Roman"/>
                <w:b w:val="0"/>
                <w:bCs/>
                <w:color w:val="auto"/>
                <w:szCs w:val="24"/>
              </w:rPr>
            </w:pPr>
            <w:r>
              <w:rPr>
                <w:rFonts w:hint="eastAsia" w:ascii="Times New Roman" w:hAnsi="Times New Roman" w:cs="Times New Roman"/>
                <w:b w:val="0"/>
                <w:bCs/>
                <w:color w:val="auto"/>
                <w:szCs w:val="24"/>
                <w:lang w:eastAsia="zh-CN"/>
              </w:rPr>
              <w:t>（</w:t>
            </w:r>
            <w:r>
              <w:rPr>
                <w:rFonts w:hint="eastAsia" w:ascii="Times New Roman" w:hAnsi="Times New Roman" w:cs="Times New Roman"/>
                <w:b w:val="0"/>
                <w:bCs/>
                <w:color w:val="auto"/>
                <w:szCs w:val="24"/>
                <w:lang w:val="en-US" w:eastAsia="zh-CN"/>
              </w:rPr>
              <w:t>3</w:t>
            </w:r>
            <w:r>
              <w:rPr>
                <w:rFonts w:hint="eastAsia" w:ascii="Times New Roman" w:hAnsi="Times New Roman" w:cs="Times New Roman"/>
                <w:b w:val="0"/>
                <w:bCs/>
                <w:color w:val="auto"/>
                <w:szCs w:val="24"/>
                <w:lang w:eastAsia="zh-CN"/>
              </w:rPr>
              <w:t>）</w:t>
            </w:r>
            <w:r>
              <w:rPr>
                <w:rFonts w:hint="default" w:ascii="Times New Roman" w:hAnsi="Times New Roman" w:cs="Times New Roman"/>
                <w:b w:val="0"/>
                <w:bCs/>
                <w:color w:val="auto"/>
                <w:szCs w:val="24"/>
              </w:rPr>
              <w:t>与《宿州市</w:t>
            </w:r>
            <w:r>
              <w:rPr>
                <w:rFonts w:hint="eastAsia" w:ascii="宋体" w:hAnsi="宋体" w:eastAsia="宋体" w:cs="宋体"/>
                <w:b w:val="0"/>
                <w:bCs/>
                <w:color w:val="auto"/>
                <w:szCs w:val="24"/>
              </w:rPr>
              <w:t>“</w:t>
            </w:r>
            <w:r>
              <w:rPr>
                <w:rFonts w:hint="default" w:ascii="Times New Roman" w:hAnsi="Times New Roman" w:cs="Times New Roman"/>
                <w:b w:val="0"/>
                <w:bCs/>
                <w:color w:val="auto"/>
                <w:szCs w:val="24"/>
              </w:rPr>
              <w:t>十四五</w:t>
            </w:r>
            <w:r>
              <w:rPr>
                <w:rFonts w:hint="eastAsia" w:ascii="宋体" w:hAnsi="宋体" w:eastAsia="宋体" w:cs="宋体"/>
                <w:b w:val="0"/>
                <w:bCs/>
                <w:color w:val="auto"/>
                <w:szCs w:val="24"/>
              </w:rPr>
              <w:t>”</w:t>
            </w:r>
            <w:r>
              <w:rPr>
                <w:rFonts w:hint="default" w:ascii="Times New Roman" w:hAnsi="Times New Roman" w:cs="Times New Roman"/>
                <w:b w:val="0"/>
                <w:bCs/>
                <w:color w:val="auto"/>
                <w:szCs w:val="24"/>
              </w:rPr>
              <w:t>生态环境保护规划》的符合性分析</w:t>
            </w:r>
          </w:p>
          <w:p w14:paraId="67F2A82E">
            <w:pPr>
              <w:keepNext/>
              <w:keepLines/>
              <w:pageBreakBefore w:val="0"/>
              <w:widowControl w:val="0"/>
              <w:kinsoku/>
              <w:wordWrap/>
              <w:overflowPunct/>
              <w:topLinePunct w:val="0"/>
              <w:bidi w:val="0"/>
              <w:adjustRightInd/>
              <w:snapToGrid/>
              <w:spacing w:line="360" w:lineRule="auto"/>
              <w:ind w:firstLine="482" w:firstLineChars="200"/>
              <w:jc w:val="center"/>
              <w:textAlignment w:val="auto"/>
              <w:rPr>
                <w:rFonts w:hint="eastAsia"/>
                <w:b/>
                <w:color w:val="auto"/>
                <w:kern w:val="0"/>
                <w:sz w:val="24"/>
              </w:rPr>
            </w:pPr>
            <w:r>
              <w:rPr>
                <w:rFonts w:hint="eastAsia"/>
                <w:b/>
                <w:color w:val="auto"/>
                <w:sz w:val="24"/>
              </w:rPr>
              <w:t>表</w:t>
            </w:r>
            <w:r>
              <w:rPr>
                <w:rFonts w:hint="eastAsia"/>
                <w:b/>
                <w:color w:val="auto"/>
                <w:sz w:val="24"/>
                <w:lang w:val="en-US" w:eastAsia="zh-CN"/>
              </w:rPr>
              <w:t>1.4</w:t>
            </w:r>
            <w:r>
              <w:rPr>
                <w:rFonts w:hint="eastAsia"/>
                <w:b/>
                <w:color w:val="auto"/>
                <w:kern w:val="0"/>
                <w:sz w:val="24"/>
              </w:rPr>
              <w:t xml:space="preserve">  与</w:t>
            </w:r>
            <w:r>
              <w:rPr>
                <w:rFonts w:hint="eastAsia" w:ascii="宋体" w:hAnsi="宋体" w:cs="宋体"/>
                <w:b/>
                <w:color w:val="auto"/>
                <w:sz w:val="24"/>
              </w:rPr>
              <w:t>《宿州市“十四五”生态环境保护规划》</w:t>
            </w:r>
            <w:r>
              <w:rPr>
                <w:rFonts w:hint="eastAsia"/>
                <w:b/>
                <w:color w:val="auto"/>
                <w:kern w:val="0"/>
                <w:sz w:val="24"/>
              </w:rPr>
              <w:t>相符性分析</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708"/>
              <w:gridCol w:w="3350"/>
              <w:gridCol w:w="1435"/>
              <w:gridCol w:w="1095"/>
            </w:tblGrid>
            <w:tr w14:paraId="3D3F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2" w:type="pct"/>
                  <w:noWrap w:val="0"/>
                  <w:vAlign w:val="center"/>
                </w:tcPr>
                <w:p w14:paraId="7AED88F9">
                  <w:pPr>
                    <w:keepNext/>
                    <w:keepLines/>
                    <w:pageBreakBefore w:val="0"/>
                    <w:widowControl w:val="0"/>
                    <w:kinsoku/>
                    <w:wordWrap/>
                    <w:overflowPunct/>
                    <w:topLinePunct w:val="0"/>
                    <w:bidi w:val="0"/>
                    <w:jc w:val="center"/>
                    <w:textAlignment w:val="auto"/>
                    <w:rPr>
                      <w:b w:val="0"/>
                      <w:bCs w:val="0"/>
                      <w:color w:val="auto"/>
                      <w:szCs w:val="21"/>
                    </w:rPr>
                  </w:pPr>
                  <w:r>
                    <w:rPr>
                      <w:b w:val="0"/>
                      <w:bCs w:val="0"/>
                      <w:color w:val="auto"/>
                      <w:szCs w:val="21"/>
                    </w:rPr>
                    <w:t>序号</w:t>
                  </w:r>
                </w:p>
              </w:tc>
              <w:tc>
                <w:tcPr>
                  <w:tcW w:w="1026" w:type="pct"/>
                  <w:noWrap w:val="0"/>
                  <w:vAlign w:val="center"/>
                </w:tcPr>
                <w:p w14:paraId="61051231">
                  <w:pPr>
                    <w:keepNext/>
                    <w:keepLines/>
                    <w:pageBreakBefore w:val="0"/>
                    <w:widowControl w:val="0"/>
                    <w:kinsoku/>
                    <w:wordWrap/>
                    <w:overflowPunct/>
                    <w:topLinePunct w:val="0"/>
                    <w:bidi w:val="0"/>
                    <w:jc w:val="center"/>
                    <w:textAlignment w:val="auto"/>
                    <w:rPr>
                      <w:b w:val="0"/>
                      <w:bCs w:val="0"/>
                      <w:color w:val="auto"/>
                      <w:szCs w:val="21"/>
                    </w:rPr>
                  </w:pPr>
                  <w:r>
                    <w:rPr>
                      <w:b w:val="0"/>
                      <w:bCs w:val="0"/>
                      <w:color w:val="auto"/>
                      <w:szCs w:val="21"/>
                    </w:rPr>
                    <w:t>政策名称</w:t>
                  </w:r>
                </w:p>
              </w:tc>
              <w:tc>
                <w:tcPr>
                  <w:tcW w:w="2012" w:type="pct"/>
                  <w:noWrap w:val="0"/>
                  <w:vAlign w:val="center"/>
                </w:tcPr>
                <w:p w14:paraId="48DDD250">
                  <w:pPr>
                    <w:keepNext/>
                    <w:keepLines/>
                    <w:pageBreakBefore w:val="0"/>
                    <w:widowControl w:val="0"/>
                    <w:kinsoku/>
                    <w:wordWrap/>
                    <w:overflowPunct/>
                    <w:topLinePunct w:val="0"/>
                    <w:bidi w:val="0"/>
                    <w:jc w:val="center"/>
                    <w:textAlignment w:val="auto"/>
                    <w:rPr>
                      <w:b w:val="0"/>
                      <w:bCs w:val="0"/>
                      <w:color w:val="auto"/>
                      <w:szCs w:val="21"/>
                    </w:rPr>
                  </w:pPr>
                  <w:r>
                    <w:rPr>
                      <w:b w:val="0"/>
                      <w:bCs w:val="0"/>
                      <w:color w:val="auto"/>
                      <w:szCs w:val="21"/>
                    </w:rPr>
                    <w:t>政策相关内容要求</w:t>
                  </w:r>
                </w:p>
              </w:tc>
              <w:tc>
                <w:tcPr>
                  <w:tcW w:w="862" w:type="pct"/>
                  <w:noWrap w:val="0"/>
                  <w:vAlign w:val="center"/>
                </w:tcPr>
                <w:p w14:paraId="2B208643">
                  <w:pPr>
                    <w:keepNext/>
                    <w:keepLines/>
                    <w:pageBreakBefore w:val="0"/>
                    <w:widowControl w:val="0"/>
                    <w:kinsoku/>
                    <w:wordWrap/>
                    <w:overflowPunct/>
                    <w:topLinePunct w:val="0"/>
                    <w:bidi w:val="0"/>
                    <w:jc w:val="center"/>
                    <w:textAlignment w:val="auto"/>
                    <w:rPr>
                      <w:b w:val="0"/>
                      <w:bCs w:val="0"/>
                      <w:color w:val="auto"/>
                      <w:szCs w:val="21"/>
                    </w:rPr>
                  </w:pPr>
                  <w:r>
                    <w:rPr>
                      <w:b w:val="0"/>
                      <w:bCs w:val="0"/>
                      <w:color w:val="auto"/>
                      <w:szCs w:val="21"/>
                    </w:rPr>
                    <w:t>相符性分析</w:t>
                  </w:r>
                </w:p>
              </w:tc>
              <w:tc>
                <w:tcPr>
                  <w:tcW w:w="658" w:type="pct"/>
                  <w:noWrap w:val="0"/>
                  <w:vAlign w:val="center"/>
                </w:tcPr>
                <w:p w14:paraId="086AB5F5">
                  <w:pPr>
                    <w:keepNext/>
                    <w:keepLines/>
                    <w:pageBreakBefore w:val="0"/>
                    <w:widowControl w:val="0"/>
                    <w:kinsoku/>
                    <w:wordWrap/>
                    <w:overflowPunct/>
                    <w:topLinePunct w:val="0"/>
                    <w:bidi w:val="0"/>
                    <w:jc w:val="center"/>
                    <w:textAlignment w:val="auto"/>
                    <w:rPr>
                      <w:b w:val="0"/>
                      <w:bCs w:val="0"/>
                      <w:color w:val="auto"/>
                      <w:szCs w:val="21"/>
                    </w:rPr>
                  </w:pPr>
                  <w:r>
                    <w:rPr>
                      <w:b w:val="0"/>
                      <w:bCs w:val="0"/>
                      <w:color w:val="auto"/>
                      <w:szCs w:val="21"/>
                    </w:rPr>
                    <w:t>是否相符</w:t>
                  </w:r>
                </w:p>
              </w:tc>
            </w:tr>
            <w:tr w14:paraId="6F78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2" w:type="pct"/>
                  <w:noWrap w:val="0"/>
                  <w:vAlign w:val="center"/>
                </w:tcPr>
                <w:p w14:paraId="5BA6F6A8">
                  <w:pPr>
                    <w:keepNext/>
                    <w:keepLines/>
                    <w:pageBreakBefore w:val="0"/>
                    <w:widowControl w:val="0"/>
                    <w:kinsoku/>
                    <w:wordWrap/>
                    <w:overflowPunct/>
                    <w:topLinePunct w:val="0"/>
                    <w:bidi w:val="0"/>
                    <w:jc w:val="center"/>
                    <w:textAlignment w:val="auto"/>
                    <w:rPr>
                      <w:b w:val="0"/>
                      <w:bCs w:val="0"/>
                      <w:color w:val="auto"/>
                      <w:szCs w:val="21"/>
                    </w:rPr>
                  </w:pPr>
                  <w:r>
                    <w:rPr>
                      <w:rFonts w:hint="eastAsia"/>
                      <w:b w:val="0"/>
                      <w:bCs w:val="0"/>
                      <w:color w:val="auto"/>
                      <w:szCs w:val="21"/>
                    </w:rPr>
                    <w:t>1</w:t>
                  </w:r>
                </w:p>
              </w:tc>
              <w:tc>
                <w:tcPr>
                  <w:tcW w:w="1026" w:type="pct"/>
                  <w:noWrap w:val="0"/>
                  <w:vAlign w:val="center"/>
                </w:tcPr>
                <w:p w14:paraId="4080CCB1">
                  <w:pPr>
                    <w:keepNext/>
                    <w:keepLines/>
                    <w:pageBreakBefore w:val="0"/>
                    <w:widowControl w:val="0"/>
                    <w:kinsoku/>
                    <w:wordWrap/>
                    <w:overflowPunct/>
                    <w:topLinePunct w:val="0"/>
                    <w:bidi w:val="0"/>
                    <w:jc w:val="center"/>
                    <w:textAlignment w:val="auto"/>
                    <w:rPr>
                      <w:b w:val="0"/>
                      <w:bCs w:val="0"/>
                      <w:color w:val="auto"/>
                      <w:szCs w:val="21"/>
                    </w:rPr>
                  </w:pPr>
                  <w:r>
                    <w:rPr>
                      <w:rFonts w:hint="eastAsia" w:ascii="宋体" w:hAnsi="宋体" w:cs="宋体"/>
                      <w:b w:val="0"/>
                      <w:bCs w:val="0"/>
                      <w:color w:val="auto"/>
                      <w:szCs w:val="21"/>
                    </w:rPr>
                    <w:t>《宿州市“十四五”生态环境保护规划》</w:t>
                  </w:r>
                </w:p>
              </w:tc>
              <w:tc>
                <w:tcPr>
                  <w:tcW w:w="2012" w:type="pct"/>
                  <w:noWrap w:val="0"/>
                  <w:vAlign w:val="center"/>
                </w:tcPr>
                <w:p w14:paraId="65C1996B">
                  <w:pPr>
                    <w:keepNext/>
                    <w:keepLines/>
                    <w:pageBreakBefore w:val="0"/>
                    <w:widowControl w:val="0"/>
                    <w:kinsoku/>
                    <w:wordWrap/>
                    <w:overflowPunct/>
                    <w:topLinePunct w:val="0"/>
                    <w:bidi w:val="0"/>
                    <w:jc w:val="center"/>
                    <w:textAlignment w:val="auto"/>
                    <w:rPr>
                      <w:b w:val="0"/>
                      <w:bCs w:val="0"/>
                      <w:color w:val="auto"/>
                      <w:szCs w:val="21"/>
                    </w:rPr>
                  </w:pPr>
                  <w:r>
                    <w:rPr>
                      <w:rFonts w:hint="eastAsia"/>
                      <w:b w:val="0"/>
                      <w:bCs w:val="0"/>
                      <w:color w:val="auto"/>
                      <w:szCs w:val="21"/>
                    </w:rPr>
                    <w:t>监督固体废物产生单位和利用、处置单位建立规范环境管理制度和管理台账，严格落实固体废物污染防治责任。加强固体废物产生、利用和处置单位日常执法监管，开展固体废物排查整治行动，督促落实固体废物源头控制措施。实施固体废物非法贮存、倾倒和填埋情况专项排查，严厉打击违法违规行为。</w:t>
                  </w:r>
                </w:p>
              </w:tc>
              <w:tc>
                <w:tcPr>
                  <w:tcW w:w="862" w:type="pct"/>
                  <w:noWrap w:val="0"/>
                  <w:vAlign w:val="center"/>
                </w:tcPr>
                <w:p w14:paraId="61B05A9E">
                  <w:pPr>
                    <w:keepNext/>
                    <w:keepLines/>
                    <w:pageBreakBefore w:val="0"/>
                    <w:widowControl w:val="0"/>
                    <w:kinsoku/>
                    <w:wordWrap/>
                    <w:overflowPunct/>
                    <w:topLinePunct w:val="0"/>
                    <w:bidi w:val="0"/>
                    <w:jc w:val="center"/>
                    <w:textAlignment w:val="auto"/>
                    <w:rPr>
                      <w:b w:val="0"/>
                      <w:bCs w:val="0"/>
                      <w:color w:val="auto"/>
                      <w:szCs w:val="21"/>
                    </w:rPr>
                  </w:pPr>
                  <w:r>
                    <w:rPr>
                      <w:b w:val="0"/>
                      <w:bCs w:val="0"/>
                      <w:color w:val="auto"/>
                      <w:szCs w:val="21"/>
                    </w:rPr>
                    <w:t>本项目</w:t>
                  </w:r>
                  <w:r>
                    <w:rPr>
                      <w:rFonts w:hint="eastAsia"/>
                      <w:b w:val="0"/>
                      <w:bCs w:val="0"/>
                      <w:color w:val="auto"/>
                      <w:szCs w:val="21"/>
                    </w:rPr>
                    <w:t>为利用一般工业固废进行</w:t>
                  </w:r>
                  <w:r>
                    <w:rPr>
                      <w:rFonts w:hint="eastAsia"/>
                      <w:b w:val="0"/>
                      <w:bCs w:val="0"/>
                      <w:color w:val="auto"/>
                      <w:szCs w:val="21"/>
                      <w:lang w:eastAsia="zh-CN"/>
                    </w:rPr>
                    <w:t>建筑掺和料、集料、土壤改良土、绿化营养土</w:t>
                  </w:r>
                  <w:r>
                    <w:rPr>
                      <w:rFonts w:hint="eastAsia"/>
                      <w:b w:val="0"/>
                      <w:bCs w:val="0"/>
                      <w:color w:val="auto"/>
                      <w:szCs w:val="21"/>
                    </w:rPr>
                    <w:t>生产</w:t>
                  </w:r>
                  <w:r>
                    <w:rPr>
                      <w:rFonts w:hint="eastAsia"/>
                      <w:b w:val="0"/>
                      <w:bCs w:val="0"/>
                      <w:color w:val="auto"/>
                      <w:szCs w:val="21"/>
                      <w:lang w:eastAsia="zh-CN"/>
                    </w:rPr>
                    <w:t>的</w:t>
                  </w:r>
                  <w:r>
                    <w:rPr>
                      <w:rFonts w:hint="eastAsia"/>
                      <w:b w:val="0"/>
                      <w:bCs w:val="0"/>
                      <w:color w:val="auto"/>
                      <w:szCs w:val="21"/>
                    </w:rPr>
                    <w:t>项目，减少资源浪费。</w:t>
                  </w:r>
                </w:p>
              </w:tc>
              <w:tc>
                <w:tcPr>
                  <w:tcW w:w="658" w:type="pct"/>
                  <w:noWrap w:val="0"/>
                  <w:vAlign w:val="center"/>
                </w:tcPr>
                <w:p w14:paraId="50784148">
                  <w:pPr>
                    <w:keepNext/>
                    <w:keepLines/>
                    <w:pageBreakBefore w:val="0"/>
                    <w:widowControl w:val="0"/>
                    <w:kinsoku/>
                    <w:wordWrap/>
                    <w:overflowPunct/>
                    <w:topLinePunct w:val="0"/>
                    <w:bidi w:val="0"/>
                    <w:jc w:val="center"/>
                    <w:textAlignment w:val="auto"/>
                    <w:rPr>
                      <w:b w:val="0"/>
                      <w:bCs w:val="0"/>
                      <w:color w:val="auto"/>
                      <w:szCs w:val="21"/>
                    </w:rPr>
                  </w:pPr>
                  <w:r>
                    <w:rPr>
                      <w:b w:val="0"/>
                      <w:bCs w:val="0"/>
                      <w:color w:val="auto"/>
                      <w:szCs w:val="21"/>
                    </w:rPr>
                    <w:t>符合</w:t>
                  </w:r>
                </w:p>
              </w:tc>
            </w:tr>
          </w:tbl>
          <w:p w14:paraId="3FFC3816">
            <w:pPr>
              <w:keepNext/>
              <w:keepLines/>
              <w:pageBreakBefore w:val="0"/>
              <w:widowControl w:val="0"/>
              <w:numPr>
                <w:ilvl w:val="0"/>
                <w:numId w:val="0"/>
              </w:numPr>
              <w:kinsoku/>
              <w:wordWrap/>
              <w:overflowPunct/>
              <w:topLinePunct w:val="0"/>
              <w:autoSpaceDE/>
              <w:autoSpaceDN/>
              <w:bidi w:val="0"/>
              <w:adjustRightInd/>
              <w:snapToGrid/>
              <w:spacing w:before="157" w:beforeLines="50" w:line="360" w:lineRule="auto"/>
              <w:ind w:leftChars="0" w:firstLine="480" w:firstLineChars="200"/>
              <w:textAlignment w:val="auto"/>
              <w:rPr>
                <w:rFonts w:hint="default" w:ascii="Times New Roman" w:hAnsi="Times New Roman" w:cs="Times New Roman"/>
                <w:b w:val="0"/>
                <w:bCs/>
                <w:color w:val="auto"/>
                <w:sz w:val="24"/>
                <w:szCs w:val="24"/>
              </w:rPr>
            </w:pPr>
            <w:r>
              <w:rPr>
                <w:rFonts w:hint="eastAsia"/>
                <w:color w:val="auto"/>
                <w:sz w:val="24"/>
                <w:szCs w:val="24"/>
                <w:lang w:val="en-US" w:eastAsia="zh-CN"/>
              </w:rPr>
              <w:t>（4）与</w:t>
            </w:r>
            <w:r>
              <w:rPr>
                <w:rFonts w:hint="default" w:ascii="Times New Roman" w:hAnsi="Times New Roman" w:cs="Times New Roman"/>
                <w:b w:val="0"/>
                <w:bCs/>
                <w:color w:val="auto"/>
                <w:sz w:val="24"/>
                <w:szCs w:val="24"/>
              </w:rPr>
              <w:t>《关于坚决遏制固体废物非法转移和倾倒进一步加强危险废物全过程监管的通知》的符合性分析</w:t>
            </w:r>
            <w:r>
              <w:rPr>
                <w:rFonts w:hint="eastAsia" w:cs="Times New Roman"/>
                <w:b w:val="0"/>
                <w:bCs/>
                <w:color w:val="auto"/>
                <w:sz w:val="24"/>
                <w:szCs w:val="24"/>
                <w:lang w:eastAsia="zh-CN"/>
              </w:rPr>
              <w:t>。</w:t>
            </w:r>
          </w:p>
          <w:p w14:paraId="100169F9">
            <w:pPr>
              <w:pStyle w:val="13"/>
              <w:keepNext/>
              <w:keepLines/>
              <w:pageBreakBefore w:val="0"/>
              <w:widowControl w:val="0"/>
              <w:numPr>
                <w:ilvl w:val="0"/>
                <w:numId w:val="0"/>
              </w:numPr>
              <w:kinsoku/>
              <w:wordWrap/>
              <w:overflowPunct/>
              <w:topLinePunct w:val="0"/>
              <w:bidi w:val="0"/>
              <w:ind w:right="113" w:rightChars="0"/>
              <w:jc w:val="center"/>
              <w:textAlignment w:val="auto"/>
              <w:rPr>
                <w:rFonts w:hint="default" w:eastAsia="宋体"/>
                <w:b/>
                <w:bCs/>
                <w:color w:val="auto"/>
                <w:lang w:val="en-US" w:eastAsia="zh-CN"/>
              </w:rPr>
            </w:pPr>
            <w:r>
              <w:rPr>
                <w:rFonts w:hint="eastAsia"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1.5</w:t>
            </w:r>
            <w:r>
              <w:rPr>
                <w:rFonts w:hint="eastAsia" w:ascii="Times New Roman" w:hAnsi="Times New Roman" w:eastAsia="宋体" w:cs="Times New Roman"/>
                <w:b/>
                <w:color w:val="auto"/>
                <w:kern w:val="2"/>
                <w:sz w:val="24"/>
                <w:szCs w:val="24"/>
                <w:lang w:val="en-US" w:eastAsia="zh-CN" w:bidi="ar-SA"/>
              </w:rPr>
              <w:t xml:space="preserve"> </w:t>
            </w:r>
            <w:r>
              <w:rPr>
                <w:rFonts w:hint="eastAsia"/>
                <w:b/>
                <w:bCs/>
                <w:color w:val="auto"/>
                <w:lang w:val="en-US" w:eastAsia="zh-CN"/>
              </w:rPr>
              <w:t xml:space="preserve"> </w:t>
            </w:r>
            <w:r>
              <w:rPr>
                <w:rFonts w:hint="eastAsia"/>
                <w:b/>
                <w:bCs/>
                <w:color w:val="auto"/>
                <w:sz w:val="24"/>
                <w:szCs w:val="24"/>
                <w:lang w:val="en-US" w:eastAsia="zh-CN"/>
              </w:rPr>
              <w:t>与</w:t>
            </w:r>
            <w:r>
              <w:rPr>
                <w:rFonts w:hint="default" w:ascii="Times New Roman" w:hAnsi="Times New Roman" w:cs="Times New Roman"/>
                <w:b/>
                <w:bCs/>
                <w:color w:val="auto"/>
                <w:sz w:val="24"/>
                <w:szCs w:val="24"/>
              </w:rPr>
              <w:t>《关于坚决遏制固体废物非法转移和倾倒进一步加强危险废物全过程监管的通知》</w:t>
            </w:r>
            <w:r>
              <w:rPr>
                <w:rFonts w:hint="eastAsia"/>
                <w:b/>
                <w:bCs/>
                <w:color w:val="auto"/>
                <w:kern w:val="0"/>
                <w:sz w:val="24"/>
              </w:rPr>
              <w:t>相符性分析</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3346"/>
              <w:gridCol w:w="3013"/>
              <w:gridCol w:w="1060"/>
            </w:tblGrid>
            <w:tr w14:paraId="2D1E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Align w:val="center"/>
                </w:tcPr>
                <w:p w14:paraId="2A464C1A">
                  <w:pPr>
                    <w:keepNext/>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color w:val="auto"/>
                      <w:sz w:val="21"/>
                      <w:szCs w:val="21"/>
                    </w:rPr>
                    <w:t>序号</w:t>
                  </w:r>
                </w:p>
              </w:tc>
              <w:tc>
                <w:tcPr>
                  <w:tcW w:w="2010" w:type="pct"/>
                  <w:vAlign w:val="center"/>
                </w:tcPr>
                <w:p w14:paraId="642E5CA6">
                  <w:pPr>
                    <w:keepNext/>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关于坚决遏制固体废物非法转移和倾倒进一步加强危险废物全过程监管的通知</w:t>
                  </w:r>
                </w:p>
              </w:tc>
              <w:tc>
                <w:tcPr>
                  <w:tcW w:w="1810" w:type="pct"/>
                  <w:vAlign w:val="center"/>
                </w:tcPr>
                <w:p w14:paraId="0AB464C8">
                  <w:pPr>
                    <w:keepNext/>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color w:val="auto"/>
                      <w:sz w:val="21"/>
                      <w:szCs w:val="21"/>
                    </w:rPr>
                    <w:t>项目情况</w:t>
                  </w:r>
                </w:p>
              </w:tc>
              <w:tc>
                <w:tcPr>
                  <w:tcW w:w="636" w:type="pct"/>
                  <w:vAlign w:val="center"/>
                </w:tcPr>
                <w:p w14:paraId="5EB934AF">
                  <w:pPr>
                    <w:keepNext/>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color w:val="auto"/>
                      <w:sz w:val="21"/>
                      <w:szCs w:val="21"/>
                    </w:rPr>
                    <w:t>相符性</w:t>
                  </w:r>
                </w:p>
              </w:tc>
            </w:tr>
            <w:tr w14:paraId="163D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Align w:val="center"/>
                </w:tcPr>
                <w:p w14:paraId="244B2C50">
                  <w:pPr>
                    <w:keepNext/>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1</w:t>
                  </w:r>
                </w:p>
              </w:tc>
              <w:tc>
                <w:tcPr>
                  <w:tcW w:w="2010" w:type="pct"/>
                  <w:vAlign w:val="center"/>
                </w:tcPr>
                <w:p w14:paraId="7273ADE0">
                  <w:pPr>
                    <w:keepNext/>
                    <w:keepLines/>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重点掌握跨省转移的主要固体废物类别、转移量及主要的接收地。对于最终处置去向明确的，抽查核实处置方式的合法性；对于最终处置去向不明确的，严格追查去向，依法追究企业主体责任。</w:t>
                  </w:r>
                </w:p>
              </w:tc>
              <w:tc>
                <w:tcPr>
                  <w:tcW w:w="1810" w:type="pct"/>
                  <w:vAlign w:val="center"/>
                </w:tcPr>
                <w:p w14:paraId="69BF4CC4">
                  <w:pPr>
                    <w:keepNext/>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本项目所利用的固废均来自于宿州市辖区内，不存在跨省转移固废的情况。</w:t>
                  </w:r>
                </w:p>
              </w:tc>
              <w:tc>
                <w:tcPr>
                  <w:tcW w:w="636" w:type="pct"/>
                  <w:vAlign w:val="center"/>
                </w:tcPr>
                <w:p w14:paraId="37F5657D">
                  <w:pPr>
                    <w:keepNext/>
                    <w:keepLines/>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color w:val="auto"/>
                      <w:szCs w:val="21"/>
                    </w:rPr>
                    <w:t>相符</w:t>
                  </w:r>
                </w:p>
              </w:tc>
            </w:tr>
          </w:tbl>
          <w:p w14:paraId="6EFB25FC">
            <w:pPr>
              <w:keepNext/>
              <w:keepLines/>
              <w:pageBreakBefore w:val="0"/>
              <w:widowControl w:val="0"/>
              <w:numPr>
                <w:ilvl w:val="0"/>
                <w:numId w:val="0"/>
              </w:numPr>
              <w:kinsoku/>
              <w:wordWrap/>
              <w:overflowPunct/>
              <w:topLinePunct w:val="0"/>
              <w:autoSpaceDE/>
              <w:autoSpaceDN/>
              <w:bidi w:val="0"/>
              <w:adjustRightInd w:val="0"/>
              <w:snapToGrid w:val="0"/>
              <w:spacing w:before="120" w:beforeLines="50" w:line="360" w:lineRule="auto"/>
              <w:ind w:leftChars="0"/>
              <w:textAlignment w:val="auto"/>
              <w:rPr>
                <w:rFonts w:hint="default" w:ascii="Times New Roman" w:hAnsi="Times New Roman" w:cs="Times New Roman"/>
                <w:b w:val="0"/>
                <w:bCs w:val="0"/>
                <w:color w:val="auto"/>
                <w:sz w:val="24"/>
                <w:szCs w:val="24"/>
              </w:rPr>
            </w:pPr>
            <w:r>
              <w:rPr>
                <w:rFonts w:hint="eastAsia"/>
                <w:b w:val="0"/>
                <w:bCs w:val="0"/>
                <w:color w:val="auto"/>
                <w:sz w:val="24"/>
                <w:lang w:val="en-US" w:eastAsia="zh-CN"/>
              </w:rPr>
              <w:t>（5）与</w:t>
            </w:r>
            <w:r>
              <w:rPr>
                <w:rFonts w:hint="default" w:ascii="Times New Roman" w:hAnsi="Times New Roman" w:cs="Times New Roman"/>
                <w:b w:val="0"/>
                <w:bCs w:val="0"/>
                <w:color w:val="auto"/>
                <w:sz w:val="24"/>
                <w:szCs w:val="24"/>
              </w:rPr>
              <w:t>《宿州市环境空气质量达标规划》（2025-2030年）的符合性分析</w:t>
            </w:r>
            <w:r>
              <w:rPr>
                <w:rFonts w:hint="eastAsia" w:cs="Times New Roman"/>
                <w:b w:val="0"/>
                <w:bCs w:val="0"/>
                <w:color w:val="auto"/>
                <w:sz w:val="24"/>
                <w:szCs w:val="24"/>
                <w:lang w:eastAsia="zh-CN"/>
              </w:rPr>
              <w:t>。</w:t>
            </w:r>
          </w:p>
          <w:p w14:paraId="127DF0DD">
            <w:pPr>
              <w:pStyle w:val="13"/>
              <w:keepNext/>
              <w:keepLines/>
              <w:pageBreakBefore w:val="0"/>
              <w:widowControl w:val="0"/>
              <w:numPr>
                <w:ilvl w:val="0"/>
                <w:numId w:val="0"/>
              </w:numPr>
              <w:kinsoku/>
              <w:wordWrap/>
              <w:overflowPunct/>
              <w:topLinePunct w:val="0"/>
              <w:bidi w:val="0"/>
              <w:ind w:right="113" w:rightChars="0"/>
              <w:jc w:val="center"/>
              <w:textAlignment w:val="auto"/>
              <w:rPr>
                <w:rFonts w:hint="eastAsia"/>
                <w:b/>
                <w:bCs/>
                <w:color w:val="auto"/>
                <w:kern w:val="0"/>
                <w:sz w:val="24"/>
              </w:rPr>
            </w:pPr>
            <w:r>
              <w:rPr>
                <w:rFonts w:hint="eastAsia"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1.6</w:t>
            </w:r>
            <w:r>
              <w:rPr>
                <w:rFonts w:hint="eastAsia"/>
                <w:b/>
                <w:bCs/>
                <w:color w:val="auto"/>
                <w:lang w:val="en-US" w:eastAsia="zh-CN"/>
              </w:rPr>
              <w:t xml:space="preserve"> </w:t>
            </w:r>
            <w:r>
              <w:rPr>
                <w:rFonts w:hint="eastAsia"/>
                <w:b/>
                <w:bCs/>
                <w:color w:val="auto"/>
                <w:sz w:val="24"/>
                <w:lang w:val="en-US" w:eastAsia="zh-CN"/>
              </w:rPr>
              <w:t>与</w:t>
            </w:r>
            <w:r>
              <w:rPr>
                <w:rFonts w:hint="default" w:ascii="Times New Roman" w:hAnsi="Times New Roman" w:cs="Times New Roman"/>
                <w:b/>
                <w:bCs/>
                <w:color w:val="auto"/>
                <w:sz w:val="24"/>
                <w:szCs w:val="24"/>
              </w:rPr>
              <w:t>《宿州市环境空气质量达标规划》（2025-2030年）</w:t>
            </w:r>
            <w:r>
              <w:rPr>
                <w:rFonts w:hint="eastAsia"/>
                <w:b/>
                <w:bCs/>
                <w:color w:val="auto"/>
                <w:kern w:val="0"/>
                <w:sz w:val="24"/>
              </w:rPr>
              <w:t>相符性分析</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4183"/>
              <w:gridCol w:w="2330"/>
              <w:gridCol w:w="977"/>
            </w:tblGrid>
            <w:tr w14:paraId="7EEA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1" w:type="dxa"/>
                  <w:noWrap w:val="0"/>
                  <w:vAlign w:val="center"/>
                </w:tcPr>
                <w:p w14:paraId="48B154FA">
                  <w:pPr>
                    <w:pStyle w:val="13"/>
                    <w:keepNext w:val="0"/>
                    <w:keepLines w:val="0"/>
                    <w:pageBreakBefore w:val="0"/>
                    <w:numPr>
                      <w:ilvl w:val="0"/>
                      <w:numId w:val="0"/>
                    </w:numPr>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color w:val="000000"/>
                      <w:sz w:val="21"/>
                      <w:szCs w:val="21"/>
                      <w:vertAlign w:val="baseline"/>
                      <w:lang w:val="en-US" w:eastAsia="zh-CN"/>
                    </w:rPr>
                  </w:pPr>
                  <w:r>
                    <w:rPr>
                      <w:rFonts w:hint="eastAsia"/>
                      <w:color w:val="000000"/>
                      <w:sz w:val="21"/>
                      <w:szCs w:val="21"/>
                      <w:vertAlign w:val="baseline"/>
                      <w:lang w:val="en-US" w:eastAsia="zh-CN"/>
                    </w:rPr>
                    <w:t>序号</w:t>
                  </w:r>
                </w:p>
              </w:tc>
              <w:tc>
                <w:tcPr>
                  <w:tcW w:w="4183" w:type="dxa"/>
                  <w:noWrap w:val="0"/>
                  <w:vAlign w:val="center"/>
                </w:tcPr>
                <w:p w14:paraId="234F352D">
                  <w:pPr>
                    <w:pStyle w:val="13"/>
                    <w:keepNext w:val="0"/>
                    <w:keepLines w:val="0"/>
                    <w:pageBreakBefore w:val="0"/>
                    <w:numPr>
                      <w:ilvl w:val="0"/>
                      <w:numId w:val="0"/>
                    </w:numPr>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color w:val="000000"/>
                      <w:sz w:val="21"/>
                      <w:szCs w:val="21"/>
                      <w:vertAlign w:val="baseline"/>
                      <w:lang w:val="en-US" w:eastAsia="zh-CN"/>
                    </w:rPr>
                  </w:pPr>
                  <w:r>
                    <w:rPr>
                      <w:rFonts w:hint="default"/>
                      <w:color w:val="000000"/>
                      <w:sz w:val="21"/>
                      <w:szCs w:val="21"/>
                      <w:vertAlign w:val="baseline"/>
                      <w:lang w:val="en-US" w:eastAsia="zh-CN"/>
                    </w:rPr>
                    <w:t>宿州市环境空气质量达标规划</w:t>
                  </w:r>
                </w:p>
              </w:tc>
              <w:tc>
                <w:tcPr>
                  <w:tcW w:w="2330" w:type="dxa"/>
                  <w:noWrap w:val="0"/>
                  <w:vAlign w:val="center"/>
                </w:tcPr>
                <w:p w14:paraId="3CDC6A81">
                  <w:pPr>
                    <w:pStyle w:val="13"/>
                    <w:keepNext w:val="0"/>
                    <w:keepLines w:val="0"/>
                    <w:pageBreakBefore w:val="0"/>
                    <w:numPr>
                      <w:ilvl w:val="0"/>
                      <w:numId w:val="0"/>
                    </w:numPr>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color w:val="000000"/>
                      <w:sz w:val="21"/>
                      <w:szCs w:val="21"/>
                      <w:vertAlign w:val="baseline"/>
                      <w:lang w:val="en-US" w:eastAsia="zh-CN"/>
                    </w:rPr>
                  </w:pPr>
                  <w:r>
                    <w:rPr>
                      <w:rFonts w:hint="eastAsia"/>
                      <w:color w:val="000000"/>
                      <w:sz w:val="21"/>
                      <w:szCs w:val="21"/>
                      <w:vertAlign w:val="baseline"/>
                      <w:lang w:val="en-US" w:eastAsia="zh-CN"/>
                    </w:rPr>
                    <w:t>本项目情况</w:t>
                  </w:r>
                </w:p>
              </w:tc>
              <w:tc>
                <w:tcPr>
                  <w:tcW w:w="977" w:type="dxa"/>
                  <w:noWrap w:val="0"/>
                  <w:vAlign w:val="center"/>
                </w:tcPr>
                <w:p w14:paraId="67322963">
                  <w:pPr>
                    <w:pStyle w:val="13"/>
                    <w:keepNext w:val="0"/>
                    <w:keepLines w:val="0"/>
                    <w:pageBreakBefore w:val="0"/>
                    <w:numPr>
                      <w:ilvl w:val="0"/>
                      <w:numId w:val="0"/>
                    </w:numPr>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color w:val="000000"/>
                      <w:sz w:val="21"/>
                      <w:szCs w:val="21"/>
                      <w:vertAlign w:val="baseline"/>
                      <w:lang w:val="en-US" w:eastAsia="zh-CN"/>
                    </w:rPr>
                  </w:pPr>
                  <w:r>
                    <w:rPr>
                      <w:rFonts w:hint="eastAsia"/>
                      <w:color w:val="000000"/>
                      <w:sz w:val="21"/>
                      <w:szCs w:val="21"/>
                      <w:vertAlign w:val="baseline"/>
                      <w:lang w:val="en-US" w:eastAsia="zh-CN"/>
                    </w:rPr>
                    <w:t>相符性</w:t>
                  </w:r>
                </w:p>
              </w:tc>
            </w:tr>
            <w:tr w14:paraId="2106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1" w:type="dxa"/>
                  <w:noWrap w:val="0"/>
                  <w:vAlign w:val="center"/>
                </w:tcPr>
                <w:p w14:paraId="3D51D288">
                  <w:pPr>
                    <w:pStyle w:val="13"/>
                    <w:keepNext w:val="0"/>
                    <w:keepLines w:val="0"/>
                    <w:pageBreakBefore w:val="0"/>
                    <w:numPr>
                      <w:ilvl w:val="0"/>
                      <w:numId w:val="0"/>
                    </w:numPr>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color w:val="000000"/>
                      <w:sz w:val="21"/>
                      <w:szCs w:val="21"/>
                      <w:vertAlign w:val="baseline"/>
                      <w:lang w:val="en-US" w:eastAsia="zh-CN"/>
                    </w:rPr>
                  </w:pPr>
                  <w:r>
                    <w:rPr>
                      <w:rFonts w:hint="eastAsia"/>
                      <w:color w:val="000000"/>
                      <w:sz w:val="21"/>
                      <w:szCs w:val="21"/>
                      <w:vertAlign w:val="baseline"/>
                      <w:lang w:val="en-US" w:eastAsia="zh-CN"/>
                    </w:rPr>
                    <w:t>1</w:t>
                  </w:r>
                </w:p>
              </w:tc>
              <w:tc>
                <w:tcPr>
                  <w:tcW w:w="4183" w:type="dxa"/>
                  <w:noWrap w:val="0"/>
                  <w:vAlign w:val="center"/>
                </w:tcPr>
                <w:p w14:paraId="71F31354">
                  <w:pPr>
                    <w:keepNext/>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加快建设先进制造业强市，优化各园区产业定位，促进产业集聚和绿色发展转型，统筹推进产业布局与大气环境质量改善需求相适应，严格落实国家和我省产业规划、产业政策、生态环境分区管控、规划环评等要求，新改扩建化工、石化、建材、有色等项目的环境影响评价应满足区域和规划环评要求。新建项目不再采用单一的低效治理技术。严格新改扩建涉气重点行业绩效评级限制条件，各区县、开发区范围内新改扩建涉气重点行业企业应达到环保绩效 A 级、绩效引领性水平。督促指导企业落实重污染天气重点行业绩效分级技术指南要求，加快实施建成区及临近周边重污染企业搬迁改造或关闭退出，推动实施低端化工等重污染企业搬迁工程，明确时间表，对逾期不按计划实施的依法依规予以停产。做优培强龙头骨干企业、“专精特新”中小企业。</w:t>
                  </w:r>
                </w:p>
              </w:tc>
              <w:tc>
                <w:tcPr>
                  <w:tcW w:w="2330" w:type="dxa"/>
                  <w:noWrap w:val="0"/>
                  <w:vAlign w:val="center"/>
                </w:tcPr>
                <w:p w14:paraId="0CF3FCFE">
                  <w:pPr>
                    <w:keepNext/>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b w:val="0"/>
                      <w:bCs/>
                      <w:color w:val="auto"/>
                      <w:sz w:val="21"/>
                      <w:szCs w:val="21"/>
                      <w:vertAlign w:val="baseline"/>
                      <w:lang w:val="en-US" w:eastAsia="zh-CN"/>
                    </w:rPr>
                    <w:t>本项目属于固体废物治理和其他建筑材料制作，符合宿州市埇桥区顺河镇国土空间总体规划。水泥筒仓呼吸废气采用密闭收集，经脉冲式布袋除尘器处理后，通过15m高排气筒（DA001）排放；粉煤灰筒仓呼吸废气采用密闭收集，经脉冲式布袋除尘器处理后，通过15m高排气筒（DA002）排放；建筑掺和料筒仓呼吸废气采用密闭收集后密闭收集，经脉冲式布袋除尘器处理后，通过15m高排气筒（DA003）排放；草木灰筒仓呼吸废气采用密闭收集后，经脉冲式布袋除尘器处理后，通过15m高排气筒（DA004）排放；投料废气采用集气罩收集，经脉冲式布袋除尘器处理后，通过15m高排气筒（DA005）排放；污泥贮存、矿化、陈化废气采用密闭收集，经生物除臭塔处理，通过15m高排气筒（DA006）排放；卸料起尘采用雾炮洒水降尘措施处理后无组织排放。本项目废气均采用可行性技术，本项目的建设对大气环境影响较小</w:t>
                  </w:r>
                </w:p>
              </w:tc>
              <w:tc>
                <w:tcPr>
                  <w:tcW w:w="977" w:type="dxa"/>
                  <w:noWrap w:val="0"/>
                  <w:vAlign w:val="center"/>
                </w:tcPr>
                <w:p w14:paraId="23DB3FBD">
                  <w:pPr>
                    <w:keepNext/>
                    <w:keepLines/>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sz w:val="21"/>
                      <w:szCs w:val="21"/>
                      <w:vertAlign w:val="baseline"/>
                      <w:lang w:val="en-US" w:eastAsia="zh-CN"/>
                    </w:rPr>
                  </w:pPr>
                  <w:r>
                    <w:rPr>
                      <w:color w:val="auto"/>
                      <w:szCs w:val="21"/>
                    </w:rPr>
                    <w:t>相符</w:t>
                  </w:r>
                </w:p>
              </w:tc>
            </w:tr>
          </w:tbl>
          <w:p w14:paraId="3893A3D3">
            <w:pPr>
              <w:keepNext w:val="0"/>
              <w:keepLines w:val="0"/>
              <w:pageBreakBefore w:val="0"/>
              <w:widowControl w:val="0"/>
              <w:tabs>
                <w:tab w:val="left" w:pos="461"/>
              </w:tabs>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3、产业政策符合性</w:t>
            </w:r>
          </w:p>
          <w:p w14:paraId="5B11609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rPr>
              <w:t>根据《产业结构调整指导目录》（</w:t>
            </w:r>
            <w:r>
              <w:rPr>
                <w:rFonts w:hint="default" w:ascii="Times New Roman" w:hAnsi="Times New Roman" w:cs="Times New Roman"/>
                <w:color w:val="auto"/>
                <w:kern w:val="0"/>
                <w:sz w:val="24"/>
              </w:rPr>
              <w:t>2024年本</w:t>
            </w:r>
            <w:r>
              <w:rPr>
                <w:rFonts w:hint="default" w:ascii="Times New Roman" w:hAnsi="Times New Roman" w:cs="Times New Roman"/>
                <w:color w:val="auto"/>
                <w:sz w:val="24"/>
              </w:rPr>
              <w:t>）</w:t>
            </w:r>
            <w:r>
              <w:rPr>
                <w:rFonts w:hint="default" w:ascii="Times New Roman" w:hAnsi="Times New Roman" w:cs="Times New Roman"/>
                <w:color w:val="auto"/>
                <w:kern w:val="0"/>
                <w:sz w:val="24"/>
              </w:rPr>
              <w:t>，</w:t>
            </w:r>
            <w:r>
              <w:rPr>
                <w:rFonts w:hint="default" w:ascii="Times New Roman" w:hAnsi="Times New Roman" w:eastAsia="宋体" w:cs="Times New Roman"/>
                <w:color w:val="auto"/>
                <w:sz w:val="24"/>
              </w:rPr>
              <w:t>本项目属于</w:t>
            </w:r>
            <w:r>
              <w:rPr>
                <w:rFonts w:hint="eastAsia" w:ascii="Times New Roman" w:hAnsi="Times New Roman" w:eastAsia="宋体" w:cs="Times New Roman"/>
                <w:b w:val="0"/>
                <w:bCs w:val="0"/>
                <w:color w:val="auto"/>
                <w:sz w:val="24"/>
                <w:szCs w:val="24"/>
                <w:u w:val="none" w:color="auto"/>
                <w:lang w:eastAsia="zh-CN"/>
              </w:rPr>
              <w:t>固体废物治理</w:t>
            </w:r>
            <w:r>
              <w:rPr>
                <w:rFonts w:hint="default" w:ascii="Times New Roman" w:hAnsi="Times New Roman" w:eastAsia="宋体" w:cs="Times New Roman"/>
                <w:b w:val="0"/>
                <w:bCs w:val="0"/>
                <w:color w:val="auto"/>
                <w:sz w:val="24"/>
                <w:lang w:val="en-US" w:eastAsia="zh-CN"/>
              </w:rPr>
              <w:t>，</w:t>
            </w:r>
            <w:r>
              <w:rPr>
                <w:rFonts w:hint="default" w:ascii="Times New Roman" w:hAnsi="Times New Roman" w:eastAsia="宋体" w:cs="Times New Roman"/>
                <w:color w:val="auto"/>
                <w:sz w:val="24"/>
              </w:rPr>
              <w:t>属于鼓励类。因此，项目建设符合国家产业政策要求。</w:t>
            </w:r>
          </w:p>
          <w:p w14:paraId="5A3F324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项目于20</w:t>
            </w:r>
            <w:r>
              <w:rPr>
                <w:rFonts w:hint="default" w:ascii="Times New Roman" w:hAnsi="Times New Roman" w:eastAsia="宋体" w:cs="Times New Roman"/>
                <w:color w:val="auto"/>
                <w:sz w:val="24"/>
                <w:lang w:val="en-US" w:eastAsia="zh-CN"/>
              </w:rPr>
              <w:t>2</w:t>
            </w:r>
            <w:r>
              <w:rPr>
                <w:rFonts w:hint="eastAsia" w:cs="Times New Roman"/>
                <w:color w:val="auto"/>
                <w:sz w:val="24"/>
                <w:lang w:val="en-US" w:eastAsia="zh-CN"/>
              </w:rPr>
              <w:t>6</w:t>
            </w:r>
            <w:r>
              <w:rPr>
                <w:rFonts w:hint="default" w:ascii="Times New Roman" w:hAnsi="Times New Roman" w:eastAsia="宋体" w:cs="Times New Roman"/>
                <w:color w:val="auto"/>
                <w:sz w:val="24"/>
              </w:rPr>
              <w:t>年</w:t>
            </w:r>
            <w:r>
              <w:rPr>
                <w:rFonts w:hint="eastAsia" w:cs="Times New Roman"/>
                <w:color w:val="auto"/>
                <w:sz w:val="24"/>
                <w:lang w:val="en-US" w:eastAsia="zh-CN"/>
              </w:rPr>
              <w:t>4</w:t>
            </w:r>
            <w:r>
              <w:rPr>
                <w:rFonts w:hint="default" w:ascii="Times New Roman" w:hAnsi="Times New Roman" w:eastAsia="宋体" w:cs="Times New Roman"/>
                <w:color w:val="auto"/>
                <w:sz w:val="24"/>
              </w:rPr>
              <w:t>月</w:t>
            </w:r>
            <w:r>
              <w:rPr>
                <w:rFonts w:hint="eastAsia" w:cs="Times New Roman"/>
                <w:color w:val="auto"/>
                <w:sz w:val="24"/>
                <w:lang w:val="en-US" w:eastAsia="zh-CN"/>
              </w:rPr>
              <w:t>3</w:t>
            </w:r>
            <w:r>
              <w:rPr>
                <w:rFonts w:hint="default" w:ascii="Times New Roman" w:hAnsi="Times New Roman" w:eastAsia="宋体" w:cs="Times New Roman"/>
                <w:color w:val="auto"/>
                <w:sz w:val="24"/>
              </w:rPr>
              <w:t>日在</w:t>
            </w:r>
            <w:r>
              <w:rPr>
                <w:rFonts w:hint="eastAsia"/>
                <w:color w:val="auto"/>
                <w:sz w:val="24"/>
                <w:lang w:eastAsia="zh-CN"/>
              </w:rPr>
              <w:t>宿州市埇桥区发展和改革委员会</w:t>
            </w:r>
            <w:r>
              <w:rPr>
                <w:rFonts w:hint="default" w:ascii="Times New Roman" w:hAnsi="Times New Roman" w:eastAsia="宋体" w:cs="Times New Roman"/>
                <w:color w:val="auto"/>
                <w:sz w:val="24"/>
              </w:rPr>
              <w:t>备案，项目代码为：</w:t>
            </w:r>
            <w:r>
              <w:rPr>
                <w:rFonts w:hint="eastAsia"/>
                <w:color w:val="auto"/>
                <w:sz w:val="24"/>
              </w:rPr>
              <w:t>2604-341302-04-01-147046</w:t>
            </w:r>
            <w:r>
              <w:rPr>
                <w:rFonts w:hint="default" w:ascii="Times New Roman" w:hAnsi="Times New Roman" w:eastAsia="宋体" w:cs="Times New Roman"/>
                <w:color w:val="auto"/>
                <w:sz w:val="24"/>
              </w:rPr>
              <w:t>。因此，项目的建设符合地方的产业政策。</w:t>
            </w:r>
          </w:p>
          <w:p w14:paraId="58A5317F">
            <w:pPr>
              <w:keepNext/>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rPr>
            </w:pPr>
            <w:r>
              <w:rPr>
                <w:rFonts w:hint="default" w:ascii="Times New Roman" w:hAnsi="Times New Roman" w:eastAsia="宋体" w:cs="Times New Roman"/>
                <w:color w:val="auto"/>
                <w:sz w:val="24"/>
              </w:rPr>
              <w:t>综上所述，项目的</w:t>
            </w:r>
            <w:r>
              <w:rPr>
                <w:rFonts w:hint="default" w:ascii="Times New Roman" w:hAnsi="Times New Roman" w:eastAsia="宋体" w:cs="Times New Roman"/>
                <w:bCs/>
                <w:color w:val="auto"/>
                <w:kern w:val="0"/>
                <w:sz w:val="24"/>
              </w:rPr>
              <w:t>建设符合国家及地方的产业政策要求。</w:t>
            </w:r>
          </w:p>
          <w:p w14:paraId="502F4010">
            <w:pPr>
              <w:keepNext/>
              <w:keepLines/>
              <w:pageBreakBefore w:val="0"/>
              <w:widowControl w:val="0"/>
              <w:kinsoku/>
              <w:wordWrap/>
              <w:overflowPunct/>
              <w:topLinePunct w:val="0"/>
              <w:autoSpaceDE/>
              <w:autoSpaceDN/>
              <w:bidi w:val="0"/>
              <w:adjustRightInd w:val="0"/>
              <w:snapToGrid w:val="0"/>
              <w:spacing w:before="120" w:beforeLines="50" w:line="360" w:lineRule="auto"/>
              <w:ind w:firstLine="482" w:firstLineChars="200"/>
              <w:textAlignment w:val="auto"/>
              <w:rPr>
                <w:b/>
                <w:bCs/>
                <w:color w:val="auto"/>
                <w:sz w:val="24"/>
              </w:rPr>
            </w:pPr>
            <w:r>
              <w:rPr>
                <w:rFonts w:hint="eastAsia"/>
                <w:b/>
                <w:bCs/>
                <w:color w:val="auto"/>
                <w:sz w:val="24"/>
                <w:lang w:val="en-US" w:eastAsia="zh-CN"/>
              </w:rPr>
              <w:t>4</w:t>
            </w:r>
            <w:r>
              <w:rPr>
                <w:rFonts w:hint="eastAsia"/>
                <w:b/>
                <w:bCs/>
                <w:color w:val="auto"/>
                <w:sz w:val="24"/>
              </w:rPr>
              <w:t>、</w:t>
            </w:r>
            <w:r>
              <w:rPr>
                <w:b/>
                <w:bCs/>
                <w:color w:val="auto"/>
                <w:sz w:val="24"/>
              </w:rPr>
              <w:t>环境相容性分析</w:t>
            </w:r>
          </w:p>
          <w:p w14:paraId="666B1967">
            <w:pPr>
              <w:keepNext/>
              <w:keepLines/>
              <w:pageBreakBefore w:val="0"/>
              <w:widowControl w:val="0"/>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（1）选址合理性</w:t>
            </w:r>
          </w:p>
          <w:p w14:paraId="691751CC">
            <w:pPr>
              <w:pStyle w:val="51"/>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firstLine="480" w:firstLineChars="200"/>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rPr>
              <w:t>本项目所在地位于安徽省宿州市埇桥区顺河镇魏庄村魏武路北侧17号</w:t>
            </w:r>
            <w:r>
              <w:rPr>
                <w:rFonts w:hint="default" w:ascii="Times New Roman" w:hAnsi="Times New Roman" w:eastAsia="宋体" w:cs="Times New Roman"/>
                <w:b w:val="0"/>
                <w:bCs/>
                <w:color w:val="auto"/>
                <w:sz w:val="24"/>
                <w:highlight w:val="none"/>
                <w:u w:val="none"/>
                <w:lang w:val="en-US" w:eastAsia="zh-CN"/>
              </w:rPr>
              <w:t>，用</w:t>
            </w:r>
            <w:r>
              <w:rPr>
                <w:rFonts w:hint="default" w:ascii="Times New Roman" w:hAnsi="Times New Roman" w:eastAsia="宋体" w:cs="Times New Roman"/>
                <w:b w:val="0"/>
                <w:bCs/>
                <w:color w:val="auto"/>
                <w:sz w:val="24"/>
                <w:lang w:val="en-US" w:eastAsia="zh-CN"/>
              </w:rPr>
              <w:t>地性质为工业用地，建设内容与用地性质相符</w:t>
            </w:r>
            <w:r>
              <w:rPr>
                <w:rFonts w:hint="default" w:ascii="Times New Roman" w:hAnsi="Times New Roman" w:eastAsia="宋体" w:cs="Times New Roman"/>
                <w:b w:val="0"/>
                <w:bCs/>
                <w:color w:val="auto"/>
                <w:sz w:val="24"/>
                <w:szCs w:val="24"/>
                <w:lang w:eastAsia="zh-CN"/>
              </w:rPr>
              <w:t>。</w:t>
            </w:r>
          </w:p>
          <w:p w14:paraId="53FF40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lang w:val="en-US" w:eastAsia="zh-CN"/>
              </w:rPr>
            </w:pPr>
            <w:r>
              <w:rPr>
                <w:rFonts w:hint="default" w:ascii="Times New Roman" w:hAnsi="Times New Roman" w:eastAsia="宋体" w:cs="Times New Roman"/>
                <w:color w:val="auto"/>
                <w:sz w:val="24"/>
                <w:lang w:val="en-US" w:eastAsia="zh-CN"/>
              </w:rPr>
              <w:t>项目</w:t>
            </w:r>
            <w:r>
              <w:rPr>
                <w:rFonts w:hint="default" w:ascii="Times New Roman" w:hAnsi="Times New Roman" w:eastAsia="宋体" w:cs="Times New Roman"/>
                <w:color w:val="auto"/>
                <w:sz w:val="24"/>
                <w:szCs w:val="24"/>
                <w:highlight w:val="none"/>
                <w:lang w:val="en-US" w:eastAsia="zh-CN"/>
              </w:rPr>
              <w:t>厂区北侧为</w:t>
            </w:r>
            <w:r>
              <w:rPr>
                <w:rFonts w:hint="eastAsia" w:cs="Times New Roman"/>
                <w:color w:val="auto"/>
                <w:sz w:val="24"/>
                <w:szCs w:val="24"/>
                <w:lang w:eastAsia="zh-CN"/>
              </w:rPr>
              <w:t>空置土地（见附图</w:t>
            </w:r>
            <w:r>
              <w:rPr>
                <w:rFonts w:hint="eastAsia" w:cs="Times New Roman"/>
                <w:color w:val="auto"/>
                <w:sz w:val="24"/>
                <w:szCs w:val="24"/>
                <w:lang w:val="en-US" w:eastAsia="zh-CN"/>
              </w:rPr>
              <w:t>9</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周边环境对项目产生影响较小</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项目营运期间产生的废水、废气、噪声等采取合理有效的治理措施后，均可达标排放，对周围环境影响较小，固废能够合理处置因此，本项目选址符合区域规划要求且能够与周边环境相容，选址合理。</w:t>
            </w:r>
          </w:p>
        </w:tc>
      </w:tr>
    </w:tbl>
    <w:p w14:paraId="2118BCB4">
      <w:pPr>
        <w:tabs>
          <w:tab w:val="left" w:pos="558"/>
        </w:tabs>
        <w:jc w:val="left"/>
        <w:rPr>
          <w:color w:val="auto"/>
          <w:kern w:val="0"/>
        </w:rPr>
        <w:sectPr>
          <w:footerReference r:id="rId3" w:type="default"/>
          <w:pgSz w:w="11906" w:h="16838"/>
          <w:pgMar w:top="1440" w:right="1803" w:bottom="1440" w:left="1803" w:header="851" w:footer="1077" w:gutter="0"/>
          <w:cols w:space="720" w:num="1"/>
          <w:docGrid w:linePitch="312" w:charSpace="0"/>
        </w:sectPr>
      </w:pPr>
    </w:p>
    <w:p w14:paraId="51AE9A4C">
      <w:pPr>
        <w:pStyle w:val="26"/>
        <w:snapToGrid w:val="0"/>
        <w:spacing w:before="0" w:beforeAutospacing="0" w:after="0" w:afterAutospacing="0" w:line="360" w:lineRule="auto"/>
        <w:jc w:val="center"/>
        <w:outlineLvl w:val="0"/>
        <w:rPr>
          <w:rFonts w:cs="宋体"/>
          <w:b/>
          <w:bCs/>
          <w:color w:val="auto"/>
          <w:sz w:val="30"/>
          <w:szCs w:val="30"/>
        </w:rPr>
      </w:pPr>
      <w:r>
        <w:rPr>
          <w:rFonts w:hint="eastAsia" w:cs="宋体"/>
          <w:b/>
          <w:bCs/>
          <w:color w:val="auto"/>
          <w:sz w:val="30"/>
          <w:szCs w:val="30"/>
        </w:rPr>
        <w:t>二、建设项目工程分析</w:t>
      </w:r>
    </w:p>
    <w:tbl>
      <w:tblPr>
        <w:tblStyle w:val="29"/>
        <w:tblW w:w="899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39"/>
        <w:gridCol w:w="341"/>
        <w:gridCol w:w="227"/>
        <w:gridCol w:w="8184"/>
      </w:tblGrid>
      <w:tr w14:paraId="4E1264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138" w:hRule="atLeast"/>
          <w:jc w:val="center"/>
        </w:trPr>
        <w:tc>
          <w:tcPr>
            <w:tcW w:w="565" w:type="dxa"/>
            <w:gridSpan w:val="2"/>
            <w:tcBorders>
              <w:tl2br w:val="nil"/>
              <w:tr2bl w:val="nil"/>
            </w:tcBorders>
            <w:vAlign w:val="center"/>
          </w:tcPr>
          <w:p w14:paraId="12575B71">
            <w:pPr>
              <w:pStyle w:val="26"/>
              <w:adjustRightInd w:val="0"/>
              <w:snapToGrid w:val="0"/>
              <w:spacing w:before="0" w:beforeAutospacing="0" w:after="0" w:afterAutospacing="0"/>
              <w:jc w:val="center"/>
              <w:rPr>
                <w:rFonts w:cs="宋体"/>
                <w:color w:val="auto"/>
                <w:szCs w:val="24"/>
              </w:rPr>
            </w:pPr>
            <w:r>
              <w:rPr>
                <w:rFonts w:hint="eastAsia" w:cs="宋体"/>
                <w:color w:val="auto"/>
                <w:szCs w:val="24"/>
              </w:rPr>
              <w:t>建</w:t>
            </w:r>
          </w:p>
          <w:p w14:paraId="7FB6A5C2">
            <w:pPr>
              <w:pStyle w:val="26"/>
              <w:adjustRightInd w:val="0"/>
              <w:snapToGrid w:val="0"/>
              <w:spacing w:before="0" w:beforeAutospacing="0" w:after="0" w:afterAutospacing="0"/>
              <w:jc w:val="center"/>
              <w:rPr>
                <w:rFonts w:cs="宋体"/>
                <w:color w:val="auto"/>
                <w:szCs w:val="24"/>
              </w:rPr>
            </w:pPr>
            <w:r>
              <w:rPr>
                <w:rFonts w:hint="eastAsia" w:cs="宋体"/>
                <w:color w:val="auto"/>
                <w:szCs w:val="24"/>
              </w:rPr>
              <w:t>设</w:t>
            </w:r>
          </w:p>
          <w:p w14:paraId="69D5FEA8">
            <w:pPr>
              <w:pStyle w:val="26"/>
              <w:adjustRightInd w:val="0"/>
              <w:snapToGrid w:val="0"/>
              <w:spacing w:before="0" w:beforeAutospacing="0" w:after="0" w:afterAutospacing="0"/>
              <w:jc w:val="center"/>
              <w:rPr>
                <w:rFonts w:cs="宋体"/>
                <w:color w:val="auto"/>
                <w:szCs w:val="24"/>
              </w:rPr>
            </w:pPr>
            <w:r>
              <w:rPr>
                <w:rFonts w:hint="eastAsia" w:cs="宋体"/>
                <w:color w:val="auto"/>
                <w:szCs w:val="24"/>
              </w:rPr>
              <w:t>内</w:t>
            </w:r>
          </w:p>
          <w:p w14:paraId="13FFC301">
            <w:pPr>
              <w:pStyle w:val="26"/>
              <w:adjustRightInd w:val="0"/>
              <w:snapToGrid w:val="0"/>
              <w:spacing w:before="0" w:beforeAutospacing="0" w:after="0" w:afterAutospacing="0"/>
              <w:jc w:val="center"/>
              <w:rPr>
                <w:rFonts w:cs="宋体"/>
                <w:color w:val="auto"/>
                <w:szCs w:val="24"/>
              </w:rPr>
            </w:pPr>
            <w:r>
              <w:rPr>
                <w:rFonts w:hint="eastAsia" w:cs="宋体"/>
                <w:color w:val="auto"/>
                <w:szCs w:val="24"/>
              </w:rPr>
              <w:t>容</w:t>
            </w:r>
          </w:p>
        </w:tc>
        <w:tc>
          <w:tcPr>
            <w:tcW w:w="8196" w:type="dxa"/>
            <w:gridSpan w:val="2"/>
            <w:tcBorders>
              <w:tl2br w:val="nil"/>
              <w:tr2bl w:val="nil"/>
            </w:tcBorders>
          </w:tcPr>
          <w:p w14:paraId="5B0A46DB">
            <w:pPr>
              <w:adjustRightInd w:val="0"/>
              <w:snapToGrid w:val="0"/>
              <w:spacing w:before="120" w:beforeLines="50" w:line="360" w:lineRule="auto"/>
              <w:rPr>
                <w:b/>
                <w:bCs/>
                <w:color w:val="auto"/>
                <w:sz w:val="24"/>
              </w:rPr>
            </w:pPr>
            <w:r>
              <w:rPr>
                <w:rFonts w:hint="eastAsia"/>
                <w:b/>
                <w:bCs/>
                <w:color w:val="auto"/>
                <w:sz w:val="24"/>
              </w:rPr>
              <w:t>1、项目建设基本情况</w:t>
            </w:r>
          </w:p>
          <w:p w14:paraId="30EB9D1B">
            <w:pPr>
              <w:adjustRightInd w:val="0"/>
              <w:snapToGrid w:val="0"/>
              <w:spacing w:line="360" w:lineRule="auto"/>
              <w:ind w:firstLine="480" w:firstLineChars="200"/>
              <w:rPr>
                <w:color w:val="auto"/>
                <w:kern w:val="0"/>
                <w:sz w:val="24"/>
              </w:rPr>
            </w:pPr>
            <w:r>
              <w:rPr>
                <w:rFonts w:hint="eastAsia"/>
                <w:color w:val="auto"/>
                <w:kern w:val="0"/>
                <w:sz w:val="24"/>
              </w:rPr>
              <w:t>（1）项目由来</w:t>
            </w:r>
          </w:p>
          <w:p w14:paraId="54036E56">
            <w:pPr>
              <w:adjustRightInd w:val="0"/>
              <w:snapToGrid w:val="0"/>
              <w:spacing w:line="360" w:lineRule="auto"/>
              <w:ind w:firstLine="480" w:firstLineChars="200"/>
              <w:rPr>
                <w:rFonts w:hint="eastAsia" w:eastAsia="宋体"/>
                <w:color w:val="auto"/>
                <w:kern w:val="0"/>
                <w:sz w:val="24"/>
                <w:lang w:eastAsia="zh-CN"/>
              </w:rPr>
            </w:pPr>
            <w:r>
              <w:rPr>
                <w:rFonts w:hint="eastAsia"/>
                <w:color w:val="auto"/>
                <w:kern w:val="0"/>
                <w:sz w:val="24"/>
              </w:rPr>
              <w:t>项目占地面积约11000平方米，建筑面积10000平方米，规划建设生产区、原料区、产品区、办公区等，购置上料机、两仓配料斗、皮带输送机、搅拌机、粉碎机、分筛机等设备，配套建设供电、供水、环卫等公辅工程。项目拟分三期实施，一期项目建成后，具有年产</w:t>
            </w:r>
            <w:r>
              <w:rPr>
                <w:rFonts w:hint="eastAsia"/>
                <w:color w:val="auto"/>
                <w:kern w:val="0"/>
                <w:sz w:val="24"/>
                <w:lang w:eastAsia="zh-CN"/>
              </w:rPr>
              <w:t>建筑掺和料</w:t>
            </w:r>
            <w:r>
              <w:rPr>
                <w:rFonts w:hint="eastAsia"/>
                <w:color w:val="auto"/>
                <w:kern w:val="0"/>
                <w:sz w:val="24"/>
              </w:rPr>
              <w:t>15500吨、集料19276吨、</w:t>
            </w:r>
            <w:r>
              <w:rPr>
                <w:rFonts w:hint="eastAsia"/>
                <w:color w:val="auto"/>
                <w:kern w:val="0"/>
                <w:sz w:val="24"/>
                <w:lang w:eastAsia="zh-CN"/>
              </w:rPr>
              <w:t>土壤改良</w:t>
            </w:r>
            <w:r>
              <w:rPr>
                <w:rFonts w:hint="eastAsia"/>
                <w:color w:val="auto"/>
                <w:kern w:val="0"/>
                <w:sz w:val="24"/>
              </w:rPr>
              <w:t>土12540吨、绿化营养</w:t>
            </w:r>
            <w:r>
              <w:rPr>
                <w:rFonts w:hint="eastAsia"/>
                <w:color w:val="auto"/>
                <w:kern w:val="0"/>
                <w:sz w:val="24"/>
                <w:lang w:eastAsia="zh-CN"/>
              </w:rPr>
              <w:t>土</w:t>
            </w:r>
            <w:r>
              <w:rPr>
                <w:rFonts w:hint="eastAsia"/>
                <w:color w:val="auto"/>
                <w:kern w:val="0"/>
                <w:sz w:val="24"/>
              </w:rPr>
              <w:t>9020吨的生产能力。二期项目建成后新增固体基凝胶材料20万吨、高强高性能混凝土用矿物外加剂10万吨、蒸养混凝土制品掺合料10万吨、多源固废基凝胶材料20万吨的生产能力。三期项目建成后新增装配式墙板324万立方、装配式围墙126万立方的生产能力。</w:t>
            </w:r>
            <w:r>
              <w:rPr>
                <w:rFonts w:hint="eastAsia"/>
                <w:color w:val="auto"/>
                <w:kern w:val="0"/>
                <w:sz w:val="24"/>
                <w:lang w:eastAsia="zh-CN"/>
              </w:rPr>
              <w:t>本环评仅对一期项目进行评价。</w:t>
            </w:r>
          </w:p>
          <w:p w14:paraId="05E8FFE4">
            <w:pPr>
              <w:adjustRightInd w:val="0"/>
              <w:snapToGrid w:val="0"/>
              <w:spacing w:line="360" w:lineRule="auto"/>
              <w:ind w:firstLine="480" w:firstLineChars="200"/>
              <w:rPr>
                <w:color w:val="auto"/>
                <w:sz w:val="24"/>
              </w:rPr>
            </w:pPr>
            <w:r>
              <w:rPr>
                <w:rFonts w:hint="eastAsia"/>
                <w:color w:val="auto"/>
                <w:sz w:val="24"/>
              </w:rPr>
              <w:t>（2）环评报告类别确定</w:t>
            </w:r>
          </w:p>
          <w:p w14:paraId="78D91F2D">
            <w:pPr>
              <w:adjustRightInd w:val="0"/>
              <w:snapToGrid w:val="0"/>
              <w:spacing w:line="360" w:lineRule="auto"/>
              <w:ind w:firstLine="480" w:firstLineChars="200"/>
              <w:rPr>
                <w:rFonts w:hint="eastAsia" w:eastAsia="宋体"/>
                <w:color w:val="auto"/>
                <w:sz w:val="24"/>
                <w:lang w:val="en-US" w:eastAsia="zh-CN"/>
              </w:rPr>
            </w:pPr>
            <w:r>
              <w:rPr>
                <w:rFonts w:hint="eastAsia"/>
                <w:color w:val="auto"/>
                <w:sz w:val="24"/>
              </w:rPr>
              <w:t>根据《中华人民共和国环境保护法》、《中华人民共和国环境影响评价法》、《建设项目环境影响评价分类管理名录（2021 年版）》（生态环境部令第16号）中的有关规定，本项目土壤改良土</w:t>
            </w:r>
            <w:r>
              <w:rPr>
                <w:rFonts w:hint="eastAsia"/>
                <w:color w:val="auto"/>
                <w:sz w:val="24"/>
                <w:lang w:eastAsia="zh-CN"/>
              </w:rPr>
              <w:t>、绿化营养土</w:t>
            </w:r>
            <w:r>
              <w:rPr>
                <w:rFonts w:hint="eastAsia"/>
                <w:color w:val="auto"/>
                <w:sz w:val="24"/>
              </w:rPr>
              <w:t>属于</w:t>
            </w:r>
            <w:r>
              <w:rPr>
                <w:rFonts w:hint="eastAsia" w:ascii="Times New Roman" w:hAnsi="Times New Roman" w:eastAsia="宋体" w:cs="Times New Roman"/>
                <w:color w:val="auto"/>
                <w:sz w:val="24"/>
                <w:szCs w:val="24"/>
                <w:highlight w:val="none"/>
                <w:lang w:val="en-US" w:eastAsia="zh-CN"/>
              </w:rPr>
              <w:t>“四十七、生态保护和环境治理业-一般工业固体废物（含污水处理污泥）、建筑施工废弃物处置及综合利用”中“其他”</w:t>
            </w:r>
            <w:r>
              <w:rPr>
                <w:color w:val="auto"/>
                <w:sz w:val="24"/>
              </w:rPr>
              <w:t>，应</w:t>
            </w:r>
            <w:r>
              <w:rPr>
                <w:rFonts w:hint="eastAsia"/>
                <w:color w:val="auto"/>
                <w:sz w:val="24"/>
              </w:rPr>
              <w:t>当编制环境影响报告表。本项目</w:t>
            </w:r>
            <w:r>
              <w:rPr>
                <w:rFonts w:hint="eastAsia"/>
                <w:color w:val="auto"/>
                <w:sz w:val="24"/>
                <w:lang w:eastAsia="zh-CN"/>
              </w:rPr>
              <w:t>建筑掺和料、集料属于二十七、非金属矿物制品业 30</w:t>
            </w:r>
            <w:r>
              <w:rPr>
                <w:rFonts w:hint="eastAsia"/>
                <w:color w:val="auto"/>
                <w:sz w:val="24"/>
                <w:lang w:val="en-US" w:eastAsia="zh-CN"/>
              </w:rPr>
              <w:t xml:space="preserve">  56，其中砖瓦、石材等建筑材料制造 303 其他建筑材料制造，</w:t>
            </w:r>
            <w:r>
              <w:rPr>
                <w:color w:val="auto"/>
                <w:sz w:val="24"/>
              </w:rPr>
              <w:t>应</w:t>
            </w:r>
            <w:r>
              <w:rPr>
                <w:rFonts w:hint="eastAsia"/>
                <w:color w:val="auto"/>
                <w:sz w:val="24"/>
              </w:rPr>
              <w:t>当编制环境影响报告表。</w:t>
            </w:r>
            <w:r>
              <w:rPr>
                <w:rFonts w:hint="eastAsia"/>
                <w:color w:val="auto"/>
                <w:sz w:val="24"/>
                <w:lang w:eastAsia="zh-CN"/>
              </w:rPr>
              <w:t>详见下表：</w:t>
            </w:r>
          </w:p>
          <w:p w14:paraId="57FBBF63">
            <w:pPr>
              <w:widowControl/>
              <w:spacing w:line="360" w:lineRule="auto"/>
              <w:jc w:val="center"/>
              <w:rPr>
                <w:rFonts w:ascii="宋体" w:hAnsi="宋体" w:cs="宋体"/>
                <w:b/>
                <w:bCs/>
                <w:color w:val="auto"/>
                <w:kern w:val="0"/>
                <w:sz w:val="24"/>
                <w:lang w:bidi="ar"/>
              </w:rPr>
            </w:pPr>
            <w:r>
              <w:rPr>
                <w:rFonts w:hint="eastAsia"/>
                <w:b/>
                <w:bCs/>
                <w:color w:val="auto"/>
                <w:sz w:val="24"/>
              </w:rPr>
              <w:t>表</w:t>
            </w:r>
            <w:r>
              <w:rPr>
                <w:rFonts w:hint="eastAsia"/>
                <w:b/>
                <w:bCs/>
                <w:color w:val="auto"/>
                <w:sz w:val="24"/>
                <w:lang w:val="en-US" w:eastAsia="zh-CN"/>
              </w:rPr>
              <w:t>2.1</w:t>
            </w:r>
            <w:r>
              <w:rPr>
                <w:rFonts w:hint="eastAsia"/>
                <w:b/>
                <w:bCs/>
                <w:color w:val="auto"/>
                <w:sz w:val="24"/>
              </w:rPr>
              <w:t xml:space="preserve"> </w:t>
            </w:r>
            <w:r>
              <w:rPr>
                <w:rFonts w:hint="eastAsia" w:ascii="宋体" w:hAnsi="宋体" w:cs="宋体"/>
                <w:b/>
                <w:bCs/>
                <w:color w:val="auto"/>
                <w:kern w:val="0"/>
                <w:sz w:val="24"/>
                <w:lang w:bidi="ar"/>
              </w:rPr>
              <w:t>环评类别对照表</w:t>
            </w:r>
          </w:p>
          <w:tbl>
            <w:tblPr>
              <w:tblStyle w:val="30"/>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685"/>
              <w:gridCol w:w="2081"/>
              <w:gridCol w:w="1575"/>
              <w:gridCol w:w="984"/>
              <w:gridCol w:w="1206"/>
            </w:tblGrid>
            <w:tr w14:paraId="6B0C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9" w:type="dxa"/>
                  <w:gridSpan w:val="2"/>
                  <w:vMerge w:val="restart"/>
                  <w:vAlign w:val="center"/>
                </w:tcPr>
                <w:p w14:paraId="50A7E28D">
                  <w:pPr>
                    <w:jc w:val="center"/>
                    <w:rPr>
                      <w:color w:val="auto"/>
                      <w:sz w:val="21"/>
                      <w:szCs w:val="21"/>
                    </w:rPr>
                  </w:pPr>
                  <w:r>
                    <w:rPr>
                      <w:color w:val="auto"/>
                      <w:sz w:val="21"/>
                      <w:szCs w:val="21"/>
                    </w:rPr>
                    <w:t>项目类别</w:t>
                  </w:r>
                </w:p>
                <w:p w14:paraId="062002E3">
                  <w:pPr>
                    <w:pStyle w:val="17"/>
                    <w:spacing w:after="0"/>
                    <w:ind w:left="0" w:leftChars="0" w:firstLine="0"/>
                    <w:jc w:val="center"/>
                    <w:rPr>
                      <w:color w:val="auto"/>
                      <w:sz w:val="21"/>
                      <w:szCs w:val="21"/>
                    </w:rPr>
                  </w:pPr>
                  <w:r>
                    <w:rPr>
                      <w:color w:val="auto"/>
                      <w:sz w:val="21"/>
                      <w:szCs w:val="21"/>
                    </w:rPr>
                    <w:t>环评类别</w:t>
                  </w:r>
                </w:p>
              </w:tc>
              <w:tc>
                <w:tcPr>
                  <w:tcW w:w="4640" w:type="dxa"/>
                  <w:gridSpan w:val="3"/>
                  <w:vAlign w:val="center"/>
                </w:tcPr>
                <w:p w14:paraId="33F8E5D2">
                  <w:pPr>
                    <w:pStyle w:val="17"/>
                    <w:spacing w:after="0"/>
                    <w:ind w:left="0" w:leftChars="0" w:firstLine="0"/>
                    <w:jc w:val="center"/>
                    <w:rPr>
                      <w:color w:val="auto"/>
                      <w:sz w:val="21"/>
                      <w:szCs w:val="21"/>
                    </w:rPr>
                  </w:pPr>
                  <w:r>
                    <w:rPr>
                      <w:color w:val="auto"/>
                      <w:sz w:val="21"/>
                      <w:szCs w:val="21"/>
                    </w:rPr>
                    <w:t>环境影响评价类别</w:t>
                  </w:r>
                </w:p>
              </w:tc>
              <w:tc>
                <w:tcPr>
                  <w:tcW w:w="1206" w:type="dxa"/>
                  <w:vMerge w:val="restart"/>
                  <w:vAlign w:val="center"/>
                </w:tcPr>
                <w:p w14:paraId="3D365EF8">
                  <w:pPr>
                    <w:pStyle w:val="17"/>
                    <w:spacing w:after="0"/>
                    <w:ind w:left="0" w:leftChars="0" w:firstLine="0"/>
                    <w:jc w:val="center"/>
                    <w:rPr>
                      <w:color w:val="auto"/>
                      <w:sz w:val="21"/>
                      <w:szCs w:val="21"/>
                    </w:rPr>
                  </w:pPr>
                  <w:r>
                    <w:rPr>
                      <w:color w:val="auto"/>
                      <w:sz w:val="21"/>
                      <w:szCs w:val="21"/>
                    </w:rPr>
                    <w:t>项目环评类别判定</w:t>
                  </w:r>
                </w:p>
              </w:tc>
            </w:tr>
            <w:tr w14:paraId="5281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9" w:type="dxa"/>
                  <w:gridSpan w:val="2"/>
                  <w:vMerge w:val="continue"/>
                  <w:vAlign w:val="center"/>
                </w:tcPr>
                <w:p w14:paraId="615485F1">
                  <w:pPr>
                    <w:pStyle w:val="17"/>
                    <w:spacing w:after="0"/>
                    <w:ind w:left="0" w:leftChars="0" w:firstLine="0"/>
                    <w:jc w:val="center"/>
                    <w:rPr>
                      <w:color w:val="auto"/>
                      <w:sz w:val="21"/>
                      <w:szCs w:val="21"/>
                    </w:rPr>
                  </w:pPr>
                </w:p>
              </w:tc>
              <w:tc>
                <w:tcPr>
                  <w:tcW w:w="2081" w:type="dxa"/>
                  <w:vAlign w:val="center"/>
                </w:tcPr>
                <w:p w14:paraId="2583864E">
                  <w:pPr>
                    <w:pStyle w:val="17"/>
                    <w:spacing w:after="0"/>
                    <w:ind w:left="0" w:leftChars="0" w:firstLine="0"/>
                    <w:jc w:val="center"/>
                    <w:rPr>
                      <w:color w:val="auto"/>
                      <w:sz w:val="21"/>
                      <w:szCs w:val="21"/>
                    </w:rPr>
                  </w:pPr>
                  <w:r>
                    <w:rPr>
                      <w:color w:val="auto"/>
                      <w:sz w:val="21"/>
                      <w:szCs w:val="21"/>
                    </w:rPr>
                    <w:t>报告书</w:t>
                  </w:r>
                </w:p>
              </w:tc>
              <w:tc>
                <w:tcPr>
                  <w:tcW w:w="1575" w:type="dxa"/>
                  <w:vAlign w:val="center"/>
                </w:tcPr>
                <w:p w14:paraId="12CFBFEF">
                  <w:pPr>
                    <w:pStyle w:val="17"/>
                    <w:spacing w:after="0"/>
                    <w:ind w:left="0" w:leftChars="0" w:firstLine="0"/>
                    <w:jc w:val="center"/>
                    <w:rPr>
                      <w:color w:val="auto"/>
                      <w:sz w:val="21"/>
                      <w:szCs w:val="21"/>
                    </w:rPr>
                  </w:pPr>
                  <w:r>
                    <w:rPr>
                      <w:color w:val="auto"/>
                      <w:sz w:val="21"/>
                      <w:szCs w:val="21"/>
                    </w:rPr>
                    <w:t>报告表</w:t>
                  </w:r>
                </w:p>
              </w:tc>
              <w:tc>
                <w:tcPr>
                  <w:tcW w:w="984" w:type="dxa"/>
                  <w:vAlign w:val="center"/>
                </w:tcPr>
                <w:p w14:paraId="40B38F32">
                  <w:pPr>
                    <w:pStyle w:val="17"/>
                    <w:spacing w:after="0"/>
                    <w:ind w:left="0" w:leftChars="0" w:firstLine="0"/>
                    <w:jc w:val="center"/>
                    <w:rPr>
                      <w:color w:val="auto"/>
                      <w:sz w:val="21"/>
                      <w:szCs w:val="21"/>
                    </w:rPr>
                  </w:pPr>
                  <w:r>
                    <w:rPr>
                      <w:color w:val="auto"/>
                      <w:sz w:val="21"/>
                      <w:szCs w:val="21"/>
                    </w:rPr>
                    <w:t>登记表</w:t>
                  </w:r>
                </w:p>
              </w:tc>
              <w:tc>
                <w:tcPr>
                  <w:tcW w:w="1206" w:type="dxa"/>
                  <w:vMerge w:val="continue"/>
                  <w:vAlign w:val="center"/>
                </w:tcPr>
                <w:p w14:paraId="0A58A0CC">
                  <w:pPr>
                    <w:pStyle w:val="17"/>
                    <w:spacing w:after="0"/>
                    <w:ind w:left="0" w:leftChars="0" w:firstLine="0"/>
                    <w:jc w:val="center"/>
                    <w:rPr>
                      <w:color w:val="auto"/>
                      <w:sz w:val="21"/>
                      <w:szCs w:val="21"/>
                    </w:rPr>
                  </w:pPr>
                </w:p>
              </w:tc>
            </w:tr>
            <w:tr w14:paraId="5514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5" w:type="dxa"/>
                  <w:gridSpan w:val="6"/>
                  <w:vAlign w:val="center"/>
                </w:tcPr>
                <w:p w14:paraId="7400ABBA">
                  <w:pPr>
                    <w:widowControl/>
                    <w:jc w:val="center"/>
                    <w:rPr>
                      <w:b/>
                      <w:bCs/>
                      <w:color w:val="auto"/>
                      <w:sz w:val="21"/>
                      <w:szCs w:val="21"/>
                    </w:rPr>
                  </w:pPr>
                  <w:r>
                    <w:rPr>
                      <w:b w:val="0"/>
                      <w:bCs w:val="0"/>
                      <w:color w:val="auto"/>
                      <w:sz w:val="21"/>
                      <w:szCs w:val="21"/>
                    </w:rPr>
                    <w:t>四十七、生态保护和环境治理业</w:t>
                  </w:r>
                </w:p>
              </w:tc>
            </w:tr>
            <w:tr w14:paraId="3BA9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4" w:type="dxa"/>
                  <w:vAlign w:val="center"/>
                </w:tcPr>
                <w:p w14:paraId="30FFF6AF">
                  <w:pPr>
                    <w:widowControl/>
                    <w:jc w:val="center"/>
                    <w:rPr>
                      <w:rFonts w:hint="default" w:eastAsia="宋体"/>
                      <w:color w:val="auto"/>
                      <w:sz w:val="21"/>
                      <w:szCs w:val="21"/>
                      <w:lang w:val="en-US" w:eastAsia="zh-CN"/>
                    </w:rPr>
                  </w:pPr>
                  <w:r>
                    <w:rPr>
                      <w:rFonts w:hint="eastAsia"/>
                      <w:color w:val="auto"/>
                      <w:kern w:val="0"/>
                      <w:sz w:val="21"/>
                      <w:szCs w:val="21"/>
                      <w:lang w:val="en-US" w:eastAsia="zh-CN" w:bidi="ar"/>
                    </w:rPr>
                    <w:t>103</w:t>
                  </w:r>
                </w:p>
              </w:tc>
              <w:tc>
                <w:tcPr>
                  <w:tcW w:w="1685" w:type="dxa"/>
                  <w:vAlign w:val="center"/>
                </w:tcPr>
                <w:p w14:paraId="7A3C7932">
                  <w:pPr>
                    <w:widowControl/>
                    <w:jc w:val="center"/>
                    <w:rPr>
                      <w:color w:val="auto"/>
                      <w:sz w:val="21"/>
                      <w:szCs w:val="21"/>
                    </w:rPr>
                  </w:pPr>
                  <w:r>
                    <w:rPr>
                      <w:rFonts w:hint="eastAsia"/>
                      <w:color w:val="auto"/>
                      <w:sz w:val="21"/>
                      <w:szCs w:val="21"/>
                      <w:lang w:val="en-US" w:eastAsia="zh-CN"/>
                    </w:rPr>
                    <w:t>一般工业固体废物（含污水处理污泥）、建筑施工废弃物处置及综合利用</w:t>
                  </w:r>
                </w:p>
              </w:tc>
              <w:tc>
                <w:tcPr>
                  <w:tcW w:w="2081" w:type="dxa"/>
                  <w:vAlign w:val="center"/>
                </w:tcPr>
                <w:p w14:paraId="70F2C496">
                  <w:pPr>
                    <w:keepNext w:val="0"/>
                    <w:keepLines w:val="0"/>
                    <w:widowControl/>
                    <w:suppressLineNumbers w:val="0"/>
                    <w:jc w:val="center"/>
                    <w:rPr>
                      <w:color w:val="auto"/>
                      <w:sz w:val="21"/>
                      <w:szCs w:val="21"/>
                    </w:rPr>
                  </w:pPr>
                  <w:r>
                    <w:rPr>
                      <w:rFonts w:hint="eastAsia" w:ascii="宋体" w:hAnsi="宋体" w:eastAsia="宋体" w:cs="宋体"/>
                      <w:color w:val="auto"/>
                      <w:kern w:val="0"/>
                      <w:sz w:val="21"/>
                      <w:szCs w:val="21"/>
                      <w:lang w:val="en-US" w:eastAsia="zh-CN" w:bidi="ar"/>
                    </w:rPr>
                    <w:t>一般工业固体废物（含污水处理污泥）采取填埋、焚烧（水泥窑协同处置的改造项目除外）方式的</w:t>
                  </w:r>
                </w:p>
              </w:tc>
              <w:tc>
                <w:tcPr>
                  <w:tcW w:w="1575" w:type="dxa"/>
                  <w:vAlign w:val="center"/>
                </w:tcPr>
                <w:p w14:paraId="3FF63A59">
                  <w:pPr>
                    <w:widowControl/>
                    <w:jc w:val="center"/>
                    <w:rPr>
                      <w:rFonts w:hint="eastAsia" w:eastAsia="宋体"/>
                      <w:color w:val="auto"/>
                      <w:sz w:val="21"/>
                      <w:szCs w:val="21"/>
                      <w:highlight w:val="lightGray"/>
                      <w:lang w:eastAsia="zh-CN"/>
                    </w:rPr>
                  </w:pPr>
                  <w:r>
                    <w:rPr>
                      <w:rFonts w:hint="eastAsia"/>
                      <w:color w:val="auto"/>
                      <w:kern w:val="0"/>
                      <w:sz w:val="21"/>
                      <w:szCs w:val="21"/>
                      <w:lang w:eastAsia="zh-CN" w:bidi="ar"/>
                    </w:rPr>
                    <w:t>其他</w:t>
                  </w:r>
                </w:p>
              </w:tc>
              <w:tc>
                <w:tcPr>
                  <w:tcW w:w="984" w:type="dxa"/>
                  <w:vAlign w:val="center"/>
                </w:tcPr>
                <w:p w14:paraId="32977507">
                  <w:pPr>
                    <w:pStyle w:val="17"/>
                    <w:spacing w:after="0"/>
                    <w:ind w:left="0" w:leftChars="0" w:firstLine="0"/>
                    <w:jc w:val="center"/>
                    <w:rPr>
                      <w:color w:val="auto"/>
                      <w:sz w:val="21"/>
                      <w:szCs w:val="21"/>
                    </w:rPr>
                  </w:pPr>
                  <w:r>
                    <w:rPr>
                      <w:color w:val="auto"/>
                      <w:sz w:val="21"/>
                      <w:szCs w:val="21"/>
                    </w:rPr>
                    <w:t>/</w:t>
                  </w:r>
                </w:p>
              </w:tc>
              <w:tc>
                <w:tcPr>
                  <w:tcW w:w="1206" w:type="dxa"/>
                  <w:vAlign w:val="center"/>
                </w:tcPr>
                <w:p w14:paraId="572F6369">
                  <w:pPr>
                    <w:pStyle w:val="17"/>
                    <w:spacing w:after="0"/>
                    <w:ind w:left="0" w:leftChars="0" w:firstLine="0"/>
                    <w:jc w:val="center"/>
                    <w:rPr>
                      <w:b/>
                      <w:bCs/>
                      <w:color w:val="auto"/>
                      <w:sz w:val="21"/>
                      <w:szCs w:val="21"/>
                    </w:rPr>
                  </w:pPr>
                  <w:r>
                    <w:rPr>
                      <w:color w:val="auto"/>
                      <w:sz w:val="21"/>
                      <w:szCs w:val="21"/>
                      <w:lang w:bidi="ar"/>
                    </w:rPr>
                    <w:t>报告表</w:t>
                  </w:r>
                </w:p>
              </w:tc>
            </w:tr>
            <w:tr w14:paraId="1F8A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5" w:type="dxa"/>
                  <w:gridSpan w:val="6"/>
                  <w:vAlign w:val="center"/>
                </w:tcPr>
                <w:p w14:paraId="3FD2B1DC">
                  <w:pPr>
                    <w:pStyle w:val="17"/>
                    <w:spacing w:after="0"/>
                    <w:ind w:left="0" w:leftChars="0" w:firstLine="0"/>
                    <w:jc w:val="center"/>
                    <w:rPr>
                      <w:color w:val="auto"/>
                      <w:sz w:val="21"/>
                      <w:szCs w:val="21"/>
                      <w:lang w:bidi="ar"/>
                    </w:rPr>
                  </w:pPr>
                  <w:r>
                    <w:rPr>
                      <w:rFonts w:hint="eastAsia"/>
                      <w:color w:val="auto"/>
                      <w:sz w:val="21"/>
                      <w:szCs w:val="21"/>
                      <w:lang w:bidi="ar"/>
                    </w:rPr>
                    <w:t>二十七、非金属矿物制品业 30</w:t>
                  </w:r>
                </w:p>
              </w:tc>
            </w:tr>
            <w:tr w14:paraId="1CCD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4" w:type="dxa"/>
                  <w:vAlign w:val="center"/>
                </w:tcPr>
                <w:p w14:paraId="458F1528">
                  <w:pPr>
                    <w:widowControl/>
                    <w:jc w:val="center"/>
                    <w:rPr>
                      <w:rFonts w:hint="default"/>
                      <w:color w:val="auto"/>
                      <w:kern w:val="0"/>
                      <w:sz w:val="21"/>
                      <w:szCs w:val="21"/>
                      <w:lang w:val="en-US" w:eastAsia="zh-CN" w:bidi="ar"/>
                    </w:rPr>
                  </w:pPr>
                  <w:r>
                    <w:rPr>
                      <w:rFonts w:hint="eastAsia"/>
                      <w:color w:val="auto"/>
                      <w:kern w:val="0"/>
                      <w:sz w:val="21"/>
                      <w:szCs w:val="21"/>
                      <w:lang w:val="en-US" w:eastAsia="zh-CN" w:bidi="ar"/>
                    </w:rPr>
                    <w:t>56</w:t>
                  </w:r>
                </w:p>
              </w:tc>
              <w:tc>
                <w:tcPr>
                  <w:tcW w:w="1685" w:type="dxa"/>
                  <w:vAlign w:val="center"/>
                </w:tcPr>
                <w:p w14:paraId="3B67EF87">
                  <w:pPr>
                    <w:widowControl/>
                    <w:jc w:val="center"/>
                    <w:rPr>
                      <w:rFonts w:hint="eastAsia"/>
                      <w:color w:val="auto"/>
                      <w:sz w:val="21"/>
                      <w:szCs w:val="21"/>
                      <w:lang w:val="en-US" w:eastAsia="zh-CN"/>
                    </w:rPr>
                  </w:pPr>
                  <w:r>
                    <w:rPr>
                      <w:rFonts w:hint="eastAsia"/>
                      <w:color w:val="auto"/>
                      <w:sz w:val="21"/>
                      <w:szCs w:val="21"/>
                      <w:lang w:val="en-US" w:eastAsia="zh-CN"/>
                    </w:rPr>
                    <w:t>砖瓦、石材等建筑材料制造 303</w:t>
                  </w:r>
                </w:p>
              </w:tc>
              <w:tc>
                <w:tcPr>
                  <w:tcW w:w="2081" w:type="dxa"/>
                  <w:vAlign w:val="center"/>
                </w:tcPr>
                <w:p w14:paraId="44638132">
                  <w:pPr>
                    <w:keepNext w:val="0"/>
                    <w:keepLines w:val="0"/>
                    <w:widowControl/>
                    <w:suppressLineNumbers w:val="0"/>
                    <w:jc w:val="center"/>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w:t>
                  </w:r>
                </w:p>
              </w:tc>
              <w:tc>
                <w:tcPr>
                  <w:tcW w:w="1575" w:type="dxa"/>
                  <w:vAlign w:val="center"/>
                </w:tcPr>
                <w:p w14:paraId="68435119">
                  <w:pPr>
                    <w:widowControl/>
                    <w:jc w:val="center"/>
                    <w:rPr>
                      <w:rFonts w:hint="eastAsia"/>
                      <w:color w:val="auto"/>
                      <w:kern w:val="0"/>
                      <w:sz w:val="21"/>
                      <w:szCs w:val="21"/>
                      <w:lang w:eastAsia="zh-CN" w:bidi="ar"/>
                    </w:rPr>
                  </w:pPr>
                  <w:r>
                    <w:rPr>
                      <w:rFonts w:hint="eastAsia"/>
                      <w:color w:val="auto"/>
                      <w:kern w:val="0"/>
                      <w:sz w:val="21"/>
                      <w:szCs w:val="21"/>
                      <w:lang w:eastAsia="zh-CN" w:bidi="ar"/>
                    </w:rPr>
                    <w:t>粘土砖瓦及建筑砌块制造；建筑用石加工；防水建筑材料制</w:t>
                  </w:r>
                </w:p>
                <w:p w14:paraId="68613D0D">
                  <w:pPr>
                    <w:widowControl/>
                    <w:jc w:val="center"/>
                    <w:rPr>
                      <w:rFonts w:hint="eastAsia"/>
                      <w:color w:val="auto"/>
                      <w:kern w:val="0"/>
                      <w:sz w:val="21"/>
                      <w:szCs w:val="21"/>
                      <w:lang w:eastAsia="zh-CN" w:bidi="ar"/>
                    </w:rPr>
                  </w:pPr>
                  <w:r>
                    <w:rPr>
                      <w:rFonts w:hint="eastAsia"/>
                      <w:color w:val="auto"/>
                      <w:kern w:val="0"/>
                      <w:sz w:val="21"/>
                      <w:szCs w:val="21"/>
                      <w:lang w:eastAsia="zh-CN" w:bidi="ar"/>
                    </w:rPr>
                    <w:t>造；隔热、隔音材料制造；其他建筑材料制造（含干粉砂浆搅拌站）以上均不含利用石材板材切割、打磨、成型的</w:t>
                  </w:r>
                </w:p>
              </w:tc>
              <w:tc>
                <w:tcPr>
                  <w:tcW w:w="984" w:type="dxa"/>
                  <w:vAlign w:val="center"/>
                </w:tcPr>
                <w:p w14:paraId="66E897D5">
                  <w:pPr>
                    <w:pStyle w:val="17"/>
                    <w:spacing w:after="0"/>
                    <w:ind w:left="0" w:leftChars="0" w:firstLine="0"/>
                    <w:jc w:val="center"/>
                    <w:rPr>
                      <w:rFonts w:hint="eastAsia" w:eastAsia="宋体"/>
                      <w:color w:val="auto"/>
                      <w:sz w:val="21"/>
                      <w:szCs w:val="21"/>
                      <w:lang w:val="en-US" w:eastAsia="zh-CN"/>
                    </w:rPr>
                  </w:pPr>
                  <w:r>
                    <w:rPr>
                      <w:rFonts w:hint="eastAsia"/>
                      <w:color w:val="auto"/>
                      <w:sz w:val="21"/>
                      <w:szCs w:val="21"/>
                      <w:lang w:val="en-US" w:eastAsia="zh-CN"/>
                    </w:rPr>
                    <w:t>/</w:t>
                  </w:r>
                </w:p>
              </w:tc>
              <w:tc>
                <w:tcPr>
                  <w:tcW w:w="1206" w:type="dxa"/>
                  <w:vAlign w:val="center"/>
                </w:tcPr>
                <w:p w14:paraId="39660E67">
                  <w:pPr>
                    <w:pStyle w:val="17"/>
                    <w:spacing w:after="0"/>
                    <w:ind w:left="0" w:leftChars="0" w:firstLine="0"/>
                    <w:jc w:val="center"/>
                    <w:rPr>
                      <w:color w:val="auto"/>
                      <w:sz w:val="21"/>
                      <w:szCs w:val="21"/>
                      <w:lang w:bidi="ar"/>
                    </w:rPr>
                  </w:pPr>
                  <w:r>
                    <w:rPr>
                      <w:color w:val="auto"/>
                      <w:sz w:val="21"/>
                      <w:szCs w:val="21"/>
                      <w:lang w:bidi="ar"/>
                    </w:rPr>
                    <w:t>报告表</w:t>
                  </w:r>
                </w:p>
              </w:tc>
            </w:tr>
          </w:tbl>
          <w:p w14:paraId="767EEE3B">
            <w:pPr>
              <w:autoSpaceDE w:val="0"/>
              <w:autoSpaceDN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（3）排污许可证分类管理类别判定：</w:t>
            </w:r>
          </w:p>
          <w:p w14:paraId="3611E18B">
            <w:pPr>
              <w:autoSpaceDE w:val="0"/>
              <w:autoSpaceDN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对照《固定污染源排污许可分类管理名录（2019年版）》，本项目判定如下：</w:t>
            </w:r>
          </w:p>
          <w:p w14:paraId="1D5DE2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spacing w:val="0"/>
                <w:sz w:val="24"/>
                <w:szCs w:val="24"/>
                <w:lang w:eastAsia="zh-CN"/>
              </w:rPr>
              <w:t>表</w:t>
            </w:r>
            <w:r>
              <w:rPr>
                <w:rFonts w:hint="eastAsia" w:cs="Times New Roman"/>
                <w:b/>
                <w:bCs/>
                <w:color w:val="auto"/>
                <w:spacing w:val="0"/>
                <w:sz w:val="24"/>
                <w:szCs w:val="24"/>
                <w:lang w:val="en-US" w:eastAsia="zh-CN"/>
              </w:rPr>
              <w:t xml:space="preserve">2.2 </w:t>
            </w:r>
            <w:r>
              <w:rPr>
                <w:rFonts w:hint="default" w:ascii="Times New Roman" w:hAnsi="Times New Roman" w:eastAsia="宋体" w:cs="Times New Roman"/>
                <w:b/>
                <w:bCs/>
                <w:color w:val="auto"/>
                <w:spacing w:val="0"/>
                <w:sz w:val="24"/>
                <w:szCs w:val="24"/>
                <w:lang w:val="en-US" w:eastAsia="zh-CN"/>
              </w:rPr>
              <w:t xml:space="preserve"> 固定污染源排污许可证分类管理名录（2019 年版）</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130"/>
              <w:gridCol w:w="1638"/>
              <w:gridCol w:w="2647"/>
              <w:gridCol w:w="940"/>
              <w:gridCol w:w="1218"/>
            </w:tblGrid>
            <w:tr w14:paraId="6675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2" w:type="pct"/>
                  <w:gridSpan w:val="2"/>
                  <w:vMerge w:val="restart"/>
                  <w:noWrap w:val="0"/>
                  <w:vAlign w:val="center"/>
                </w:tcPr>
                <w:p w14:paraId="630B5A9D">
                  <w:pPr>
                    <w:keepNext w:val="0"/>
                    <w:keepLines w:val="0"/>
                    <w:pageBreakBefore w:val="0"/>
                    <w:kinsoku/>
                    <w:wordWrap/>
                    <w:overflowPunct/>
                    <w:topLinePunct w:val="0"/>
                    <w:autoSpaceDE/>
                    <w:autoSpaceDN/>
                    <w:bidi w:val="0"/>
                    <w:ind w:firstLineChars="0"/>
                    <w:jc w:val="center"/>
                    <w:textAlignment w:val="auto"/>
                    <w:rPr>
                      <w:color w:val="auto"/>
                      <w:sz w:val="21"/>
                      <w:szCs w:val="21"/>
                    </w:rPr>
                  </w:pPr>
                  <w:r>
                    <w:rPr>
                      <w:color w:val="auto"/>
                      <w:sz w:val="21"/>
                      <w:szCs w:val="21"/>
                    </w:rPr>
                    <w:t>项目类别</w:t>
                  </w:r>
                </w:p>
                <w:p w14:paraId="18FBC575">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color w:val="auto"/>
                      <w:sz w:val="21"/>
                      <w:szCs w:val="21"/>
                    </w:rPr>
                  </w:pPr>
                  <w:r>
                    <w:rPr>
                      <w:color w:val="auto"/>
                      <w:sz w:val="21"/>
                      <w:szCs w:val="21"/>
                    </w:rPr>
                    <w:t>排污许可类别</w:t>
                  </w:r>
                </w:p>
              </w:tc>
              <w:tc>
                <w:tcPr>
                  <w:tcW w:w="3193" w:type="pct"/>
                  <w:gridSpan w:val="3"/>
                  <w:noWrap w:val="0"/>
                  <w:vAlign w:val="center"/>
                </w:tcPr>
                <w:p w14:paraId="53F026ED">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color w:val="auto"/>
                      <w:sz w:val="21"/>
                      <w:szCs w:val="21"/>
                    </w:rPr>
                  </w:pPr>
                  <w:r>
                    <w:rPr>
                      <w:color w:val="auto"/>
                      <w:sz w:val="21"/>
                      <w:szCs w:val="21"/>
                    </w:rPr>
                    <w:t>排污许可类别</w:t>
                  </w:r>
                </w:p>
              </w:tc>
              <w:tc>
                <w:tcPr>
                  <w:tcW w:w="744" w:type="pct"/>
                  <w:vMerge w:val="restart"/>
                  <w:noWrap w:val="0"/>
                  <w:vAlign w:val="center"/>
                </w:tcPr>
                <w:p w14:paraId="4A083733">
                  <w:pPr>
                    <w:keepNext w:val="0"/>
                    <w:keepLines w:val="0"/>
                    <w:pageBreakBefore w:val="0"/>
                    <w:widowControl/>
                    <w:kinsoku/>
                    <w:wordWrap/>
                    <w:overflowPunct/>
                    <w:topLinePunct w:val="0"/>
                    <w:autoSpaceDE/>
                    <w:autoSpaceDN/>
                    <w:bidi w:val="0"/>
                    <w:adjustRightInd w:val="0"/>
                    <w:snapToGrid w:val="0"/>
                    <w:ind w:firstLineChars="0"/>
                    <w:jc w:val="center"/>
                    <w:textAlignment w:val="auto"/>
                    <w:rPr>
                      <w:color w:val="auto"/>
                      <w:kern w:val="0"/>
                      <w:sz w:val="21"/>
                      <w:szCs w:val="21"/>
                    </w:rPr>
                  </w:pPr>
                  <w:r>
                    <w:rPr>
                      <w:rFonts w:hint="eastAsia"/>
                      <w:color w:val="auto"/>
                      <w:kern w:val="0"/>
                      <w:sz w:val="21"/>
                      <w:szCs w:val="21"/>
                    </w:rPr>
                    <w:t>排污许可</w:t>
                  </w:r>
                </w:p>
                <w:p w14:paraId="29C92904">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color w:val="auto"/>
                      <w:sz w:val="21"/>
                      <w:szCs w:val="21"/>
                    </w:rPr>
                  </w:pPr>
                  <w:r>
                    <w:rPr>
                      <w:rFonts w:hint="eastAsia"/>
                      <w:color w:val="auto"/>
                      <w:sz w:val="21"/>
                      <w:szCs w:val="21"/>
                    </w:rPr>
                    <w:t>管理类别</w:t>
                  </w:r>
                </w:p>
              </w:tc>
            </w:tr>
            <w:tr w14:paraId="4883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2" w:type="pct"/>
                  <w:gridSpan w:val="2"/>
                  <w:vMerge w:val="continue"/>
                  <w:noWrap w:val="0"/>
                  <w:vAlign w:val="center"/>
                </w:tcPr>
                <w:p w14:paraId="764C99FA">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color w:val="auto"/>
                      <w:sz w:val="21"/>
                      <w:szCs w:val="21"/>
                    </w:rPr>
                  </w:pPr>
                </w:p>
              </w:tc>
              <w:tc>
                <w:tcPr>
                  <w:tcW w:w="1001" w:type="pct"/>
                  <w:noWrap w:val="0"/>
                  <w:vAlign w:val="center"/>
                </w:tcPr>
                <w:p w14:paraId="43C937EE">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color w:val="auto"/>
                      <w:sz w:val="21"/>
                      <w:szCs w:val="21"/>
                    </w:rPr>
                  </w:pPr>
                  <w:r>
                    <w:rPr>
                      <w:rFonts w:hint="eastAsia"/>
                      <w:color w:val="auto"/>
                      <w:sz w:val="21"/>
                      <w:szCs w:val="21"/>
                    </w:rPr>
                    <w:t>重点</w:t>
                  </w:r>
                </w:p>
              </w:tc>
              <w:tc>
                <w:tcPr>
                  <w:tcW w:w="1617" w:type="pct"/>
                  <w:noWrap w:val="0"/>
                  <w:vAlign w:val="center"/>
                </w:tcPr>
                <w:p w14:paraId="4EA131CA">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color w:val="auto"/>
                      <w:sz w:val="21"/>
                      <w:szCs w:val="21"/>
                    </w:rPr>
                  </w:pPr>
                  <w:r>
                    <w:rPr>
                      <w:rFonts w:hint="eastAsia"/>
                      <w:color w:val="auto"/>
                      <w:sz w:val="21"/>
                      <w:szCs w:val="21"/>
                    </w:rPr>
                    <w:t>简化</w:t>
                  </w:r>
                </w:p>
              </w:tc>
              <w:tc>
                <w:tcPr>
                  <w:tcW w:w="574" w:type="pct"/>
                  <w:noWrap w:val="0"/>
                  <w:vAlign w:val="center"/>
                </w:tcPr>
                <w:p w14:paraId="17F0C4E8">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color w:val="auto"/>
                      <w:sz w:val="21"/>
                      <w:szCs w:val="21"/>
                    </w:rPr>
                  </w:pPr>
                  <w:r>
                    <w:rPr>
                      <w:color w:val="auto"/>
                      <w:sz w:val="21"/>
                      <w:szCs w:val="21"/>
                    </w:rPr>
                    <w:t>登记</w:t>
                  </w:r>
                </w:p>
              </w:tc>
              <w:tc>
                <w:tcPr>
                  <w:tcW w:w="744" w:type="pct"/>
                  <w:vMerge w:val="continue"/>
                  <w:noWrap w:val="0"/>
                  <w:vAlign w:val="center"/>
                </w:tcPr>
                <w:p w14:paraId="104B5180">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color w:val="auto"/>
                      <w:sz w:val="21"/>
                      <w:szCs w:val="21"/>
                    </w:rPr>
                  </w:pPr>
                </w:p>
              </w:tc>
            </w:tr>
            <w:tr w14:paraId="2A4A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000" w:type="pct"/>
                  <w:gridSpan w:val="6"/>
                  <w:noWrap w:val="0"/>
                  <w:vAlign w:val="center"/>
                </w:tcPr>
                <w:p w14:paraId="5ABAE26B">
                  <w:pPr>
                    <w:keepNext w:val="0"/>
                    <w:keepLines w:val="0"/>
                    <w:pageBreakBefore w:val="0"/>
                    <w:widowControl/>
                    <w:kinsoku/>
                    <w:wordWrap/>
                    <w:overflowPunct/>
                    <w:topLinePunct w:val="0"/>
                    <w:autoSpaceDE/>
                    <w:autoSpaceDN/>
                    <w:bidi w:val="0"/>
                    <w:ind w:firstLineChars="0"/>
                    <w:jc w:val="center"/>
                    <w:textAlignment w:val="auto"/>
                    <w:rPr>
                      <w:rFonts w:hint="default" w:eastAsia="宋体"/>
                      <w:color w:val="auto"/>
                      <w:sz w:val="21"/>
                      <w:szCs w:val="21"/>
                      <w:lang w:val="en-US" w:eastAsia="zh-CN"/>
                    </w:rPr>
                  </w:pPr>
                  <w:r>
                    <w:rPr>
                      <w:rFonts w:hint="default" w:ascii="Times New Roman" w:hAnsi="Times New Roman" w:eastAsia="宋体" w:cs="Times New Roman"/>
                      <w:b w:val="0"/>
                      <w:bCs/>
                      <w:color w:val="auto"/>
                      <w:spacing w:val="0"/>
                      <w:sz w:val="21"/>
                      <w:szCs w:val="21"/>
                      <w:lang w:val="en-US" w:eastAsia="zh-CN"/>
                    </w:rPr>
                    <w:t>四十五、生态保护和环境治理业 77</w:t>
                  </w:r>
                </w:p>
              </w:tc>
            </w:tr>
            <w:tr w14:paraId="7235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noWrap w:val="0"/>
                  <w:vAlign w:val="center"/>
                </w:tcPr>
                <w:p w14:paraId="26AF0946">
                  <w:pPr>
                    <w:keepNext w:val="0"/>
                    <w:keepLines w:val="0"/>
                    <w:pageBreakBefore w:val="0"/>
                    <w:widowControl/>
                    <w:kinsoku/>
                    <w:wordWrap/>
                    <w:overflowPunct/>
                    <w:topLinePunct w:val="0"/>
                    <w:autoSpaceDE/>
                    <w:autoSpaceDN/>
                    <w:bidi w:val="0"/>
                    <w:ind w:firstLineChars="0"/>
                    <w:jc w:val="center"/>
                    <w:textAlignment w:val="auto"/>
                    <w:rPr>
                      <w:rFonts w:hint="default" w:eastAsia="宋体"/>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103</w:t>
                  </w:r>
                </w:p>
              </w:tc>
              <w:tc>
                <w:tcPr>
                  <w:tcW w:w="690" w:type="pct"/>
                  <w:noWrap w:val="0"/>
                  <w:vAlign w:val="center"/>
                </w:tcPr>
                <w:p w14:paraId="49A4294C">
                  <w:pPr>
                    <w:keepNext w:val="0"/>
                    <w:keepLines w:val="0"/>
                    <w:pageBreakBefore w:val="0"/>
                    <w:widowControl/>
                    <w:kinsoku/>
                    <w:wordWrap/>
                    <w:overflowPunct/>
                    <w:topLinePunct w:val="0"/>
                    <w:autoSpaceDE/>
                    <w:autoSpaceDN/>
                    <w:bidi w:val="0"/>
                    <w:ind w:firstLineChars="0"/>
                    <w:jc w:val="center"/>
                    <w:textAlignment w:val="auto"/>
                    <w:rPr>
                      <w:color w:val="auto"/>
                      <w:sz w:val="21"/>
                      <w:szCs w:val="21"/>
                    </w:rPr>
                  </w:pPr>
                  <w:r>
                    <w:rPr>
                      <w:rFonts w:hint="eastAsia" w:ascii="Times New Roman" w:hAnsi="Times New Roman" w:eastAsia="宋体" w:cs="Times New Roman"/>
                      <w:color w:val="auto"/>
                      <w:spacing w:val="0"/>
                      <w:kern w:val="2"/>
                      <w:sz w:val="21"/>
                      <w:szCs w:val="21"/>
                      <w:vertAlign w:val="baseline"/>
                      <w:lang w:val="en-US" w:eastAsia="zh-CN" w:bidi="ar-SA"/>
                    </w:rPr>
                    <w:t>环境治理业772</w:t>
                  </w:r>
                </w:p>
              </w:tc>
              <w:tc>
                <w:tcPr>
                  <w:tcW w:w="1001" w:type="pct"/>
                  <w:noWrap w:val="0"/>
                  <w:vAlign w:val="center"/>
                </w:tcPr>
                <w:p w14:paraId="12345F9B">
                  <w:pPr>
                    <w:keepNext w:val="0"/>
                    <w:keepLines w:val="0"/>
                    <w:pageBreakBefore w:val="0"/>
                    <w:widowControl/>
                    <w:kinsoku/>
                    <w:wordWrap/>
                    <w:overflowPunct/>
                    <w:topLinePunct w:val="0"/>
                    <w:autoSpaceDE/>
                    <w:autoSpaceDN/>
                    <w:bidi w:val="0"/>
                    <w:ind w:firstLineChars="0"/>
                    <w:jc w:val="both"/>
                    <w:textAlignment w:val="auto"/>
                    <w:rPr>
                      <w:color w:val="auto"/>
                      <w:sz w:val="21"/>
                      <w:szCs w:val="21"/>
                    </w:rPr>
                  </w:pPr>
                  <w:r>
                    <w:rPr>
                      <w:rFonts w:hint="eastAsia" w:ascii="Times New Roman" w:hAnsi="Times New Roman" w:eastAsia="宋体" w:cs="Times New Roman"/>
                      <w:color w:val="auto"/>
                      <w:spacing w:val="0"/>
                      <w:kern w:val="2"/>
                      <w:sz w:val="21"/>
                      <w:szCs w:val="21"/>
                      <w:vertAlign w:val="baseline"/>
                      <w:lang w:val="en-US" w:eastAsia="zh-CN" w:bidi="ar-SA"/>
                    </w:rPr>
                    <w:t>专业从事危险废物贮存、利用、处理、处置（含焚烧发电）的，专业从事一般工业固体废物贮存、处置（含焚烧发电）的</w:t>
                  </w:r>
                </w:p>
              </w:tc>
              <w:tc>
                <w:tcPr>
                  <w:tcW w:w="1617" w:type="pct"/>
                  <w:noWrap w:val="0"/>
                  <w:vAlign w:val="center"/>
                </w:tcPr>
                <w:p w14:paraId="490E7AAD">
                  <w:pPr>
                    <w:keepNext w:val="0"/>
                    <w:keepLines w:val="0"/>
                    <w:pageBreakBefore w:val="0"/>
                    <w:widowControl/>
                    <w:kinsoku/>
                    <w:wordWrap/>
                    <w:overflowPunct/>
                    <w:topLinePunct w:val="0"/>
                    <w:autoSpaceDE/>
                    <w:autoSpaceDN/>
                    <w:bidi w:val="0"/>
                    <w:adjustRightInd w:val="0"/>
                    <w:snapToGrid w:val="0"/>
                    <w:ind w:firstLineChars="0"/>
                    <w:jc w:val="center"/>
                    <w:textAlignment w:val="auto"/>
                    <w:rPr>
                      <w:color w:val="auto"/>
                      <w:sz w:val="21"/>
                      <w:szCs w:val="21"/>
                      <w:highlight w:val="lightGray"/>
                    </w:rPr>
                  </w:pPr>
                  <w:r>
                    <w:rPr>
                      <w:rFonts w:hint="eastAsia" w:ascii="Times New Roman" w:hAnsi="Times New Roman" w:eastAsia="宋体" w:cs="Times New Roman"/>
                      <w:b w:val="0"/>
                      <w:bCs/>
                      <w:color w:val="auto"/>
                      <w:spacing w:val="0"/>
                      <w:sz w:val="21"/>
                      <w:szCs w:val="21"/>
                      <w:lang w:val="en-US" w:eastAsia="zh-CN"/>
                    </w:rPr>
                    <w:t>/</w:t>
                  </w:r>
                </w:p>
              </w:tc>
              <w:tc>
                <w:tcPr>
                  <w:tcW w:w="574" w:type="pct"/>
                  <w:noWrap w:val="0"/>
                  <w:vAlign w:val="center"/>
                </w:tcPr>
                <w:p w14:paraId="47D654BF">
                  <w:pPr>
                    <w:keepNext w:val="0"/>
                    <w:keepLines w:val="0"/>
                    <w:pageBreakBefore w:val="0"/>
                    <w:kinsoku/>
                    <w:wordWrap/>
                    <w:overflowPunct/>
                    <w:topLinePunct w:val="0"/>
                    <w:autoSpaceDE/>
                    <w:autoSpaceDN/>
                    <w:bidi w:val="0"/>
                    <w:spacing w:after="0"/>
                    <w:ind w:left="0" w:leftChars="0" w:firstLine="0" w:firstLineChars="0"/>
                    <w:jc w:val="center"/>
                    <w:textAlignment w:val="auto"/>
                    <w:rPr>
                      <w:color w:val="auto"/>
                      <w:sz w:val="21"/>
                      <w:szCs w:val="21"/>
                    </w:rPr>
                  </w:pPr>
                  <w:r>
                    <w:rPr>
                      <w:rFonts w:hint="eastAsia" w:ascii="Times New Roman" w:hAnsi="Times New Roman" w:eastAsia="宋体" w:cs="Times New Roman"/>
                      <w:b w:val="0"/>
                      <w:bCs/>
                      <w:color w:val="auto"/>
                      <w:spacing w:val="0"/>
                      <w:sz w:val="21"/>
                      <w:szCs w:val="21"/>
                      <w:lang w:val="en-US" w:eastAsia="zh-CN"/>
                    </w:rPr>
                    <w:t>/</w:t>
                  </w:r>
                </w:p>
              </w:tc>
              <w:tc>
                <w:tcPr>
                  <w:tcW w:w="744" w:type="pct"/>
                  <w:noWrap w:val="0"/>
                  <w:vAlign w:val="center"/>
                </w:tcPr>
                <w:p w14:paraId="08DD9C46">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rFonts w:hint="default" w:eastAsia="宋体"/>
                      <w:color w:val="auto"/>
                      <w:sz w:val="21"/>
                      <w:szCs w:val="21"/>
                      <w:lang w:val="en-US" w:eastAsia="zh-CN"/>
                    </w:rPr>
                  </w:pPr>
                  <w:r>
                    <w:rPr>
                      <w:rFonts w:hint="eastAsia" w:ascii="Times New Roman" w:hAnsi="Times New Roman" w:eastAsia="宋体" w:cs="Times New Roman"/>
                      <w:b w:val="0"/>
                      <w:bCs/>
                      <w:color w:val="auto"/>
                      <w:spacing w:val="0"/>
                      <w:sz w:val="21"/>
                      <w:szCs w:val="21"/>
                      <w:lang w:val="en-US" w:eastAsia="zh-CN"/>
                    </w:rPr>
                    <w:t>/</w:t>
                  </w:r>
                </w:p>
              </w:tc>
            </w:tr>
            <w:tr w14:paraId="5B5D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14:paraId="675139C8">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rFonts w:hint="eastAsia" w:ascii="Times New Roman" w:hAnsi="Times New Roman" w:eastAsia="宋体" w:cs="Times New Roman"/>
                      <w:b w:val="0"/>
                      <w:bCs/>
                      <w:color w:val="auto"/>
                      <w:spacing w:val="0"/>
                      <w:sz w:val="21"/>
                      <w:szCs w:val="21"/>
                      <w:lang w:val="en-US" w:eastAsia="zh-CN"/>
                    </w:rPr>
                  </w:pPr>
                  <w:r>
                    <w:rPr>
                      <w:rFonts w:hint="eastAsia" w:ascii="Times New Roman" w:hAnsi="Times New Roman" w:eastAsia="宋体" w:cs="Times New Roman"/>
                      <w:b w:val="0"/>
                      <w:bCs/>
                      <w:color w:val="auto"/>
                      <w:spacing w:val="0"/>
                      <w:sz w:val="21"/>
                      <w:szCs w:val="21"/>
                      <w:lang w:val="en-US" w:eastAsia="zh-CN"/>
                    </w:rPr>
                    <w:t>二十五、非金属矿物制品业 30</w:t>
                  </w:r>
                </w:p>
              </w:tc>
            </w:tr>
            <w:tr w14:paraId="6D42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noWrap w:val="0"/>
                  <w:vAlign w:val="center"/>
                </w:tcPr>
                <w:p w14:paraId="2364B183">
                  <w:pPr>
                    <w:keepNext w:val="0"/>
                    <w:keepLines w:val="0"/>
                    <w:pageBreakBefore w:val="0"/>
                    <w:widowControl/>
                    <w:kinsoku/>
                    <w:wordWrap/>
                    <w:overflowPunct/>
                    <w:topLinePunct w:val="0"/>
                    <w:autoSpaceDE/>
                    <w:autoSpaceDN/>
                    <w:bidi w:val="0"/>
                    <w:ind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64</w:t>
                  </w:r>
                </w:p>
              </w:tc>
              <w:tc>
                <w:tcPr>
                  <w:tcW w:w="690" w:type="pct"/>
                  <w:noWrap w:val="0"/>
                  <w:vAlign w:val="center"/>
                </w:tcPr>
                <w:p w14:paraId="40BB12C0">
                  <w:pPr>
                    <w:keepNext w:val="0"/>
                    <w:keepLines w:val="0"/>
                    <w:pageBreakBefore w:val="0"/>
                    <w:widowControl/>
                    <w:kinsoku/>
                    <w:wordWrap/>
                    <w:overflowPunct/>
                    <w:topLinePunct w:val="0"/>
                    <w:autoSpaceDE/>
                    <w:autoSpaceDN/>
                    <w:bidi w:val="0"/>
                    <w:ind w:firstLineChars="0"/>
                    <w:jc w:val="center"/>
                    <w:textAlignment w:val="auto"/>
                    <w:rPr>
                      <w:rFonts w:hint="eastAsia" w:ascii="Times New Roman" w:hAnsi="Times New Roman" w:eastAsia="宋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kern w:val="2"/>
                      <w:sz w:val="21"/>
                      <w:szCs w:val="21"/>
                      <w:vertAlign w:val="baseline"/>
                      <w:lang w:val="en-US" w:eastAsia="zh-CN" w:bidi="ar-SA"/>
                    </w:rPr>
                    <w:t>砖瓦、石材等建筑材料制造303</w:t>
                  </w:r>
                </w:p>
              </w:tc>
              <w:tc>
                <w:tcPr>
                  <w:tcW w:w="1001" w:type="pct"/>
                  <w:noWrap w:val="0"/>
                  <w:vAlign w:val="center"/>
                </w:tcPr>
                <w:p w14:paraId="7DD20B7F">
                  <w:pPr>
                    <w:keepNext w:val="0"/>
                    <w:keepLines w:val="0"/>
                    <w:pageBreakBefore w:val="0"/>
                    <w:widowControl/>
                    <w:kinsoku/>
                    <w:wordWrap/>
                    <w:overflowPunct/>
                    <w:topLinePunct w:val="0"/>
                    <w:autoSpaceDE/>
                    <w:autoSpaceDN/>
                    <w:bidi w:val="0"/>
                    <w:ind w:firstLineChars="0"/>
                    <w:jc w:val="both"/>
                    <w:textAlignment w:val="auto"/>
                    <w:rPr>
                      <w:rFonts w:hint="eastAsia" w:ascii="Times New Roman" w:hAnsi="Times New Roman" w:eastAsia="宋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kern w:val="2"/>
                      <w:sz w:val="21"/>
                      <w:szCs w:val="21"/>
                      <w:vertAlign w:val="baseline"/>
                      <w:lang w:val="en-US" w:eastAsia="zh-CN" w:bidi="ar-SA"/>
                    </w:rPr>
                    <w:t>粘土砖瓦及建筑砌块制造3031（以煤或者煤矸石为燃料的烧结砖瓦）</w:t>
                  </w:r>
                </w:p>
              </w:tc>
              <w:tc>
                <w:tcPr>
                  <w:tcW w:w="1617" w:type="pct"/>
                  <w:noWrap w:val="0"/>
                  <w:vAlign w:val="center"/>
                </w:tcPr>
                <w:p w14:paraId="1D61729F">
                  <w:pPr>
                    <w:keepNext w:val="0"/>
                    <w:keepLines w:val="0"/>
                    <w:pageBreakBefore w:val="0"/>
                    <w:widowControl/>
                    <w:kinsoku/>
                    <w:wordWrap/>
                    <w:overflowPunct/>
                    <w:topLinePunct w:val="0"/>
                    <w:autoSpaceDE/>
                    <w:autoSpaceDN/>
                    <w:bidi w:val="0"/>
                    <w:adjustRightInd w:val="0"/>
                    <w:snapToGrid w:val="0"/>
                    <w:ind w:firstLineChars="0"/>
                    <w:jc w:val="center"/>
                    <w:textAlignment w:val="auto"/>
                    <w:rPr>
                      <w:rFonts w:hint="eastAsia" w:ascii="Times New Roman" w:hAnsi="Times New Roman" w:eastAsia="宋体" w:cs="Times New Roman"/>
                      <w:b w:val="0"/>
                      <w:bCs/>
                      <w:color w:val="auto"/>
                      <w:spacing w:val="0"/>
                      <w:sz w:val="21"/>
                      <w:szCs w:val="21"/>
                      <w:lang w:val="en-US" w:eastAsia="zh-CN"/>
                    </w:rPr>
                  </w:pPr>
                  <w:r>
                    <w:rPr>
                      <w:rFonts w:hint="eastAsia" w:ascii="Times New Roman" w:hAnsi="Times New Roman" w:eastAsia="宋体" w:cs="Times New Roman"/>
                      <w:b w:val="0"/>
                      <w:bCs/>
                      <w:color w:val="auto"/>
                      <w:spacing w:val="0"/>
                      <w:sz w:val="21"/>
                      <w:szCs w:val="21"/>
                      <w:lang w:val="en-US" w:eastAsia="zh-CN"/>
                    </w:rPr>
                    <w:t>粘土砖瓦及建筑砌块制造 3031（除以煤或者煤矸石为燃料的烧结砖瓦以外的），建筑用石加工3032，防</w:t>
                  </w:r>
                </w:p>
                <w:p w14:paraId="7751C39F">
                  <w:pPr>
                    <w:keepNext w:val="0"/>
                    <w:keepLines w:val="0"/>
                    <w:pageBreakBefore w:val="0"/>
                    <w:widowControl/>
                    <w:kinsoku/>
                    <w:wordWrap/>
                    <w:overflowPunct/>
                    <w:topLinePunct w:val="0"/>
                    <w:autoSpaceDE/>
                    <w:autoSpaceDN/>
                    <w:bidi w:val="0"/>
                    <w:adjustRightInd w:val="0"/>
                    <w:snapToGrid w:val="0"/>
                    <w:ind w:firstLineChars="0"/>
                    <w:jc w:val="center"/>
                    <w:textAlignment w:val="auto"/>
                    <w:rPr>
                      <w:rFonts w:hint="eastAsia" w:ascii="Times New Roman" w:hAnsi="Times New Roman" w:eastAsia="宋体" w:cs="Times New Roman"/>
                      <w:b w:val="0"/>
                      <w:bCs/>
                      <w:color w:val="auto"/>
                      <w:spacing w:val="0"/>
                      <w:sz w:val="21"/>
                      <w:szCs w:val="21"/>
                      <w:lang w:val="en-US" w:eastAsia="zh-CN"/>
                    </w:rPr>
                  </w:pPr>
                  <w:r>
                    <w:rPr>
                      <w:rFonts w:hint="eastAsia" w:ascii="Times New Roman" w:hAnsi="Times New Roman" w:eastAsia="宋体" w:cs="Times New Roman"/>
                      <w:b w:val="0"/>
                      <w:bCs/>
                      <w:color w:val="auto"/>
                      <w:spacing w:val="0"/>
                      <w:sz w:val="21"/>
                      <w:szCs w:val="21"/>
                      <w:lang w:val="en-US" w:eastAsia="zh-CN"/>
                    </w:rPr>
                    <w:t>水建筑材料制造3033，隔热和隔音材料制造3034，其他建筑材料制造3039，以上均不含仅切割加工的</w:t>
                  </w:r>
                </w:p>
              </w:tc>
              <w:tc>
                <w:tcPr>
                  <w:tcW w:w="574" w:type="pct"/>
                  <w:noWrap w:val="0"/>
                  <w:vAlign w:val="center"/>
                </w:tcPr>
                <w:p w14:paraId="21F6F534">
                  <w:pPr>
                    <w:keepNext w:val="0"/>
                    <w:keepLines w:val="0"/>
                    <w:pageBreakBefore w:val="0"/>
                    <w:kinsoku/>
                    <w:wordWrap/>
                    <w:overflowPunct/>
                    <w:topLinePunct w:val="0"/>
                    <w:autoSpaceDE/>
                    <w:autoSpaceDN/>
                    <w:bidi w:val="0"/>
                    <w:spacing w:after="0"/>
                    <w:ind w:left="0" w:leftChars="0" w:firstLine="0" w:firstLineChars="0"/>
                    <w:jc w:val="center"/>
                    <w:textAlignment w:val="auto"/>
                    <w:rPr>
                      <w:rFonts w:hint="eastAsia" w:ascii="Times New Roman" w:hAnsi="Times New Roman" w:eastAsia="宋体" w:cs="Times New Roman"/>
                      <w:b w:val="0"/>
                      <w:bCs/>
                      <w:color w:val="auto"/>
                      <w:spacing w:val="0"/>
                      <w:sz w:val="21"/>
                      <w:szCs w:val="21"/>
                      <w:lang w:val="en-US" w:eastAsia="zh-CN"/>
                    </w:rPr>
                  </w:pPr>
                  <w:r>
                    <w:rPr>
                      <w:rFonts w:hint="eastAsia" w:ascii="Times New Roman" w:hAnsi="Times New Roman" w:eastAsia="宋体" w:cs="Times New Roman"/>
                      <w:b w:val="0"/>
                      <w:bCs/>
                      <w:color w:val="auto"/>
                      <w:spacing w:val="0"/>
                      <w:sz w:val="21"/>
                      <w:szCs w:val="21"/>
                      <w:lang w:val="en-US" w:eastAsia="zh-CN"/>
                    </w:rPr>
                    <w:t>仅切割加工的</w:t>
                  </w:r>
                </w:p>
              </w:tc>
              <w:tc>
                <w:tcPr>
                  <w:tcW w:w="744" w:type="pct"/>
                  <w:noWrap w:val="0"/>
                  <w:vAlign w:val="center"/>
                </w:tcPr>
                <w:p w14:paraId="2F859283">
                  <w:pPr>
                    <w:pStyle w:val="17"/>
                    <w:keepNext w:val="0"/>
                    <w:keepLines w:val="0"/>
                    <w:pageBreakBefore w:val="0"/>
                    <w:kinsoku/>
                    <w:wordWrap/>
                    <w:overflowPunct/>
                    <w:topLinePunct w:val="0"/>
                    <w:autoSpaceDE/>
                    <w:autoSpaceDN/>
                    <w:bidi w:val="0"/>
                    <w:spacing w:after="0"/>
                    <w:ind w:left="0" w:leftChars="0" w:firstLine="0" w:firstLineChars="0"/>
                    <w:jc w:val="center"/>
                    <w:textAlignment w:val="auto"/>
                    <w:rPr>
                      <w:rFonts w:hint="eastAsia" w:ascii="Times New Roman" w:hAnsi="Times New Roman" w:eastAsia="宋体" w:cs="Times New Roman"/>
                      <w:b w:val="0"/>
                      <w:bCs/>
                      <w:color w:val="auto"/>
                      <w:spacing w:val="0"/>
                      <w:sz w:val="21"/>
                      <w:szCs w:val="21"/>
                      <w:lang w:val="en-US" w:eastAsia="zh-CN"/>
                    </w:rPr>
                  </w:pPr>
                  <w:r>
                    <w:rPr>
                      <w:rFonts w:hint="eastAsia" w:cs="Times New Roman"/>
                      <w:b w:val="0"/>
                      <w:bCs/>
                      <w:color w:val="auto"/>
                      <w:spacing w:val="0"/>
                      <w:sz w:val="21"/>
                      <w:szCs w:val="21"/>
                      <w:lang w:val="en-US" w:eastAsia="zh-CN"/>
                    </w:rPr>
                    <w:t>简化</w:t>
                  </w:r>
                </w:p>
              </w:tc>
            </w:tr>
          </w:tbl>
          <w:p w14:paraId="6AFA2224">
            <w:pPr>
              <w:adjustRightInd w:val="0"/>
              <w:snapToGrid w:val="0"/>
              <w:spacing w:before="120" w:beforeLines="50" w:line="360" w:lineRule="auto"/>
              <w:rPr>
                <w:b/>
                <w:bCs/>
                <w:color w:val="auto"/>
                <w:kern w:val="0"/>
                <w:sz w:val="24"/>
              </w:rPr>
            </w:pPr>
            <w:r>
              <w:rPr>
                <w:rFonts w:hint="eastAsia"/>
                <w:b/>
                <w:bCs/>
                <w:color w:val="auto"/>
                <w:kern w:val="0"/>
                <w:sz w:val="24"/>
              </w:rPr>
              <w:t>2、项目建设基本情况</w:t>
            </w:r>
          </w:p>
          <w:p w14:paraId="53C1AFE2">
            <w:pPr>
              <w:pStyle w:val="11"/>
              <w:spacing w:line="360" w:lineRule="auto"/>
              <w:ind w:firstLine="480" w:firstLineChars="200"/>
              <w:rPr>
                <w:color w:val="auto"/>
                <w:kern w:val="0"/>
                <w:sz w:val="24"/>
              </w:rPr>
            </w:pPr>
            <w:r>
              <w:rPr>
                <w:color w:val="auto"/>
                <w:sz w:val="24"/>
              </w:rPr>
              <w:t>项目建设地点位于</w:t>
            </w:r>
            <w:r>
              <w:rPr>
                <w:rFonts w:hint="default" w:ascii="Times New Roman" w:hAnsi="Times New Roman" w:eastAsia="宋体" w:cs="Times New Roman"/>
                <w:sz w:val="24"/>
                <w:szCs w:val="24"/>
                <w:lang w:eastAsia="zh-CN"/>
              </w:rPr>
              <w:t>安徽省宿州市埇桥区</w:t>
            </w:r>
            <w:r>
              <w:rPr>
                <w:rFonts w:hint="default" w:ascii="Times New Roman" w:hAnsi="Times New Roman" w:eastAsia="宋体" w:cs="Times New Roman"/>
                <w:sz w:val="24"/>
                <w:szCs w:val="24"/>
              </w:rPr>
              <w:t>顺河镇魏庄村魏武路北侧17号</w:t>
            </w:r>
            <w:r>
              <w:rPr>
                <w:color w:val="auto"/>
                <w:sz w:val="24"/>
              </w:rPr>
              <w:t>，</w:t>
            </w:r>
            <w:r>
              <w:rPr>
                <w:rFonts w:hint="eastAsia"/>
                <w:color w:val="auto"/>
                <w:sz w:val="24"/>
                <w:lang w:eastAsia="zh-CN"/>
              </w:rPr>
              <w:t>租赁厂房</w:t>
            </w:r>
            <w:r>
              <w:rPr>
                <w:rFonts w:hint="eastAsia"/>
                <w:color w:val="auto"/>
                <w:sz w:val="24"/>
              </w:rPr>
              <w:t>，</w:t>
            </w:r>
            <w:r>
              <w:rPr>
                <w:color w:val="auto"/>
                <w:sz w:val="24"/>
              </w:rPr>
              <w:t>购置</w:t>
            </w:r>
            <w:r>
              <w:rPr>
                <w:rFonts w:hint="eastAsia"/>
                <w:color w:val="auto"/>
                <w:sz w:val="24"/>
                <w:lang w:eastAsia="zh-CN"/>
              </w:rPr>
              <w:t>上料机、两仓配料斗、皮带输送机、搅拌机、粉碎机、分筛机</w:t>
            </w:r>
            <w:r>
              <w:rPr>
                <w:color w:val="auto"/>
                <w:sz w:val="24"/>
              </w:rPr>
              <w:t>等设备，</w:t>
            </w:r>
            <w:r>
              <w:rPr>
                <w:rFonts w:hint="eastAsia"/>
                <w:color w:val="auto"/>
                <w:sz w:val="24"/>
                <w:lang w:eastAsia="zh-CN"/>
              </w:rPr>
              <w:t>配套</w:t>
            </w:r>
            <w:r>
              <w:rPr>
                <w:color w:val="auto"/>
                <w:sz w:val="24"/>
              </w:rPr>
              <w:t>供电、供水、环卫等公辅工程。项目建成后可</w:t>
            </w:r>
            <w:r>
              <w:rPr>
                <w:rFonts w:hint="eastAsia"/>
                <w:color w:val="auto"/>
                <w:sz w:val="24"/>
              </w:rPr>
              <w:t>达到</w:t>
            </w:r>
            <w:r>
              <w:rPr>
                <w:rFonts w:hint="eastAsia"/>
                <w:color w:val="auto"/>
                <w:sz w:val="24"/>
                <w:lang w:eastAsia="zh-CN"/>
              </w:rPr>
              <w:t>年新增建筑掺和料</w:t>
            </w:r>
            <w:r>
              <w:rPr>
                <w:rFonts w:hint="eastAsia"/>
                <w:color w:val="auto"/>
                <w:sz w:val="24"/>
                <w:lang w:val="en-US" w:eastAsia="zh-CN"/>
              </w:rPr>
              <w:t>15500吨、集料19276吨、土壤改良土12540吨、绿化营养土9020吨的生产能力</w:t>
            </w:r>
            <w:r>
              <w:rPr>
                <w:color w:val="auto"/>
                <w:sz w:val="24"/>
              </w:rPr>
              <w:t>。</w:t>
            </w:r>
          </w:p>
          <w:p w14:paraId="660492D9">
            <w:pPr>
              <w:adjustRightInd w:val="0"/>
              <w:snapToGrid w:val="0"/>
              <w:spacing w:line="360" w:lineRule="auto"/>
              <w:ind w:firstLine="480" w:firstLineChars="200"/>
              <w:rPr>
                <w:color w:val="auto"/>
                <w:kern w:val="0"/>
                <w:sz w:val="24"/>
              </w:rPr>
            </w:pPr>
            <w:r>
              <w:rPr>
                <w:color w:val="auto"/>
                <w:kern w:val="0"/>
                <w:sz w:val="24"/>
              </w:rPr>
              <w:t>项目建设内容一览表见表</w:t>
            </w:r>
            <w:r>
              <w:rPr>
                <w:rFonts w:hint="eastAsia"/>
                <w:color w:val="auto"/>
                <w:kern w:val="0"/>
                <w:sz w:val="24"/>
                <w:lang w:val="en-US" w:eastAsia="zh-CN"/>
              </w:rPr>
              <w:t>2.3</w:t>
            </w:r>
            <w:r>
              <w:rPr>
                <w:color w:val="auto"/>
                <w:kern w:val="0"/>
                <w:sz w:val="24"/>
              </w:rPr>
              <w:t>。</w:t>
            </w:r>
          </w:p>
          <w:p w14:paraId="00943093">
            <w:pPr>
              <w:adjustRightInd w:val="0"/>
              <w:snapToGrid w:val="0"/>
              <w:spacing w:line="360" w:lineRule="auto"/>
              <w:jc w:val="center"/>
              <w:rPr>
                <w:b/>
                <w:bCs/>
                <w:color w:val="auto"/>
                <w:kern w:val="0"/>
                <w:sz w:val="24"/>
              </w:rPr>
            </w:pPr>
            <w:r>
              <w:rPr>
                <w:b/>
                <w:bCs/>
                <w:color w:val="auto"/>
                <w:kern w:val="0"/>
                <w:sz w:val="24"/>
              </w:rPr>
              <w:t>表</w:t>
            </w:r>
            <w:r>
              <w:rPr>
                <w:rFonts w:hint="eastAsia"/>
                <w:b/>
                <w:bCs/>
                <w:color w:val="auto"/>
                <w:kern w:val="0"/>
                <w:sz w:val="24"/>
                <w:lang w:val="en-US" w:eastAsia="zh-CN"/>
              </w:rPr>
              <w:t>2.3</w:t>
            </w:r>
            <w:r>
              <w:rPr>
                <w:b/>
                <w:bCs/>
                <w:color w:val="auto"/>
                <w:kern w:val="0"/>
                <w:sz w:val="24"/>
              </w:rPr>
              <w:t xml:space="preserve">  项目建设内容一览表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06"/>
              <w:gridCol w:w="5061"/>
              <w:gridCol w:w="791"/>
            </w:tblGrid>
            <w:tr w14:paraId="1023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noWrap w:val="0"/>
                  <w:vAlign w:val="center"/>
                </w:tcPr>
                <w:p w14:paraId="196AE3D7">
                  <w:pPr>
                    <w:jc w:val="center"/>
                    <w:rPr>
                      <w:color w:val="auto"/>
                    </w:rPr>
                  </w:pPr>
                  <w:r>
                    <w:rPr>
                      <w:color w:val="auto"/>
                    </w:rPr>
                    <w:t>工程类别</w:t>
                  </w:r>
                </w:p>
              </w:tc>
              <w:tc>
                <w:tcPr>
                  <w:tcW w:w="981" w:type="pct"/>
                  <w:noWrap w:val="0"/>
                  <w:vAlign w:val="center"/>
                </w:tcPr>
                <w:p w14:paraId="73602E11">
                  <w:pPr>
                    <w:jc w:val="center"/>
                    <w:rPr>
                      <w:color w:val="auto"/>
                    </w:rPr>
                  </w:pPr>
                  <w:r>
                    <w:rPr>
                      <w:color w:val="auto"/>
                    </w:rPr>
                    <w:t>单项工程名称</w:t>
                  </w:r>
                </w:p>
              </w:tc>
              <w:tc>
                <w:tcPr>
                  <w:tcW w:w="3092" w:type="pct"/>
                  <w:noWrap w:val="0"/>
                  <w:vAlign w:val="center"/>
                </w:tcPr>
                <w:p w14:paraId="22AC492E">
                  <w:pPr>
                    <w:jc w:val="center"/>
                    <w:rPr>
                      <w:color w:val="auto"/>
                    </w:rPr>
                  </w:pPr>
                  <w:r>
                    <w:rPr>
                      <w:color w:val="auto"/>
                    </w:rPr>
                    <w:t>工程内容及规模</w:t>
                  </w:r>
                </w:p>
              </w:tc>
              <w:tc>
                <w:tcPr>
                  <w:tcW w:w="483" w:type="pct"/>
                  <w:noWrap w:val="0"/>
                  <w:vAlign w:val="center"/>
                </w:tcPr>
                <w:p w14:paraId="409B6711">
                  <w:pPr>
                    <w:jc w:val="center"/>
                    <w:rPr>
                      <w:rFonts w:hint="eastAsia"/>
                      <w:color w:val="auto"/>
                    </w:rPr>
                  </w:pPr>
                  <w:r>
                    <w:rPr>
                      <w:rFonts w:hint="eastAsia"/>
                      <w:color w:val="auto"/>
                    </w:rPr>
                    <w:t>备注</w:t>
                  </w:r>
                </w:p>
              </w:tc>
            </w:tr>
            <w:tr w14:paraId="225E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442" w:type="pct"/>
                  <w:vMerge w:val="restart"/>
                  <w:noWrap w:val="0"/>
                  <w:vAlign w:val="center"/>
                </w:tcPr>
                <w:p w14:paraId="55F288C9">
                  <w:pPr>
                    <w:jc w:val="center"/>
                    <w:rPr>
                      <w:color w:val="auto"/>
                    </w:rPr>
                  </w:pPr>
                  <w:r>
                    <w:rPr>
                      <w:color w:val="auto"/>
                    </w:rPr>
                    <w:t>主体工程</w:t>
                  </w:r>
                </w:p>
              </w:tc>
              <w:tc>
                <w:tcPr>
                  <w:tcW w:w="981" w:type="pct"/>
                  <w:noWrap w:val="0"/>
                  <w:vAlign w:val="center"/>
                </w:tcPr>
                <w:p w14:paraId="033C0013">
                  <w:pPr>
                    <w:keepNext w:val="0"/>
                    <w:keepLines w:val="0"/>
                    <w:pageBreakBefore w:val="0"/>
                    <w:kinsoku/>
                    <w:wordWrap/>
                    <w:overflowPunct/>
                    <w:topLinePunct w:val="0"/>
                    <w:bidi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厂房</w:t>
                  </w:r>
                  <w:r>
                    <w:rPr>
                      <w:rFonts w:hint="eastAsia"/>
                      <w:color w:val="auto"/>
                      <w:szCs w:val="21"/>
                      <w:lang w:val="en-US" w:eastAsia="zh-CN"/>
                    </w:rPr>
                    <w:t>1</w:t>
                  </w:r>
                </w:p>
              </w:tc>
              <w:tc>
                <w:tcPr>
                  <w:tcW w:w="3092" w:type="pct"/>
                  <w:noWrap w:val="0"/>
                  <w:vAlign w:val="center"/>
                </w:tcPr>
                <w:p w14:paraId="354A0D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r>
                    <w:rPr>
                      <w:rFonts w:ascii="Times New Roman" w:hAnsi="Times New Roman" w:cs="Times New Roman"/>
                      <w:color w:val="auto"/>
                      <w:szCs w:val="21"/>
                    </w:rPr>
                    <w:t>F，钢结构</w:t>
                  </w:r>
                  <w:r>
                    <w:rPr>
                      <w:rFonts w:hint="eastAsia" w:ascii="Times New Roman" w:hAnsi="Times New Roman" w:cs="Times New Roman"/>
                      <w:color w:val="auto"/>
                      <w:szCs w:val="21"/>
                      <w:lang w:eastAsia="zh-CN"/>
                    </w:rPr>
                    <w:t>，</w:t>
                  </w:r>
                  <w:r>
                    <w:rPr>
                      <w:rFonts w:hint="eastAsia"/>
                      <w:color w:val="auto"/>
                      <w:szCs w:val="21"/>
                      <w:highlight w:val="none"/>
                      <w:lang w:eastAsia="zh-CN"/>
                    </w:rPr>
                    <w:t>位于厂区北部。建筑面积</w:t>
                  </w:r>
                  <w:r>
                    <w:rPr>
                      <w:rFonts w:hint="eastAsia"/>
                      <w:color w:val="auto"/>
                      <w:szCs w:val="21"/>
                      <w:highlight w:val="none"/>
                      <w:lang w:val="en-US" w:eastAsia="zh-CN"/>
                    </w:rPr>
                    <w:t>5000</w:t>
                  </w:r>
                  <w:r>
                    <w:rPr>
                      <w:rFonts w:hint="default" w:ascii="Times New Roman" w:hAnsi="Times New Roman" w:cs="Times New Roman"/>
                      <w:color w:val="auto"/>
                      <w:kern w:val="0"/>
                      <w:szCs w:val="21"/>
                      <w:highlight w:val="none"/>
                      <w:lang w:bidi="ar"/>
                    </w:rPr>
                    <w:t>m</w:t>
                  </w:r>
                  <w:r>
                    <w:rPr>
                      <w:rFonts w:hint="default" w:ascii="Times New Roman" w:hAnsi="Times New Roman" w:cs="Times New Roman"/>
                      <w:color w:val="auto"/>
                      <w:kern w:val="0"/>
                      <w:szCs w:val="21"/>
                      <w:highlight w:val="none"/>
                      <w:vertAlign w:val="superscript"/>
                      <w:lang w:bidi="ar"/>
                    </w:rPr>
                    <w:t>2</w:t>
                  </w:r>
                  <w:r>
                    <w:rPr>
                      <w:rFonts w:hint="eastAsia" w:cs="Times New Roman"/>
                      <w:color w:val="auto"/>
                      <w:kern w:val="0"/>
                      <w:szCs w:val="21"/>
                      <w:highlight w:val="none"/>
                      <w:vertAlign w:val="baseline"/>
                      <w:lang w:eastAsia="zh-CN" w:bidi="ar"/>
                    </w:rPr>
                    <w:t>，设置污泥储存区、炉渣储存区、煤矸石储存区、生石灰储存区、沼渣储存区、秸秆储存区、矿化剂储存区、陈化区、闪急干化区、矿化干化区。</w:t>
                  </w:r>
                </w:p>
              </w:tc>
              <w:tc>
                <w:tcPr>
                  <w:tcW w:w="483" w:type="pct"/>
                  <w:noWrap w:val="0"/>
                  <w:vAlign w:val="center"/>
                </w:tcPr>
                <w:p w14:paraId="560E69C2">
                  <w:pPr>
                    <w:jc w:val="center"/>
                    <w:rPr>
                      <w:rFonts w:hint="eastAsia" w:eastAsia="宋体"/>
                      <w:color w:val="auto"/>
                      <w:lang w:eastAsia="zh-CN"/>
                    </w:rPr>
                  </w:pPr>
                  <w:r>
                    <w:rPr>
                      <w:rFonts w:hint="eastAsia"/>
                      <w:color w:val="auto"/>
                      <w:lang w:eastAsia="zh-CN"/>
                    </w:rPr>
                    <w:t>租赁</w:t>
                  </w:r>
                </w:p>
              </w:tc>
            </w:tr>
            <w:tr w14:paraId="16CD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442" w:type="pct"/>
                  <w:vMerge w:val="continue"/>
                  <w:noWrap w:val="0"/>
                  <w:vAlign w:val="center"/>
                </w:tcPr>
                <w:p w14:paraId="3B8C90CA">
                  <w:pPr>
                    <w:jc w:val="center"/>
                    <w:rPr>
                      <w:color w:val="auto"/>
                    </w:rPr>
                  </w:pPr>
                </w:p>
              </w:tc>
              <w:tc>
                <w:tcPr>
                  <w:tcW w:w="981" w:type="pct"/>
                  <w:noWrap w:val="0"/>
                  <w:vAlign w:val="center"/>
                </w:tcPr>
                <w:p w14:paraId="4C0815A7">
                  <w:pPr>
                    <w:keepNext w:val="0"/>
                    <w:keepLines w:val="0"/>
                    <w:pageBreakBefore w:val="0"/>
                    <w:kinsoku/>
                    <w:wordWrap/>
                    <w:overflowPunct/>
                    <w:topLinePunct w:val="0"/>
                    <w:bidi w:val="0"/>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厂房2</w:t>
                  </w:r>
                </w:p>
              </w:tc>
              <w:tc>
                <w:tcPr>
                  <w:tcW w:w="3092" w:type="pct"/>
                  <w:noWrap w:val="0"/>
                  <w:vAlign w:val="center"/>
                </w:tcPr>
                <w:p w14:paraId="22873C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r>
                    <w:rPr>
                      <w:rFonts w:ascii="Times New Roman" w:hAnsi="Times New Roman" w:cs="Times New Roman"/>
                      <w:color w:val="auto"/>
                      <w:szCs w:val="21"/>
                    </w:rPr>
                    <w:t>F，钢结构，</w:t>
                  </w:r>
                  <w:r>
                    <w:rPr>
                      <w:rFonts w:hint="eastAsia" w:cs="Times New Roman"/>
                      <w:color w:val="auto"/>
                      <w:szCs w:val="21"/>
                      <w:lang w:eastAsia="zh-CN"/>
                    </w:rPr>
                    <w:t>建筑面积</w:t>
                  </w:r>
                  <w:r>
                    <w:rPr>
                      <w:rFonts w:hint="eastAsia" w:ascii="Times New Roman" w:hAnsi="Times New Roman" w:cs="Times New Roman"/>
                      <w:color w:val="auto"/>
                      <w:szCs w:val="21"/>
                      <w:lang w:eastAsia="zh-CN"/>
                    </w:rPr>
                    <w:t>约</w:t>
                  </w:r>
                  <w:r>
                    <w:rPr>
                      <w:rFonts w:hint="eastAsia" w:cs="Times New Roman"/>
                      <w:color w:val="auto"/>
                      <w:szCs w:val="21"/>
                      <w:lang w:val="en-US" w:eastAsia="zh-CN"/>
                    </w:rPr>
                    <w:t>850</w:t>
                  </w:r>
                  <w:r>
                    <w:rPr>
                      <w:rFonts w:ascii="Times New Roman" w:hAnsi="Times New Roman" w:cs="Times New Roman"/>
                      <w:color w:val="auto"/>
                      <w:szCs w:val="21"/>
                    </w:rPr>
                    <w:t>m</w:t>
                  </w:r>
                  <w:r>
                    <w:rPr>
                      <w:rFonts w:ascii="Times New Roman" w:hAnsi="Times New Roman" w:cs="Times New Roman"/>
                      <w:color w:val="auto"/>
                      <w:szCs w:val="21"/>
                      <w:vertAlign w:val="superscript"/>
                    </w:rPr>
                    <w:t>2</w:t>
                  </w:r>
                  <w:r>
                    <w:rPr>
                      <w:rFonts w:ascii="Times New Roman" w:hAnsi="Times New Roman" w:cs="Times New Roman"/>
                      <w:color w:val="auto"/>
                      <w:szCs w:val="21"/>
                    </w:rPr>
                    <w:t>，</w:t>
                  </w:r>
                  <w:r>
                    <w:rPr>
                      <w:rFonts w:hint="eastAsia" w:ascii="Times New Roman" w:hAnsi="Times New Roman" w:cs="Times New Roman"/>
                      <w:color w:val="auto"/>
                      <w:szCs w:val="21"/>
                      <w:lang w:eastAsia="zh-CN"/>
                    </w:rPr>
                    <w:t>设置成品区、投料、研磨、搅拌区、脱硫石膏储存区，</w:t>
                  </w:r>
                  <w:r>
                    <w:rPr>
                      <w:rFonts w:hint="eastAsia" w:cs="Times New Roman"/>
                      <w:color w:val="auto"/>
                      <w:kern w:val="0"/>
                      <w:szCs w:val="21"/>
                      <w:highlight w:val="none"/>
                      <w:vertAlign w:val="baseline"/>
                      <w:lang w:eastAsia="zh-CN" w:bidi="ar"/>
                    </w:rPr>
                    <w:t>购置粉碎机、分筛机、搅拌机等设备，具有年产建筑掺和料15500吨、集料19276吨、土壤改良土12540吨、绿化营养土9020吨的生产能力</w:t>
                  </w:r>
                  <w:r>
                    <w:rPr>
                      <w:rFonts w:hint="eastAsia" w:cs="Times New Roman"/>
                      <w:color w:val="auto"/>
                      <w:kern w:val="0"/>
                      <w:szCs w:val="21"/>
                      <w:highlight w:val="none"/>
                      <w:vertAlign w:val="baseline"/>
                      <w:lang w:val="en-US" w:eastAsia="zh-CN" w:bidi="ar"/>
                    </w:rPr>
                    <w:t>。</w:t>
                  </w:r>
                </w:p>
              </w:tc>
              <w:tc>
                <w:tcPr>
                  <w:tcW w:w="483" w:type="pct"/>
                  <w:noWrap w:val="0"/>
                  <w:vAlign w:val="center"/>
                </w:tcPr>
                <w:p w14:paraId="6437A0D0">
                  <w:pPr>
                    <w:jc w:val="center"/>
                    <w:rPr>
                      <w:rFonts w:hint="eastAsia"/>
                      <w:color w:val="auto"/>
                      <w:lang w:eastAsia="zh-CN"/>
                    </w:rPr>
                  </w:pPr>
                  <w:r>
                    <w:rPr>
                      <w:rFonts w:hint="eastAsia"/>
                      <w:color w:val="auto"/>
                      <w:lang w:eastAsia="zh-CN"/>
                    </w:rPr>
                    <w:t>租赁</w:t>
                  </w:r>
                </w:p>
              </w:tc>
            </w:tr>
            <w:tr w14:paraId="7889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noWrap w:val="0"/>
                  <w:vAlign w:val="center"/>
                </w:tcPr>
                <w:p w14:paraId="60C2B1E0">
                  <w:pPr>
                    <w:jc w:val="center"/>
                    <w:rPr>
                      <w:color w:val="auto"/>
                    </w:rPr>
                  </w:pPr>
                  <w:r>
                    <w:rPr>
                      <w:color w:val="auto"/>
                    </w:rPr>
                    <w:t>辅助工程</w:t>
                  </w:r>
                </w:p>
              </w:tc>
              <w:tc>
                <w:tcPr>
                  <w:tcW w:w="981" w:type="pct"/>
                  <w:noWrap w:val="0"/>
                  <w:vAlign w:val="center"/>
                </w:tcPr>
                <w:p w14:paraId="580D304E">
                  <w:pPr>
                    <w:jc w:val="center"/>
                    <w:rPr>
                      <w:color w:val="auto"/>
                    </w:rPr>
                  </w:pPr>
                  <w:r>
                    <w:rPr>
                      <w:rFonts w:hint="eastAsia"/>
                      <w:color w:val="auto"/>
                      <w:szCs w:val="21"/>
                    </w:rPr>
                    <w:t>办公室</w:t>
                  </w:r>
                </w:p>
              </w:tc>
              <w:tc>
                <w:tcPr>
                  <w:tcW w:w="3092" w:type="pct"/>
                  <w:noWrap w:val="0"/>
                  <w:vAlign w:val="center"/>
                </w:tcPr>
                <w:p w14:paraId="6CB93EB6">
                  <w:pPr>
                    <w:jc w:val="center"/>
                    <w:rPr>
                      <w:rFonts w:hint="eastAsia" w:eastAsia="宋体"/>
                      <w:color w:val="auto"/>
                      <w:lang w:val="en-US" w:eastAsia="zh-CN"/>
                    </w:rPr>
                  </w:pPr>
                  <w:r>
                    <w:rPr>
                      <w:rFonts w:hint="eastAsia"/>
                      <w:color w:val="auto"/>
                      <w:lang w:eastAsia="zh-CN"/>
                    </w:rPr>
                    <w:t>位于厂区南侧，建筑面积</w:t>
                  </w:r>
                  <w:r>
                    <w:rPr>
                      <w:rFonts w:hint="eastAsia"/>
                      <w:color w:val="auto"/>
                      <w:lang w:val="en-US" w:eastAsia="zh-CN"/>
                    </w:rPr>
                    <w:t>200</w:t>
                  </w:r>
                  <w:r>
                    <w:rPr>
                      <w:color w:val="auto"/>
                      <w:szCs w:val="21"/>
                    </w:rPr>
                    <w:t>m</w:t>
                  </w:r>
                  <w:r>
                    <w:rPr>
                      <w:color w:val="auto"/>
                      <w:szCs w:val="21"/>
                      <w:vertAlign w:val="superscript"/>
                    </w:rPr>
                    <w:t>2</w:t>
                  </w:r>
                  <w:r>
                    <w:rPr>
                      <w:color w:val="auto"/>
                      <w:szCs w:val="21"/>
                    </w:rPr>
                    <w:t>，</w:t>
                  </w:r>
                  <w:r>
                    <w:rPr>
                      <w:rFonts w:hint="eastAsia"/>
                      <w:color w:val="auto"/>
                      <w:szCs w:val="21"/>
                      <w:lang w:eastAsia="zh-CN"/>
                    </w:rPr>
                    <w:t>用于日常办公。</w:t>
                  </w:r>
                </w:p>
              </w:tc>
              <w:tc>
                <w:tcPr>
                  <w:tcW w:w="483" w:type="pct"/>
                  <w:noWrap w:val="0"/>
                  <w:vAlign w:val="center"/>
                </w:tcPr>
                <w:p w14:paraId="1BA66EDD">
                  <w:pPr>
                    <w:jc w:val="center"/>
                    <w:rPr>
                      <w:color w:val="FF0000"/>
                    </w:rPr>
                  </w:pPr>
                  <w:r>
                    <w:rPr>
                      <w:rFonts w:hint="eastAsia"/>
                      <w:color w:val="auto"/>
                      <w:lang w:eastAsia="zh-CN"/>
                    </w:rPr>
                    <w:t>租赁</w:t>
                  </w:r>
                </w:p>
              </w:tc>
            </w:tr>
            <w:tr w14:paraId="6E2B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restart"/>
                  <w:noWrap w:val="0"/>
                  <w:vAlign w:val="center"/>
                </w:tcPr>
                <w:p w14:paraId="2961D3BF">
                  <w:pPr>
                    <w:jc w:val="center"/>
                    <w:rPr>
                      <w:color w:val="auto"/>
                    </w:rPr>
                  </w:pPr>
                  <w:r>
                    <w:rPr>
                      <w:color w:val="auto"/>
                    </w:rPr>
                    <w:t>储运工程</w:t>
                  </w:r>
                </w:p>
              </w:tc>
              <w:tc>
                <w:tcPr>
                  <w:tcW w:w="981" w:type="pct"/>
                  <w:noWrap w:val="0"/>
                  <w:vAlign w:val="center"/>
                </w:tcPr>
                <w:p w14:paraId="0AC79BB9">
                  <w:pPr>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color w:val="auto"/>
                      <w:szCs w:val="21"/>
                    </w:rPr>
                    <w:t>原料区</w:t>
                  </w:r>
                </w:p>
              </w:tc>
              <w:tc>
                <w:tcPr>
                  <w:tcW w:w="3092" w:type="pct"/>
                  <w:noWrap w:val="0"/>
                  <w:vAlign w:val="center"/>
                </w:tcPr>
                <w:p w14:paraId="440916E6">
                  <w:pPr>
                    <w:spacing w:before="48" w:beforeLines="2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highlight w:val="none"/>
                      <w:lang w:val="en-US" w:eastAsia="zh-CN"/>
                    </w:rPr>
                    <w:t>位于厂房1内部，</w:t>
                  </w:r>
                  <w:r>
                    <w:rPr>
                      <w:rFonts w:hint="eastAsia" w:cs="Times New Roman"/>
                      <w:color w:val="auto"/>
                      <w:kern w:val="0"/>
                      <w:szCs w:val="21"/>
                      <w:highlight w:val="none"/>
                      <w:vertAlign w:val="baseline"/>
                      <w:lang w:eastAsia="zh-CN" w:bidi="ar"/>
                    </w:rPr>
                    <w:t>设置污泥储存区、炉渣储存区、煤矸石储存区、生石灰储存区、沼渣储存区、秸秆储存区、矿化剂储存区，总面积约</w:t>
                  </w:r>
                  <w:r>
                    <w:rPr>
                      <w:rFonts w:hint="eastAsia"/>
                      <w:color w:val="auto"/>
                      <w:szCs w:val="21"/>
                      <w:highlight w:val="none"/>
                      <w:lang w:val="en-US" w:eastAsia="zh-CN"/>
                    </w:rPr>
                    <w:t>4000</w:t>
                  </w:r>
                  <w:r>
                    <w:rPr>
                      <w:rFonts w:hint="default" w:ascii="Times New Roman" w:hAnsi="Times New Roman" w:cs="Times New Roman"/>
                      <w:color w:val="auto"/>
                      <w:kern w:val="0"/>
                      <w:szCs w:val="21"/>
                      <w:highlight w:val="none"/>
                      <w:lang w:bidi="ar"/>
                    </w:rPr>
                    <w:t>m</w:t>
                  </w:r>
                  <w:r>
                    <w:rPr>
                      <w:rFonts w:hint="default" w:ascii="Times New Roman" w:hAnsi="Times New Roman" w:cs="Times New Roman"/>
                      <w:color w:val="auto"/>
                      <w:kern w:val="0"/>
                      <w:szCs w:val="21"/>
                      <w:highlight w:val="none"/>
                      <w:vertAlign w:val="superscript"/>
                      <w:lang w:bidi="ar"/>
                    </w:rPr>
                    <w:t>2</w:t>
                  </w:r>
                  <w:r>
                    <w:rPr>
                      <w:rFonts w:hint="eastAsia" w:cs="Times New Roman"/>
                      <w:color w:val="auto"/>
                      <w:kern w:val="0"/>
                      <w:szCs w:val="21"/>
                      <w:highlight w:val="none"/>
                      <w:vertAlign w:val="baseline"/>
                      <w:lang w:eastAsia="zh-CN" w:bidi="ar"/>
                    </w:rPr>
                    <w:t>。</w:t>
                  </w:r>
                  <w:r>
                    <w:rPr>
                      <w:rFonts w:hint="eastAsia"/>
                      <w:lang w:val="en-US" w:eastAsia="zh-CN"/>
                    </w:rPr>
                    <w:t>各个区域用砖墙进行围挡</w:t>
                  </w:r>
                  <w:r>
                    <w:rPr>
                      <w:rFonts w:hint="eastAsia" w:cs="Times New Roman"/>
                      <w:color w:val="auto"/>
                      <w:kern w:val="0"/>
                      <w:szCs w:val="21"/>
                      <w:highlight w:val="none"/>
                      <w:vertAlign w:val="baseline"/>
                      <w:lang w:eastAsia="zh-CN" w:bidi="ar"/>
                    </w:rPr>
                    <w:t>。</w:t>
                  </w:r>
                </w:p>
              </w:tc>
              <w:tc>
                <w:tcPr>
                  <w:tcW w:w="483" w:type="pct"/>
                  <w:noWrap w:val="0"/>
                  <w:vAlign w:val="center"/>
                </w:tcPr>
                <w:p w14:paraId="35CFD340">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r>
            <w:tr w14:paraId="6587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10DE5BD0">
                  <w:pPr>
                    <w:jc w:val="center"/>
                    <w:rPr>
                      <w:color w:val="auto"/>
                    </w:rPr>
                  </w:pPr>
                </w:p>
              </w:tc>
              <w:tc>
                <w:tcPr>
                  <w:tcW w:w="981" w:type="pct"/>
                  <w:noWrap w:val="0"/>
                  <w:vAlign w:val="center"/>
                </w:tcPr>
                <w:p w14:paraId="29E0067D">
                  <w:pPr>
                    <w:adjustRightInd w:val="0"/>
                    <w:snapToGrid w:val="0"/>
                    <w:jc w:val="center"/>
                    <w:rPr>
                      <w:rFonts w:hint="default" w:ascii="Times New Roman" w:hAnsi="Times New Roman" w:eastAsia="宋体" w:cs="Times New Roman"/>
                      <w:b w:val="0"/>
                      <w:bCs w:val="0"/>
                      <w:color w:val="auto"/>
                      <w:sz w:val="21"/>
                      <w:szCs w:val="21"/>
                      <w:lang w:val="en-US" w:eastAsia="zh-CN" w:bidi="ar-SA"/>
                    </w:rPr>
                  </w:pPr>
                  <w:r>
                    <w:rPr>
                      <w:rFonts w:hint="eastAsia"/>
                      <w:color w:val="auto"/>
                      <w:szCs w:val="21"/>
                      <w:lang w:eastAsia="zh-CN"/>
                    </w:rPr>
                    <w:t>污泥储存区</w:t>
                  </w:r>
                </w:p>
              </w:tc>
              <w:tc>
                <w:tcPr>
                  <w:tcW w:w="3092" w:type="pct"/>
                  <w:noWrap w:val="0"/>
                  <w:vAlign w:val="center"/>
                </w:tcPr>
                <w:p w14:paraId="2B4F1A6B">
                  <w:pPr>
                    <w:spacing w:before="48" w:beforeLines="20"/>
                    <w:jc w:val="center"/>
                    <w:rPr>
                      <w:rFonts w:hint="default" w:ascii="Times New Roman" w:hAnsi="Times New Roman" w:eastAsia="宋体" w:cs="Times New Roman"/>
                      <w:color w:val="auto"/>
                      <w:sz w:val="21"/>
                      <w:szCs w:val="21"/>
                      <w:lang w:val="en-US" w:eastAsia="zh-CN"/>
                    </w:rPr>
                  </w:pPr>
                  <w:r>
                    <w:rPr>
                      <w:rFonts w:hint="eastAsia"/>
                      <w:color w:val="auto"/>
                      <w:szCs w:val="21"/>
                      <w:highlight w:val="none"/>
                      <w:lang w:eastAsia="zh-CN"/>
                    </w:rPr>
                    <w:t>位于厂房内西南侧，新增污泥储存区，建筑面积</w:t>
                  </w:r>
                  <w:r>
                    <w:rPr>
                      <w:rFonts w:hint="eastAsia"/>
                      <w:color w:val="auto"/>
                      <w:szCs w:val="21"/>
                      <w:highlight w:val="none"/>
                      <w:lang w:val="en-US" w:eastAsia="zh-CN"/>
                    </w:rPr>
                    <w:t>500</w:t>
                  </w:r>
                  <w:r>
                    <w:rPr>
                      <w:rFonts w:hint="default" w:ascii="Times New Roman" w:hAnsi="Times New Roman" w:cs="Times New Roman"/>
                      <w:color w:val="auto"/>
                      <w:kern w:val="0"/>
                      <w:szCs w:val="21"/>
                      <w:highlight w:val="none"/>
                      <w:lang w:bidi="ar"/>
                    </w:rPr>
                    <w:t>m</w:t>
                  </w:r>
                  <w:r>
                    <w:rPr>
                      <w:rFonts w:hint="default" w:ascii="Times New Roman" w:hAnsi="Times New Roman" w:cs="Times New Roman"/>
                      <w:color w:val="auto"/>
                      <w:kern w:val="0"/>
                      <w:szCs w:val="21"/>
                      <w:highlight w:val="none"/>
                      <w:vertAlign w:val="superscript"/>
                      <w:lang w:bidi="ar"/>
                    </w:rPr>
                    <w:t>2</w:t>
                  </w:r>
                  <w:r>
                    <w:rPr>
                      <w:rFonts w:hint="eastAsia" w:cs="Times New Roman"/>
                      <w:color w:val="auto"/>
                      <w:kern w:val="0"/>
                      <w:szCs w:val="21"/>
                      <w:highlight w:val="none"/>
                      <w:vertAlign w:val="baseline"/>
                      <w:lang w:eastAsia="zh-CN" w:bidi="ar"/>
                    </w:rPr>
                    <w:t>，</w:t>
                  </w:r>
                  <w:r>
                    <w:rPr>
                      <w:rFonts w:hint="eastAsia" w:cs="Times New Roman"/>
                      <w:color w:val="auto"/>
                      <w:kern w:val="0"/>
                      <w:szCs w:val="21"/>
                      <w:highlight w:val="none"/>
                      <w:vertAlign w:val="baseline"/>
                      <w:lang w:val="en-US" w:eastAsia="zh-CN" w:bidi="ar"/>
                    </w:rPr>
                    <w:t>污泥（含水率40%），用于各类土壤的生产。污泥储存区密闭，设置导流沟、导流槽。</w:t>
                  </w:r>
                </w:p>
              </w:tc>
              <w:tc>
                <w:tcPr>
                  <w:tcW w:w="483" w:type="pct"/>
                  <w:noWrap w:val="0"/>
                  <w:vAlign w:val="center"/>
                </w:tcPr>
                <w:p w14:paraId="4D3C41C8">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2ADD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533245ED">
                  <w:pPr>
                    <w:jc w:val="center"/>
                    <w:rPr>
                      <w:color w:val="auto"/>
                    </w:rPr>
                  </w:pPr>
                </w:p>
              </w:tc>
              <w:tc>
                <w:tcPr>
                  <w:tcW w:w="981" w:type="pct"/>
                  <w:noWrap w:val="0"/>
                  <w:vAlign w:val="center"/>
                </w:tcPr>
                <w:p w14:paraId="470125A2">
                  <w:pPr>
                    <w:adjustRightInd w:val="0"/>
                    <w:snapToGrid w:val="0"/>
                    <w:jc w:val="center"/>
                    <w:rPr>
                      <w:rFonts w:hint="default" w:ascii="Times New Roman" w:hAnsi="Times New Roman" w:cs="Times New Roman"/>
                      <w:color w:val="auto"/>
                      <w:lang w:val="en-US" w:eastAsia="zh-CN"/>
                    </w:rPr>
                  </w:pPr>
                  <w:r>
                    <w:rPr>
                      <w:color w:val="auto"/>
                      <w:szCs w:val="21"/>
                    </w:rPr>
                    <w:t>成品区</w:t>
                  </w:r>
                </w:p>
              </w:tc>
              <w:tc>
                <w:tcPr>
                  <w:tcW w:w="3092" w:type="pct"/>
                  <w:noWrap w:val="0"/>
                  <w:vAlign w:val="center"/>
                </w:tcPr>
                <w:p w14:paraId="66F66C5D">
                  <w:pPr>
                    <w:spacing w:before="48" w:beforeLines="20"/>
                    <w:jc w:val="center"/>
                    <w:rPr>
                      <w:rFonts w:hint="default" w:eastAsia="宋体"/>
                      <w:color w:val="auto"/>
                      <w:szCs w:val="21"/>
                      <w:lang w:val="en-US" w:eastAsia="zh-CN"/>
                    </w:rPr>
                  </w:pPr>
                  <w:r>
                    <w:rPr>
                      <w:color w:val="auto"/>
                      <w:kern w:val="0"/>
                      <w:szCs w:val="21"/>
                      <w:lang w:bidi="ar"/>
                    </w:rPr>
                    <w:t>位于</w:t>
                  </w:r>
                  <w:r>
                    <w:rPr>
                      <w:rFonts w:hint="eastAsia"/>
                      <w:color w:val="auto"/>
                      <w:kern w:val="0"/>
                      <w:szCs w:val="21"/>
                      <w:lang w:eastAsia="zh-CN" w:bidi="ar"/>
                    </w:rPr>
                    <w:t>厂房</w:t>
                  </w:r>
                  <w:r>
                    <w:rPr>
                      <w:rFonts w:hint="eastAsia"/>
                      <w:color w:val="auto"/>
                      <w:kern w:val="0"/>
                      <w:szCs w:val="21"/>
                      <w:lang w:val="en-US" w:eastAsia="zh-CN" w:bidi="ar"/>
                    </w:rPr>
                    <w:t>2内部西侧，面积约600</w:t>
                  </w:r>
                  <w:r>
                    <w:rPr>
                      <w:rFonts w:hint="default" w:ascii="Times New Roman" w:hAnsi="Times New Roman" w:cs="Times New Roman"/>
                      <w:color w:val="auto"/>
                      <w:kern w:val="0"/>
                      <w:szCs w:val="21"/>
                      <w:highlight w:val="none"/>
                      <w:lang w:bidi="ar"/>
                    </w:rPr>
                    <w:t>m</w:t>
                  </w:r>
                  <w:r>
                    <w:rPr>
                      <w:rFonts w:hint="default" w:ascii="Times New Roman" w:hAnsi="Times New Roman" w:cs="Times New Roman"/>
                      <w:color w:val="auto"/>
                      <w:kern w:val="0"/>
                      <w:szCs w:val="21"/>
                      <w:highlight w:val="none"/>
                      <w:vertAlign w:val="superscript"/>
                      <w:lang w:bidi="ar"/>
                    </w:rPr>
                    <w:t>2</w:t>
                  </w:r>
                  <w:r>
                    <w:rPr>
                      <w:rFonts w:hint="eastAsia" w:cs="Times New Roman"/>
                      <w:color w:val="auto"/>
                      <w:kern w:val="0"/>
                      <w:szCs w:val="21"/>
                      <w:highlight w:val="none"/>
                      <w:vertAlign w:val="baseline"/>
                      <w:lang w:eastAsia="zh-CN" w:bidi="ar"/>
                    </w:rPr>
                    <w:t>，用于集料、土壤改良土、绿化营养土成品的储存。</w:t>
                  </w:r>
                </w:p>
              </w:tc>
              <w:tc>
                <w:tcPr>
                  <w:tcW w:w="483" w:type="pct"/>
                  <w:noWrap w:val="0"/>
                  <w:vAlign w:val="center"/>
                </w:tcPr>
                <w:p w14:paraId="586409AA">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57CD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30B55FC3">
                  <w:pPr>
                    <w:jc w:val="center"/>
                    <w:rPr>
                      <w:color w:val="auto"/>
                    </w:rPr>
                  </w:pPr>
                </w:p>
              </w:tc>
              <w:tc>
                <w:tcPr>
                  <w:tcW w:w="981" w:type="pct"/>
                  <w:noWrap w:val="0"/>
                  <w:vAlign w:val="center"/>
                </w:tcPr>
                <w:p w14:paraId="1918DBD2">
                  <w:pPr>
                    <w:widowControl/>
                    <w:jc w:val="center"/>
                    <w:rPr>
                      <w:rFonts w:hint="default" w:ascii="Times New Roman" w:hAnsi="Times New Roman" w:cs="Times New Roman"/>
                      <w:color w:val="auto"/>
                      <w:lang w:val="en-US" w:eastAsia="zh-CN"/>
                    </w:rPr>
                  </w:pPr>
                  <w:r>
                    <w:rPr>
                      <w:rFonts w:hint="eastAsia"/>
                      <w:color w:val="auto"/>
                      <w:kern w:val="0"/>
                      <w:szCs w:val="21"/>
                      <w:lang w:eastAsia="zh-CN" w:bidi="ar"/>
                    </w:rPr>
                    <w:t>水泥仓</w:t>
                  </w:r>
                </w:p>
              </w:tc>
              <w:tc>
                <w:tcPr>
                  <w:tcW w:w="3092" w:type="pct"/>
                  <w:noWrap w:val="0"/>
                  <w:vAlign w:val="center"/>
                </w:tcPr>
                <w:p w14:paraId="4B8A0CBB">
                  <w:pPr>
                    <w:spacing w:before="48" w:beforeLines="20"/>
                    <w:jc w:val="center"/>
                    <w:rPr>
                      <w:rFonts w:hint="default" w:eastAsia="宋体"/>
                      <w:color w:val="auto"/>
                      <w:szCs w:val="21"/>
                      <w:lang w:val="en-US" w:eastAsia="zh-CN"/>
                    </w:rPr>
                  </w:pPr>
                  <w:r>
                    <w:rPr>
                      <w:rFonts w:hint="eastAsia"/>
                      <w:color w:val="auto"/>
                      <w:szCs w:val="21"/>
                      <w:lang w:eastAsia="zh-CN"/>
                    </w:rPr>
                    <w:t>设置</w:t>
                  </w:r>
                  <w:r>
                    <w:rPr>
                      <w:rFonts w:hint="eastAsia"/>
                      <w:color w:val="auto"/>
                      <w:szCs w:val="21"/>
                      <w:lang w:val="en-US" w:eastAsia="zh-CN"/>
                    </w:rPr>
                    <w:t>200t水泥仓一个，用于水泥的储存。</w:t>
                  </w:r>
                </w:p>
              </w:tc>
              <w:tc>
                <w:tcPr>
                  <w:tcW w:w="483" w:type="pct"/>
                  <w:noWrap w:val="0"/>
                  <w:vAlign w:val="center"/>
                </w:tcPr>
                <w:p w14:paraId="38193F82">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6532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4392E214">
                  <w:pPr>
                    <w:jc w:val="center"/>
                    <w:rPr>
                      <w:color w:val="auto"/>
                    </w:rPr>
                  </w:pPr>
                </w:p>
              </w:tc>
              <w:tc>
                <w:tcPr>
                  <w:tcW w:w="981" w:type="pct"/>
                  <w:noWrap w:val="0"/>
                  <w:vAlign w:val="center"/>
                </w:tcPr>
                <w:p w14:paraId="03A3C5D0">
                  <w:pPr>
                    <w:widowControl/>
                    <w:jc w:val="center"/>
                    <w:rPr>
                      <w:rFonts w:hint="eastAsia"/>
                      <w:color w:val="auto"/>
                      <w:kern w:val="0"/>
                      <w:szCs w:val="21"/>
                      <w:lang w:eastAsia="zh-CN" w:bidi="ar"/>
                    </w:rPr>
                  </w:pPr>
                  <w:r>
                    <w:rPr>
                      <w:rFonts w:hint="eastAsia"/>
                      <w:color w:val="auto"/>
                      <w:kern w:val="0"/>
                      <w:szCs w:val="21"/>
                      <w:lang w:eastAsia="zh-CN" w:bidi="ar"/>
                    </w:rPr>
                    <w:t>粉煤灰仓</w:t>
                  </w:r>
                </w:p>
              </w:tc>
              <w:tc>
                <w:tcPr>
                  <w:tcW w:w="3092" w:type="pct"/>
                  <w:noWrap w:val="0"/>
                  <w:vAlign w:val="center"/>
                </w:tcPr>
                <w:p w14:paraId="30437A88">
                  <w:pPr>
                    <w:spacing w:before="48" w:beforeLines="20"/>
                    <w:jc w:val="center"/>
                    <w:rPr>
                      <w:rFonts w:hint="eastAsia"/>
                      <w:color w:val="auto"/>
                      <w:szCs w:val="21"/>
                      <w:highlight w:val="none"/>
                      <w:lang w:val="en-US" w:eastAsia="zh-CN"/>
                    </w:rPr>
                  </w:pPr>
                  <w:r>
                    <w:rPr>
                      <w:rFonts w:hint="eastAsia"/>
                      <w:color w:val="auto"/>
                      <w:szCs w:val="21"/>
                      <w:lang w:eastAsia="zh-CN"/>
                    </w:rPr>
                    <w:t>设置</w:t>
                  </w:r>
                  <w:r>
                    <w:rPr>
                      <w:rFonts w:hint="eastAsia"/>
                      <w:color w:val="auto"/>
                      <w:szCs w:val="21"/>
                      <w:lang w:val="en-US" w:eastAsia="zh-CN"/>
                    </w:rPr>
                    <w:t>200t</w:t>
                  </w:r>
                  <w:r>
                    <w:rPr>
                      <w:rFonts w:hint="eastAsia"/>
                      <w:color w:val="auto"/>
                      <w:kern w:val="0"/>
                      <w:szCs w:val="21"/>
                      <w:lang w:eastAsia="zh-CN" w:bidi="ar"/>
                    </w:rPr>
                    <w:t>粉煤灰仓</w:t>
                  </w:r>
                  <w:r>
                    <w:rPr>
                      <w:rFonts w:hint="eastAsia"/>
                      <w:color w:val="auto"/>
                      <w:szCs w:val="21"/>
                      <w:lang w:val="en-US" w:eastAsia="zh-CN"/>
                    </w:rPr>
                    <w:t>一个，用于</w:t>
                  </w:r>
                  <w:r>
                    <w:rPr>
                      <w:rFonts w:hint="eastAsia"/>
                      <w:color w:val="auto"/>
                      <w:kern w:val="0"/>
                      <w:szCs w:val="21"/>
                      <w:lang w:eastAsia="zh-CN" w:bidi="ar"/>
                    </w:rPr>
                    <w:t>粉煤灰</w:t>
                  </w:r>
                  <w:r>
                    <w:rPr>
                      <w:rFonts w:hint="eastAsia"/>
                      <w:color w:val="auto"/>
                      <w:szCs w:val="21"/>
                      <w:lang w:val="en-US" w:eastAsia="zh-CN"/>
                    </w:rPr>
                    <w:t>的储存。</w:t>
                  </w:r>
                </w:p>
              </w:tc>
              <w:tc>
                <w:tcPr>
                  <w:tcW w:w="483" w:type="pct"/>
                  <w:noWrap w:val="0"/>
                  <w:vAlign w:val="center"/>
                </w:tcPr>
                <w:p w14:paraId="7C9ED9B9">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6D9A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73C522BD">
                  <w:pPr>
                    <w:jc w:val="center"/>
                    <w:rPr>
                      <w:color w:val="auto"/>
                    </w:rPr>
                  </w:pPr>
                </w:p>
              </w:tc>
              <w:tc>
                <w:tcPr>
                  <w:tcW w:w="981" w:type="pct"/>
                  <w:noWrap w:val="0"/>
                  <w:vAlign w:val="center"/>
                </w:tcPr>
                <w:p w14:paraId="3935804C">
                  <w:pPr>
                    <w:widowControl/>
                    <w:jc w:val="center"/>
                    <w:rPr>
                      <w:rFonts w:hint="eastAsia"/>
                      <w:color w:val="auto"/>
                      <w:kern w:val="0"/>
                      <w:szCs w:val="21"/>
                      <w:lang w:eastAsia="zh-CN" w:bidi="ar"/>
                    </w:rPr>
                  </w:pPr>
                  <w:r>
                    <w:rPr>
                      <w:rFonts w:hint="eastAsia"/>
                      <w:color w:val="auto"/>
                      <w:kern w:val="0"/>
                      <w:szCs w:val="21"/>
                      <w:lang w:eastAsia="zh-CN" w:bidi="ar"/>
                    </w:rPr>
                    <w:t>建筑掺和料仓</w:t>
                  </w:r>
                </w:p>
              </w:tc>
              <w:tc>
                <w:tcPr>
                  <w:tcW w:w="3092" w:type="pct"/>
                  <w:noWrap w:val="0"/>
                  <w:vAlign w:val="center"/>
                </w:tcPr>
                <w:p w14:paraId="331DA0DF">
                  <w:pPr>
                    <w:spacing w:before="48" w:beforeLines="20"/>
                    <w:jc w:val="center"/>
                    <w:rPr>
                      <w:rFonts w:hint="eastAsia"/>
                      <w:color w:val="auto"/>
                      <w:szCs w:val="21"/>
                      <w:highlight w:val="none"/>
                      <w:lang w:val="en-US" w:eastAsia="zh-CN"/>
                    </w:rPr>
                  </w:pPr>
                  <w:r>
                    <w:rPr>
                      <w:rFonts w:hint="eastAsia"/>
                      <w:color w:val="auto"/>
                      <w:szCs w:val="21"/>
                      <w:lang w:eastAsia="zh-CN"/>
                    </w:rPr>
                    <w:t>设置</w:t>
                  </w:r>
                  <w:r>
                    <w:rPr>
                      <w:rFonts w:hint="eastAsia"/>
                      <w:color w:val="auto"/>
                      <w:szCs w:val="21"/>
                      <w:lang w:val="en-US" w:eastAsia="zh-CN"/>
                    </w:rPr>
                    <w:t>200t</w:t>
                  </w:r>
                  <w:r>
                    <w:rPr>
                      <w:rFonts w:hint="eastAsia"/>
                      <w:color w:val="auto"/>
                      <w:kern w:val="0"/>
                      <w:szCs w:val="21"/>
                      <w:lang w:eastAsia="zh-CN" w:bidi="ar"/>
                    </w:rPr>
                    <w:t>建筑掺和料仓</w:t>
                  </w:r>
                  <w:r>
                    <w:rPr>
                      <w:rFonts w:hint="eastAsia"/>
                      <w:color w:val="auto"/>
                      <w:szCs w:val="21"/>
                      <w:lang w:val="en-US" w:eastAsia="zh-CN"/>
                    </w:rPr>
                    <w:t>一个，用于</w:t>
                  </w:r>
                  <w:r>
                    <w:rPr>
                      <w:rFonts w:hint="eastAsia"/>
                      <w:color w:val="auto"/>
                      <w:kern w:val="0"/>
                      <w:szCs w:val="21"/>
                      <w:lang w:eastAsia="zh-CN" w:bidi="ar"/>
                    </w:rPr>
                    <w:t>建筑掺和料仓</w:t>
                  </w:r>
                  <w:r>
                    <w:rPr>
                      <w:rFonts w:hint="eastAsia"/>
                      <w:color w:val="auto"/>
                      <w:szCs w:val="21"/>
                      <w:lang w:val="en-US" w:eastAsia="zh-CN"/>
                    </w:rPr>
                    <w:t>的储存。</w:t>
                  </w:r>
                </w:p>
              </w:tc>
              <w:tc>
                <w:tcPr>
                  <w:tcW w:w="483" w:type="pct"/>
                  <w:noWrap w:val="0"/>
                  <w:vAlign w:val="center"/>
                </w:tcPr>
                <w:p w14:paraId="54CBD000">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1300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1267B82D">
                  <w:pPr>
                    <w:jc w:val="center"/>
                    <w:rPr>
                      <w:color w:val="auto"/>
                    </w:rPr>
                  </w:pPr>
                </w:p>
              </w:tc>
              <w:tc>
                <w:tcPr>
                  <w:tcW w:w="981" w:type="pct"/>
                  <w:noWrap w:val="0"/>
                  <w:vAlign w:val="center"/>
                </w:tcPr>
                <w:p w14:paraId="23779515">
                  <w:pPr>
                    <w:widowControl/>
                    <w:jc w:val="center"/>
                    <w:rPr>
                      <w:rFonts w:hint="eastAsia"/>
                      <w:color w:val="auto"/>
                      <w:kern w:val="0"/>
                      <w:szCs w:val="21"/>
                      <w:lang w:eastAsia="zh-CN" w:bidi="ar"/>
                    </w:rPr>
                  </w:pPr>
                  <w:r>
                    <w:rPr>
                      <w:rFonts w:hint="eastAsia"/>
                      <w:color w:val="auto"/>
                      <w:kern w:val="0"/>
                      <w:szCs w:val="21"/>
                      <w:lang w:eastAsia="zh-CN" w:bidi="ar"/>
                    </w:rPr>
                    <w:t>草木灰仓</w:t>
                  </w:r>
                </w:p>
              </w:tc>
              <w:tc>
                <w:tcPr>
                  <w:tcW w:w="3092" w:type="pct"/>
                  <w:noWrap w:val="0"/>
                  <w:vAlign w:val="center"/>
                </w:tcPr>
                <w:p w14:paraId="4081568D">
                  <w:pPr>
                    <w:spacing w:before="48" w:beforeLines="20"/>
                    <w:jc w:val="center"/>
                    <w:rPr>
                      <w:rFonts w:hint="eastAsia"/>
                      <w:color w:val="auto"/>
                      <w:szCs w:val="21"/>
                      <w:highlight w:val="none"/>
                      <w:lang w:val="en-US" w:eastAsia="zh-CN"/>
                    </w:rPr>
                  </w:pPr>
                  <w:r>
                    <w:rPr>
                      <w:rFonts w:hint="eastAsia"/>
                      <w:color w:val="auto"/>
                      <w:szCs w:val="21"/>
                      <w:lang w:eastAsia="zh-CN"/>
                    </w:rPr>
                    <w:t>设置</w:t>
                  </w:r>
                  <w:r>
                    <w:rPr>
                      <w:rFonts w:hint="eastAsia"/>
                      <w:color w:val="auto"/>
                      <w:szCs w:val="21"/>
                      <w:lang w:val="en-US" w:eastAsia="zh-CN"/>
                    </w:rPr>
                    <w:t>200t</w:t>
                  </w:r>
                  <w:r>
                    <w:rPr>
                      <w:rFonts w:hint="eastAsia"/>
                      <w:color w:val="auto"/>
                      <w:kern w:val="0"/>
                      <w:szCs w:val="21"/>
                      <w:lang w:eastAsia="zh-CN" w:bidi="ar"/>
                    </w:rPr>
                    <w:t>草木灰仓</w:t>
                  </w:r>
                  <w:r>
                    <w:rPr>
                      <w:rFonts w:hint="eastAsia"/>
                      <w:color w:val="auto"/>
                      <w:szCs w:val="21"/>
                      <w:lang w:val="en-US" w:eastAsia="zh-CN"/>
                    </w:rPr>
                    <w:t>一个，用于草</w:t>
                  </w:r>
                  <w:r>
                    <w:rPr>
                      <w:rFonts w:hint="eastAsia"/>
                      <w:color w:val="auto"/>
                      <w:kern w:val="0"/>
                      <w:szCs w:val="21"/>
                      <w:lang w:eastAsia="zh-CN" w:bidi="ar"/>
                    </w:rPr>
                    <w:t>木灰仓</w:t>
                  </w:r>
                  <w:r>
                    <w:rPr>
                      <w:rFonts w:hint="eastAsia"/>
                      <w:color w:val="auto"/>
                      <w:szCs w:val="21"/>
                      <w:lang w:val="en-US" w:eastAsia="zh-CN"/>
                    </w:rPr>
                    <w:t>的储存。</w:t>
                  </w:r>
                </w:p>
              </w:tc>
              <w:tc>
                <w:tcPr>
                  <w:tcW w:w="483" w:type="pct"/>
                  <w:noWrap w:val="0"/>
                  <w:vAlign w:val="center"/>
                </w:tcPr>
                <w:p w14:paraId="2B0F7C0F">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2DA6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noWrap w:val="0"/>
                  <w:vAlign w:val="center"/>
                </w:tcPr>
                <w:p w14:paraId="01169CB4">
                  <w:pPr>
                    <w:jc w:val="center"/>
                    <w:rPr>
                      <w:color w:val="auto"/>
                    </w:rPr>
                  </w:pPr>
                  <w:r>
                    <w:rPr>
                      <w:rFonts w:hint="eastAsia"/>
                      <w:color w:val="auto"/>
                    </w:rPr>
                    <w:t>依托工程</w:t>
                  </w:r>
                </w:p>
              </w:tc>
              <w:tc>
                <w:tcPr>
                  <w:tcW w:w="981" w:type="pct"/>
                  <w:noWrap w:val="0"/>
                  <w:vAlign w:val="center"/>
                </w:tcPr>
                <w:p w14:paraId="0EB62E0F">
                  <w:pPr>
                    <w:jc w:val="center"/>
                    <w:rPr>
                      <w:rFonts w:hint="eastAsia"/>
                      <w:color w:val="auto"/>
                    </w:rPr>
                  </w:pPr>
                  <w:r>
                    <w:rPr>
                      <w:rFonts w:hint="eastAsia"/>
                      <w:color w:val="auto"/>
                      <w:lang w:eastAsia="zh-CN"/>
                    </w:rPr>
                    <w:t>废水</w:t>
                  </w:r>
                  <w:r>
                    <w:rPr>
                      <w:color w:val="auto"/>
                    </w:rPr>
                    <w:t>治理</w:t>
                  </w:r>
                </w:p>
              </w:tc>
              <w:tc>
                <w:tcPr>
                  <w:tcW w:w="3092" w:type="pct"/>
                  <w:noWrap w:val="0"/>
                  <w:vAlign w:val="center"/>
                </w:tcPr>
                <w:p w14:paraId="787E0B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auto"/>
                      <w:szCs w:val="21"/>
                      <w:lang w:eastAsia="zh-CN"/>
                    </w:rPr>
                  </w:pPr>
                  <w:r>
                    <w:rPr>
                      <w:rFonts w:hint="default" w:cs="Times New Roman"/>
                      <w:color w:val="auto"/>
                      <w:szCs w:val="21"/>
                      <w:lang w:val="en-US" w:eastAsia="zh-CN"/>
                    </w:rPr>
                    <w:t>项目无生产废水</w:t>
                  </w:r>
                  <w:r>
                    <w:rPr>
                      <w:rFonts w:hint="eastAsia" w:cs="Times New Roman"/>
                      <w:color w:val="auto"/>
                      <w:szCs w:val="21"/>
                      <w:lang w:val="en-US" w:eastAsia="zh-CN"/>
                    </w:rPr>
                    <w:t>排放</w:t>
                  </w:r>
                  <w:r>
                    <w:rPr>
                      <w:rFonts w:hint="default" w:cs="Times New Roman"/>
                      <w:color w:val="auto"/>
                      <w:szCs w:val="21"/>
                      <w:lang w:val="en-US" w:eastAsia="zh-CN"/>
                    </w:rPr>
                    <w:t>；</w:t>
                  </w:r>
                  <w:r>
                    <w:rPr>
                      <w:rFonts w:hint="eastAsia" w:cs="Times New Roman"/>
                      <w:color w:val="auto"/>
                      <w:szCs w:val="21"/>
                      <w:lang w:val="en-US" w:eastAsia="zh-CN"/>
                    </w:rPr>
                    <w:t>排水实行雨、污分流。</w:t>
                  </w:r>
                  <w:r>
                    <w:rPr>
                      <w:rFonts w:hint="default" w:cs="Times New Roman"/>
                      <w:color w:val="auto"/>
                      <w:szCs w:val="21"/>
                      <w:lang w:val="en-US" w:eastAsia="zh-CN"/>
                    </w:rPr>
                    <w:t>生活污水经化粪池预处理后</w:t>
                  </w:r>
                  <w:r>
                    <w:rPr>
                      <w:rFonts w:hint="eastAsia" w:cs="Times New Roman"/>
                      <w:color w:val="auto"/>
                      <w:szCs w:val="21"/>
                      <w:lang w:val="en-US" w:eastAsia="zh-CN"/>
                    </w:rPr>
                    <w:t>定期清掏不外排。</w:t>
                  </w:r>
                </w:p>
              </w:tc>
              <w:tc>
                <w:tcPr>
                  <w:tcW w:w="483" w:type="pct"/>
                  <w:noWrap w:val="0"/>
                  <w:vAlign w:val="center"/>
                </w:tcPr>
                <w:p w14:paraId="7B8102C5">
                  <w:pPr>
                    <w:jc w:val="center"/>
                    <w:rPr>
                      <w:color w:val="auto"/>
                    </w:rPr>
                  </w:pPr>
                  <w:r>
                    <w:rPr>
                      <w:rFonts w:hint="eastAsia" w:cs="Times New Roman"/>
                      <w:color w:val="auto"/>
                      <w:sz w:val="21"/>
                      <w:szCs w:val="21"/>
                      <w:lang w:val="en-US" w:eastAsia="zh-CN"/>
                    </w:rPr>
                    <w:t>依托</w:t>
                  </w:r>
                </w:p>
              </w:tc>
            </w:tr>
            <w:tr w14:paraId="76E8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restart"/>
                  <w:noWrap w:val="0"/>
                  <w:vAlign w:val="center"/>
                </w:tcPr>
                <w:p w14:paraId="7F31FE99">
                  <w:pPr>
                    <w:jc w:val="center"/>
                    <w:rPr>
                      <w:color w:val="auto"/>
                    </w:rPr>
                  </w:pPr>
                  <w:r>
                    <w:rPr>
                      <w:color w:val="auto"/>
                    </w:rPr>
                    <w:t>公用工程</w:t>
                  </w:r>
                </w:p>
              </w:tc>
              <w:tc>
                <w:tcPr>
                  <w:tcW w:w="981" w:type="pct"/>
                  <w:noWrap w:val="0"/>
                  <w:vAlign w:val="center"/>
                </w:tcPr>
                <w:p w14:paraId="0331FF16">
                  <w:pPr>
                    <w:jc w:val="center"/>
                    <w:rPr>
                      <w:color w:val="auto"/>
                    </w:rPr>
                  </w:pPr>
                  <w:r>
                    <w:rPr>
                      <w:color w:val="auto"/>
                    </w:rPr>
                    <w:t>给水</w:t>
                  </w:r>
                </w:p>
              </w:tc>
              <w:tc>
                <w:tcPr>
                  <w:tcW w:w="3092" w:type="pct"/>
                  <w:noWrap w:val="0"/>
                  <w:vAlign w:val="center"/>
                </w:tcPr>
                <w:p w14:paraId="798FF014">
                  <w:pPr>
                    <w:jc w:val="center"/>
                    <w:rPr>
                      <w:rFonts w:hint="eastAsia" w:eastAsia="宋体"/>
                      <w:color w:val="auto"/>
                      <w:lang w:eastAsia="zh-CN"/>
                    </w:rPr>
                  </w:pPr>
                  <w:r>
                    <w:rPr>
                      <w:rFonts w:hint="eastAsia"/>
                      <w:color w:val="auto"/>
                    </w:rPr>
                    <w:t>市政给水管网，供水量为</w:t>
                  </w:r>
                  <w:r>
                    <w:rPr>
                      <w:rFonts w:hint="eastAsia"/>
                      <w:color w:val="auto"/>
                      <w:lang w:val="en-US" w:eastAsia="zh-CN"/>
                    </w:rPr>
                    <w:t>150</w:t>
                  </w:r>
                  <w:r>
                    <w:rPr>
                      <w:rFonts w:hint="eastAsia"/>
                      <w:color w:val="auto"/>
                    </w:rPr>
                    <w:t>t/a</w:t>
                  </w:r>
                  <w:r>
                    <w:rPr>
                      <w:rFonts w:hint="eastAsia"/>
                      <w:color w:val="auto"/>
                      <w:lang w:eastAsia="zh-CN"/>
                    </w:rPr>
                    <w:t>。</w:t>
                  </w:r>
                </w:p>
              </w:tc>
              <w:tc>
                <w:tcPr>
                  <w:tcW w:w="483" w:type="pct"/>
                  <w:noWrap w:val="0"/>
                  <w:vAlign w:val="center"/>
                </w:tcPr>
                <w:p w14:paraId="68CD1B9C">
                  <w:pPr>
                    <w:jc w:val="center"/>
                    <w:rPr>
                      <w:color w:val="auto"/>
                    </w:rPr>
                  </w:pPr>
                  <w:r>
                    <w:rPr>
                      <w:rFonts w:hint="eastAsia" w:cs="Times New Roman"/>
                      <w:color w:val="auto"/>
                      <w:sz w:val="21"/>
                      <w:szCs w:val="21"/>
                      <w:lang w:val="en-US" w:eastAsia="zh-CN"/>
                    </w:rPr>
                    <w:t>依托</w:t>
                  </w:r>
                </w:p>
              </w:tc>
            </w:tr>
            <w:tr w14:paraId="6330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63CD6446">
                  <w:pPr>
                    <w:jc w:val="center"/>
                    <w:rPr>
                      <w:color w:val="auto"/>
                    </w:rPr>
                  </w:pPr>
                </w:p>
              </w:tc>
              <w:tc>
                <w:tcPr>
                  <w:tcW w:w="981" w:type="pct"/>
                  <w:noWrap w:val="0"/>
                  <w:vAlign w:val="center"/>
                </w:tcPr>
                <w:p w14:paraId="1F4AD712">
                  <w:pPr>
                    <w:jc w:val="center"/>
                    <w:rPr>
                      <w:color w:val="auto"/>
                    </w:rPr>
                  </w:pPr>
                  <w:r>
                    <w:rPr>
                      <w:color w:val="auto"/>
                    </w:rPr>
                    <w:t>排水</w:t>
                  </w:r>
                </w:p>
              </w:tc>
              <w:tc>
                <w:tcPr>
                  <w:tcW w:w="3092" w:type="pct"/>
                  <w:noWrap w:val="0"/>
                  <w:vAlign w:val="center"/>
                </w:tcPr>
                <w:p w14:paraId="7D97C9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auto"/>
                      <w:lang w:eastAsia="zh-CN"/>
                    </w:rPr>
                  </w:pPr>
                  <w:r>
                    <w:rPr>
                      <w:rFonts w:hint="default" w:cs="Times New Roman"/>
                      <w:color w:val="auto"/>
                      <w:szCs w:val="21"/>
                      <w:lang w:val="en-US" w:eastAsia="zh-CN"/>
                    </w:rPr>
                    <w:t>项目无生产废水</w:t>
                  </w:r>
                  <w:r>
                    <w:rPr>
                      <w:rFonts w:hint="eastAsia" w:cs="Times New Roman"/>
                      <w:color w:val="auto"/>
                      <w:szCs w:val="21"/>
                      <w:lang w:val="en-US" w:eastAsia="zh-CN"/>
                    </w:rPr>
                    <w:t>排放</w:t>
                  </w:r>
                  <w:r>
                    <w:rPr>
                      <w:rFonts w:hint="default" w:cs="Times New Roman"/>
                      <w:color w:val="auto"/>
                      <w:szCs w:val="21"/>
                      <w:lang w:val="en-US" w:eastAsia="zh-CN"/>
                    </w:rPr>
                    <w:t>；</w:t>
                  </w:r>
                  <w:r>
                    <w:rPr>
                      <w:rFonts w:hint="eastAsia" w:cs="Times New Roman"/>
                      <w:color w:val="auto"/>
                      <w:szCs w:val="21"/>
                      <w:lang w:val="en-US" w:eastAsia="zh-CN"/>
                    </w:rPr>
                    <w:t>排水实行雨、污分流。</w:t>
                  </w:r>
                  <w:r>
                    <w:rPr>
                      <w:rFonts w:hint="default" w:cs="Times New Roman"/>
                      <w:color w:val="auto"/>
                      <w:szCs w:val="21"/>
                      <w:lang w:val="en-US" w:eastAsia="zh-CN"/>
                    </w:rPr>
                    <w:t>生活污水经化粪池预处理后</w:t>
                  </w:r>
                  <w:r>
                    <w:rPr>
                      <w:rFonts w:hint="eastAsia" w:cs="Times New Roman"/>
                      <w:color w:val="auto"/>
                      <w:szCs w:val="21"/>
                      <w:lang w:val="en-US" w:eastAsia="zh-CN"/>
                    </w:rPr>
                    <w:t>定期清掏不外排。</w:t>
                  </w:r>
                </w:p>
              </w:tc>
              <w:tc>
                <w:tcPr>
                  <w:tcW w:w="483" w:type="pct"/>
                  <w:noWrap w:val="0"/>
                  <w:vAlign w:val="center"/>
                </w:tcPr>
                <w:p w14:paraId="746CF039">
                  <w:pPr>
                    <w:jc w:val="center"/>
                    <w:rPr>
                      <w:color w:val="auto"/>
                    </w:rPr>
                  </w:pPr>
                  <w:r>
                    <w:rPr>
                      <w:rFonts w:hint="default" w:ascii="Times New Roman" w:hAnsi="Times New Roman" w:eastAsia="宋体" w:cs="Times New Roman"/>
                      <w:color w:val="auto"/>
                      <w:sz w:val="21"/>
                      <w:szCs w:val="21"/>
                      <w:lang w:val="en-US" w:eastAsia="zh-CN"/>
                    </w:rPr>
                    <w:t>新建</w:t>
                  </w:r>
                </w:p>
              </w:tc>
            </w:tr>
            <w:tr w14:paraId="0E5A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5ACD05B4">
                  <w:pPr>
                    <w:jc w:val="center"/>
                    <w:rPr>
                      <w:color w:val="auto"/>
                    </w:rPr>
                  </w:pPr>
                </w:p>
              </w:tc>
              <w:tc>
                <w:tcPr>
                  <w:tcW w:w="981" w:type="pct"/>
                  <w:noWrap w:val="0"/>
                  <w:vAlign w:val="center"/>
                </w:tcPr>
                <w:p w14:paraId="3555F2D8">
                  <w:pPr>
                    <w:jc w:val="center"/>
                    <w:rPr>
                      <w:color w:val="auto"/>
                    </w:rPr>
                  </w:pPr>
                  <w:r>
                    <w:rPr>
                      <w:color w:val="auto"/>
                    </w:rPr>
                    <w:t>供电</w:t>
                  </w:r>
                </w:p>
              </w:tc>
              <w:tc>
                <w:tcPr>
                  <w:tcW w:w="3092" w:type="pct"/>
                  <w:noWrap w:val="0"/>
                  <w:vAlign w:val="center"/>
                </w:tcPr>
                <w:p w14:paraId="741D4F42">
                  <w:pPr>
                    <w:jc w:val="center"/>
                    <w:rPr>
                      <w:rFonts w:hint="eastAsia" w:eastAsia="宋体"/>
                      <w:color w:val="auto"/>
                      <w:lang w:eastAsia="zh-CN"/>
                    </w:rPr>
                  </w:pPr>
                  <w:r>
                    <w:rPr>
                      <w:rFonts w:hint="eastAsia"/>
                      <w:color w:val="auto"/>
                    </w:rPr>
                    <w:t>市政供电管网供给，供电量为</w:t>
                  </w:r>
                  <w:r>
                    <w:rPr>
                      <w:rFonts w:hint="eastAsia"/>
                      <w:color w:val="auto"/>
                      <w:lang w:val="en-US" w:eastAsia="zh-CN"/>
                    </w:rPr>
                    <w:t>15</w:t>
                  </w:r>
                  <w:r>
                    <w:rPr>
                      <w:rFonts w:hint="eastAsia"/>
                      <w:color w:val="auto"/>
                    </w:rPr>
                    <w:t>万kW</w:t>
                  </w:r>
                  <w:r>
                    <w:rPr>
                      <w:color w:val="auto"/>
                    </w:rPr>
                    <w:t>·</w:t>
                  </w:r>
                  <w:r>
                    <w:rPr>
                      <w:rFonts w:hint="eastAsia"/>
                      <w:color w:val="auto"/>
                    </w:rPr>
                    <w:t>h/a</w:t>
                  </w:r>
                  <w:r>
                    <w:rPr>
                      <w:rFonts w:hint="eastAsia"/>
                      <w:color w:val="auto"/>
                      <w:lang w:eastAsia="zh-CN"/>
                    </w:rPr>
                    <w:t>。</w:t>
                  </w:r>
                </w:p>
              </w:tc>
              <w:tc>
                <w:tcPr>
                  <w:tcW w:w="483" w:type="pct"/>
                  <w:noWrap w:val="0"/>
                  <w:vAlign w:val="center"/>
                </w:tcPr>
                <w:p w14:paraId="4457C8AF">
                  <w:pPr>
                    <w:jc w:val="center"/>
                    <w:rPr>
                      <w:color w:val="auto"/>
                    </w:rPr>
                  </w:pPr>
                  <w:r>
                    <w:rPr>
                      <w:rFonts w:hint="eastAsia" w:cs="Times New Roman"/>
                      <w:color w:val="auto"/>
                      <w:sz w:val="21"/>
                      <w:szCs w:val="21"/>
                      <w:lang w:val="en-US" w:eastAsia="zh-CN"/>
                    </w:rPr>
                    <w:t>依托</w:t>
                  </w:r>
                </w:p>
              </w:tc>
            </w:tr>
            <w:tr w14:paraId="6BFA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5BF0337E">
                  <w:pPr>
                    <w:jc w:val="center"/>
                    <w:rPr>
                      <w:color w:val="auto"/>
                    </w:rPr>
                  </w:pPr>
                </w:p>
              </w:tc>
              <w:tc>
                <w:tcPr>
                  <w:tcW w:w="981" w:type="pct"/>
                  <w:noWrap w:val="0"/>
                  <w:vAlign w:val="center"/>
                </w:tcPr>
                <w:p w14:paraId="380E527B">
                  <w:pPr>
                    <w:jc w:val="center"/>
                    <w:rPr>
                      <w:color w:val="auto"/>
                    </w:rPr>
                  </w:pPr>
                  <w:r>
                    <w:rPr>
                      <w:color w:val="auto"/>
                    </w:rPr>
                    <w:t>消防</w:t>
                  </w:r>
                </w:p>
              </w:tc>
              <w:tc>
                <w:tcPr>
                  <w:tcW w:w="3092" w:type="pct"/>
                  <w:noWrap w:val="0"/>
                  <w:vAlign w:val="center"/>
                </w:tcPr>
                <w:p w14:paraId="53271578">
                  <w:pPr>
                    <w:jc w:val="center"/>
                    <w:rPr>
                      <w:color w:val="auto"/>
                    </w:rPr>
                  </w:pPr>
                  <w:r>
                    <w:rPr>
                      <w:rFonts w:hint="eastAsia"/>
                      <w:color w:val="auto"/>
                    </w:rPr>
                    <w:t>按照相关规定设置各类消防设施</w:t>
                  </w:r>
                </w:p>
              </w:tc>
              <w:tc>
                <w:tcPr>
                  <w:tcW w:w="483" w:type="pct"/>
                  <w:noWrap w:val="0"/>
                  <w:vAlign w:val="center"/>
                </w:tcPr>
                <w:p w14:paraId="43478F12">
                  <w:pPr>
                    <w:jc w:val="center"/>
                    <w:rPr>
                      <w:color w:val="auto"/>
                    </w:rPr>
                  </w:pPr>
                  <w:r>
                    <w:rPr>
                      <w:rFonts w:hint="default" w:ascii="Times New Roman" w:hAnsi="Times New Roman" w:eastAsia="宋体" w:cs="Times New Roman"/>
                      <w:color w:val="auto"/>
                      <w:sz w:val="21"/>
                      <w:szCs w:val="21"/>
                      <w:lang w:val="en-US" w:eastAsia="zh-CN"/>
                    </w:rPr>
                    <w:t>新建</w:t>
                  </w:r>
                </w:p>
              </w:tc>
            </w:tr>
            <w:tr w14:paraId="5AB4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restart"/>
                  <w:noWrap w:val="0"/>
                  <w:vAlign w:val="center"/>
                </w:tcPr>
                <w:p w14:paraId="65F1DA90">
                  <w:pPr>
                    <w:jc w:val="center"/>
                    <w:rPr>
                      <w:color w:val="auto"/>
                    </w:rPr>
                  </w:pPr>
                  <w:r>
                    <w:rPr>
                      <w:color w:val="auto"/>
                    </w:rPr>
                    <w:t>环保工程</w:t>
                  </w:r>
                </w:p>
              </w:tc>
              <w:tc>
                <w:tcPr>
                  <w:tcW w:w="981" w:type="pct"/>
                  <w:noWrap w:val="0"/>
                  <w:vAlign w:val="center"/>
                </w:tcPr>
                <w:p w14:paraId="257D2DED">
                  <w:pPr>
                    <w:jc w:val="center"/>
                    <w:rPr>
                      <w:color w:val="auto"/>
                    </w:rPr>
                  </w:pPr>
                  <w:r>
                    <w:rPr>
                      <w:color w:val="auto"/>
                    </w:rPr>
                    <w:t>废水治理</w:t>
                  </w:r>
                </w:p>
              </w:tc>
              <w:tc>
                <w:tcPr>
                  <w:tcW w:w="3092" w:type="pct"/>
                  <w:noWrap w:val="0"/>
                  <w:vAlign w:val="center"/>
                </w:tcPr>
                <w:p w14:paraId="5910AB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s="Times New Roman"/>
                      <w:color w:val="auto"/>
                      <w:szCs w:val="21"/>
                      <w:lang w:val="en-US" w:eastAsia="zh-CN"/>
                    </w:rPr>
                  </w:pPr>
                  <w:r>
                    <w:rPr>
                      <w:rFonts w:hint="default" w:cs="Times New Roman"/>
                      <w:color w:val="auto"/>
                      <w:szCs w:val="21"/>
                      <w:lang w:val="en-US" w:eastAsia="zh-CN"/>
                    </w:rPr>
                    <w:t>项目无生产废水</w:t>
                  </w:r>
                  <w:r>
                    <w:rPr>
                      <w:rFonts w:hint="eastAsia" w:cs="Times New Roman"/>
                      <w:color w:val="auto"/>
                      <w:szCs w:val="21"/>
                      <w:lang w:val="en-US" w:eastAsia="zh-CN"/>
                    </w:rPr>
                    <w:t>排放</w:t>
                  </w:r>
                  <w:r>
                    <w:rPr>
                      <w:rFonts w:hint="default" w:cs="Times New Roman"/>
                      <w:color w:val="auto"/>
                      <w:szCs w:val="21"/>
                      <w:lang w:val="en-US" w:eastAsia="zh-CN"/>
                    </w:rPr>
                    <w:t>；</w:t>
                  </w:r>
                  <w:r>
                    <w:rPr>
                      <w:rFonts w:hint="eastAsia" w:cs="Times New Roman"/>
                      <w:color w:val="auto"/>
                      <w:szCs w:val="21"/>
                      <w:lang w:val="en-US" w:eastAsia="zh-CN"/>
                    </w:rPr>
                    <w:t>排水实行雨、污分流。</w:t>
                  </w:r>
                  <w:r>
                    <w:rPr>
                      <w:rFonts w:hint="default" w:cs="Times New Roman"/>
                      <w:color w:val="auto"/>
                      <w:szCs w:val="21"/>
                      <w:lang w:val="en-US" w:eastAsia="zh-CN"/>
                    </w:rPr>
                    <w:t>生活污水经化粪池预处理后</w:t>
                  </w:r>
                  <w:r>
                    <w:rPr>
                      <w:rFonts w:hint="eastAsia" w:cs="Times New Roman"/>
                      <w:color w:val="auto"/>
                      <w:szCs w:val="21"/>
                      <w:lang w:val="en-US" w:eastAsia="zh-CN"/>
                    </w:rPr>
                    <w:t>定期清掏不外排。</w:t>
                  </w:r>
                </w:p>
              </w:tc>
              <w:tc>
                <w:tcPr>
                  <w:tcW w:w="483" w:type="pct"/>
                  <w:noWrap w:val="0"/>
                  <w:vAlign w:val="center"/>
                </w:tcPr>
                <w:p w14:paraId="18FCA54C">
                  <w:pPr>
                    <w:jc w:val="center"/>
                    <w:rPr>
                      <w:color w:val="auto"/>
                    </w:rPr>
                  </w:pPr>
                  <w:r>
                    <w:rPr>
                      <w:rFonts w:hint="default" w:ascii="Times New Roman" w:hAnsi="Times New Roman" w:eastAsia="宋体" w:cs="Times New Roman"/>
                      <w:color w:val="auto"/>
                      <w:sz w:val="21"/>
                      <w:szCs w:val="21"/>
                      <w:lang w:val="en-US" w:eastAsia="zh-CN"/>
                    </w:rPr>
                    <w:t>新建</w:t>
                  </w:r>
                </w:p>
              </w:tc>
            </w:tr>
            <w:tr w14:paraId="3A35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4804BEDF">
                  <w:pPr>
                    <w:jc w:val="center"/>
                    <w:rPr>
                      <w:color w:val="auto"/>
                    </w:rPr>
                  </w:pPr>
                </w:p>
              </w:tc>
              <w:tc>
                <w:tcPr>
                  <w:tcW w:w="981" w:type="pct"/>
                  <w:vMerge w:val="restart"/>
                  <w:noWrap w:val="0"/>
                  <w:vAlign w:val="center"/>
                </w:tcPr>
                <w:p w14:paraId="42A3BF2F">
                  <w:pPr>
                    <w:jc w:val="center"/>
                    <w:rPr>
                      <w:rFonts w:hint="eastAsia" w:eastAsia="宋体"/>
                      <w:color w:val="auto"/>
                      <w:lang w:eastAsia="zh-CN"/>
                    </w:rPr>
                  </w:pPr>
                  <w:r>
                    <w:rPr>
                      <w:rFonts w:hint="eastAsia"/>
                      <w:color w:val="auto"/>
                      <w:lang w:eastAsia="zh-CN"/>
                    </w:rPr>
                    <w:t>废气治理</w:t>
                  </w:r>
                </w:p>
              </w:tc>
              <w:tc>
                <w:tcPr>
                  <w:tcW w:w="3092" w:type="pct"/>
                  <w:noWrap w:val="0"/>
                  <w:vAlign w:val="center"/>
                </w:tcPr>
                <w:p w14:paraId="7E0EC1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s="Times New Roman"/>
                      <w:color w:val="auto"/>
                      <w:szCs w:val="21"/>
                      <w:lang w:val="en-US" w:eastAsia="zh-CN"/>
                    </w:rPr>
                  </w:pPr>
                  <w:r>
                    <w:rPr>
                      <w:rFonts w:hint="eastAsia" w:cs="Times New Roman"/>
                      <w:color w:val="auto"/>
                      <w:szCs w:val="21"/>
                      <w:lang w:val="en-US" w:eastAsia="zh-CN"/>
                    </w:rPr>
                    <w:t>水泥筒仓呼吸废气：脉冲式除尘器+15m高排气筒（DA001）排放。</w:t>
                  </w:r>
                </w:p>
              </w:tc>
              <w:tc>
                <w:tcPr>
                  <w:tcW w:w="483" w:type="pct"/>
                  <w:noWrap w:val="0"/>
                  <w:vAlign w:val="center"/>
                </w:tcPr>
                <w:p w14:paraId="6C2DC8E5">
                  <w:pPr>
                    <w:jc w:val="center"/>
                    <w:rPr>
                      <w:rFonts w:hint="eastAsia"/>
                      <w:color w:val="auto"/>
                    </w:rPr>
                  </w:pPr>
                  <w:r>
                    <w:rPr>
                      <w:rFonts w:hint="default" w:ascii="Times New Roman" w:hAnsi="Times New Roman" w:eastAsia="宋体" w:cs="Times New Roman"/>
                      <w:color w:val="auto"/>
                      <w:sz w:val="21"/>
                      <w:szCs w:val="21"/>
                      <w:lang w:val="en-US" w:eastAsia="zh-CN"/>
                    </w:rPr>
                    <w:t>新建</w:t>
                  </w:r>
                </w:p>
              </w:tc>
            </w:tr>
            <w:tr w14:paraId="255E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4BDD9AF5">
                  <w:pPr>
                    <w:jc w:val="center"/>
                    <w:rPr>
                      <w:color w:val="auto"/>
                    </w:rPr>
                  </w:pPr>
                </w:p>
              </w:tc>
              <w:tc>
                <w:tcPr>
                  <w:tcW w:w="981" w:type="pct"/>
                  <w:vMerge w:val="continue"/>
                  <w:noWrap w:val="0"/>
                  <w:vAlign w:val="center"/>
                </w:tcPr>
                <w:p w14:paraId="25521861">
                  <w:pPr>
                    <w:jc w:val="center"/>
                    <w:rPr>
                      <w:rFonts w:hint="eastAsia"/>
                      <w:color w:val="auto"/>
                      <w:lang w:eastAsia="zh-CN"/>
                    </w:rPr>
                  </w:pPr>
                </w:p>
              </w:tc>
              <w:tc>
                <w:tcPr>
                  <w:tcW w:w="3092" w:type="pct"/>
                  <w:noWrap w:val="0"/>
                  <w:vAlign w:val="center"/>
                </w:tcPr>
                <w:p w14:paraId="4B4193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Cs w:val="21"/>
                      <w:lang w:val="en-US" w:eastAsia="zh-CN"/>
                    </w:rPr>
                  </w:pPr>
                  <w:r>
                    <w:rPr>
                      <w:rFonts w:hint="eastAsia" w:cs="Times New Roman"/>
                      <w:color w:val="auto"/>
                      <w:szCs w:val="21"/>
                      <w:lang w:val="en-US" w:eastAsia="zh-CN"/>
                    </w:rPr>
                    <w:t>粉煤灰筒仓呼吸废气：脉冲式除尘器+15m高排气筒（DA002）排放。</w:t>
                  </w:r>
                </w:p>
              </w:tc>
              <w:tc>
                <w:tcPr>
                  <w:tcW w:w="483" w:type="pct"/>
                  <w:noWrap w:val="0"/>
                  <w:vAlign w:val="center"/>
                </w:tcPr>
                <w:p w14:paraId="6B25C16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1700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432FF982">
                  <w:pPr>
                    <w:jc w:val="center"/>
                    <w:rPr>
                      <w:color w:val="auto"/>
                    </w:rPr>
                  </w:pPr>
                </w:p>
              </w:tc>
              <w:tc>
                <w:tcPr>
                  <w:tcW w:w="981" w:type="pct"/>
                  <w:vMerge w:val="continue"/>
                  <w:noWrap w:val="0"/>
                  <w:vAlign w:val="center"/>
                </w:tcPr>
                <w:p w14:paraId="7003E0DC">
                  <w:pPr>
                    <w:jc w:val="center"/>
                    <w:rPr>
                      <w:rFonts w:hint="eastAsia"/>
                      <w:color w:val="auto"/>
                      <w:lang w:eastAsia="zh-CN"/>
                    </w:rPr>
                  </w:pPr>
                </w:p>
              </w:tc>
              <w:tc>
                <w:tcPr>
                  <w:tcW w:w="3092" w:type="pct"/>
                  <w:noWrap w:val="0"/>
                  <w:vAlign w:val="center"/>
                </w:tcPr>
                <w:p w14:paraId="006C02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Cs w:val="21"/>
                      <w:lang w:val="en-US" w:eastAsia="zh-CN"/>
                    </w:rPr>
                  </w:pPr>
                  <w:r>
                    <w:rPr>
                      <w:rFonts w:hint="eastAsia" w:cs="Times New Roman"/>
                      <w:color w:val="auto"/>
                      <w:szCs w:val="21"/>
                      <w:lang w:val="en-US" w:eastAsia="zh-CN"/>
                    </w:rPr>
                    <w:t>建筑掺和料筒仓呼吸废气：脉冲式除尘器+15m高排气筒（DA003）排放。</w:t>
                  </w:r>
                </w:p>
              </w:tc>
              <w:tc>
                <w:tcPr>
                  <w:tcW w:w="483" w:type="pct"/>
                  <w:noWrap w:val="0"/>
                  <w:vAlign w:val="center"/>
                </w:tcPr>
                <w:p w14:paraId="68F0DB2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393B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2902DF31">
                  <w:pPr>
                    <w:jc w:val="center"/>
                    <w:rPr>
                      <w:color w:val="auto"/>
                    </w:rPr>
                  </w:pPr>
                </w:p>
              </w:tc>
              <w:tc>
                <w:tcPr>
                  <w:tcW w:w="981" w:type="pct"/>
                  <w:vMerge w:val="continue"/>
                  <w:noWrap w:val="0"/>
                  <w:vAlign w:val="center"/>
                </w:tcPr>
                <w:p w14:paraId="5F83D653">
                  <w:pPr>
                    <w:jc w:val="center"/>
                    <w:rPr>
                      <w:rFonts w:hint="eastAsia"/>
                      <w:color w:val="auto"/>
                      <w:lang w:eastAsia="zh-CN"/>
                    </w:rPr>
                  </w:pPr>
                </w:p>
              </w:tc>
              <w:tc>
                <w:tcPr>
                  <w:tcW w:w="3092" w:type="pct"/>
                  <w:noWrap w:val="0"/>
                  <w:vAlign w:val="center"/>
                </w:tcPr>
                <w:p w14:paraId="70C28E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Cs w:val="21"/>
                      <w:lang w:val="en-US" w:eastAsia="zh-CN"/>
                    </w:rPr>
                  </w:pPr>
                  <w:r>
                    <w:rPr>
                      <w:rFonts w:hint="eastAsia" w:cs="Times New Roman"/>
                      <w:color w:val="auto"/>
                      <w:szCs w:val="21"/>
                      <w:lang w:val="en-US" w:eastAsia="zh-CN"/>
                    </w:rPr>
                    <w:t>草木灰筒仓呼吸废气：脉冲式除尘器+15m高排气筒（DA004）排放。</w:t>
                  </w:r>
                </w:p>
              </w:tc>
              <w:tc>
                <w:tcPr>
                  <w:tcW w:w="483" w:type="pct"/>
                  <w:noWrap w:val="0"/>
                  <w:vAlign w:val="center"/>
                </w:tcPr>
                <w:p w14:paraId="3BA380A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698B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02799BB0">
                  <w:pPr>
                    <w:jc w:val="center"/>
                    <w:rPr>
                      <w:color w:val="auto"/>
                    </w:rPr>
                  </w:pPr>
                </w:p>
              </w:tc>
              <w:tc>
                <w:tcPr>
                  <w:tcW w:w="981" w:type="pct"/>
                  <w:vMerge w:val="continue"/>
                  <w:noWrap w:val="0"/>
                  <w:vAlign w:val="center"/>
                </w:tcPr>
                <w:p w14:paraId="5CF65E44">
                  <w:pPr>
                    <w:jc w:val="center"/>
                    <w:rPr>
                      <w:rFonts w:hint="eastAsia"/>
                      <w:color w:val="auto"/>
                      <w:lang w:eastAsia="zh-CN"/>
                    </w:rPr>
                  </w:pPr>
                </w:p>
              </w:tc>
              <w:tc>
                <w:tcPr>
                  <w:tcW w:w="3092" w:type="pct"/>
                  <w:noWrap w:val="0"/>
                  <w:vAlign w:val="center"/>
                </w:tcPr>
                <w:p w14:paraId="0A1D65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Cs w:val="21"/>
                      <w:lang w:val="en-US" w:eastAsia="zh-CN"/>
                    </w:rPr>
                  </w:pPr>
                  <w:r>
                    <w:rPr>
                      <w:rFonts w:hint="eastAsia" w:cs="Times New Roman"/>
                      <w:color w:val="auto"/>
                      <w:szCs w:val="21"/>
                      <w:lang w:val="en-US" w:eastAsia="zh-CN"/>
                    </w:rPr>
                    <w:t>投料废气：集气罩+布袋除尘器+15m高排气筒（DA005）排放。</w:t>
                  </w:r>
                </w:p>
              </w:tc>
              <w:tc>
                <w:tcPr>
                  <w:tcW w:w="483" w:type="pct"/>
                  <w:noWrap w:val="0"/>
                  <w:vAlign w:val="center"/>
                </w:tcPr>
                <w:p w14:paraId="4835988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72BE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5604F0F3">
                  <w:pPr>
                    <w:jc w:val="center"/>
                    <w:rPr>
                      <w:color w:val="auto"/>
                    </w:rPr>
                  </w:pPr>
                </w:p>
              </w:tc>
              <w:tc>
                <w:tcPr>
                  <w:tcW w:w="981" w:type="pct"/>
                  <w:vMerge w:val="continue"/>
                  <w:noWrap w:val="0"/>
                  <w:vAlign w:val="center"/>
                </w:tcPr>
                <w:p w14:paraId="5D222141">
                  <w:pPr>
                    <w:jc w:val="center"/>
                    <w:rPr>
                      <w:rFonts w:hint="eastAsia"/>
                      <w:color w:val="auto"/>
                      <w:lang w:eastAsia="zh-CN"/>
                    </w:rPr>
                  </w:pPr>
                </w:p>
              </w:tc>
              <w:tc>
                <w:tcPr>
                  <w:tcW w:w="3092" w:type="pct"/>
                  <w:noWrap w:val="0"/>
                  <w:vAlign w:val="center"/>
                </w:tcPr>
                <w:p w14:paraId="7775C6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eastAsia="宋体" w:cs="Times New Roman"/>
                      <w:color w:val="auto"/>
                      <w:szCs w:val="21"/>
                      <w:lang w:val="en-US" w:eastAsia="zh-CN"/>
                    </w:rPr>
                  </w:pPr>
                  <w:r>
                    <w:rPr>
                      <w:rFonts w:hint="eastAsia" w:cs="Times New Roman"/>
                      <w:color w:val="auto"/>
                      <w:szCs w:val="21"/>
                      <w:lang w:val="en-US" w:eastAsia="zh-CN"/>
                    </w:rPr>
                    <w:t>污泥贮存、</w:t>
                  </w:r>
                  <w:r>
                    <w:rPr>
                      <w:rFonts w:hint="eastAsia" w:cs="Times New Roman"/>
                      <w:color w:val="auto"/>
                      <w:sz w:val="21"/>
                      <w:szCs w:val="21"/>
                      <w:lang w:val="en-US" w:eastAsia="zh-CN"/>
                    </w:rPr>
                    <w:t>矿化、陈化废气：密闭收集+</w:t>
                  </w:r>
                  <w:r>
                    <w:rPr>
                      <w:rFonts w:hint="eastAsia"/>
                      <w:b w:val="0"/>
                      <w:bCs w:val="0"/>
                      <w:color w:val="auto"/>
                      <w:sz w:val="21"/>
                      <w:szCs w:val="21"/>
                      <w:lang w:eastAsia="zh-CN"/>
                    </w:rPr>
                    <w:t>生物除臭塔除臭</w:t>
                  </w:r>
                  <w:r>
                    <w:rPr>
                      <w:rFonts w:hint="eastAsia"/>
                      <w:b w:val="0"/>
                      <w:bCs w:val="0"/>
                      <w:color w:val="auto"/>
                      <w:sz w:val="21"/>
                      <w:szCs w:val="21"/>
                      <w:lang w:val="en-US" w:eastAsia="zh-CN"/>
                    </w:rPr>
                    <w:t>+</w:t>
                  </w:r>
                  <w:r>
                    <w:rPr>
                      <w:rFonts w:hint="eastAsia" w:cs="Times New Roman"/>
                      <w:color w:val="auto"/>
                      <w:sz w:val="21"/>
                      <w:szCs w:val="21"/>
                      <w:lang w:val="en-US" w:eastAsia="zh-CN"/>
                    </w:rPr>
                    <w:t>15m高排气筒（DA006）排放。</w:t>
                  </w:r>
                </w:p>
              </w:tc>
              <w:tc>
                <w:tcPr>
                  <w:tcW w:w="483" w:type="pct"/>
                  <w:noWrap w:val="0"/>
                  <w:vAlign w:val="center"/>
                </w:tcPr>
                <w:p w14:paraId="7EFA013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3BC0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2602641C">
                  <w:pPr>
                    <w:jc w:val="center"/>
                    <w:rPr>
                      <w:color w:val="auto"/>
                    </w:rPr>
                  </w:pPr>
                </w:p>
              </w:tc>
              <w:tc>
                <w:tcPr>
                  <w:tcW w:w="981" w:type="pct"/>
                  <w:noWrap w:val="0"/>
                  <w:vAlign w:val="center"/>
                </w:tcPr>
                <w:p w14:paraId="38AD4B60">
                  <w:pPr>
                    <w:jc w:val="center"/>
                    <w:rPr>
                      <w:color w:val="auto"/>
                    </w:rPr>
                  </w:pPr>
                  <w:r>
                    <w:rPr>
                      <w:color w:val="auto"/>
                    </w:rPr>
                    <w:t>噪声治理</w:t>
                  </w:r>
                </w:p>
              </w:tc>
              <w:tc>
                <w:tcPr>
                  <w:tcW w:w="3092" w:type="pct"/>
                  <w:noWrap w:val="0"/>
                  <w:vAlign w:val="center"/>
                </w:tcPr>
                <w:p w14:paraId="7F9D30C4">
                  <w:pPr>
                    <w:jc w:val="center"/>
                    <w:rPr>
                      <w:color w:val="auto"/>
                    </w:rPr>
                  </w:pPr>
                  <w:r>
                    <w:rPr>
                      <w:rFonts w:hint="eastAsia"/>
                      <w:color w:val="auto"/>
                    </w:rPr>
                    <w:t>隔声、消声、减振、设备定期保养、绿化等</w:t>
                  </w:r>
                </w:p>
              </w:tc>
              <w:tc>
                <w:tcPr>
                  <w:tcW w:w="483" w:type="pct"/>
                  <w:noWrap w:val="0"/>
                  <w:vAlign w:val="center"/>
                </w:tcPr>
                <w:p w14:paraId="52416841">
                  <w:pPr>
                    <w:jc w:val="center"/>
                    <w:rPr>
                      <w:color w:val="auto"/>
                    </w:rPr>
                  </w:pPr>
                  <w:r>
                    <w:rPr>
                      <w:rFonts w:hint="default" w:ascii="Times New Roman" w:hAnsi="Times New Roman" w:eastAsia="宋体" w:cs="Times New Roman"/>
                      <w:color w:val="auto"/>
                      <w:sz w:val="21"/>
                      <w:szCs w:val="21"/>
                      <w:lang w:val="en-US" w:eastAsia="zh-CN"/>
                    </w:rPr>
                    <w:t>新建</w:t>
                  </w:r>
                </w:p>
              </w:tc>
            </w:tr>
            <w:tr w14:paraId="02E8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262B994C">
                  <w:pPr>
                    <w:jc w:val="center"/>
                    <w:rPr>
                      <w:color w:val="auto"/>
                    </w:rPr>
                  </w:pPr>
                </w:p>
              </w:tc>
              <w:tc>
                <w:tcPr>
                  <w:tcW w:w="981" w:type="pct"/>
                  <w:vMerge w:val="restart"/>
                  <w:noWrap w:val="0"/>
                  <w:vAlign w:val="center"/>
                </w:tcPr>
                <w:p w14:paraId="35F3AA90">
                  <w:pPr>
                    <w:jc w:val="center"/>
                    <w:rPr>
                      <w:color w:val="auto"/>
                    </w:rPr>
                  </w:pPr>
                  <w:r>
                    <w:rPr>
                      <w:color w:val="auto"/>
                    </w:rPr>
                    <w:t>固废治理</w:t>
                  </w:r>
                </w:p>
              </w:tc>
              <w:tc>
                <w:tcPr>
                  <w:tcW w:w="3092" w:type="pct"/>
                  <w:noWrap w:val="0"/>
                  <w:vAlign w:val="center"/>
                </w:tcPr>
                <w:p w14:paraId="20EC29FF">
                  <w:pPr>
                    <w:jc w:val="center"/>
                    <w:rPr>
                      <w:rFonts w:hint="default" w:eastAsia="宋体"/>
                      <w:color w:val="auto"/>
                      <w:szCs w:val="21"/>
                      <w:lang w:val="en-US" w:eastAsia="zh-CN"/>
                    </w:rPr>
                  </w:pPr>
                  <w:r>
                    <w:rPr>
                      <w:rFonts w:hint="eastAsia"/>
                      <w:color w:val="auto"/>
                      <w:szCs w:val="21"/>
                    </w:rPr>
                    <w:t>一般工业固体废物：一般工业固体废物暂存间</w:t>
                  </w:r>
                  <w:r>
                    <w:rPr>
                      <w:rFonts w:hint="eastAsia"/>
                      <w:color w:val="auto"/>
                      <w:szCs w:val="21"/>
                      <w:lang w:eastAsia="zh-CN"/>
                    </w:rPr>
                    <w:t>建筑面积约</w:t>
                  </w:r>
                  <w:r>
                    <w:rPr>
                      <w:rFonts w:hint="eastAsia"/>
                      <w:color w:val="auto"/>
                      <w:szCs w:val="21"/>
                      <w:lang w:val="en-US" w:eastAsia="zh-CN"/>
                    </w:rPr>
                    <w:t>20</w:t>
                  </w:r>
                  <w:r>
                    <w:rPr>
                      <w:rFonts w:hint="eastAsia"/>
                      <w:color w:val="auto"/>
                      <w:szCs w:val="21"/>
                    </w:rPr>
                    <w:t>m</w:t>
                  </w:r>
                  <w:r>
                    <w:rPr>
                      <w:rFonts w:hint="eastAsia"/>
                      <w:color w:val="auto"/>
                      <w:szCs w:val="21"/>
                      <w:vertAlign w:val="superscript"/>
                    </w:rPr>
                    <w:t>2</w:t>
                  </w:r>
                </w:p>
              </w:tc>
              <w:tc>
                <w:tcPr>
                  <w:tcW w:w="483" w:type="pct"/>
                  <w:vMerge w:val="restart"/>
                  <w:noWrap w:val="0"/>
                  <w:vAlign w:val="center"/>
                </w:tcPr>
                <w:p w14:paraId="5B4DFD72">
                  <w:pPr>
                    <w:jc w:val="center"/>
                    <w:rPr>
                      <w:color w:val="auto"/>
                      <w:szCs w:val="21"/>
                    </w:rPr>
                  </w:pPr>
                  <w:r>
                    <w:rPr>
                      <w:rFonts w:hint="default" w:ascii="Times New Roman" w:hAnsi="Times New Roman" w:eastAsia="宋体" w:cs="Times New Roman"/>
                      <w:color w:val="auto"/>
                      <w:sz w:val="21"/>
                      <w:szCs w:val="21"/>
                      <w:lang w:val="en-US" w:eastAsia="zh-CN"/>
                    </w:rPr>
                    <w:t>新建</w:t>
                  </w:r>
                </w:p>
              </w:tc>
            </w:tr>
            <w:tr w14:paraId="77A8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4FE31DD2">
                  <w:pPr>
                    <w:jc w:val="center"/>
                    <w:rPr>
                      <w:color w:val="auto"/>
                    </w:rPr>
                  </w:pPr>
                </w:p>
              </w:tc>
              <w:tc>
                <w:tcPr>
                  <w:tcW w:w="981" w:type="pct"/>
                  <w:vMerge w:val="continue"/>
                  <w:noWrap w:val="0"/>
                  <w:vAlign w:val="center"/>
                </w:tcPr>
                <w:p w14:paraId="37B86351">
                  <w:pPr>
                    <w:jc w:val="center"/>
                    <w:rPr>
                      <w:color w:val="auto"/>
                    </w:rPr>
                  </w:pPr>
                </w:p>
              </w:tc>
              <w:tc>
                <w:tcPr>
                  <w:tcW w:w="3092" w:type="pct"/>
                  <w:noWrap w:val="0"/>
                  <w:vAlign w:val="center"/>
                </w:tcPr>
                <w:p w14:paraId="0D3042F2">
                  <w:pPr>
                    <w:jc w:val="center"/>
                    <w:rPr>
                      <w:rFonts w:hint="default" w:eastAsia="宋体"/>
                      <w:color w:val="auto"/>
                      <w:szCs w:val="21"/>
                      <w:lang w:val="en-US" w:eastAsia="zh-CN"/>
                    </w:rPr>
                  </w:pPr>
                  <w:r>
                    <w:rPr>
                      <w:rFonts w:hint="eastAsia"/>
                      <w:color w:val="auto"/>
                      <w:szCs w:val="21"/>
                    </w:rPr>
                    <w:t>危险废物：危险废物暂存间</w:t>
                  </w:r>
                  <w:r>
                    <w:rPr>
                      <w:rFonts w:hint="eastAsia"/>
                      <w:color w:val="auto"/>
                      <w:szCs w:val="21"/>
                      <w:lang w:eastAsia="zh-CN"/>
                    </w:rPr>
                    <w:t>建筑面积约</w:t>
                  </w:r>
                  <w:r>
                    <w:rPr>
                      <w:rFonts w:hint="eastAsia"/>
                      <w:color w:val="auto"/>
                      <w:szCs w:val="21"/>
                      <w:lang w:val="en-US" w:eastAsia="zh-CN"/>
                    </w:rPr>
                    <w:t>10</w:t>
                  </w:r>
                  <w:r>
                    <w:rPr>
                      <w:rFonts w:hint="eastAsia"/>
                      <w:color w:val="auto"/>
                      <w:szCs w:val="21"/>
                    </w:rPr>
                    <w:t>m</w:t>
                  </w:r>
                  <w:r>
                    <w:rPr>
                      <w:rFonts w:hint="eastAsia"/>
                      <w:color w:val="auto"/>
                      <w:szCs w:val="21"/>
                      <w:vertAlign w:val="superscript"/>
                    </w:rPr>
                    <w:t>2</w:t>
                  </w:r>
                </w:p>
              </w:tc>
              <w:tc>
                <w:tcPr>
                  <w:tcW w:w="483" w:type="pct"/>
                  <w:vMerge w:val="continue"/>
                  <w:noWrap w:val="0"/>
                  <w:vAlign w:val="center"/>
                </w:tcPr>
                <w:p w14:paraId="7DF24A6E">
                  <w:pPr>
                    <w:jc w:val="center"/>
                    <w:rPr>
                      <w:color w:val="auto"/>
                      <w:szCs w:val="21"/>
                    </w:rPr>
                  </w:pPr>
                </w:p>
              </w:tc>
            </w:tr>
            <w:tr w14:paraId="780F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2F61E43F">
                  <w:pPr>
                    <w:jc w:val="center"/>
                    <w:rPr>
                      <w:color w:val="auto"/>
                    </w:rPr>
                  </w:pPr>
                </w:p>
              </w:tc>
              <w:tc>
                <w:tcPr>
                  <w:tcW w:w="981" w:type="pct"/>
                  <w:vMerge w:val="continue"/>
                  <w:noWrap w:val="0"/>
                  <w:vAlign w:val="center"/>
                </w:tcPr>
                <w:p w14:paraId="05EB9E34">
                  <w:pPr>
                    <w:jc w:val="center"/>
                    <w:rPr>
                      <w:color w:val="auto"/>
                    </w:rPr>
                  </w:pPr>
                </w:p>
              </w:tc>
              <w:tc>
                <w:tcPr>
                  <w:tcW w:w="3092" w:type="pct"/>
                  <w:noWrap w:val="0"/>
                  <w:vAlign w:val="center"/>
                </w:tcPr>
                <w:p w14:paraId="1E271CCF">
                  <w:pPr>
                    <w:jc w:val="center"/>
                    <w:rPr>
                      <w:color w:val="auto"/>
                      <w:szCs w:val="21"/>
                    </w:rPr>
                  </w:pPr>
                  <w:r>
                    <w:rPr>
                      <w:rFonts w:hint="eastAsia"/>
                      <w:color w:val="auto"/>
                      <w:szCs w:val="21"/>
                    </w:rPr>
                    <w:t>生活垃圾：垃圾桶</w:t>
                  </w:r>
                </w:p>
              </w:tc>
              <w:tc>
                <w:tcPr>
                  <w:tcW w:w="483" w:type="pct"/>
                  <w:vMerge w:val="continue"/>
                  <w:noWrap w:val="0"/>
                  <w:vAlign w:val="center"/>
                </w:tcPr>
                <w:p w14:paraId="47323BE6">
                  <w:pPr>
                    <w:jc w:val="center"/>
                    <w:rPr>
                      <w:color w:val="auto"/>
                      <w:szCs w:val="21"/>
                    </w:rPr>
                  </w:pPr>
                </w:p>
              </w:tc>
            </w:tr>
            <w:tr w14:paraId="1F1E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7BBDC670">
                  <w:pPr>
                    <w:jc w:val="center"/>
                    <w:rPr>
                      <w:color w:val="auto"/>
                    </w:rPr>
                  </w:pPr>
                </w:p>
              </w:tc>
              <w:tc>
                <w:tcPr>
                  <w:tcW w:w="981" w:type="pct"/>
                  <w:noWrap w:val="0"/>
                  <w:vAlign w:val="center"/>
                </w:tcPr>
                <w:p w14:paraId="39A9E2CB">
                  <w:pPr>
                    <w:jc w:val="center"/>
                    <w:rPr>
                      <w:color w:val="auto"/>
                    </w:rPr>
                  </w:pPr>
                  <w:r>
                    <w:rPr>
                      <w:rFonts w:hint="eastAsia"/>
                      <w:color w:val="auto"/>
                      <w:szCs w:val="21"/>
                    </w:rPr>
                    <w:t>地下水、土壤</w:t>
                  </w:r>
                </w:p>
              </w:tc>
              <w:tc>
                <w:tcPr>
                  <w:tcW w:w="3092" w:type="pct"/>
                  <w:noWrap w:val="0"/>
                  <w:vAlign w:val="center"/>
                </w:tcPr>
                <w:p w14:paraId="6BFCCB95">
                  <w:pPr>
                    <w:pStyle w:val="44"/>
                    <w:adjustRightInd w:val="0"/>
                    <w:spacing w:line="240" w:lineRule="exact"/>
                    <w:rPr>
                      <w:color w:val="auto"/>
                      <w:szCs w:val="21"/>
                    </w:rPr>
                  </w:pPr>
                  <w:r>
                    <w:rPr>
                      <w:rFonts w:hint="eastAsia" w:ascii="Times New Roman" w:hAnsi="Times New Roman" w:eastAsia="宋体" w:cs="Times New Roman"/>
                      <w:b w:val="0"/>
                      <w:bCs w:val="0"/>
                      <w:color w:val="auto"/>
                      <w:sz w:val="21"/>
                      <w:szCs w:val="21"/>
                      <w:lang w:val="en-US" w:eastAsia="zh-CN"/>
                    </w:rPr>
                    <w:t>本项目厂房系租赁。本环评要求</w:t>
                  </w:r>
                  <w:r>
                    <w:rPr>
                      <w:rFonts w:hint="eastAsia" w:ascii="Times New Roman" w:hAnsi="Times New Roman" w:eastAsia="宋体" w:cs="Times New Roman"/>
                      <w:b w:val="0"/>
                      <w:bCs w:val="0"/>
                      <w:snapToGrid/>
                      <w:color w:val="auto"/>
                      <w:spacing w:val="0"/>
                      <w:kern w:val="0"/>
                      <w:position w:val="0"/>
                      <w:sz w:val="21"/>
                      <w:szCs w:val="21"/>
                      <w:lang w:val="en-US" w:eastAsia="zh-CN"/>
                    </w:rPr>
                    <w:t>重点防渗区</w:t>
                  </w:r>
                  <w:r>
                    <w:rPr>
                      <w:rFonts w:hint="eastAsia" w:ascii="Times New Roman" w:hAnsi="Times New Roman" w:eastAsia="宋体" w:cs="Times New Roman"/>
                      <w:b w:val="0"/>
                      <w:bCs w:val="0"/>
                      <w:color w:val="auto"/>
                      <w:sz w:val="21"/>
                      <w:szCs w:val="21"/>
                      <w:lang w:val="en-US" w:eastAsia="zh-CN"/>
                    </w:rPr>
                    <w:t>采取</w:t>
                  </w:r>
                  <w:r>
                    <w:rPr>
                      <w:rFonts w:hint="default" w:ascii="Times New Roman" w:hAnsi="Times New Roman" w:eastAsia="宋体" w:cs="Times New Roman"/>
                      <w:b w:val="0"/>
                      <w:bCs w:val="0"/>
                      <w:color w:val="auto"/>
                      <w:sz w:val="21"/>
                      <w:szCs w:val="21"/>
                      <w:lang w:val="en-US" w:eastAsia="zh-CN"/>
                    </w:rPr>
                    <w:t>200mm防渗混凝土</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1.5mm环氧树脂漆</w:t>
                  </w:r>
                  <w:r>
                    <w:rPr>
                      <w:rFonts w:hint="eastAsia"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snapToGrid/>
                      <w:color w:val="auto"/>
                      <w:spacing w:val="0"/>
                      <w:kern w:val="0"/>
                      <w:position w:val="0"/>
                      <w:sz w:val="21"/>
                      <w:szCs w:val="21"/>
                      <w:lang w:val="en-US" w:eastAsia="zh-CN"/>
                    </w:rPr>
                    <w:t>防渗层渗透系数≤1.0</w:t>
                  </w:r>
                  <w:r>
                    <w:rPr>
                      <w:rFonts w:hint="default" w:ascii="Arial" w:hAnsi="Arial" w:eastAsia="宋体" w:cs="Arial"/>
                      <w:b w:val="0"/>
                      <w:bCs w:val="0"/>
                      <w:snapToGrid/>
                      <w:color w:val="auto"/>
                      <w:spacing w:val="0"/>
                      <w:kern w:val="0"/>
                      <w:position w:val="0"/>
                      <w:sz w:val="21"/>
                      <w:szCs w:val="21"/>
                      <w:lang w:val="en-US" w:eastAsia="zh-CN"/>
                    </w:rPr>
                    <w:t>×</w:t>
                  </w:r>
                  <w:r>
                    <w:rPr>
                      <w:rFonts w:hint="eastAsia" w:ascii="Times New Roman" w:hAnsi="Times New Roman" w:eastAsia="宋体" w:cs="Times New Roman"/>
                      <w:b w:val="0"/>
                      <w:bCs w:val="0"/>
                      <w:snapToGrid/>
                      <w:color w:val="auto"/>
                      <w:spacing w:val="0"/>
                      <w:kern w:val="0"/>
                      <w:position w:val="0"/>
                      <w:sz w:val="21"/>
                      <w:szCs w:val="21"/>
                      <w:lang w:val="en-US" w:eastAsia="zh-CN"/>
                    </w:rPr>
                    <w:t>10</w:t>
                  </w:r>
                  <w:r>
                    <w:rPr>
                      <w:rFonts w:hint="eastAsia" w:ascii="Times New Roman" w:hAnsi="Times New Roman" w:eastAsia="宋体" w:cs="Times New Roman"/>
                      <w:b w:val="0"/>
                      <w:bCs w:val="0"/>
                      <w:snapToGrid/>
                      <w:color w:val="auto"/>
                      <w:spacing w:val="0"/>
                      <w:kern w:val="0"/>
                      <w:position w:val="0"/>
                      <w:sz w:val="21"/>
                      <w:szCs w:val="21"/>
                      <w:vertAlign w:val="superscript"/>
                      <w:lang w:val="en-US" w:eastAsia="zh-CN"/>
                    </w:rPr>
                    <w:t>-</w:t>
                  </w:r>
                  <w:r>
                    <w:rPr>
                      <w:rFonts w:hint="eastAsia" w:cs="Times New Roman"/>
                      <w:b w:val="0"/>
                      <w:bCs w:val="0"/>
                      <w:snapToGrid/>
                      <w:color w:val="auto"/>
                      <w:spacing w:val="0"/>
                      <w:kern w:val="0"/>
                      <w:position w:val="0"/>
                      <w:sz w:val="21"/>
                      <w:szCs w:val="21"/>
                      <w:vertAlign w:val="superscript"/>
                      <w:lang w:val="en-US" w:eastAsia="zh-CN"/>
                    </w:rPr>
                    <w:t>10</w:t>
                  </w:r>
                  <w:r>
                    <w:rPr>
                      <w:rFonts w:hint="eastAsia" w:ascii="Times New Roman" w:hAnsi="Times New Roman" w:eastAsia="宋体" w:cs="Times New Roman"/>
                      <w:b w:val="0"/>
                      <w:bCs w:val="0"/>
                      <w:snapToGrid/>
                      <w:color w:val="auto"/>
                      <w:spacing w:val="0"/>
                      <w:kern w:val="0"/>
                      <w:position w:val="0"/>
                      <w:sz w:val="21"/>
                      <w:szCs w:val="21"/>
                      <w:lang w:val="en-US" w:eastAsia="zh-CN"/>
                    </w:rPr>
                    <w:t>cm/s</w:t>
                  </w:r>
                </w:p>
              </w:tc>
              <w:tc>
                <w:tcPr>
                  <w:tcW w:w="483" w:type="pct"/>
                  <w:noWrap w:val="0"/>
                  <w:vAlign w:val="center"/>
                </w:tcPr>
                <w:p w14:paraId="3B95BA0D">
                  <w:pPr>
                    <w:jc w:val="center"/>
                    <w:rPr>
                      <w:color w:val="auto"/>
                      <w:szCs w:val="21"/>
                    </w:rPr>
                  </w:pPr>
                  <w:r>
                    <w:rPr>
                      <w:rFonts w:hint="default" w:ascii="Times New Roman" w:hAnsi="Times New Roman" w:eastAsia="宋体" w:cs="Times New Roman"/>
                      <w:color w:val="auto"/>
                      <w:sz w:val="21"/>
                      <w:szCs w:val="21"/>
                      <w:lang w:val="en-US" w:eastAsia="zh-CN"/>
                    </w:rPr>
                    <w:t>新建</w:t>
                  </w:r>
                </w:p>
              </w:tc>
            </w:tr>
            <w:tr w14:paraId="4EAA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6A32BD31">
                  <w:pPr>
                    <w:jc w:val="center"/>
                    <w:rPr>
                      <w:color w:val="auto"/>
                    </w:rPr>
                  </w:pPr>
                </w:p>
              </w:tc>
              <w:tc>
                <w:tcPr>
                  <w:tcW w:w="981" w:type="pct"/>
                  <w:noWrap w:val="0"/>
                  <w:vAlign w:val="center"/>
                </w:tcPr>
                <w:p w14:paraId="67F1B362">
                  <w:pPr>
                    <w:jc w:val="center"/>
                    <w:rPr>
                      <w:color w:val="auto"/>
                    </w:rPr>
                  </w:pPr>
                  <w:r>
                    <w:rPr>
                      <w:rFonts w:hint="eastAsia"/>
                      <w:color w:val="auto"/>
                      <w:szCs w:val="21"/>
                    </w:rPr>
                    <w:t>风险</w:t>
                  </w:r>
                </w:p>
              </w:tc>
              <w:tc>
                <w:tcPr>
                  <w:tcW w:w="3092" w:type="pct"/>
                  <w:noWrap w:val="0"/>
                  <w:vAlign w:val="center"/>
                </w:tcPr>
                <w:p w14:paraId="4DC25D3C">
                  <w:pPr>
                    <w:pStyle w:val="44"/>
                    <w:adjustRightInd w:val="0"/>
                    <w:spacing w:line="240" w:lineRule="exact"/>
                    <w:rPr>
                      <w:color w:val="auto"/>
                      <w:szCs w:val="21"/>
                    </w:rPr>
                  </w:pPr>
                  <w:r>
                    <w:rPr>
                      <w:rFonts w:hint="eastAsia"/>
                      <w:color w:val="auto"/>
                      <w:szCs w:val="21"/>
                    </w:rPr>
                    <w:t>设置室外消火栓、灭火器、制定风险应急预案等</w:t>
                  </w:r>
                </w:p>
              </w:tc>
              <w:tc>
                <w:tcPr>
                  <w:tcW w:w="483" w:type="pct"/>
                  <w:noWrap w:val="0"/>
                  <w:vAlign w:val="center"/>
                </w:tcPr>
                <w:p w14:paraId="42F09811">
                  <w:pPr>
                    <w:jc w:val="center"/>
                    <w:rPr>
                      <w:rFonts w:hint="eastAsia"/>
                      <w:color w:val="auto"/>
                      <w:szCs w:val="21"/>
                    </w:rPr>
                  </w:pPr>
                  <w:r>
                    <w:rPr>
                      <w:rFonts w:hint="default" w:ascii="Times New Roman" w:hAnsi="Times New Roman" w:eastAsia="宋体" w:cs="Times New Roman"/>
                      <w:color w:val="auto"/>
                      <w:sz w:val="21"/>
                      <w:szCs w:val="21"/>
                      <w:lang w:val="en-US" w:eastAsia="zh-CN"/>
                    </w:rPr>
                    <w:t>新建</w:t>
                  </w:r>
                </w:p>
              </w:tc>
            </w:tr>
          </w:tbl>
          <w:p w14:paraId="67D52B4D">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kern w:val="0"/>
                <w:sz w:val="24"/>
              </w:rPr>
            </w:pPr>
            <w:r>
              <w:rPr>
                <w:rFonts w:hint="eastAsia"/>
                <w:b/>
                <w:bCs/>
                <w:color w:val="auto"/>
                <w:kern w:val="0"/>
                <w:sz w:val="24"/>
              </w:rPr>
              <w:t>2、</w:t>
            </w:r>
            <w:r>
              <w:rPr>
                <w:b/>
                <w:bCs/>
                <w:color w:val="auto"/>
                <w:kern w:val="0"/>
                <w:sz w:val="24"/>
              </w:rPr>
              <w:t>项目主要产品及产能</w:t>
            </w:r>
          </w:p>
          <w:p w14:paraId="5204A9B4">
            <w:pPr>
              <w:adjustRightInd w:val="0"/>
              <w:snapToGrid w:val="0"/>
              <w:spacing w:line="360" w:lineRule="auto"/>
              <w:ind w:firstLine="480" w:firstLineChars="200"/>
              <w:rPr>
                <w:color w:val="auto"/>
                <w:kern w:val="0"/>
                <w:sz w:val="24"/>
              </w:rPr>
            </w:pPr>
            <w:r>
              <w:rPr>
                <w:color w:val="auto"/>
                <w:kern w:val="0"/>
                <w:sz w:val="24"/>
              </w:rPr>
              <w:t>项目主要产品及产能见表</w:t>
            </w:r>
            <w:r>
              <w:rPr>
                <w:rFonts w:hint="eastAsia"/>
                <w:color w:val="auto"/>
                <w:kern w:val="0"/>
                <w:sz w:val="24"/>
                <w:lang w:val="en-US" w:eastAsia="zh-CN"/>
              </w:rPr>
              <w:t>2.4</w:t>
            </w:r>
            <w:r>
              <w:rPr>
                <w:rFonts w:hint="eastAsia"/>
                <w:color w:val="auto"/>
                <w:kern w:val="0"/>
                <w:sz w:val="24"/>
              </w:rPr>
              <w:t>。</w:t>
            </w:r>
          </w:p>
          <w:p w14:paraId="36CD16AD">
            <w:pPr>
              <w:adjustRightInd w:val="0"/>
              <w:snapToGrid w:val="0"/>
              <w:spacing w:line="360" w:lineRule="auto"/>
              <w:jc w:val="center"/>
              <w:rPr>
                <w:b/>
                <w:bCs/>
                <w:color w:val="auto"/>
                <w:kern w:val="0"/>
                <w:sz w:val="24"/>
              </w:rPr>
            </w:pPr>
            <w:r>
              <w:rPr>
                <w:b/>
                <w:bCs/>
                <w:color w:val="auto"/>
                <w:kern w:val="0"/>
                <w:sz w:val="24"/>
              </w:rPr>
              <w:t>表</w:t>
            </w:r>
            <w:r>
              <w:rPr>
                <w:rFonts w:hint="eastAsia"/>
                <w:b/>
                <w:bCs/>
                <w:color w:val="auto"/>
                <w:kern w:val="0"/>
                <w:sz w:val="24"/>
                <w:lang w:val="en-US" w:eastAsia="zh-CN"/>
              </w:rPr>
              <w:t>2.4</w:t>
            </w:r>
            <w:r>
              <w:rPr>
                <w:b/>
                <w:bCs/>
                <w:color w:val="auto"/>
                <w:kern w:val="0"/>
                <w:sz w:val="24"/>
              </w:rPr>
              <w:t xml:space="preserve">  项目主要产品及产能一览表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3570"/>
              <w:gridCol w:w="1138"/>
              <w:gridCol w:w="2593"/>
            </w:tblGrid>
            <w:tr w14:paraId="51D6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38" w:type="pct"/>
                  <w:noWrap/>
                  <w:vAlign w:val="center"/>
                </w:tcPr>
                <w:p w14:paraId="47FE8A00">
                  <w:pPr>
                    <w:autoSpaceDE w:val="0"/>
                    <w:autoSpaceDN w:val="0"/>
                    <w:adjustRightInd w:val="0"/>
                    <w:snapToGrid w:val="0"/>
                    <w:jc w:val="center"/>
                    <w:rPr>
                      <w:color w:val="auto"/>
                      <w:sz w:val="21"/>
                      <w:szCs w:val="21"/>
                    </w:rPr>
                  </w:pPr>
                  <w:r>
                    <w:rPr>
                      <w:color w:val="auto"/>
                      <w:sz w:val="21"/>
                      <w:szCs w:val="21"/>
                    </w:rPr>
                    <w:t>序号</w:t>
                  </w:r>
                </w:p>
              </w:tc>
              <w:tc>
                <w:tcPr>
                  <w:tcW w:w="2181" w:type="pct"/>
                  <w:noWrap/>
                  <w:vAlign w:val="center"/>
                </w:tcPr>
                <w:p w14:paraId="105C1696">
                  <w:pPr>
                    <w:autoSpaceDE w:val="0"/>
                    <w:autoSpaceDN w:val="0"/>
                    <w:adjustRightInd w:val="0"/>
                    <w:snapToGrid w:val="0"/>
                    <w:jc w:val="center"/>
                    <w:rPr>
                      <w:color w:val="auto"/>
                      <w:sz w:val="21"/>
                      <w:szCs w:val="21"/>
                    </w:rPr>
                  </w:pPr>
                  <w:r>
                    <w:rPr>
                      <w:color w:val="auto"/>
                      <w:sz w:val="21"/>
                      <w:szCs w:val="21"/>
                    </w:rPr>
                    <w:t>产品名称</w:t>
                  </w:r>
                </w:p>
              </w:tc>
              <w:tc>
                <w:tcPr>
                  <w:tcW w:w="695" w:type="pct"/>
                  <w:noWrap/>
                  <w:vAlign w:val="center"/>
                </w:tcPr>
                <w:p w14:paraId="245D18A9">
                  <w:pPr>
                    <w:autoSpaceDE w:val="0"/>
                    <w:autoSpaceDN w:val="0"/>
                    <w:adjustRightInd w:val="0"/>
                    <w:snapToGrid w:val="0"/>
                    <w:jc w:val="center"/>
                    <w:rPr>
                      <w:color w:val="auto"/>
                      <w:sz w:val="21"/>
                      <w:szCs w:val="21"/>
                    </w:rPr>
                  </w:pPr>
                  <w:r>
                    <w:rPr>
                      <w:color w:val="auto"/>
                      <w:sz w:val="21"/>
                      <w:szCs w:val="21"/>
                    </w:rPr>
                    <w:t>单位</w:t>
                  </w:r>
                </w:p>
              </w:tc>
              <w:tc>
                <w:tcPr>
                  <w:tcW w:w="1584" w:type="pct"/>
                  <w:noWrap/>
                  <w:vAlign w:val="center"/>
                </w:tcPr>
                <w:p w14:paraId="7BAE4A6B">
                  <w:pPr>
                    <w:autoSpaceDE w:val="0"/>
                    <w:autoSpaceDN w:val="0"/>
                    <w:adjustRightInd w:val="0"/>
                    <w:snapToGrid w:val="0"/>
                    <w:jc w:val="center"/>
                    <w:rPr>
                      <w:color w:val="auto"/>
                      <w:sz w:val="21"/>
                      <w:szCs w:val="21"/>
                    </w:rPr>
                  </w:pPr>
                  <w:r>
                    <w:rPr>
                      <w:rFonts w:hint="eastAsia"/>
                      <w:color w:val="auto"/>
                      <w:sz w:val="21"/>
                      <w:szCs w:val="21"/>
                      <w:lang w:eastAsia="zh-CN"/>
                    </w:rPr>
                    <w:t>数量</w:t>
                  </w:r>
                </w:p>
              </w:tc>
            </w:tr>
            <w:tr w14:paraId="47C7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noWrap/>
                  <w:vAlign w:val="center"/>
                </w:tcPr>
                <w:p w14:paraId="73F5CDD7">
                  <w:pPr>
                    <w:adjustRightInd w:val="0"/>
                    <w:snapToGrid w:val="0"/>
                    <w:spacing w:before="4"/>
                    <w:jc w:val="center"/>
                    <w:rPr>
                      <w:rFonts w:hint="eastAsia" w:eastAsia="宋体"/>
                      <w:color w:val="auto"/>
                      <w:sz w:val="21"/>
                      <w:szCs w:val="21"/>
                      <w:lang w:eastAsia="zh-CN"/>
                    </w:rPr>
                  </w:pPr>
                  <w:r>
                    <w:rPr>
                      <w:rFonts w:ascii="Times New Roman" w:hAnsi="Times New Roman" w:eastAsia="宋体" w:cs="Times New Roman"/>
                      <w:color w:val="000000"/>
                      <w:szCs w:val="21"/>
                    </w:rPr>
                    <w:t>1</w:t>
                  </w:r>
                </w:p>
              </w:tc>
              <w:tc>
                <w:tcPr>
                  <w:tcW w:w="2181" w:type="pct"/>
                  <w:noWrap/>
                  <w:vAlign w:val="center"/>
                </w:tcPr>
                <w:p w14:paraId="1EB1B83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建筑掺和料</w:t>
                  </w:r>
                </w:p>
              </w:tc>
              <w:tc>
                <w:tcPr>
                  <w:tcW w:w="695" w:type="pct"/>
                  <w:noWrap/>
                  <w:vAlign w:val="center"/>
                </w:tcPr>
                <w:p w14:paraId="49A8A4BD">
                  <w:pPr>
                    <w:autoSpaceDE w:val="0"/>
                    <w:autoSpaceDN w:val="0"/>
                    <w:adjustRightInd w:val="0"/>
                    <w:snapToGrid w:val="0"/>
                    <w:jc w:val="center"/>
                    <w:rPr>
                      <w:color w:val="auto"/>
                      <w:sz w:val="21"/>
                      <w:szCs w:val="21"/>
                    </w:rPr>
                  </w:pPr>
                  <w:r>
                    <w:rPr>
                      <w:color w:val="auto"/>
                      <w:kern w:val="0"/>
                      <w:sz w:val="21"/>
                      <w:szCs w:val="21"/>
                    </w:rPr>
                    <w:t>t/a</w:t>
                  </w:r>
                </w:p>
              </w:tc>
              <w:tc>
                <w:tcPr>
                  <w:tcW w:w="1584" w:type="pct"/>
                  <w:noWrap/>
                  <w:vAlign w:val="center"/>
                </w:tcPr>
                <w:p w14:paraId="70DE9D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eastAsia="宋体"/>
                      <w:color w:val="auto"/>
                      <w:sz w:val="21"/>
                      <w:szCs w:val="21"/>
                      <w:lang w:val="en-US" w:eastAsia="zh-CN"/>
                    </w:rPr>
                  </w:pPr>
                  <w:r>
                    <w:rPr>
                      <w:rFonts w:hint="eastAsia" w:cs="Times New Roman"/>
                      <w:b w:val="0"/>
                      <w:bCs w:val="0"/>
                      <w:color w:val="auto"/>
                      <w:sz w:val="21"/>
                      <w:szCs w:val="21"/>
                      <w:vertAlign w:val="baseline"/>
                      <w:lang w:val="en-US" w:eastAsia="zh-CN"/>
                    </w:rPr>
                    <w:t>15500</w:t>
                  </w:r>
                </w:p>
              </w:tc>
            </w:tr>
            <w:tr w14:paraId="30F2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noWrap/>
                  <w:vAlign w:val="center"/>
                </w:tcPr>
                <w:p w14:paraId="77848501">
                  <w:pPr>
                    <w:adjustRightInd w:val="0"/>
                    <w:snapToGrid w:val="0"/>
                    <w:spacing w:before="4"/>
                    <w:jc w:val="center"/>
                    <w:rPr>
                      <w:rFonts w:hint="eastAsia" w:eastAsia="宋体"/>
                      <w:color w:val="auto"/>
                      <w:sz w:val="21"/>
                      <w:szCs w:val="21"/>
                      <w:lang w:val="en-US" w:eastAsia="zh-CN"/>
                    </w:rPr>
                  </w:pPr>
                  <w:r>
                    <w:rPr>
                      <w:rFonts w:ascii="Times New Roman" w:hAnsi="Times New Roman" w:eastAsia="宋体" w:cs="Times New Roman"/>
                      <w:color w:val="000000"/>
                      <w:szCs w:val="21"/>
                    </w:rPr>
                    <w:t>2</w:t>
                  </w:r>
                </w:p>
              </w:tc>
              <w:tc>
                <w:tcPr>
                  <w:tcW w:w="2181" w:type="pct"/>
                  <w:noWrap/>
                  <w:vAlign w:val="center"/>
                </w:tcPr>
                <w:p w14:paraId="47CCE10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eastAsia="宋体"/>
                      <w:color w:val="auto"/>
                      <w:kern w:val="0"/>
                      <w:sz w:val="21"/>
                      <w:szCs w:val="21"/>
                      <w:lang w:eastAsia="zh-CN"/>
                    </w:rPr>
                  </w:pPr>
                  <w:r>
                    <w:rPr>
                      <w:rFonts w:hint="eastAsia" w:eastAsia="宋体"/>
                      <w:color w:val="auto"/>
                      <w:kern w:val="0"/>
                      <w:sz w:val="21"/>
                      <w:szCs w:val="21"/>
                      <w:lang w:eastAsia="zh-CN"/>
                    </w:rPr>
                    <w:t>集料（生物滤料）</w:t>
                  </w:r>
                </w:p>
              </w:tc>
              <w:tc>
                <w:tcPr>
                  <w:tcW w:w="695" w:type="pct"/>
                  <w:noWrap/>
                  <w:vAlign w:val="center"/>
                </w:tcPr>
                <w:p w14:paraId="1B84F735">
                  <w:pPr>
                    <w:autoSpaceDE w:val="0"/>
                    <w:autoSpaceDN w:val="0"/>
                    <w:adjustRightInd w:val="0"/>
                    <w:snapToGrid w:val="0"/>
                    <w:jc w:val="center"/>
                    <w:rPr>
                      <w:color w:val="auto"/>
                      <w:kern w:val="0"/>
                      <w:sz w:val="21"/>
                      <w:szCs w:val="21"/>
                    </w:rPr>
                  </w:pPr>
                  <w:r>
                    <w:rPr>
                      <w:color w:val="auto"/>
                      <w:kern w:val="0"/>
                      <w:sz w:val="21"/>
                      <w:szCs w:val="21"/>
                    </w:rPr>
                    <w:t>t/a</w:t>
                  </w:r>
                </w:p>
              </w:tc>
              <w:tc>
                <w:tcPr>
                  <w:tcW w:w="1584" w:type="pct"/>
                  <w:noWrap/>
                  <w:vAlign w:val="center"/>
                </w:tcPr>
                <w:p w14:paraId="0861FC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19276</w:t>
                  </w:r>
                </w:p>
              </w:tc>
            </w:tr>
            <w:tr w14:paraId="3A06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38" w:type="pct"/>
                  <w:noWrap/>
                  <w:vAlign w:val="center"/>
                </w:tcPr>
                <w:p w14:paraId="0A9E5D78">
                  <w:pPr>
                    <w:adjustRightInd w:val="0"/>
                    <w:snapToGrid w:val="0"/>
                    <w:spacing w:before="4"/>
                    <w:jc w:val="center"/>
                    <w:rPr>
                      <w:rFonts w:hint="eastAsia" w:eastAsia="宋体"/>
                      <w:color w:val="auto"/>
                      <w:sz w:val="21"/>
                      <w:szCs w:val="21"/>
                      <w:lang w:eastAsia="zh-CN"/>
                    </w:rPr>
                  </w:pPr>
                  <w:r>
                    <w:rPr>
                      <w:rFonts w:hint="eastAsia" w:ascii="Times New Roman" w:hAnsi="Times New Roman" w:eastAsia="宋体" w:cs="Times New Roman"/>
                      <w:color w:val="000000"/>
                      <w:szCs w:val="21"/>
                    </w:rPr>
                    <w:t>3</w:t>
                  </w:r>
                </w:p>
              </w:tc>
              <w:tc>
                <w:tcPr>
                  <w:tcW w:w="2181" w:type="pct"/>
                  <w:noWrap/>
                  <w:vAlign w:val="center"/>
                </w:tcPr>
                <w:p w14:paraId="0669E4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eastAsia="宋体"/>
                      <w:color w:val="auto"/>
                      <w:kern w:val="0"/>
                      <w:sz w:val="21"/>
                      <w:szCs w:val="21"/>
                      <w:lang w:val="en-US" w:eastAsia="zh-CN"/>
                    </w:rPr>
                  </w:pPr>
                  <w:r>
                    <w:rPr>
                      <w:rFonts w:hint="eastAsia" w:eastAsia="宋体"/>
                      <w:color w:val="auto"/>
                      <w:kern w:val="0"/>
                      <w:sz w:val="21"/>
                      <w:szCs w:val="21"/>
                      <w:lang w:val="en-US" w:eastAsia="zh-CN"/>
                    </w:rPr>
                    <w:t>土壤改良土</w:t>
                  </w:r>
                </w:p>
              </w:tc>
              <w:tc>
                <w:tcPr>
                  <w:tcW w:w="695" w:type="pct"/>
                  <w:noWrap/>
                  <w:vAlign w:val="center"/>
                </w:tcPr>
                <w:p w14:paraId="7FE947B8">
                  <w:pPr>
                    <w:autoSpaceDE w:val="0"/>
                    <w:autoSpaceDN w:val="0"/>
                    <w:adjustRightInd w:val="0"/>
                    <w:snapToGrid w:val="0"/>
                    <w:jc w:val="center"/>
                    <w:rPr>
                      <w:color w:val="auto"/>
                      <w:kern w:val="0"/>
                      <w:sz w:val="21"/>
                      <w:szCs w:val="21"/>
                    </w:rPr>
                  </w:pPr>
                  <w:r>
                    <w:rPr>
                      <w:color w:val="auto"/>
                      <w:kern w:val="0"/>
                      <w:sz w:val="21"/>
                      <w:szCs w:val="21"/>
                    </w:rPr>
                    <w:t>t/a</w:t>
                  </w:r>
                </w:p>
              </w:tc>
              <w:tc>
                <w:tcPr>
                  <w:tcW w:w="1584" w:type="pct"/>
                  <w:shd w:val="clear" w:color="auto" w:fill="auto"/>
                  <w:noWrap/>
                  <w:vAlign w:val="center"/>
                </w:tcPr>
                <w:p w14:paraId="73D6564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vertAlign w:val="baseline"/>
                      <w:lang w:val="en-US" w:eastAsia="zh-CN"/>
                    </w:rPr>
                    <w:t>12540</w:t>
                  </w:r>
                </w:p>
              </w:tc>
            </w:tr>
            <w:tr w14:paraId="7C8A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38" w:type="pct"/>
                  <w:noWrap/>
                  <w:vAlign w:val="center"/>
                </w:tcPr>
                <w:p w14:paraId="23060463">
                  <w:pPr>
                    <w:adjustRightInd w:val="0"/>
                    <w:snapToGrid w:val="0"/>
                    <w:spacing w:before="4"/>
                    <w:jc w:val="center"/>
                    <w:rPr>
                      <w:rFonts w:hint="default"/>
                      <w:color w:val="auto"/>
                      <w:sz w:val="21"/>
                      <w:szCs w:val="21"/>
                      <w:lang w:val="en-US" w:eastAsia="zh-CN"/>
                    </w:rPr>
                  </w:pPr>
                  <w:r>
                    <w:rPr>
                      <w:rFonts w:hint="eastAsia" w:ascii="Times New Roman" w:hAnsi="Times New Roman" w:eastAsia="宋体" w:cs="Times New Roman"/>
                      <w:color w:val="000000"/>
                      <w:szCs w:val="21"/>
                    </w:rPr>
                    <w:t>4</w:t>
                  </w:r>
                </w:p>
              </w:tc>
              <w:tc>
                <w:tcPr>
                  <w:tcW w:w="2181" w:type="pct"/>
                  <w:noWrap/>
                  <w:vAlign w:val="center"/>
                </w:tcPr>
                <w:p w14:paraId="644F5F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eastAsia="宋体"/>
                      <w:color w:val="auto"/>
                      <w:kern w:val="0"/>
                      <w:sz w:val="21"/>
                      <w:szCs w:val="21"/>
                      <w:lang w:eastAsia="zh-CN"/>
                    </w:rPr>
                  </w:pPr>
                  <w:r>
                    <w:rPr>
                      <w:rFonts w:hint="eastAsia" w:eastAsia="宋体"/>
                      <w:color w:val="auto"/>
                      <w:kern w:val="0"/>
                      <w:sz w:val="21"/>
                      <w:szCs w:val="21"/>
                      <w:lang w:eastAsia="zh-CN"/>
                    </w:rPr>
                    <w:t>绿化营养土</w:t>
                  </w:r>
                </w:p>
              </w:tc>
              <w:tc>
                <w:tcPr>
                  <w:tcW w:w="695" w:type="pct"/>
                  <w:noWrap/>
                  <w:vAlign w:val="center"/>
                </w:tcPr>
                <w:p w14:paraId="78B3481D">
                  <w:pPr>
                    <w:autoSpaceDE w:val="0"/>
                    <w:autoSpaceDN w:val="0"/>
                    <w:adjustRightInd w:val="0"/>
                    <w:snapToGrid w:val="0"/>
                    <w:jc w:val="center"/>
                    <w:rPr>
                      <w:color w:val="auto"/>
                      <w:kern w:val="0"/>
                      <w:sz w:val="21"/>
                      <w:szCs w:val="21"/>
                    </w:rPr>
                  </w:pPr>
                  <w:r>
                    <w:rPr>
                      <w:color w:val="auto"/>
                      <w:kern w:val="0"/>
                      <w:sz w:val="21"/>
                      <w:szCs w:val="21"/>
                    </w:rPr>
                    <w:t>t/a</w:t>
                  </w:r>
                </w:p>
              </w:tc>
              <w:tc>
                <w:tcPr>
                  <w:tcW w:w="1584" w:type="pct"/>
                  <w:noWrap/>
                  <w:vAlign w:val="center"/>
                </w:tcPr>
                <w:p w14:paraId="3ADB85E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lang w:val="en-US"/>
                    </w:rPr>
                  </w:pPr>
                  <w:r>
                    <w:rPr>
                      <w:rFonts w:hint="eastAsia" w:cs="Times New Roman"/>
                      <w:b w:val="0"/>
                      <w:bCs w:val="0"/>
                      <w:color w:val="auto"/>
                      <w:sz w:val="21"/>
                      <w:szCs w:val="21"/>
                      <w:vertAlign w:val="baseline"/>
                      <w:lang w:val="en-US" w:eastAsia="zh-CN"/>
                    </w:rPr>
                    <w:t>9020</w:t>
                  </w:r>
                </w:p>
              </w:tc>
            </w:tr>
            <w:tr w14:paraId="5781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noWrap/>
                  <w:vAlign w:val="center"/>
                </w:tcPr>
                <w:p w14:paraId="10E9775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注:筑掺和料总产能为21536，其中15500用做产品外售，6036用于生产集料的原料。</w:t>
                  </w:r>
                </w:p>
              </w:tc>
            </w:tr>
          </w:tbl>
          <w:p w14:paraId="059F61EE">
            <w:pPr>
              <w:adjustRightInd w:val="0"/>
              <w:snapToGrid w:val="0"/>
              <w:spacing w:line="360" w:lineRule="auto"/>
              <w:jc w:val="center"/>
              <w:rPr>
                <w:b/>
                <w:bCs/>
                <w:color w:val="auto"/>
                <w:kern w:val="0"/>
                <w:sz w:val="24"/>
              </w:rPr>
            </w:pPr>
            <w:r>
              <w:rPr>
                <w:b/>
                <w:bCs/>
                <w:color w:val="auto"/>
                <w:kern w:val="0"/>
                <w:sz w:val="24"/>
              </w:rPr>
              <w:t>表</w:t>
            </w:r>
            <w:r>
              <w:rPr>
                <w:rFonts w:hint="eastAsia"/>
                <w:b/>
                <w:bCs/>
                <w:color w:val="auto"/>
                <w:kern w:val="0"/>
                <w:sz w:val="24"/>
                <w:lang w:val="en-US" w:eastAsia="zh-CN"/>
              </w:rPr>
              <w:t>2.5</w:t>
            </w:r>
            <w:r>
              <w:rPr>
                <w:b/>
                <w:bCs/>
                <w:color w:val="auto"/>
                <w:kern w:val="0"/>
                <w:sz w:val="24"/>
              </w:rPr>
              <w:t xml:space="preserve">  项目</w:t>
            </w:r>
            <w:r>
              <w:rPr>
                <w:rFonts w:hint="eastAsia"/>
                <w:b/>
                <w:bCs/>
                <w:color w:val="auto"/>
                <w:kern w:val="0"/>
                <w:sz w:val="24"/>
                <w:lang w:eastAsia="zh-CN"/>
              </w:rPr>
              <w:t>产品质量标准</w:t>
            </w:r>
            <w:r>
              <w:rPr>
                <w:b/>
                <w:bCs/>
                <w:color w:val="auto"/>
                <w:kern w:val="0"/>
                <w:sz w:val="24"/>
              </w:rPr>
              <w:t>一览表</w:t>
            </w:r>
          </w:p>
          <w:tbl>
            <w:tblPr>
              <w:tblStyle w:val="30"/>
              <w:tblW w:w="8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3143"/>
              <w:gridCol w:w="4354"/>
            </w:tblGrid>
            <w:tr w14:paraId="6AC5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8" w:type="dxa"/>
                  <w:vAlign w:val="center"/>
                </w:tcPr>
                <w:p w14:paraId="07A47E41">
                  <w:pPr>
                    <w:bidi w:val="0"/>
                    <w:jc w:val="center"/>
                    <w:rPr>
                      <w:rFonts w:hint="eastAsia"/>
                      <w:color w:val="auto"/>
                      <w:vertAlign w:val="baseline"/>
                      <w:lang w:val="en-US" w:eastAsia="zh-CN"/>
                    </w:rPr>
                  </w:pPr>
                  <w:r>
                    <w:rPr>
                      <w:rFonts w:hint="default"/>
                      <w:color w:val="auto"/>
                      <w:lang w:val="en-US" w:eastAsia="zh-CN"/>
                    </w:rPr>
                    <w:t>序号</w:t>
                  </w:r>
                </w:p>
              </w:tc>
              <w:tc>
                <w:tcPr>
                  <w:tcW w:w="3143" w:type="dxa"/>
                  <w:vAlign w:val="center"/>
                </w:tcPr>
                <w:p w14:paraId="4834A52D">
                  <w:pPr>
                    <w:bidi w:val="0"/>
                    <w:jc w:val="center"/>
                    <w:rPr>
                      <w:rFonts w:hint="eastAsia"/>
                      <w:color w:val="auto"/>
                      <w:vertAlign w:val="baseline"/>
                      <w:lang w:val="en-US" w:eastAsia="zh-CN"/>
                    </w:rPr>
                  </w:pPr>
                  <w:r>
                    <w:rPr>
                      <w:rFonts w:hint="eastAsia"/>
                      <w:color w:val="auto"/>
                      <w:lang w:val="en-US" w:eastAsia="zh-CN"/>
                    </w:rPr>
                    <w:t>产品类型</w:t>
                  </w:r>
                </w:p>
              </w:tc>
              <w:tc>
                <w:tcPr>
                  <w:tcW w:w="4354" w:type="dxa"/>
                  <w:vAlign w:val="center"/>
                </w:tcPr>
                <w:p w14:paraId="031C02FC">
                  <w:pPr>
                    <w:bidi w:val="0"/>
                    <w:jc w:val="center"/>
                    <w:rPr>
                      <w:rFonts w:hint="eastAsia"/>
                      <w:color w:val="auto"/>
                      <w:vertAlign w:val="baseline"/>
                      <w:lang w:val="en-US" w:eastAsia="zh-CN"/>
                    </w:rPr>
                  </w:pPr>
                  <w:r>
                    <w:rPr>
                      <w:rFonts w:hint="eastAsia"/>
                      <w:color w:val="auto"/>
                      <w:lang w:val="en-US" w:eastAsia="zh-CN"/>
                    </w:rPr>
                    <w:t>产品标准</w:t>
                  </w:r>
                </w:p>
              </w:tc>
            </w:tr>
            <w:tr w14:paraId="7884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8" w:type="dxa"/>
                  <w:vAlign w:val="center"/>
                </w:tcPr>
                <w:p w14:paraId="6A0AA692">
                  <w:pPr>
                    <w:bidi w:val="0"/>
                    <w:jc w:val="center"/>
                    <w:rPr>
                      <w:rFonts w:hint="eastAsia"/>
                      <w:b w:val="0"/>
                      <w:bCs w:val="0"/>
                      <w:color w:val="auto"/>
                      <w:vertAlign w:val="baseline"/>
                      <w:lang w:val="en-US" w:eastAsia="zh-CN"/>
                    </w:rPr>
                  </w:pPr>
                  <w:r>
                    <w:rPr>
                      <w:rFonts w:hint="eastAsia"/>
                      <w:b w:val="0"/>
                      <w:bCs w:val="0"/>
                      <w:color w:val="auto"/>
                      <w:lang w:val="en-US" w:eastAsia="zh-CN"/>
                    </w:rPr>
                    <w:t>1</w:t>
                  </w:r>
                </w:p>
              </w:tc>
              <w:tc>
                <w:tcPr>
                  <w:tcW w:w="3143" w:type="dxa"/>
                  <w:vAlign w:val="center"/>
                </w:tcPr>
                <w:p w14:paraId="2CDDD61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b w:val="0"/>
                      <w:bCs w:val="0"/>
                      <w:color w:val="auto"/>
                      <w:vertAlign w:val="baseline"/>
                      <w:lang w:val="en-US" w:eastAsia="zh-CN"/>
                    </w:rPr>
                  </w:pPr>
                  <w:r>
                    <w:rPr>
                      <w:rFonts w:hint="eastAsia" w:ascii="宋体" w:hAnsi="宋体" w:cs="宋体"/>
                      <w:b w:val="0"/>
                      <w:bCs w:val="0"/>
                      <w:color w:val="auto"/>
                      <w:sz w:val="21"/>
                      <w:szCs w:val="21"/>
                      <w:vertAlign w:val="baseline"/>
                      <w:lang w:val="en-US" w:eastAsia="zh-CN"/>
                    </w:rPr>
                    <w:t>建筑掺和料</w:t>
                  </w:r>
                </w:p>
              </w:tc>
              <w:tc>
                <w:tcPr>
                  <w:tcW w:w="4354" w:type="dxa"/>
                  <w:vAlign w:val="center"/>
                </w:tcPr>
                <w:p w14:paraId="4A5EBEC3">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《混凝土用复合掺合料》</w:t>
                  </w:r>
                </w:p>
                <w:p w14:paraId="23425E68">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（JG∕T486-2015）</w:t>
                  </w:r>
                </w:p>
              </w:tc>
            </w:tr>
            <w:tr w14:paraId="056C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8" w:type="dxa"/>
                  <w:vAlign w:val="center"/>
                </w:tcPr>
                <w:p w14:paraId="07133FC1">
                  <w:pPr>
                    <w:bidi w:val="0"/>
                    <w:jc w:val="center"/>
                    <w:rPr>
                      <w:rFonts w:hint="eastAsia"/>
                      <w:b w:val="0"/>
                      <w:bCs w:val="0"/>
                      <w:color w:val="auto"/>
                      <w:vertAlign w:val="baseline"/>
                      <w:lang w:val="en-US" w:eastAsia="zh-CN"/>
                    </w:rPr>
                  </w:pPr>
                  <w:r>
                    <w:rPr>
                      <w:rFonts w:hint="eastAsia"/>
                      <w:b w:val="0"/>
                      <w:bCs w:val="0"/>
                      <w:color w:val="auto"/>
                      <w:lang w:val="en-US" w:eastAsia="zh-CN"/>
                    </w:rPr>
                    <w:t>2</w:t>
                  </w:r>
                </w:p>
              </w:tc>
              <w:tc>
                <w:tcPr>
                  <w:tcW w:w="3143" w:type="dxa"/>
                  <w:vAlign w:val="center"/>
                </w:tcPr>
                <w:p w14:paraId="186032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b w:val="0"/>
                      <w:bCs w:val="0"/>
                      <w:color w:val="auto"/>
                      <w:vertAlign w:val="baseline"/>
                      <w:lang w:val="en-US" w:eastAsia="zh-CN"/>
                    </w:rPr>
                  </w:pPr>
                  <w:r>
                    <w:rPr>
                      <w:rFonts w:hint="eastAsia"/>
                      <w:b w:val="0"/>
                      <w:bCs w:val="0"/>
                      <w:color w:val="auto"/>
                      <w:vertAlign w:val="baseline"/>
                      <w:lang w:val="en-US" w:eastAsia="zh-CN"/>
                    </w:rPr>
                    <w:t>集料（生物滤料）</w:t>
                  </w:r>
                </w:p>
              </w:tc>
              <w:tc>
                <w:tcPr>
                  <w:tcW w:w="4354" w:type="dxa"/>
                  <w:vAlign w:val="center"/>
                </w:tcPr>
                <w:p w14:paraId="2686F8B6">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《轻集料及其试验方法 第1部分：轻集料》</w:t>
                  </w:r>
                </w:p>
                <w:p w14:paraId="6EDEB216">
                  <w:pPr>
                    <w:bidi w:val="0"/>
                    <w:jc w:val="center"/>
                    <w:rPr>
                      <w:rFonts w:hint="eastAsia"/>
                      <w:b w:val="0"/>
                      <w:bCs w:val="0"/>
                      <w:color w:val="auto"/>
                      <w:vertAlign w:val="baseline"/>
                      <w:lang w:val="en-US" w:eastAsia="zh-CN"/>
                    </w:rPr>
                  </w:pPr>
                  <w:r>
                    <w:rPr>
                      <w:rFonts w:hint="eastAsia"/>
                      <w:b w:val="0"/>
                      <w:bCs w:val="0"/>
                      <w:color w:val="auto"/>
                      <w:vertAlign w:val="baseline"/>
                      <w:lang w:val="en-US" w:eastAsia="zh-CN"/>
                    </w:rPr>
                    <w:t>(GB/T17431.1-2010)</w:t>
                  </w:r>
                </w:p>
              </w:tc>
            </w:tr>
            <w:tr w14:paraId="47E5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8" w:type="dxa"/>
                  <w:vAlign w:val="center"/>
                </w:tcPr>
                <w:p w14:paraId="6CF80035">
                  <w:pPr>
                    <w:bidi w:val="0"/>
                    <w:jc w:val="center"/>
                    <w:rPr>
                      <w:rFonts w:hint="default"/>
                      <w:b w:val="0"/>
                      <w:bCs w:val="0"/>
                      <w:color w:val="auto"/>
                      <w:lang w:val="en-US" w:eastAsia="zh-CN"/>
                    </w:rPr>
                  </w:pPr>
                  <w:r>
                    <w:rPr>
                      <w:rFonts w:hint="eastAsia"/>
                      <w:b w:val="0"/>
                      <w:bCs w:val="0"/>
                      <w:color w:val="auto"/>
                      <w:lang w:val="en-US" w:eastAsia="zh-CN"/>
                    </w:rPr>
                    <w:t>3</w:t>
                  </w:r>
                </w:p>
              </w:tc>
              <w:tc>
                <w:tcPr>
                  <w:tcW w:w="3143" w:type="dxa"/>
                  <w:shd w:val="clear" w:color="auto" w:fill="auto"/>
                  <w:vAlign w:val="center"/>
                </w:tcPr>
                <w:p w14:paraId="5502F0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val="0"/>
                      <w:color w:val="auto"/>
                      <w:kern w:val="2"/>
                      <w:sz w:val="21"/>
                      <w:szCs w:val="24"/>
                      <w:vertAlign w:val="baseline"/>
                      <w:lang w:val="zh-CN" w:eastAsia="zh-CN" w:bidi="ar-SA"/>
                    </w:rPr>
                  </w:pPr>
                  <w:r>
                    <w:rPr>
                      <w:rFonts w:hint="eastAsia" w:ascii="宋体" w:hAnsi="宋体" w:eastAsia="宋体" w:cs="宋体"/>
                      <w:b w:val="0"/>
                      <w:bCs w:val="0"/>
                      <w:color w:val="auto"/>
                      <w:sz w:val="21"/>
                      <w:szCs w:val="21"/>
                      <w:vertAlign w:val="baseline"/>
                      <w:lang w:val="zh-CN" w:eastAsia="zh-CN"/>
                    </w:rPr>
                    <w:t>土壤改良土</w:t>
                  </w:r>
                </w:p>
              </w:tc>
              <w:tc>
                <w:tcPr>
                  <w:tcW w:w="4354" w:type="dxa"/>
                  <w:shd w:val="clear" w:color="auto" w:fill="auto"/>
                  <w:vAlign w:val="center"/>
                </w:tcPr>
                <w:p w14:paraId="30015C11">
                  <w:pPr>
                    <w:bidi w:val="0"/>
                    <w:jc w:val="center"/>
                    <w:rPr>
                      <w:rFonts w:hint="eastAsia" w:ascii="Times New Roman" w:hAnsi="Times New Roman" w:eastAsia="宋体" w:cs="Times New Roman"/>
                      <w:b w:val="0"/>
                      <w:bCs w:val="0"/>
                      <w:color w:val="auto"/>
                      <w:kern w:val="2"/>
                      <w:sz w:val="21"/>
                      <w:szCs w:val="24"/>
                      <w:vertAlign w:val="baseline"/>
                      <w:lang w:val="en-US" w:eastAsia="zh-CN" w:bidi="ar-SA"/>
                    </w:rPr>
                  </w:pPr>
                  <w:r>
                    <w:rPr>
                      <w:rFonts w:hint="eastAsia"/>
                      <w:b w:val="0"/>
                      <w:bCs w:val="0"/>
                      <w:color w:val="auto"/>
                      <w:kern w:val="0"/>
                      <w:szCs w:val="21"/>
                      <w:highlight w:val="none"/>
                      <w:lang w:val="en-US" w:eastAsia="zh-CN"/>
                    </w:rPr>
                    <w:t>《城镇污水处理厂污泥处置土地改良用泥质》（GB/T24600-2009）</w:t>
                  </w:r>
                </w:p>
              </w:tc>
            </w:tr>
            <w:tr w14:paraId="270A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8" w:type="dxa"/>
                  <w:vAlign w:val="center"/>
                </w:tcPr>
                <w:p w14:paraId="7B613ED0">
                  <w:pPr>
                    <w:bidi w:val="0"/>
                    <w:jc w:val="center"/>
                    <w:rPr>
                      <w:rFonts w:hint="default"/>
                      <w:b w:val="0"/>
                      <w:bCs w:val="0"/>
                      <w:color w:val="auto"/>
                      <w:vertAlign w:val="baseline"/>
                      <w:lang w:val="en-US" w:eastAsia="zh-CN"/>
                    </w:rPr>
                  </w:pPr>
                  <w:r>
                    <w:rPr>
                      <w:rFonts w:hint="eastAsia"/>
                      <w:b w:val="0"/>
                      <w:bCs w:val="0"/>
                      <w:color w:val="auto"/>
                      <w:vertAlign w:val="baseline"/>
                      <w:lang w:val="en-US" w:eastAsia="zh-CN"/>
                    </w:rPr>
                    <w:t>4</w:t>
                  </w:r>
                </w:p>
              </w:tc>
              <w:tc>
                <w:tcPr>
                  <w:tcW w:w="3143" w:type="dxa"/>
                  <w:shd w:val="clear" w:color="auto" w:fill="auto"/>
                  <w:vAlign w:val="center"/>
                </w:tcPr>
                <w:p w14:paraId="225699E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val="0"/>
                      <w:color w:val="auto"/>
                      <w:kern w:val="2"/>
                      <w:sz w:val="21"/>
                      <w:szCs w:val="24"/>
                      <w:vertAlign w:val="baseline"/>
                      <w:lang w:val="en-US" w:eastAsia="zh-CN" w:bidi="ar-SA"/>
                    </w:rPr>
                  </w:pPr>
                  <w:r>
                    <w:rPr>
                      <w:rFonts w:hint="eastAsia" w:ascii="宋体" w:hAnsi="宋体" w:eastAsia="宋体" w:cs="宋体"/>
                      <w:b w:val="0"/>
                      <w:bCs w:val="0"/>
                      <w:color w:val="auto"/>
                      <w:sz w:val="21"/>
                      <w:szCs w:val="21"/>
                      <w:vertAlign w:val="baseline"/>
                      <w:lang w:val="zh-CN" w:eastAsia="zh-CN"/>
                    </w:rPr>
                    <w:t>绿</w:t>
                  </w:r>
                  <w:r>
                    <w:rPr>
                      <w:rFonts w:hint="eastAsia" w:ascii="宋体" w:hAnsi="宋体" w:cs="宋体"/>
                      <w:b w:val="0"/>
                      <w:bCs w:val="0"/>
                      <w:color w:val="auto"/>
                      <w:sz w:val="21"/>
                      <w:szCs w:val="21"/>
                      <w:vertAlign w:val="baseline"/>
                      <w:lang w:val="zh-CN" w:eastAsia="zh-CN"/>
                    </w:rPr>
                    <w:t>化营养土</w:t>
                  </w:r>
                </w:p>
              </w:tc>
              <w:tc>
                <w:tcPr>
                  <w:tcW w:w="4354" w:type="dxa"/>
                  <w:shd w:val="clear" w:color="auto" w:fill="auto"/>
                  <w:vAlign w:val="center"/>
                </w:tcPr>
                <w:p w14:paraId="4F93622C">
                  <w:pPr>
                    <w:bidi w:val="0"/>
                    <w:jc w:val="center"/>
                    <w:rPr>
                      <w:rFonts w:hint="eastAsia"/>
                      <w:b w:val="0"/>
                      <w:bCs w:val="0"/>
                      <w:color w:val="auto"/>
                      <w:kern w:val="0"/>
                      <w:szCs w:val="21"/>
                      <w:highlight w:val="none"/>
                      <w:lang w:val="en-US" w:eastAsia="zh-CN"/>
                    </w:rPr>
                  </w:pPr>
                  <w:r>
                    <w:rPr>
                      <w:rFonts w:hint="eastAsia"/>
                      <w:b w:val="0"/>
                      <w:bCs w:val="0"/>
                      <w:color w:val="auto"/>
                      <w:kern w:val="0"/>
                      <w:szCs w:val="21"/>
                      <w:highlight w:val="none"/>
                      <w:lang w:val="en-US" w:eastAsia="zh-CN"/>
                    </w:rPr>
                    <w:t>《城镇污水处理厂污泥处置园林绿化用泥质》</w:t>
                  </w:r>
                </w:p>
                <w:p w14:paraId="6BB9AAFB">
                  <w:pPr>
                    <w:bidi w:val="0"/>
                    <w:jc w:val="center"/>
                    <w:rPr>
                      <w:rFonts w:hint="eastAsia" w:ascii="Times New Roman" w:hAnsi="Times New Roman" w:eastAsia="宋体" w:cs="Times New Roman"/>
                      <w:b w:val="0"/>
                      <w:bCs w:val="0"/>
                      <w:color w:val="auto"/>
                      <w:kern w:val="2"/>
                      <w:sz w:val="21"/>
                      <w:szCs w:val="24"/>
                      <w:vertAlign w:val="baseline"/>
                      <w:lang w:val="en-US" w:eastAsia="zh-CN" w:bidi="ar-SA"/>
                    </w:rPr>
                  </w:pPr>
                  <w:r>
                    <w:rPr>
                      <w:rFonts w:hint="eastAsia"/>
                      <w:b w:val="0"/>
                      <w:bCs w:val="0"/>
                      <w:color w:val="auto"/>
                      <w:kern w:val="0"/>
                      <w:szCs w:val="21"/>
                      <w:highlight w:val="none"/>
                      <w:lang w:val="en-US" w:eastAsia="zh-CN"/>
                    </w:rPr>
                    <w:t>（GB/T23486-2009）</w:t>
                  </w:r>
                </w:p>
              </w:tc>
            </w:tr>
          </w:tbl>
          <w:p w14:paraId="6DBD93E4">
            <w:pPr>
              <w:pStyle w:val="66"/>
              <w:widowControl/>
              <w:numPr>
                <w:ilvl w:val="0"/>
                <w:numId w:val="0"/>
              </w:numPr>
              <w:kinsoku w:val="0"/>
              <w:autoSpaceDE w:val="0"/>
              <w:autoSpaceDN w:val="0"/>
              <w:adjustRightInd w:val="0"/>
              <w:snapToGrid w:val="0"/>
              <w:spacing w:line="460" w:lineRule="exact"/>
              <w:ind w:firstLine="480" w:firstLineChars="200"/>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cs="Times New Roman"/>
                <w:color w:val="auto"/>
                <w:sz w:val="24"/>
                <w:szCs w:val="24"/>
                <w:lang w:val="en-US" w:eastAsia="zh-CN"/>
              </w:rPr>
              <w:t>建筑掺和料</w:t>
            </w:r>
            <w:r>
              <w:rPr>
                <w:rFonts w:hint="default" w:ascii="Times New Roman" w:hAnsi="Times New Roman" w:eastAsia="宋体" w:cs="Times New Roman"/>
                <w:color w:val="auto"/>
                <w:sz w:val="24"/>
                <w:szCs w:val="24"/>
                <w:lang w:eastAsia="zh-CN"/>
              </w:rPr>
              <w:t>：项目生产的</w:t>
            </w:r>
            <w:r>
              <w:rPr>
                <w:rFonts w:hint="eastAsia" w:ascii="Times New Roman" w:hAnsi="Times New Roman" w:cs="Times New Roman"/>
                <w:color w:val="auto"/>
                <w:sz w:val="24"/>
                <w:szCs w:val="24"/>
                <w:lang w:eastAsia="zh-CN"/>
              </w:rPr>
              <w:t>建筑掺和料</w:t>
            </w:r>
            <w:r>
              <w:rPr>
                <w:rFonts w:hint="default" w:ascii="Times New Roman" w:hAnsi="Times New Roman" w:eastAsia="宋体" w:cs="Times New Roman"/>
                <w:color w:val="auto"/>
                <w:sz w:val="24"/>
                <w:szCs w:val="24"/>
                <w:lang w:eastAsia="zh-CN"/>
              </w:rPr>
              <w:t>使用</w:t>
            </w:r>
            <w:r>
              <w:rPr>
                <w:rFonts w:hint="eastAsia" w:ascii="Times New Roman" w:hAnsi="Times New Roman" w:cs="Times New Roman"/>
                <w:color w:val="auto"/>
                <w:sz w:val="24"/>
                <w:szCs w:val="24"/>
                <w:lang w:eastAsia="zh-CN"/>
              </w:rPr>
              <w:t>炉渣、粉煤灰、脱硫石膏、生石灰作为原料</w:t>
            </w:r>
            <w:r>
              <w:rPr>
                <w:rFonts w:hint="default" w:ascii="Times New Roman" w:hAnsi="Times New Roman" w:eastAsia="宋体" w:cs="Times New Roman"/>
                <w:color w:val="auto"/>
                <w:sz w:val="24"/>
                <w:szCs w:val="24"/>
                <w:lang w:eastAsia="zh-CN"/>
              </w:rPr>
              <w:t>，经过</w:t>
            </w:r>
            <w:r>
              <w:rPr>
                <w:rFonts w:hint="eastAsia" w:ascii="Times New Roman" w:hAnsi="Times New Roman" w:eastAsia="宋体" w:cs="Times New Roman"/>
                <w:color w:val="auto"/>
                <w:sz w:val="24"/>
                <w:szCs w:val="24"/>
                <w:lang w:eastAsia="zh-CN"/>
              </w:rPr>
              <w:t>研磨后加入水泥进行搅拌得到成品</w:t>
            </w:r>
            <w:r>
              <w:rPr>
                <w:rFonts w:hint="default" w:ascii="Times New Roman" w:hAnsi="Times New Roman" w:eastAsia="宋体" w:cs="Times New Roman"/>
                <w:color w:val="auto"/>
                <w:sz w:val="24"/>
                <w:szCs w:val="24"/>
                <w:lang w:eastAsia="zh-CN"/>
              </w:rPr>
              <w:t>。本产品应满足</w:t>
            </w:r>
            <w:r>
              <w:rPr>
                <w:rFonts w:hint="default" w:ascii="Times New Roman" w:hAnsi="Times New Roman" w:eastAsia="宋体" w:cs="Times New Roman"/>
                <w:color w:val="auto"/>
                <w:sz w:val="24"/>
                <w:szCs w:val="24"/>
                <w:lang w:val="en-US" w:eastAsia="zh-CN"/>
              </w:rPr>
              <w:t>《混凝土用复合掺合料》（JG∕T 486-2015）</w:t>
            </w:r>
            <w:r>
              <w:rPr>
                <w:rFonts w:hint="default" w:ascii="Times New Roman" w:hAnsi="Times New Roman" w:eastAsia="宋体" w:cs="Times New Roman"/>
                <w:color w:val="auto"/>
                <w:sz w:val="24"/>
                <w:szCs w:val="24"/>
                <w:lang w:eastAsia="zh-CN"/>
              </w:rPr>
              <w:t>表1中普通型的Ⅲ级的要求，产品出厂前应逐批检验，检验合格后方可出厂。出厂检验项目包括</w:t>
            </w:r>
            <w:r>
              <w:rPr>
                <w:rFonts w:hint="eastAsia" w:ascii="Times New Roman" w:hAnsi="Times New Roman" w:eastAsia="宋体" w:cs="Times New Roman"/>
                <w:color w:val="auto"/>
                <w:sz w:val="24"/>
                <w:szCs w:val="24"/>
                <w:lang w:eastAsia="zh-CN"/>
              </w:rPr>
              <w:t>细度</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流动度比</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活性指数</w:t>
            </w:r>
            <w:r>
              <w:rPr>
                <w:rFonts w:hint="default" w:ascii="Times New Roman" w:hAnsi="Times New Roman" w:eastAsia="宋体" w:cs="Times New Roman"/>
                <w:color w:val="auto"/>
                <w:sz w:val="24"/>
                <w:szCs w:val="24"/>
                <w:lang w:eastAsia="zh-CN"/>
              </w:rPr>
              <w:t>、</w:t>
            </w:r>
            <w:r>
              <w:rPr>
                <w:color w:val="auto"/>
                <w:sz w:val="24"/>
                <w:szCs w:val="24"/>
              </w:rPr>
              <w:t>胶砂抗压强度增长比</w:t>
            </w:r>
            <w:r>
              <w:rPr>
                <w:rFonts w:hint="default" w:ascii="Times New Roman" w:hAnsi="Times New Roman" w:eastAsia="宋体" w:cs="Times New Roman"/>
                <w:color w:val="auto"/>
                <w:sz w:val="24"/>
                <w:szCs w:val="24"/>
                <w:lang w:eastAsia="zh-CN"/>
              </w:rPr>
              <w:t>、</w:t>
            </w:r>
            <w:r>
              <w:rPr>
                <w:color w:val="auto"/>
                <w:sz w:val="24"/>
                <w:szCs w:val="24"/>
              </w:rPr>
              <w:t>含水量</w:t>
            </w:r>
            <w:r>
              <w:rPr>
                <w:rFonts w:hint="default" w:ascii="Times New Roman" w:hAnsi="Times New Roman" w:eastAsia="宋体" w:cs="Times New Roman"/>
                <w:color w:val="auto"/>
                <w:sz w:val="24"/>
                <w:szCs w:val="24"/>
                <w:lang w:eastAsia="zh-CN"/>
              </w:rPr>
              <w:t>、氯离子含量、三氧化硫含量、安定性。</w:t>
            </w:r>
          </w:p>
          <w:p w14:paraId="020B8AF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b/>
                <w:bCs w:val="0"/>
                <w:color w:val="auto"/>
                <w:sz w:val="24"/>
                <w:szCs w:val="24"/>
                <w:lang w:val="en-US" w:eastAsia="zh-CN"/>
              </w:rPr>
            </w:pPr>
            <w:r>
              <w:rPr>
                <w:rFonts w:hint="eastAsia"/>
                <w:b/>
                <w:bCs w:val="0"/>
                <w:color w:val="auto"/>
                <w:sz w:val="24"/>
                <w:szCs w:val="24"/>
              </w:rPr>
              <w:t>表</w:t>
            </w:r>
            <w:r>
              <w:rPr>
                <w:rFonts w:hint="eastAsia"/>
                <w:b/>
                <w:bCs w:val="0"/>
                <w:color w:val="auto"/>
                <w:sz w:val="24"/>
                <w:szCs w:val="24"/>
                <w:lang w:val="en-US" w:eastAsia="zh-CN"/>
              </w:rPr>
              <w:t>2.6</w:t>
            </w:r>
            <w:r>
              <w:rPr>
                <w:rFonts w:hint="eastAsia"/>
                <w:b/>
                <w:bCs w:val="0"/>
                <w:color w:val="auto"/>
                <w:sz w:val="24"/>
                <w:szCs w:val="24"/>
              </w:rPr>
              <w:t xml:space="preserve">  </w:t>
            </w:r>
            <w:r>
              <w:rPr>
                <w:rFonts w:hint="eastAsia"/>
                <w:b/>
                <w:bCs w:val="0"/>
                <w:color w:val="auto"/>
                <w:sz w:val="24"/>
                <w:szCs w:val="24"/>
                <w:lang w:eastAsia="zh-CN"/>
              </w:rPr>
              <w:t>建筑掺和料</w:t>
            </w:r>
            <w:r>
              <w:rPr>
                <w:b/>
                <w:bCs w:val="0"/>
                <w:color w:val="auto"/>
                <w:sz w:val="24"/>
                <w:szCs w:val="24"/>
              </w:rPr>
              <w:t>的技术指标</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
              <w:gridCol w:w="884"/>
              <w:gridCol w:w="169"/>
              <w:gridCol w:w="722"/>
              <w:gridCol w:w="1127"/>
              <w:gridCol w:w="1127"/>
              <w:gridCol w:w="1014"/>
              <w:gridCol w:w="971"/>
              <w:gridCol w:w="157"/>
              <w:gridCol w:w="1132"/>
            </w:tblGrid>
            <w:tr w14:paraId="4287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9" w:type="pct"/>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9B99D2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color w:val="auto"/>
                      <w:sz w:val="21"/>
                      <w:szCs w:val="21"/>
                    </w:rPr>
                  </w:pPr>
                  <w:r>
                    <w:rPr>
                      <w:b/>
                      <w:color w:val="auto"/>
                      <w:sz w:val="21"/>
                      <w:szCs w:val="21"/>
                    </w:rPr>
                    <w:t>序号</w:t>
                  </w:r>
                </w:p>
              </w:tc>
              <w:tc>
                <w:tcPr>
                  <w:tcW w:w="1084" w:type="pct"/>
                  <w:gridSpan w:val="3"/>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D9A39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color w:val="auto"/>
                      <w:sz w:val="21"/>
                      <w:szCs w:val="21"/>
                    </w:rPr>
                  </w:pPr>
                  <w:r>
                    <w:rPr>
                      <w:b/>
                      <w:color w:val="auto"/>
                      <w:sz w:val="21"/>
                      <w:szCs w:val="21"/>
                    </w:rPr>
                    <w:t>项目</w:t>
                  </w:r>
                </w:p>
              </w:tc>
              <w:tc>
                <w:tcPr>
                  <w:tcW w:w="1995"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20804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color w:val="auto"/>
                      <w:sz w:val="21"/>
                      <w:szCs w:val="21"/>
                    </w:rPr>
                  </w:pPr>
                  <w:r>
                    <w:rPr>
                      <w:b/>
                      <w:color w:val="auto"/>
                      <w:sz w:val="21"/>
                      <w:szCs w:val="21"/>
                    </w:rPr>
                    <w:t>普通型*</w:t>
                  </w:r>
                </w:p>
              </w:tc>
              <w:tc>
                <w:tcPr>
                  <w:tcW w:w="689" w:type="pct"/>
                  <w:gridSpan w:val="2"/>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820F5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color w:val="auto"/>
                      <w:sz w:val="21"/>
                      <w:szCs w:val="21"/>
                    </w:rPr>
                  </w:pPr>
                  <w:r>
                    <w:rPr>
                      <w:b/>
                      <w:color w:val="auto"/>
                      <w:sz w:val="21"/>
                      <w:szCs w:val="21"/>
                    </w:rPr>
                    <w:t>早强型*</w:t>
                  </w:r>
                </w:p>
              </w:tc>
              <w:tc>
                <w:tcPr>
                  <w:tcW w:w="690" w:type="pct"/>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ACF13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color w:val="auto"/>
                      <w:sz w:val="21"/>
                      <w:szCs w:val="21"/>
                    </w:rPr>
                  </w:pPr>
                  <w:r>
                    <w:rPr>
                      <w:b/>
                      <w:color w:val="auto"/>
                      <w:sz w:val="21"/>
                      <w:szCs w:val="21"/>
                    </w:rPr>
                    <w:t>易流型*</w:t>
                  </w:r>
                </w:p>
              </w:tc>
            </w:tr>
            <w:tr w14:paraId="71F6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9" w:type="pct"/>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3FAF2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color w:val="auto"/>
                      <w:sz w:val="21"/>
                      <w:szCs w:val="21"/>
                    </w:rPr>
                  </w:pPr>
                </w:p>
              </w:tc>
              <w:tc>
                <w:tcPr>
                  <w:tcW w:w="1084" w:type="pct"/>
                  <w:gridSpan w:val="3"/>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A3663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color w:val="auto"/>
                      <w:sz w:val="21"/>
                      <w:szCs w:val="21"/>
                    </w:rPr>
                  </w:pP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DFE9F0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color w:val="auto"/>
                      <w:sz w:val="21"/>
                      <w:szCs w:val="21"/>
                    </w:rPr>
                  </w:pPr>
                  <w:r>
                    <w:rPr>
                      <w:b/>
                      <w:color w:val="auto"/>
                      <w:sz w:val="21"/>
                      <w:szCs w:val="21"/>
                    </w:rPr>
                    <w:t>Ⅰ级</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7AF76B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color w:val="auto"/>
                      <w:sz w:val="21"/>
                      <w:szCs w:val="21"/>
                    </w:rPr>
                  </w:pPr>
                  <w:r>
                    <w:rPr>
                      <w:b/>
                      <w:color w:val="auto"/>
                      <w:sz w:val="21"/>
                      <w:szCs w:val="21"/>
                    </w:rPr>
                    <w:t>Ⅱ级</w:t>
                  </w:r>
                </w:p>
              </w:tc>
              <w:tc>
                <w:tcPr>
                  <w:tcW w:w="61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20887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color w:val="auto"/>
                      <w:sz w:val="21"/>
                      <w:szCs w:val="21"/>
                    </w:rPr>
                  </w:pPr>
                  <w:r>
                    <w:rPr>
                      <w:b/>
                      <w:color w:val="auto"/>
                      <w:sz w:val="21"/>
                      <w:szCs w:val="21"/>
                    </w:rPr>
                    <w:t>Ⅲ级</w:t>
                  </w:r>
                </w:p>
              </w:tc>
              <w:tc>
                <w:tcPr>
                  <w:tcW w:w="689" w:type="pct"/>
                  <w:gridSpan w:val="2"/>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9F686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color w:val="auto"/>
                      <w:sz w:val="21"/>
                      <w:szCs w:val="21"/>
                    </w:rPr>
                  </w:pPr>
                </w:p>
              </w:tc>
              <w:tc>
                <w:tcPr>
                  <w:tcW w:w="690" w:type="pct"/>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A2749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color w:val="auto"/>
                      <w:sz w:val="21"/>
                      <w:szCs w:val="21"/>
                    </w:rPr>
                  </w:pPr>
                </w:p>
              </w:tc>
            </w:tr>
            <w:tr w14:paraId="611D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3BA80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w:t>
                  </w:r>
                </w:p>
              </w:tc>
              <w:tc>
                <w:tcPr>
                  <w:tcW w:w="1084"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445B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color w:val="auto"/>
                      <w:sz w:val="21"/>
                      <w:szCs w:val="21"/>
                    </w:rPr>
                  </w:pPr>
                  <w:r>
                    <w:rPr>
                      <w:color w:val="auto"/>
                      <w:sz w:val="21"/>
                      <w:szCs w:val="21"/>
                    </w:rPr>
                    <w:t>细度（45μm筛孔）（质量分数/%）</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F2F58B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≤12</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8741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≤25</w:t>
                  </w:r>
                </w:p>
              </w:tc>
              <w:tc>
                <w:tcPr>
                  <w:tcW w:w="61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70D2F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≤30</w:t>
                  </w:r>
                </w:p>
              </w:tc>
              <w:tc>
                <w:tcPr>
                  <w:tcW w:w="689"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87FC4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≤15</w:t>
                  </w:r>
                </w:p>
              </w:tc>
              <w:tc>
                <w:tcPr>
                  <w:tcW w:w="69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F96D5C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≤12</w:t>
                  </w:r>
                </w:p>
              </w:tc>
            </w:tr>
            <w:tr w14:paraId="638A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29622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2</w:t>
                  </w:r>
                </w:p>
              </w:tc>
              <w:tc>
                <w:tcPr>
                  <w:tcW w:w="1084"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B4D9C5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流动度比/%</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4739A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≥100</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DF030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≥100</w:t>
                  </w:r>
                </w:p>
              </w:tc>
              <w:tc>
                <w:tcPr>
                  <w:tcW w:w="61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35817A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≥95</w:t>
                  </w:r>
                </w:p>
              </w:tc>
              <w:tc>
                <w:tcPr>
                  <w:tcW w:w="689"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7FC8A2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≥95</w:t>
                  </w:r>
                </w:p>
              </w:tc>
              <w:tc>
                <w:tcPr>
                  <w:tcW w:w="69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1D513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≥110</w:t>
                  </w:r>
                </w:p>
              </w:tc>
            </w:tr>
            <w:tr w14:paraId="519A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9" w:type="pct"/>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8CAAA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3</w:t>
                  </w:r>
                </w:p>
              </w:tc>
              <w:tc>
                <w:tcPr>
                  <w:tcW w:w="540" w:type="pct"/>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05F9C4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活性指数/%</w:t>
                  </w:r>
                </w:p>
              </w:tc>
              <w:tc>
                <w:tcPr>
                  <w:tcW w:w="543"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05FB9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1d</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AF5CBC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5BCA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w:t>
                  </w:r>
                </w:p>
              </w:tc>
              <w:tc>
                <w:tcPr>
                  <w:tcW w:w="61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DD587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w:t>
                  </w:r>
                </w:p>
              </w:tc>
              <w:tc>
                <w:tcPr>
                  <w:tcW w:w="689"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A4C32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≥120</w:t>
                  </w:r>
                </w:p>
              </w:tc>
              <w:tc>
                <w:tcPr>
                  <w:tcW w:w="69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FFC44C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w:t>
                  </w:r>
                </w:p>
              </w:tc>
            </w:tr>
            <w:tr w14:paraId="67A1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9" w:type="pct"/>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C56A1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p>
              </w:tc>
              <w:tc>
                <w:tcPr>
                  <w:tcW w:w="540" w:type="pct"/>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A1418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p>
              </w:tc>
              <w:tc>
                <w:tcPr>
                  <w:tcW w:w="543"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DBF4EE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7d</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E276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≥80</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4140B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≥70</w:t>
                  </w:r>
                </w:p>
              </w:tc>
              <w:tc>
                <w:tcPr>
                  <w:tcW w:w="61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CD405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≥65</w:t>
                  </w:r>
                </w:p>
              </w:tc>
              <w:tc>
                <w:tcPr>
                  <w:tcW w:w="689"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0DABA2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w:t>
                  </w:r>
                </w:p>
              </w:tc>
              <w:tc>
                <w:tcPr>
                  <w:tcW w:w="69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69D5A2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≥65</w:t>
                  </w:r>
                </w:p>
              </w:tc>
            </w:tr>
            <w:tr w14:paraId="0B6B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9" w:type="pct"/>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2DA618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p>
              </w:tc>
              <w:tc>
                <w:tcPr>
                  <w:tcW w:w="540" w:type="pct"/>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87424C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p>
              </w:tc>
              <w:tc>
                <w:tcPr>
                  <w:tcW w:w="543"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38434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28d</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18928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≥90</w:t>
                  </w:r>
                </w:p>
              </w:tc>
              <w:tc>
                <w:tcPr>
                  <w:tcW w:w="68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BA02F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≥75</w:t>
                  </w:r>
                </w:p>
              </w:tc>
              <w:tc>
                <w:tcPr>
                  <w:tcW w:w="61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74D9E3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≥70</w:t>
                  </w:r>
                </w:p>
              </w:tc>
              <w:tc>
                <w:tcPr>
                  <w:tcW w:w="689"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72D19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≥110</w:t>
                  </w:r>
                </w:p>
              </w:tc>
              <w:tc>
                <w:tcPr>
                  <w:tcW w:w="69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FF150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≥65</w:t>
                  </w:r>
                </w:p>
              </w:tc>
            </w:tr>
            <w:tr w14:paraId="3197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B6603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4</w:t>
                  </w:r>
                </w:p>
              </w:tc>
              <w:tc>
                <w:tcPr>
                  <w:tcW w:w="1084"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64B7FB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胶砂抗压强度增长比</w:t>
                  </w:r>
                </w:p>
              </w:tc>
              <w:tc>
                <w:tcPr>
                  <w:tcW w:w="1995"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1D00A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≥0.95</w:t>
                  </w:r>
                </w:p>
              </w:tc>
              <w:tc>
                <w:tcPr>
                  <w:tcW w:w="1380"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2A400E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≥0.90</w:t>
                  </w:r>
                </w:p>
              </w:tc>
            </w:tr>
            <w:tr w14:paraId="508B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E9F52F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5</w:t>
                  </w:r>
                </w:p>
              </w:tc>
              <w:tc>
                <w:tcPr>
                  <w:tcW w:w="1084"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675D3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含水量（质量分数/%）</w:t>
                  </w:r>
                </w:p>
              </w:tc>
              <w:tc>
                <w:tcPr>
                  <w:tcW w:w="3375" w:type="pct"/>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BA164C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≤1.0</w:t>
                  </w:r>
                </w:p>
              </w:tc>
            </w:tr>
            <w:tr w14:paraId="019F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A59E7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6</w:t>
                  </w:r>
                </w:p>
              </w:tc>
              <w:tc>
                <w:tcPr>
                  <w:tcW w:w="1084"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215686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氯离子含量（质量分数/%）</w:t>
                  </w:r>
                </w:p>
              </w:tc>
              <w:tc>
                <w:tcPr>
                  <w:tcW w:w="3375" w:type="pct"/>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23D9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≤0.06</w:t>
                  </w:r>
                </w:p>
              </w:tc>
            </w:tr>
            <w:tr w14:paraId="4FED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850AB8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7</w:t>
                  </w:r>
                </w:p>
              </w:tc>
              <w:tc>
                <w:tcPr>
                  <w:tcW w:w="1084"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3A96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三氧化硫含量（质量分数/%）</w:t>
                  </w:r>
                </w:p>
              </w:tc>
              <w:tc>
                <w:tcPr>
                  <w:tcW w:w="2588" w:type="pct"/>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C0C63B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≤3.5</w:t>
                  </w:r>
                </w:p>
              </w:tc>
              <w:tc>
                <w:tcPr>
                  <w:tcW w:w="787"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40EED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≤2.0</w:t>
                  </w:r>
                </w:p>
              </w:tc>
            </w:tr>
            <w:tr w14:paraId="0667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9" w:type="pct"/>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C56BE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8</w:t>
                  </w:r>
                </w:p>
              </w:tc>
              <w:tc>
                <w:tcPr>
                  <w:tcW w:w="643" w:type="pct"/>
                  <w:gridSpan w:val="2"/>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8739D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安定性</w:t>
                  </w:r>
                </w:p>
              </w:tc>
              <w:tc>
                <w:tcPr>
                  <w:tcW w:w="44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53B0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沸煮法*</w:t>
                  </w:r>
                </w:p>
              </w:tc>
              <w:tc>
                <w:tcPr>
                  <w:tcW w:w="3375" w:type="pct"/>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214A3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合格</w:t>
                  </w:r>
                </w:p>
              </w:tc>
            </w:tr>
            <w:tr w14:paraId="77F3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9" w:type="pct"/>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023F7C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p>
              </w:tc>
              <w:tc>
                <w:tcPr>
                  <w:tcW w:w="643" w:type="pct"/>
                  <w:gridSpan w:val="2"/>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D044D4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p>
              </w:tc>
              <w:tc>
                <w:tcPr>
                  <w:tcW w:w="44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1028FF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压蒸法*</w:t>
                  </w:r>
                </w:p>
              </w:tc>
              <w:tc>
                <w:tcPr>
                  <w:tcW w:w="3375" w:type="pct"/>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325A9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压蒸膨胀率不大于0.50%</w:t>
                  </w:r>
                </w:p>
              </w:tc>
            </w:tr>
            <w:tr w14:paraId="665A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3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FC5E5B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9</w:t>
                  </w:r>
                </w:p>
              </w:tc>
              <w:tc>
                <w:tcPr>
                  <w:tcW w:w="1084"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E05C4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复验性</w:t>
                  </w:r>
                </w:p>
              </w:tc>
              <w:tc>
                <w:tcPr>
                  <w:tcW w:w="3375" w:type="pct"/>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43B42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z w:val="21"/>
                      <w:szCs w:val="21"/>
                    </w:rPr>
                  </w:pPr>
                  <w:r>
                    <w:rPr>
                      <w:color w:val="auto"/>
                      <w:sz w:val="21"/>
                      <w:szCs w:val="21"/>
                    </w:rPr>
                    <w:t>合格</w:t>
                  </w:r>
                </w:p>
              </w:tc>
            </w:tr>
          </w:tbl>
          <w:p w14:paraId="1738E6C2">
            <w:pPr>
              <w:pStyle w:val="66"/>
              <w:keepNext w:val="0"/>
              <w:keepLines w:val="0"/>
              <w:pageBreakBefore w:val="0"/>
              <w:widowControl/>
              <w:numPr>
                <w:ilvl w:val="0"/>
                <w:numId w:val="0"/>
              </w:numPr>
              <w:kinsoku/>
              <w:wordWrap/>
              <w:overflowPunct/>
              <w:topLinePunct w:val="0"/>
              <w:autoSpaceDE w:val="0"/>
              <w:autoSpaceDN w:val="0"/>
              <w:bidi w:val="0"/>
              <w:adjustRightInd w:val="0"/>
              <w:snapToGrid w:val="0"/>
              <w:spacing w:line="460" w:lineRule="exact"/>
              <w:ind w:firstLine="480" w:firstLineChars="200"/>
              <w:textAlignment w:val="baseline"/>
              <w:rPr>
                <w:rFonts w:hint="default" w:ascii="Times New Roman" w:hAnsi="Times New Roman" w:eastAsia="宋体" w:cs="Times New Roman"/>
                <w:color w:val="auto"/>
                <w:sz w:val="24"/>
                <w:szCs w:val="24"/>
                <w:lang w:eastAsia="zh-CN"/>
              </w:rPr>
            </w:pPr>
            <w:r>
              <w:rPr>
                <w:rFonts w:ascii="Times New Roman" w:hAnsi="Times New Roman" w:eastAsia="宋体" w:cs="Times New Roman"/>
                <w:color w:val="auto"/>
                <w:kern w:val="2"/>
                <w:sz w:val="24"/>
                <w:szCs w:val="24"/>
                <w:lang w:val="en-US" w:eastAsia="zh-CN" w:bidi="ar-SA"/>
              </w:rPr>
              <w:t>（2）</w:t>
            </w:r>
            <w:r>
              <w:rPr>
                <w:rFonts w:hint="eastAsia" w:ascii="Times New Roman" w:hAnsi="Times New Roman" w:cs="Times New Roman"/>
                <w:color w:val="auto"/>
                <w:sz w:val="24"/>
                <w:szCs w:val="24"/>
                <w:lang w:eastAsia="zh-CN"/>
              </w:rPr>
              <w:t>集料</w:t>
            </w:r>
            <w:r>
              <w:rPr>
                <w:rFonts w:hint="eastAsia" w:ascii="Times New Roman" w:hAnsi="Times New Roman" w:eastAsia="宋体" w:cs="Times New Roman"/>
                <w:color w:val="auto"/>
                <w:sz w:val="24"/>
                <w:szCs w:val="24"/>
                <w:lang w:eastAsia="zh-CN"/>
              </w:rPr>
              <w:t>：</w:t>
            </w:r>
          </w:p>
          <w:p w14:paraId="6FBA213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color w:val="auto"/>
                <w:sz w:val="24"/>
                <w:szCs w:val="24"/>
              </w:rPr>
            </w:pPr>
            <w:r>
              <w:rPr>
                <w:b/>
                <w:bCs/>
                <w:color w:val="auto"/>
                <w:sz w:val="24"/>
                <w:szCs w:val="24"/>
              </w:rPr>
              <w:t>表</w:t>
            </w:r>
            <w:r>
              <w:rPr>
                <w:rFonts w:hint="eastAsia"/>
                <w:b/>
                <w:bCs/>
                <w:color w:val="auto"/>
                <w:sz w:val="24"/>
                <w:szCs w:val="24"/>
                <w:lang w:val="en-US" w:eastAsia="zh-CN"/>
              </w:rPr>
              <w:t>2.7</w:t>
            </w:r>
            <w:r>
              <w:rPr>
                <w:b/>
                <w:bCs/>
                <w:color w:val="auto"/>
                <w:sz w:val="24"/>
                <w:szCs w:val="24"/>
              </w:rPr>
              <w:t xml:space="preserve"> </w:t>
            </w:r>
            <w:r>
              <w:rPr>
                <w:rFonts w:hint="eastAsia" w:ascii="Times New Roman" w:hAnsi="Times New Roman" w:cs="Times New Roman"/>
                <w:b/>
                <w:bCs/>
                <w:color w:val="auto"/>
                <w:sz w:val="24"/>
                <w:szCs w:val="24"/>
                <w:lang w:eastAsia="zh-CN"/>
              </w:rPr>
              <w:t>集料</w:t>
            </w:r>
            <w:r>
              <w:rPr>
                <w:rFonts w:hint="eastAsia" w:cs="Times New Roman"/>
                <w:b/>
                <w:bCs/>
                <w:color w:val="auto"/>
                <w:sz w:val="24"/>
                <w:szCs w:val="24"/>
                <w:lang w:eastAsia="zh-CN"/>
              </w:rPr>
              <w:t>出厂管控限值要求</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3"/>
              <w:gridCol w:w="5752"/>
            </w:tblGrid>
            <w:tr w14:paraId="2053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3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B997326">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b/>
                      <w:color w:val="auto"/>
                    </w:rPr>
                  </w:pPr>
                  <w:r>
                    <w:rPr>
                      <w:b/>
                      <w:color w:val="auto"/>
                    </w:rPr>
                    <w:t>项目名称</w:t>
                  </w:r>
                </w:p>
              </w:tc>
              <w:tc>
                <w:tcPr>
                  <w:tcW w:w="57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08B8CFA">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b/>
                      <w:color w:val="auto"/>
                    </w:rPr>
                  </w:pPr>
                  <w:r>
                    <w:rPr>
                      <w:b/>
                      <w:color w:val="auto"/>
                    </w:rPr>
                    <w:t>技术指标</w:t>
                  </w:r>
                </w:p>
              </w:tc>
            </w:tr>
            <w:tr w14:paraId="31FC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33"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2EB1FC">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color w:val="auto"/>
                    </w:rPr>
                  </w:pPr>
                  <w:r>
                    <w:rPr>
                      <w:color w:val="auto"/>
                    </w:rPr>
                    <w:t>含泥量/%</w:t>
                  </w:r>
                </w:p>
              </w:tc>
              <w:tc>
                <w:tcPr>
                  <w:tcW w:w="57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A3BCB9B">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color w:val="auto"/>
                    </w:rPr>
                  </w:pPr>
                  <w:r>
                    <w:rPr>
                      <w:color w:val="auto"/>
                    </w:rPr>
                    <w:t>≤3.0</w:t>
                  </w:r>
                </w:p>
              </w:tc>
            </w:tr>
            <w:tr w14:paraId="184C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33"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D35EAE4">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color w:val="auto"/>
                    </w:rPr>
                  </w:pPr>
                </w:p>
              </w:tc>
              <w:tc>
                <w:tcPr>
                  <w:tcW w:w="57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C13A58">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color w:val="auto"/>
                    </w:rPr>
                  </w:pPr>
                  <w:r>
                    <w:rPr>
                      <w:color w:val="auto"/>
                    </w:rPr>
                    <w:t>结构混凝土用轻集料≤2.0</w:t>
                  </w:r>
                </w:p>
              </w:tc>
            </w:tr>
            <w:tr w14:paraId="6EF1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33"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228B886">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color w:val="auto"/>
                    </w:rPr>
                  </w:pPr>
                  <w:r>
                    <w:rPr>
                      <w:color w:val="auto"/>
                    </w:rPr>
                    <w:t>泥块含量/%</w:t>
                  </w:r>
                </w:p>
              </w:tc>
              <w:tc>
                <w:tcPr>
                  <w:tcW w:w="57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B19C71E">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color w:val="auto"/>
                    </w:rPr>
                  </w:pPr>
                  <w:r>
                    <w:rPr>
                      <w:color w:val="auto"/>
                    </w:rPr>
                    <w:t>≤1.0</w:t>
                  </w:r>
                </w:p>
              </w:tc>
            </w:tr>
            <w:tr w14:paraId="4797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33"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32D54C1">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color w:val="auto"/>
                    </w:rPr>
                  </w:pPr>
                </w:p>
              </w:tc>
              <w:tc>
                <w:tcPr>
                  <w:tcW w:w="57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07B111B">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color w:val="auto"/>
                    </w:rPr>
                  </w:pPr>
                  <w:r>
                    <w:rPr>
                      <w:color w:val="auto"/>
                    </w:rPr>
                    <w:t>结构混凝土用轻集料≤0.5</w:t>
                  </w:r>
                </w:p>
              </w:tc>
            </w:tr>
            <w:tr w14:paraId="16F1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3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F1A6C8F">
                  <w:pPr>
                    <w:keepNext w:val="0"/>
                    <w:keepLines w:val="0"/>
                    <w:pageBreakBefore w:val="0"/>
                    <w:wordWrap/>
                    <w:overflowPunct/>
                    <w:topLinePunct w:val="0"/>
                    <w:bidi w:val="0"/>
                    <w:adjustRightInd w:val="0"/>
                    <w:snapToGrid w:val="0"/>
                    <w:jc w:val="center"/>
                    <w:rPr>
                      <w:color w:val="auto"/>
                    </w:rPr>
                  </w:pPr>
                  <w:r>
                    <w:rPr>
                      <w:color w:val="auto"/>
                    </w:rPr>
                    <w:t>煮沸质量损失/%</w:t>
                  </w:r>
                </w:p>
              </w:tc>
              <w:tc>
                <w:tcPr>
                  <w:tcW w:w="57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C5E2522">
                  <w:pPr>
                    <w:keepNext w:val="0"/>
                    <w:keepLines w:val="0"/>
                    <w:pageBreakBefore w:val="0"/>
                    <w:wordWrap/>
                    <w:overflowPunct/>
                    <w:topLinePunct w:val="0"/>
                    <w:bidi w:val="0"/>
                    <w:adjustRightInd w:val="0"/>
                    <w:snapToGrid w:val="0"/>
                    <w:jc w:val="center"/>
                    <w:rPr>
                      <w:color w:val="auto"/>
                    </w:rPr>
                  </w:pPr>
                  <w:r>
                    <w:rPr>
                      <w:color w:val="auto"/>
                    </w:rPr>
                    <w:t>≤5.0</w:t>
                  </w:r>
                </w:p>
              </w:tc>
            </w:tr>
            <w:tr w14:paraId="3087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33"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C3839BF">
                  <w:pPr>
                    <w:keepNext w:val="0"/>
                    <w:keepLines w:val="0"/>
                    <w:pageBreakBefore w:val="0"/>
                    <w:wordWrap/>
                    <w:overflowPunct/>
                    <w:topLinePunct w:val="0"/>
                    <w:bidi w:val="0"/>
                    <w:adjustRightInd w:val="0"/>
                    <w:snapToGrid w:val="0"/>
                    <w:jc w:val="center"/>
                    <w:rPr>
                      <w:color w:val="auto"/>
                    </w:rPr>
                  </w:pPr>
                  <w:r>
                    <w:rPr>
                      <w:color w:val="auto"/>
                    </w:rPr>
                    <w:t>烧失量/%</w:t>
                  </w:r>
                </w:p>
              </w:tc>
              <w:tc>
                <w:tcPr>
                  <w:tcW w:w="57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0E94D5">
                  <w:pPr>
                    <w:keepNext w:val="0"/>
                    <w:keepLines w:val="0"/>
                    <w:pageBreakBefore w:val="0"/>
                    <w:wordWrap/>
                    <w:overflowPunct/>
                    <w:topLinePunct w:val="0"/>
                    <w:bidi w:val="0"/>
                    <w:adjustRightInd w:val="0"/>
                    <w:snapToGrid w:val="0"/>
                    <w:jc w:val="center"/>
                    <w:rPr>
                      <w:color w:val="auto"/>
                    </w:rPr>
                  </w:pPr>
                  <w:r>
                    <w:rPr>
                      <w:color w:val="auto"/>
                    </w:rPr>
                    <w:t>≤5.0</w:t>
                  </w:r>
                </w:p>
              </w:tc>
            </w:tr>
            <w:tr w14:paraId="4D31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33"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13C1A6A">
                  <w:pPr>
                    <w:keepNext w:val="0"/>
                    <w:keepLines w:val="0"/>
                    <w:pageBreakBefore w:val="0"/>
                    <w:wordWrap/>
                    <w:overflowPunct/>
                    <w:topLinePunct w:val="0"/>
                    <w:bidi w:val="0"/>
                    <w:adjustRightInd w:val="0"/>
                    <w:snapToGrid w:val="0"/>
                    <w:jc w:val="center"/>
                    <w:rPr>
                      <w:color w:val="auto"/>
                    </w:rPr>
                  </w:pPr>
                </w:p>
              </w:tc>
              <w:tc>
                <w:tcPr>
                  <w:tcW w:w="57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FB5A16B">
                  <w:pPr>
                    <w:keepNext w:val="0"/>
                    <w:keepLines w:val="0"/>
                    <w:pageBreakBefore w:val="0"/>
                    <w:wordWrap/>
                    <w:overflowPunct/>
                    <w:topLinePunct w:val="0"/>
                    <w:bidi w:val="0"/>
                    <w:adjustRightInd w:val="0"/>
                    <w:snapToGrid w:val="0"/>
                    <w:jc w:val="center"/>
                    <w:rPr>
                      <w:color w:val="auto"/>
                    </w:rPr>
                  </w:pPr>
                  <w:r>
                    <w:rPr>
                      <w:color w:val="auto"/>
                    </w:rPr>
                    <w:t>天然轻集料不作规定,用于无筋混凝土的煤渣允许≤18</w:t>
                  </w:r>
                </w:p>
              </w:tc>
            </w:tr>
            <w:tr w14:paraId="2CF5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33"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14A6AC1">
                  <w:pPr>
                    <w:keepNext w:val="0"/>
                    <w:keepLines w:val="0"/>
                    <w:pageBreakBefore w:val="0"/>
                    <w:wordWrap/>
                    <w:overflowPunct/>
                    <w:topLinePunct w:val="0"/>
                    <w:bidi w:val="0"/>
                    <w:adjustRightInd w:val="0"/>
                    <w:snapToGrid w:val="0"/>
                    <w:jc w:val="center"/>
                    <w:rPr>
                      <w:color w:val="auto"/>
                    </w:rPr>
                  </w:pPr>
                  <w:r>
                    <w:rPr>
                      <w:color w:val="auto"/>
                    </w:rPr>
                    <w:t>硫化物和硫酸盐含量(按SO3计)/%</w:t>
                  </w:r>
                </w:p>
              </w:tc>
              <w:tc>
                <w:tcPr>
                  <w:tcW w:w="57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CA67F40">
                  <w:pPr>
                    <w:keepNext w:val="0"/>
                    <w:keepLines w:val="0"/>
                    <w:pageBreakBefore w:val="0"/>
                    <w:wordWrap/>
                    <w:overflowPunct/>
                    <w:topLinePunct w:val="0"/>
                    <w:bidi w:val="0"/>
                    <w:adjustRightInd w:val="0"/>
                    <w:snapToGrid w:val="0"/>
                    <w:jc w:val="center"/>
                    <w:rPr>
                      <w:color w:val="auto"/>
                    </w:rPr>
                  </w:pPr>
                  <w:r>
                    <w:rPr>
                      <w:color w:val="auto"/>
                    </w:rPr>
                    <w:t>≤1.0</w:t>
                  </w:r>
                </w:p>
              </w:tc>
            </w:tr>
            <w:tr w14:paraId="46F3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33"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2F8316A">
                  <w:pPr>
                    <w:keepNext w:val="0"/>
                    <w:keepLines w:val="0"/>
                    <w:pageBreakBefore w:val="0"/>
                    <w:wordWrap/>
                    <w:overflowPunct/>
                    <w:topLinePunct w:val="0"/>
                    <w:bidi w:val="0"/>
                    <w:adjustRightInd w:val="0"/>
                    <w:snapToGrid w:val="0"/>
                    <w:rPr>
                      <w:color w:val="auto"/>
                    </w:rPr>
                  </w:pPr>
                </w:p>
              </w:tc>
              <w:tc>
                <w:tcPr>
                  <w:tcW w:w="57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34BD84">
                  <w:pPr>
                    <w:keepNext w:val="0"/>
                    <w:keepLines w:val="0"/>
                    <w:pageBreakBefore w:val="0"/>
                    <w:wordWrap/>
                    <w:overflowPunct/>
                    <w:topLinePunct w:val="0"/>
                    <w:bidi w:val="0"/>
                    <w:adjustRightInd w:val="0"/>
                    <w:snapToGrid w:val="0"/>
                    <w:jc w:val="center"/>
                    <w:rPr>
                      <w:color w:val="auto"/>
                    </w:rPr>
                  </w:pPr>
                  <w:r>
                    <w:rPr>
                      <w:color w:val="auto"/>
                    </w:rPr>
                    <w:t>用于无筋混凝土的自燃煤矸石允许含量≤1.5</w:t>
                  </w:r>
                </w:p>
              </w:tc>
            </w:tr>
          </w:tbl>
          <w:p w14:paraId="2589D01E">
            <w:pPr>
              <w:pStyle w:val="66"/>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color w:val="auto"/>
                <w:sz w:val="24"/>
                <w:szCs w:val="24"/>
                <w:lang w:eastAsia="zh-CN"/>
              </w:rPr>
            </w:pPr>
            <w:r>
              <w:rPr>
                <w:rFonts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3</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z w:val="24"/>
                <w:szCs w:val="24"/>
                <w:lang w:eastAsia="zh-CN"/>
              </w:rPr>
              <w:t>土壤改良土</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项目生产的</w:t>
            </w:r>
            <w:r>
              <w:rPr>
                <w:rFonts w:hint="eastAsia" w:ascii="Times New Roman" w:hAnsi="Times New Roman" w:cs="Times New Roman"/>
                <w:color w:val="auto"/>
                <w:sz w:val="24"/>
                <w:szCs w:val="24"/>
                <w:lang w:eastAsia="zh-CN"/>
              </w:rPr>
              <w:t>土壤改良土</w:t>
            </w:r>
            <w:r>
              <w:rPr>
                <w:rFonts w:hint="default" w:ascii="Times New Roman" w:hAnsi="Times New Roman" w:eastAsia="宋体" w:cs="Times New Roman"/>
                <w:color w:val="auto"/>
                <w:sz w:val="24"/>
                <w:szCs w:val="24"/>
                <w:lang w:eastAsia="zh-CN"/>
              </w:rPr>
              <w:t>使用城市污水处理厂污泥作为原料，</w:t>
            </w:r>
            <w:r>
              <w:rPr>
                <w:rFonts w:hint="eastAsia" w:ascii="Times New Roman" w:hAnsi="Times New Roman" w:eastAsia="宋体" w:cs="Times New Roman"/>
                <w:color w:val="auto"/>
                <w:sz w:val="24"/>
                <w:szCs w:val="24"/>
                <w:lang w:eastAsia="zh-CN"/>
              </w:rPr>
              <w:t>添加</w:t>
            </w:r>
            <w:r>
              <w:rPr>
                <w:rFonts w:hint="eastAsia" w:ascii="Times New Roman" w:hAnsi="Times New Roman" w:cs="Times New Roman"/>
                <w:color w:val="auto"/>
                <w:sz w:val="24"/>
                <w:szCs w:val="24"/>
                <w:lang w:eastAsia="zh-CN"/>
              </w:rPr>
              <w:t>秸秆</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草木灰</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沼渣</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绿化用矿化剂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经过</w:t>
            </w:r>
            <w:r>
              <w:rPr>
                <w:rFonts w:hint="eastAsia" w:ascii="Times New Roman" w:hAnsi="Times New Roman" w:cs="Times New Roman"/>
                <w:color w:val="auto"/>
                <w:sz w:val="24"/>
                <w:szCs w:val="24"/>
                <w:lang w:eastAsia="zh-CN"/>
              </w:rPr>
              <w:t>粉碎搅拌、低温闪急干化、矿化干化、陈化等工艺后</w:t>
            </w:r>
            <w:r>
              <w:rPr>
                <w:rFonts w:hint="eastAsia" w:ascii="Times New Roman" w:hAnsi="Times New Roman" w:eastAsia="宋体" w:cs="Times New Roman"/>
                <w:color w:val="auto"/>
                <w:sz w:val="24"/>
                <w:szCs w:val="24"/>
                <w:lang w:eastAsia="zh-CN"/>
              </w:rPr>
              <w:t>得到成品</w:t>
            </w:r>
            <w:r>
              <w:rPr>
                <w:rFonts w:hint="default" w:ascii="Times New Roman" w:hAnsi="Times New Roman" w:eastAsia="宋体" w:cs="Times New Roman"/>
                <w:color w:val="auto"/>
                <w:sz w:val="24"/>
                <w:szCs w:val="24"/>
                <w:lang w:eastAsia="zh-CN"/>
              </w:rPr>
              <w:t>。本产品应满足《城镇污水处理厂污泥处置土地改良用泥质》（GB/T24600-2009）</w:t>
            </w:r>
            <w:r>
              <w:rPr>
                <w:rFonts w:hint="eastAsia" w:ascii="Times New Roman" w:hAnsi="Times New Roman" w:cs="Times New Roman"/>
                <w:color w:val="auto"/>
                <w:sz w:val="24"/>
                <w:szCs w:val="24"/>
                <w:lang w:eastAsia="zh-CN"/>
              </w:rPr>
              <w:t>中</w:t>
            </w:r>
            <w:r>
              <w:rPr>
                <w:rFonts w:hint="default" w:ascii="Times New Roman" w:hAnsi="Times New Roman" w:eastAsia="宋体" w:cs="Times New Roman"/>
                <w:color w:val="auto"/>
                <w:sz w:val="24"/>
                <w:szCs w:val="24"/>
                <w:lang w:eastAsia="zh-CN"/>
              </w:rPr>
              <w:t>表1</w:t>
            </w:r>
            <w:r>
              <w:rPr>
                <w:rFonts w:hint="eastAsia" w:ascii="Times New Roman" w:hAnsi="Times New Roman" w:cs="Times New Roman"/>
                <w:color w:val="auto"/>
                <w:sz w:val="24"/>
                <w:szCs w:val="24"/>
                <w:lang w:eastAsia="zh-CN"/>
              </w:rPr>
              <w:t>、表</w:t>
            </w:r>
            <w:r>
              <w:rPr>
                <w:rFonts w:hint="eastAsia" w:ascii="Times New Roman" w:hAnsi="Times New Roman" w:cs="Times New Roman"/>
                <w:color w:val="auto"/>
                <w:sz w:val="24"/>
                <w:szCs w:val="24"/>
                <w:lang w:val="en-US" w:eastAsia="zh-CN"/>
              </w:rPr>
              <w:t>2、表3、表4</w:t>
            </w:r>
            <w:r>
              <w:rPr>
                <w:rFonts w:hint="default" w:ascii="Times New Roman" w:hAnsi="Times New Roman" w:eastAsia="宋体" w:cs="Times New Roman"/>
                <w:color w:val="auto"/>
                <w:sz w:val="24"/>
                <w:szCs w:val="24"/>
                <w:lang w:eastAsia="zh-CN"/>
              </w:rPr>
              <w:t>中的要求，产品出厂前应逐批检验，检验合格后方可出厂。出厂检验项目</w:t>
            </w:r>
            <w:r>
              <w:rPr>
                <w:rFonts w:hint="eastAsia" w:ascii="Times New Roman" w:hAnsi="Times New Roman" w:cs="Times New Roman"/>
                <w:color w:val="auto"/>
                <w:sz w:val="24"/>
                <w:szCs w:val="24"/>
                <w:lang w:eastAsia="zh-CN"/>
              </w:rPr>
              <w:t>理化指标及限值</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养分指标及限值</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生物学指标及限值</w:t>
            </w:r>
            <w:r>
              <w:rPr>
                <w:rFonts w:hint="default" w:ascii="Times New Roman" w:hAnsi="Times New Roman" w:eastAsia="宋体" w:cs="Times New Roman"/>
                <w:color w:val="auto"/>
                <w:sz w:val="24"/>
                <w:szCs w:val="24"/>
                <w:lang w:eastAsia="zh-CN"/>
              </w:rPr>
              <w:t>、污染物指标及限值。</w:t>
            </w:r>
            <w:r>
              <w:rPr>
                <w:rFonts w:hint="eastAsia" w:ascii="Times New Roman" w:hAnsi="Times New Roman" w:cs="Times New Roman"/>
                <w:color w:val="auto"/>
                <w:sz w:val="24"/>
                <w:szCs w:val="24"/>
                <w:lang w:eastAsia="zh-CN"/>
              </w:rPr>
              <w:t>具体要求详见下表：</w:t>
            </w:r>
          </w:p>
          <w:p w14:paraId="22790688">
            <w:pPr>
              <w:pStyle w:val="6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0" w:firstLineChars="0"/>
              <w:jc w:val="center"/>
              <w:textAlignment w:val="baseline"/>
              <w:rPr>
                <w:rFonts w:hint="eastAsia"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eastAsia="zh-CN"/>
              </w:rPr>
              <w:t>表</w:t>
            </w:r>
            <w:r>
              <w:rPr>
                <w:rFonts w:hint="eastAsia" w:ascii="Times New Roman" w:hAnsi="Times New Roman" w:cs="Times New Roman"/>
                <w:b/>
                <w:bCs/>
                <w:color w:val="auto"/>
                <w:sz w:val="24"/>
                <w:szCs w:val="24"/>
                <w:lang w:val="en-US" w:eastAsia="zh-CN"/>
              </w:rPr>
              <w:t xml:space="preserve">2.8  </w:t>
            </w:r>
            <w:r>
              <w:rPr>
                <w:rFonts w:hint="eastAsia" w:ascii="Times New Roman" w:hAnsi="Times New Roman" w:cs="Times New Roman"/>
                <w:b/>
                <w:bCs/>
                <w:color w:val="auto"/>
                <w:sz w:val="24"/>
                <w:szCs w:val="24"/>
                <w:lang w:eastAsia="zh-CN"/>
              </w:rPr>
              <w:t>土壤改良土出厂管控限值要求</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3"/>
              <w:gridCol w:w="511"/>
              <w:gridCol w:w="2999"/>
              <w:gridCol w:w="1634"/>
              <w:gridCol w:w="1636"/>
            </w:tblGrid>
            <w:tr w14:paraId="7B66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restart"/>
                  <w:tcBorders>
                    <w:top w:val="single" w:color="000000" w:sz="4" w:space="0"/>
                    <w:left w:val="single" w:color="000000" w:sz="4" w:space="0"/>
                    <w:right w:val="single" w:color="000000" w:sz="4" w:space="0"/>
                  </w:tcBorders>
                  <w:tcMar>
                    <w:left w:w="108" w:type="dxa"/>
                    <w:right w:w="108" w:type="dxa"/>
                  </w:tcMar>
                  <w:vAlign w:val="center"/>
                </w:tcPr>
                <w:p w14:paraId="12FF1915">
                  <w:pPr>
                    <w:jc w:val="center"/>
                    <w:rPr>
                      <w:b/>
                      <w:color w:val="auto"/>
                    </w:rPr>
                  </w:pPr>
                  <w:r>
                    <w:rPr>
                      <w:b/>
                      <w:color w:val="auto"/>
                    </w:rPr>
                    <w:t>理化指标</w:t>
                  </w: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D6B7F0A">
                  <w:pPr>
                    <w:jc w:val="center"/>
                    <w:rPr>
                      <w:b/>
                      <w:color w:val="auto"/>
                    </w:rPr>
                  </w:pPr>
                  <w:r>
                    <w:rPr>
                      <w:b/>
                      <w:color w:val="auto"/>
                    </w:rPr>
                    <w:t>序号</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F9DBD5A">
                  <w:pPr>
                    <w:jc w:val="center"/>
                    <w:rPr>
                      <w:b/>
                      <w:color w:val="auto"/>
                    </w:rPr>
                  </w:pPr>
                  <w:r>
                    <w:rPr>
                      <w:b/>
                      <w:color w:val="auto"/>
                    </w:rPr>
                    <w:t>理化指标</w:t>
                  </w:r>
                </w:p>
              </w:tc>
              <w:tc>
                <w:tcPr>
                  <w:tcW w:w="1997"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53E11DE">
                  <w:pPr>
                    <w:jc w:val="center"/>
                    <w:rPr>
                      <w:b/>
                      <w:color w:val="auto"/>
                    </w:rPr>
                  </w:pPr>
                  <w:r>
                    <w:rPr>
                      <w:b/>
                      <w:color w:val="auto"/>
                    </w:rPr>
                    <w:t>限值</w:t>
                  </w:r>
                </w:p>
              </w:tc>
            </w:tr>
            <w:tr w14:paraId="73E4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52A653DF">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813797B">
                  <w:pPr>
                    <w:jc w:val="center"/>
                    <w:rPr>
                      <w:color w:val="auto"/>
                    </w:rPr>
                  </w:pPr>
                  <w:r>
                    <w:rPr>
                      <w:color w:val="auto"/>
                    </w:rPr>
                    <w:t>1</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4EE33B">
                  <w:pPr>
                    <w:jc w:val="center"/>
                    <w:rPr>
                      <w:color w:val="auto"/>
                    </w:rPr>
                  </w:pPr>
                  <w:r>
                    <w:rPr>
                      <w:color w:val="auto"/>
                    </w:rPr>
                    <w:t>pH</w:t>
                  </w:r>
                </w:p>
              </w:tc>
              <w:tc>
                <w:tcPr>
                  <w:tcW w:w="1997"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CE43F39">
                  <w:pPr>
                    <w:jc w:val="center"/>
                    <w:rPr>
                      <w:color w:val="auto"/>
                    </w:rPr>
                  </w:pPr>
                  <w:r>
                    <w:rPr>
                      <w:color w:val="auto"/>
                    </w:rPr>
                    <w:t>5.5~10</w:t>
                  </w:r>
                </w:p>
              </w:tc>
            </w:tr>
            <w:tr w14:paraId="2D4E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bottom w:val="single" w:color="000000" w:sz="4" w:space="0"/>
                    <w:right w:val="single" w:color="000000" w:sz="4" w:space="0"/>
                  </w:tcBorders>
                  <w:tcMar>
                    <w:left w:w="108" w:type="dxa"/>
                    <w:right w:w="108" w:type="dxa"/>
                  </w:tcMar>
                  <w:vAlign w:val="center"/>
                </w:tcPr>
                <w:p w14:paraId="42A65169">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23F807C">
                  <w:pPr>
                    <w:jc w:val="center"/>
                    <w:rPr>
                      <w:color w:val="auto"/>
                    </w:rPr>
                  </w:pPr>
                  <w:r>
                    <w:rPr>
                      <w:color w:val="auto"/>
                    </w:rPr>
                    <w:t>2</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25C805B">
                  <w:pPr>
                    <w:jc w:val="center"/>
                    <w:rPr>
                      <w:color w:val="auto"/>
                    </w:rPr>
                  </w:pPr>
                  <w:r>
                    <w:rPr>
                      <w:color w:val="auto"/>
                    </w:rPr>
                    <w:t>含水率/%</w:t>
                  </w:r>
                </w:p>
              </w:tc>
              <w:tc>
                <w:tcPr>
                  <w:tcW w:w="1997"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530A463">
                  <w:pPr>
                    <w:jc w:val="center"/>
                    <w:rPr>
                      <w:color w:val="auto"/>
                    </w:rPr>
                  </w:pPr>
                  <w:r>
                    <w:rPr>
                      <w:color w:val="auto"/>
                    </w:rPr>
                    <w:t>&lt;65</w:t>
                  </w:r>
                </w:p>
              </w:tc>
            </w:tr>
            <w:tr w14:paraId="38F2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restart"/>
                  <w:tcBorders>
                    <w:top w:val="single" w:color="000000" w:sz="4" w:space="0"/>
                    <w:left w:val="single" w:color="000000" w:sz="4" w:space="0"/>
                    <w:right w:val="single" w:color="000000" w:sz="4" w:space="0"/>
                  </w:tcBorders>
                  <w:tcMar>
                    <w:left w:w="108" w:type="dxa"/>
                    <w:right w:w="108" w:type="dxa"/>
                  </w:tcMar>
                  <w:vAlign w:val="center"/>
                </w:tcPr>
                <w:p w14:paraId="3435DA2A">
                  <w:pPr>
                    <w:jc w:val="center"/>
                    <w:rPr>
                      <w:color w:val="auto"/>
                    </w:rPr>
                  </w:pPr>
                  <w:r>
                    <w:rPr>
                      <w:b/>
                      <w:color w:val="auto"/>
                    </w:rPr>
                    <w:t>养分指标</w:t>
                  </w: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01C1A29">
                  <w:pPr>
                    <w:jc w:val="center"/>
                    <w:rPr>
                      <w:color w:val="auto"/>
                    </w:rPr>
                  </w:pPr>
                  <w:r>
                    <w:rPr>
                      <w:color w:val="auto"/>
                    </w:rPr>
                    <w:t>1</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C8E0A76">
                  <w:pPr>
                    <w:jc w:val="center"/>
                    <w:rPr>
                      <w:color w:val="auto"/>
                    </w:rPr>
                  </w:pPr>
                  <w:r>
                    <w:rPr>
                      <w:color w:val="auto"/>
                    </w:rPr>
                    <w:t>总养分[总氮(以N计)＋总磷(以P2O5计)＋总钾(以K2O计)]/%</w:t>
                  </w:r>
                </w:p>
              </w:tc>
              <w:tc>
                <w:tcPr>
                  <w:tcW w:w="1997"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C7C001D">
                  <w:pPr>
                    <w:jc w:val="center"/>
                    <w:rPr>
                      <w:color w:val="auto"/>
                    </w:rPr>
                  </w:pPr>
                  <w:r>
                    <w:rPr>
                      <w:color w:val="auto"/>
                    </w:rPr>
                    <w:t>≥1</w:t>
                  </w:r>
                </w:p>
              </w:tc>
            </w:tr>
            <w:tr w14:paraId="63A6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bottom w:val="single" w:color="000000" w:sz="4" w:space="0"/>
                    <w:right w:val="single" w:color="000000" w:sz="4" w:space="0"/>
                  </w:tcBorders>
                  <w:tcMar>
                    <w:left w:w="108" w:type="dxa"/>
                    <w:right w:w="108" w:type="dxa"/>
                  </w:tcMar>
                  <w:vAlign w:val="center"/>
                </w:tcPr>
                <w:p w14:paraId="60504520">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7894B0F">
                  <w:pPr>
                    <w:jc w:val="center"/>
                    <w:rPr>
                      <w:color w:val="auto"/>
                    </w:rPr>
                  </w:pPr>
                  <w:r>
                    <w:rPr>
                      <w:color w:val="auto"/>
                    </w:rPr>
                    <w:t>2</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561934B">
                  <w:pPr>
                    <w:jc w:val="center"/>
                    <w:rPr>
                      <w:color w:val="auto"/>
                    </w:rPr>
                  </w:pPr>
                  <w:r>
                    <w:rPr>
                      <w:color w:val="auto"/>
                    </w:rPr>
                    <w:t>有机物含量/%</w:t>
                  </w:r>
                </w:p>
              </w:tc>
              <w:tc>
                <w:tcPr>
                  <w:tcW w:w="1997"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DB81387">
                  <w:pPr>
                    <w:jc w:val="center"/>
                    <w:rPr>
                      <w:color w:val="auto"/>
                    </w:rPr>
                  </w:pPr>
                  <w:r>
                    <w:rPr>
                      <w:color w:val="auto"/>
                    </w:rPr>
                    <w:t>≥10</w:t>
                  </w:r>
                </w:p>
              </w:tc>
            </w:tr>
            <w:tr w14:paraId="062E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restart"/>
                  <w:tcBorders>
                    <w:top w:val="single" w:color="000000" w:sz="4" w:space="0"/>
                    <w:left w:val="single" w:color="000000" w:sz="4" w:space="0"/>
                    <w:right w:val="single" w:color="000000" w:sz="4" w:space="0"/>
                  </w:tcBorders>
                  <w:tcMar>
                    <w:left w:w="108" w:type="dxa"/>
                    <w:right w:w="108" w:type="dxa"/>
                  </w:tcMar>
                  <w:vAlign w:val="center"/>
                </w:tcPr>
                <w:p w14:paraId="7079330F">
                  <w:pPr>
                    <w:jc w:val="center"/>
                    <w:rPr>
                      <w:b/>
                      <w:color w:val="auto"/>
                    </w:rPr>
                  </w:pPr>
                  <w:r>
                    <w:rPr>
                      <w:b/>
                      <w:color w:val="auto"/>
                    </w:rPr>
                    <w:t>微生物学</w:t>
                  </w:r>
                </w:p>
                <w:p w14:paraId="6FD8E04A">
                  <w:pPr>
                    <w:jc w:val="center"/>
                    <w:rPr>
                      <w:color w:val="auto"/>
                    </w:rPr>
                  </w:pPr>
                  <w:r>
                    <w:rPr>
                      <w:b/>
                      <w:color w:val="auto"/>
                    </w:rPr>
                    <w:t>指标</w:t>
                  </w: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957F0AA">
                  <w:pPr>
                    <w:jc w:val="center"/>
                    <w:rPr>
                      <w:color w:val="auto"/>
                    </w:rPr>
                  </w:pPr>
                  <w:r>
                    <w:rPr>
                      <w:color w:val="auto"/>
                    </w:rPr>
                    <w:t>1</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C0EC85C">
                  <w:pPr>
                    <w:jc w:val="center"/>
                    <w:rPr>
                      <w:color w:val="auto"/>
                    </w:rPr>
                  </w:pPr>
                  <w:r>
                    <w:rPr>
                      <w:color w:val="auto"/>
                    </w:rPr>
                    <w:t>粪大肠菌群值</w:t>
                  </w:r>
                </w:p>
              </w:tc>
              <w:tc>
                <w:tcPr>
                  <w:tcW w:w="1997"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71DA66">
                  <w:pPr>
                    <w:jc w:val="center"/>
                    <w:rPr>
                      <w:color w:val="auto"/>
                    </w:rPr>
                  </w:pPr>
                  <w:r>
                    <w:rPr>
                      <w:color w:val="auto"/>
                    </w:rPr>
                    <w:t>&gt;0.01</w:t>
                  </w:r>
                </w:p>
              </w:tc>
            </w:tr>
            <w:tr w14:paraId="4FC8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47C8D04C">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5B6044">
                  <w:pPr>
                    <w:jc w:val="center"/>
                    <w:rPr>
                      <w:color w:val="auto"/>
                    </w:rPr>
                  </w:pPr>
                  <w:r>
                    <w:rPr>
                      <w:color w:val="auto"/>
                    </w:rPr>
                    <w:t>2</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F99693D">
                  <w:pPr>
                    <w:jc w:val="center"/>
                    <w:rPr>
                      <w:color w:val="auto"/>
                    </w:rPr>
                  </w:pPr>
                  <w:r>
                    <w:rPr>
                      <w:color w:val="auto"/>
                    </w:rPr>
                    <w:t>细菌总数/(MPN/kg干污泥)</w:t>
                  </w:r>
                </w:p>
              </w:tc>
              <w:tc>
                <w:tcPr>
                  <w:tcW w:w="1997"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A931FDA">
                  <w:pPr>
                    <w:jc w:val="center"/>
                    <w:rPr>
                      <w:color w:val="auto"/>
                    </w:rPr>
                  </w:pPr>
                  <w:r>
                    <w:rPr>
                      <w:color w:val="auto"/>
                    </w:rPr>
                    <w:t>&lt;10</w:t>
                  </w:r>
                  <w:r>
                    <w:rPr>
                      <w:color w:val="auto"/>
                      <w:vertAlign w:val="superscript"/>
                    </w:rPr>
                    <w:t>8</w:t>
                  </w:r>
                </w:p>
              </w:tc>
            </w:tr>
            <w:tr w14:paraId="0338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bottom w:val="single" w:color="000000" w:sz="4" w:space="0"/>
                    <w:right w:val="single" w:color="000000" w:sz="4" w:space="0"/>
                  </w:tcBorders>
                  <w:tcMar>
                    <w:left w:w="108" w:type="dxa"/>
                    <w:right w:w="108" w:type="dxa"/>
                  </w:tcMar>
                  <w:vAlign w:val="center"/>
                </w:tcPr>
                <w:p w14:paraId="21EABD93">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3ED75F7">
                  <w:pPr>
                    <w:jc w:val="center"/>
                    <w:rPr>
                      <w:color w:val="auto"/>
                    </w:rPr>
                  </w:pPr>
                  <w:r>
                    <w:rPr>
                      <w:color w:val="auto"/>
                    </w:rPr>
                    <w:t>3</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C577B8E">
                  <w:pPr>
                    <w:jc w:val="center"/>
                    <w:rPr>
                      <w:color w:val="auto"/>
                    </w:rPr>
                  </w:pPr>
                  <w:r>
                    <w:rPr>
                      <w:color w:val="auto"/>
                    </w:rPr>
                    <w:t>蛔虫卵死亡率/%</w:t>
                  </w:r>
                </w:p>
              </w:tc>
              <w:tc>
                <w:tcPr>
                  <w:tcW w:w="1997"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E1F24FB">
                  <w:pPr>
                    <w:jc w:val="center"/>
                    <w:rPr>
                      <w:color w:val="auto"/>
                    </w:rPr>
                  </w:pPr>
                  <w:r>
                    <w:rPr>
                      <w:color w:val="auto"/>
                    </w:rPr>
                    <w:t>&gt;95</w:t>
                  </w:r>
                </w:p>
              </w:tc>
            </w:tr>
            <w:tr w14:paraId="370C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restart"/>
                  <w:tcBorders>
                    <w:top w:val="single" w:color="000000" w:sz="4" w:space="0"/>
                    <w:left w:val="single" w:color="000000" w:sz="4" w:space="0"/>
                    <w:right w:val="single" w:color="000000" w:sz="4" w:space="0"/>
                  </w:tcBorders>
                  <w:tcMar>
                    <w:left w:w="108" w:type="dxa"/>
                    <w:right w:w="108" w:type="dxa"/>
                  </w:tcMar>
                  <w:vAlign w:val="center"/>
                </w:tcPr>
                <w:p w14:paraId="7E26C037">
                  <w:pPr>
                    <w:jc w:val="center"/>
                    <w:rPr>
                      <w:b/>
                      <w:color w:val="auto"/>
                    </w:rPr>
                  </w:pPr>
                  <w:r>
                    <w:rPr>
                      <w:b/>
                      <w:color w:val="auto"/>
                    </w:rPr>
                    <w:t>控污染物指标</w:t>
                  </w:r>
                </w:p>
              </w:tc>
              <w:tc>
                <w:tcPr>
                  <w:tcW w:w="2144" w:type="pct"/>
                  <w:gridSpan w:val="2"/>
                  <w:tcBorders>
                    <w:top w:val="single" w:color="000000" w:sz="4" w:space="0"/>
                    <w:left w:val="single" w:color="000000" w:sz="4" w:space="0"/>
                    <w:right w:val="single" w:color="000000" w:sz="4" w:space="0"/>
                  </w:tcBorders>
                  <w:tcMar>
                    <w:left w:w="108" w:type="dxa"/>
                    <w:right w:w="108" w:type="dxa"/>
                  </w:tcMar>
                  <w:vAlign w:val="center"/>
                </w:tcPr>
                <w:p w14:paraId="7940D9D6">
                  <w:pPr>
                    <w:jc w:val="center"/>
                    <w:rPr>
                      <w:rFonts w:hint="eastAsia" w:eastAsia="宋体"/>
                      <w:b/>
                      <w:color w:val="auto"/>
                      <w:lang w:val="en-US" w:eastAsia="zh-CN"/>
                    </w:rPr>
                  </w:pPr>
                  <w:r>
                    <w:rPr>
                      <w:rFonts w:hint="eastAsia"/>
                      <w:b/>
                      <w:color w:val="auto"/>
                      <w:lang w:val="en-US" w:eastAsia="zh-CN"/>
                    </w:rPr>
                    <w:t>/</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5069E54">
                  <w:pPr>
                    <w:jc w:val="center"/>
                    <w:rPr>
                      <w:b/>
                      <w:color w:val="auto"/>
                    </w:rPr>
                  </w:pPr>
                  <w:r>
                    <w:rPr>
                      <w:b/>
                      <w:color w:val="auto"/>
                    </w:rPr>
                    <w:t>酸性土壤</w:t>
                  </w:r>
                  <w:r>
                    <w:rPr>
                      <w:b/>
                      <w:color w:val="auto"/>
                    </w:rPr>
                    <w:br w:type="textWrapping"/>
                  </w:r>
                  <w:r>
                    <w:rPr>
                      <w:b/>
                      <w:color w:val="auto"/>
                    </w:rPr>
                    <w:t>(pH&lt;6.5)</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A13CDF5">
                  <w:pPr>
                    <w:jc w:val="center"/>
                    <w:rPr>
                      <w:b/>
                      <w:color w:val="auto"/>
                    </w:rPr>
                  </w:pPr>
                  <w:r>
                    <w:rPr>
                      <w:b/>
                      <w:color w:val="auto"/>
                    </w:rPr>
                    <w:t>中性和碱性土壤</w:t>
                  </w:r>
                  <w:r>
                    <w:rPr>
                      <w:b/>
                      <w:color w:val="auto"/>
                    </w:rPr>
                    <w:br w:type="textWrapping"/>
                  </w:r>
                  <w:r>
                    <w:rPr>
                      <w:b/>
                      <w:color w:val="auto"/>
                    </w:rPr>
                    <w:t>(pH≥6.5)</w:t>
                  </w:r>
                </w:p>
              </w:tc>
            </w:tr>
            <w:tr w14:paraId="33C2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1F2034B8">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F1CC008">
                  <w:pPr>
                    <w:jc w:val="center"/>
                    <w:rPr>
                      <w:color w:val="auto"/>
                    </w:rPr>
                  </w:pPr>
                  <w:r>
                    <w:rPr>
                      <w:color w:val="auto"/>
                    </w:rPr>
                    <w:t>1</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8DC1623">
                  <w:pPr>
                    <w:jc w:val="center"/>
                    <w:rPr>
                      <w:color w:val="auto"/>
                    </w:rPr>
                  </w:pPr>
                  <w:r>
                    <w:rPr>
                      <w:color w:val="auto"/>
                    </w:rPr>
                    <w:t>总镉</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88C592">
                  <w:pPr>
                    <w:jc w:val="center"/>
                    <w:rPr>
                      <w:color w:val="auto"/>
                    </w:rPr>
                  </w:pPr>
                  <w:r>
                    <w:rPr>
                      <w:color w:val="auto"/>
                    </w:rPr>
                    <w:t>5</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82BBBCD">
                  <w:pPr>
                    <w:jc w:val="center"/>
                    <w:rPr>
                      <w:color w:val="auto"/>
                    </w:rPr>
                  </w:pPr>
                  <w:r>
                    <w:rPr>
                      <w:color w:val="auto"/>
                    </w:rPr>
                    <w:t>20</w:t>
                  </w:r>
                </w:p>
              </w:tc>
            </w:tr>
            <w:tr w14:paraId="0F60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42017DA2">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8E9999C">
                  <w:pPr>
                    <w:jc w:val="center"/>
                    <w:rPr>
                      <w:color w:val="auto"/>
                    </w:rPr>
                  </w:pPr>
                  <w:r>
                    <w:rPr>
                      <w:color w:val="auto"/>
                    </w:rPr>
                    <w:t>2</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B749F28">
                  <w:pPr>
                    <w:jc w:val="center"/>
                    <w:rPr>
                      <w:color w:val="auto"/>
                    </w:rPr>
                  </w:pPr>
                  <w:r>
                    <w:rPr>
                      <w:color w:val="auto"/>
                    </w:rPr>
                    <w:t>总汞</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6B48640">
                  <w:pPr>
                    <w:jc w:val="center"/>
                    <w:rPr>
                      <w:color w:val="auto"/>
                    </w:rPr>
                  </w:pPr>
                  <w:r>
                    <w:rPr>
                      <w:color w:val="auto"/>
                    </w:rPr>
                    <w:t>5</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6FC2676">
                  <w:pPr>
                    <w:jc w:val="center"/>
                    <w:rPr>
                      <w:color w:val="auto"/>
                    </w:rPr>
                  </w:pPr>
                  <w:r>
                    <w:rPr>
                      <w:color w:val="auto"/>
                    </w:rPr>
                    <w:t>15</w:t>
                  </w:r>
                </w:p>
              </w:tc>
            </w:tr>
            <w:tr w14:paraId="1703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13CFE979">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0035495">
                  <w:pPr>
                    <w:jc w:val="center"/>
                    <w:rPr>
                      <w:color w:val="auto"/>
                    </w:rPr>
                  </w:pPr>
                  <w:r>
                    <w:rPr>
                      <w:color w:val="auto"/>
                    </w:rPr>
                    <w:t>3</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B4DBE1B">
                  <w:pPr>
                    <w:jc w:val="center"/>
                    <w:rPr>
                      <w:color w:val="auto"/>
                    </w:rPr>
                  </w:pPr>
                  <w:r>
                    <w:rPr>
                      <w:color w:val="auto"/>
                    </w:rPr>
                    <w:t>总铅</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2542631">
                  <w:pPr>
                    <w:jc w:val="center"/>
                    <w:rPr>
                      <w:color w:val="auto"/>
                    </w:rPr>
                  </w:pPr>
                  <w:r>
                    <w:rPr>
                      <w:color w:val="auto"/>
                    </w:rPr>
                    <w:t>300</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AB6D1D2">
                  <w:pPr>
                    <w:jc w:val="center"/>
                    <w:rPr>
                      <w:color w:val="auto"/>
                    </w:rPr>
                  </w:pPr>
                  <w:r>
                    <w:rPr>
                      <w:color w:val="auto"/>
                    </w:rPr>
                    <w:t>1000</w:t>
                  </w:r>
                </w:p>
              </w:tc>
            </w:tr>
            <w:tr w14:paraId="078D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0AA5950C">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7E06A49">
                  <w:pPr>
                    <w:jc w:val="center"/>
                    <w:rPr>
                      <w:color w:val="auto"/>
                    </w:rPr>
                  </w:pPr>
                  <w:r>
                    <w:rPr>
                      <w:color w:val="auto"/>
                    </w:rPr>
                    <w:t>4</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2111E7">
                  <w:pPr>
                    <w:jc w:val="center"/>
                    <w:rPr>
                      <w:color w:val="auto"/>
                    </w:rPr>
                  </w:pPr>
                  <w:r>
                    <w:rPr>
                      <w:color w:val="auto"/>
                    </w:rPr>
                    <w:t>总铬</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B79233B">
                  <w:pPr>
                    <w:jc w:val="center"/>
                    <w:rPr>
                      <w:color w:val="auto"/>
                    </w:rPr>
                  </w:pPr>
                  <w:r>
                    <w:rPr>
                      <w:color w:val="auto"/>
                    </w:rPr>
                    <w:t>600</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D0B1CA3">
                  <w:pPr>
                    <w:jc w:val="center"/>
                    <w:rPr>
                      <w:color w:val="auto"/>
                    </w:rPr>
                  </w:pPr>
                  <w:r>
                    <w:rPr>
                      <w:color w:val="auto"/>
                    </w:rPr>
                    <w:t>1000</w:t>
                  </w:r>
                </w:p>
              </w:tc>
            </w:tr>
            <w:tr w14:paraId="7EB2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3066449E">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CEEE3C7">
                  <w:pPr>
                    <w:jc w:val="center"/>
                    <w:rPr>
                      <w:color w:val="auto"/>
                    </w:rPr>
                  </w:pPr>
                  <w:r>
                    <w:rPr>
                      <w:color w:val="auto"/>
                    </w:rPr>
                    <w:t>5</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7ABC7EF">
                  <w:pPr>
                    <w:jc w:val="center"/>
                    <w:rPr>
                      <w:color w:val="auto"/>
                    </w:rPr>
                  </w:pPr>
                  <w:r>
                    <w:rPr>
                      <w:color w:val="auto"/>
                    </w:rPr>
                    <w:t>总砷</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56A621">
                  <w:pPr>
                    <w:jc w:val="center"/>
                    <w:rPr>
                      <w:color w:val="auto"/>
                    </w:rPr>
                  </w:pPr>
                  <w:r>
                    <w:rPr>
                      <w:color w:val="auto"/>
                    </w:rPr>
                    <w:t>75</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5A91B08">
                  <w:pPr>
                    <w:jc w:val="center"/>
                    <w:rPr>
                      <w:color w:val="auto"/>
                    </w:rPr>
                  </w:pPr>
                  <w:r>
                    <w:rPr>
                      <w:color w:val="auto"/>
                    </w:rPr>
                    <w:t>75</w:t>
                  </w:r>
                </w:p>
              </w:tc>
            </w:tr>
            <w:tr w14:paraId="7FC9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7DBF141C">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EE6A957">
                  <w:pPr>
                    <w:jc w:val="center"/>
                    <w:rPr>
                      <w:color w:val="auto"/>
                    </w:rPr>
                  </w:pPr>
                  <w:r>
                    <w:rPr>
                      <w:color w:val="auto"/>
                    </w:rPr>
                    <w:t>6</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285814">
                  <w:pPr>
                    <w:jc w:val="center"/>
                    <w:rPr>
                      <w:color w:val="auto"/>
                    </w:rPr>
                  </w:pPr>
                  <w:r>
                    <w:rPr>
                      <w:color w:val="auto"/>
                    </w:rPr>
                    <w:t>总硼</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AF59F77">
                  <w:pPr>
                    <w:jc w:val="center"/>
                    <w:rPr>
                      <w:color w:val="auto"/>
                    </w:rPr>
                  </w:pPr>
                  <w:r>
                    <w:rPr>
                      <w:color w:val="auto"/>
                    </w:rPr>
                    <w:t>100</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CA5E7C0">
                  <w:pPr>
                    <w:jc w:val="center"/>
                    <w:rPr>
                      <w:color w:val="auto"/>
                    </w:rPr>
                  </w:pPr>
                  <w:r>
                    <w:rPr>
                      <w:color w:val="auto"/>
                    </w:rPr>
                    <w:t>150</w:t>
                  </w:r>
                </w:p>
              </w:tc>
            </w:tr>
            <w:tr w14:paraId="18A1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39AF1A51">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0EAD077">
                  <w:pPr>
                    <w:jc w:val="center"/>
                    <w:rPr>
                      <w:color w:val="auto"/>
                    </w:rPr>
                  </w:pPr>
                  <w:r>
                    <w:rPr>
                      <w:color w:val="auto"/>
                    </w:rPr>
                    <w:t>7</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69138C4">
                  <w:pPr>
                    <w:jc w:val="center"/>
                    <w:rPr>
                      <w:color w:val="auto"/>
                    </w:rPr>
                  </w:pPr>
                  <w:r>
                    <w:rPr>
                      <w:color w:val="auto"/>
                    </w:rPr>
                    <w:t>总铜</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5D9E700">
                  <w:pPr>
                    <w:jc w:val="center"/>
                    <w:rPr>
                      <w:color w:val="auto"/>
                    </w:rPr>
                  </w:pPr>
                  <w:r>
                    <w:rPr>
                      <w:color w:val="auto"/>
                    </w:rPr>
                    <w:t>800</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F28A06F">
                  <w:pPr>
                    <w:jc w:val="center"/>
                    <w:rPr>
                      <w:color w:val="auto"/>
                    </w:rPr>
                  </w:pPr>
                  <w:r>
                    <w:rPr>
                      <w:color w:val="auto"/>
                    </w:rPr>
                    <w:t>1500</w:t>
                  </w:r>
                </w:p>
              </w:tc>
            </w:tr>
            <w:tr w14:paraId="0C41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03B505C0">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9EBF97A">
                  <w:pPr>
                    <w:jc w:val="center"/>
                    <w:rPr>
                      <w:color w:val="auto"/>
                    </w:rPr>
                  </w:pPr>
                  <w:r>
                    <w:rPr>
                      <w:color w:val="auto"/>
                    </w:rPr>
                    <w:t>8</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520E577">
                  <w:pPr>
                    <w:jc w:val="center"/>
                    <w:rPr>
                      <w:color w:val="auto"/>
                    </w:rPr>
                  </w:pPr>
                  <w:r>
                    <w:rPr>
                      <w:color w:val="auto"/>
                    </w:rPr>
                    <w:t>总锌</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D164E3E">
                  <w:pPr>
                    <w:jc w:val="center"/>
                    <w:rPr>
                      <w:color w:val="auto"/>
                    </w:rPr>
                  </w:pPr>
                  <w:r>
                    <w:rPr>
                      <w:color w:val="auto"/>
                    </w:rPr>
                    <w:t>2 000</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6F3421">
                  <w:pPr>
                    <w:jc w:val="center"/>
                    <w:rPr>
                      <w:color w:val="auto"/>
                    </w:rPr>
                  </w:pPr>
                  <w:r>
                    <w:rPr>
                      <w:color w:val="auto"/>
                    </w:rPr>
                    <w:t>4000</w:t>
                  </w:r>
                </w:p>
              </w:tc>
            </w:tr>
            <w:tr w14:paraId="018E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14877914">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F88E244">
                  <w:pPr>
                    <w:jc w:val="center"/>
                    <w:rPr>
                      <w:color w:val="auto"/>
                    </w:rPr>
                  </w:pPr>
                  <w:r>
                    <w:rPr>
                      <w:color w:val="auto"/>
                    </w:rPr>
                    <w:t>9</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B3CAAA">
                  <w:pPr>
                    <w:jc w:val="center"/>
                    <w:rPr>
                      <w:color w:val="auto"/>
                    </w:rPr>
                  </w:pPr>
                  <w:r>
                    <w:rPr>
                      <w:color w:val="auto"/>
                    </w:rPr>
                    <w:t>总镍</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86F02B2">
                  <w:pPr>
                    <w:jc w:val="center"/>
                    <w:rPr>
                      <w:color w:val="auto"/>
                    </w:rPr>
                  </w:pPr>
                  <w:r>
                    <w:rPr>
                      <w:color w:val="auto"/>
                    </w:rPr>
                    <w:t>100</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169AEA">
                  <w:pPr>
                    <w:jc w:val="center"/>
                    <w:rPr>
                      <w:color w:val="auto"/>
                    </w:rPr>
                  </w:pPr>
                  <w:r>
                    <w:rPr>
                      <w:color w:val="auto"/>
                    </w:rPr>
                    <w:t>200</w:t>
                  </w:r>
                </w:p>
              </w:tc>
            </w:tr>
            <w:tr w14:paraId="6EFB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52A1DB3F">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C80DE5">
                  <w:pPr>
                    <w:jc w:val="center"/>
                    <w:rPr>
                      <w:color w:val="auto"/>
                    </w:rPr>
                  </w:pPr>
                  <w:r>
                    <w:rPr>
                      <w:color w:val="auto"/>
                    </w:rPr>
                    <w:t>10</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673090B">
                  <w:pPr>
                    <w:jc w:val="center"/>
                    <w:rPr>
                      <w:color w:val="auto"/>
                    </w:rPr>
                  </w:pPr>
                  <w:r>
                    <w:rPr>
                      <w:color w:val="auto"/>
                    </w:rPr>
                    <w:t>矿物油</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7DAC9B9">
                  <w:pPr>
                    <w:jc w:val="center"/>
                    <w:rPr>
                      <w:color w:val="auto"/>
                    </w:rPr>
                  </w:pPr>
                  <w:r>
                    <w:rPr>
                      <w:color w:val="auto"/>
                    </w:rPr>
                    <w:t>3000</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7F78F35">
                  <w:pPr>
                    <w:jc w:val="center"/>
                    <w:rPr>
                      <w:color w:val="auto"/>
                    </w:rPr>
                  </w:pPr>
                  <w:r>
                    <w:rPr>
                      <w:color w:val="auto"/>
                    </w:rPr>
                    <w:t>3000</w:t>
                  </w:r>
                </w:p>
              </w:tc>
            </w:tr>
            <w:tr w14:paraId="1631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6E776EB9">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43BBA8">
                  <w:pPr>
                    <w:jc w:val="center"/>
                    <w:rPr>
                      <w:color w:val="auto"/>
                    </w:rPr>
                  </w:pPr>
                  <w:r>
                    <w:rPr>
                      <w:color w:val="auto"/>
                    </w:rPr>
                    <w:t>11</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80D4A8">
                  <w:pPr>
                    <w:jc w:val="center"/>
                    <w:rPr>
                      <w:color w:val="auto"/>
                    </w:rPr>
                  </w:pPr>
                  <w:r>
                    <w:rPr>
                      <w:color w:val="auto"/>
                    </w:rPr>
                    <w:t>可吸附有机卤化物（AOX）(以Cl计)</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88ED8DF">
                  <w:pPr>
                    <w:jc w:val="center"/>
                    <w:rPr>
                      <w:color w:val="auto"/>
                    </w:rPr>
                  </w:pPr>
                  <w:r>
                    <w:rPr>
                      <w:color w:val="auto"/>
                    </w:rPr>
                    <w:t>500</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67EA92">
                  <w:pPr>
                    <w:jc w:val="center"/>
                    <w:rPr>
                      <w:color w:val="auto"/>
                    </w:rPr>
                  </w:pPr>
                  <w:r>
                    <w:rPr>
                      <w:color w:val="auto"/>
                    </w:rPr>
                    <w:t>500</w:t>
                  </w:r>
                </w:p>
              </w:tc>
            </w:tr>
            <w:tr w14:paraId="0991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24C37D1D">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1D23802">
                  <w:pPr>
                    <w:jc w:val="center"/>
                    <w:rPr>
                      <w:color w:val="auto"/>
                    </w:rPr>
                  </w:pPr>
                  <w:r>
                    <w:rPr>
                      <w:color w:val="auto"/>
                    </w:rPr>
                    <w:t>12</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3B47962">
                  <w:pPr>
                    <w:jc w:val="center"/>
                    <w:rPr>
                      <w:color w:val="auto"/>
                    </w:rPr>
                  </w:pPr>
                  <w:r>
                    <w:rPr>
                      <w:color w:val="auto"/>
                    </w:rPr>
                    <w:t>多氯联苯</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D14F26F">
                  <w:pPr>
                    <w:jc w:val="center"/>
                    <w:rPr>
                      <w:color w:val="auto"/>
                    </w:rPr>
                  </w:pPr>
                  <w:r>
                    <w:rPr>
                      <w:color w:val="auto"/>
                    </w:rPr>
                    <w:t>0.2</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5B24F4C">
                  <w:pPr>
                    <w:jc w:val="center"/>
                    <w:rPr>
                      <w:color w:val="auto"/>
                    </w:rPr>
                  </w:pPr>
                  <w:r>
                    <w:rPr>
                      <w:color w:val="auto"/>
                    </w:rPr>
                    <w:t>0.2</w:t>
                  </w:r>
                </w:p>
              </w:tc>
            </w:tr>
            <w:tr w14:paraId="0358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right w:val="single" w:color="000000" w:sz="4" w:space="0"/>
                  </w:tcBorders>
                  <w:tcMar>
                    <w:left w:w="108" w:type="dxa"/>
                    <w:right w:w="108" w:type="dxa"/>
                  </w:tcMar>
                  <w:vAlign w:val="center"/>
                </w:tcPr>
                <w:p w14:paraId="4FCCB0C1">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F55866">
                  <w:pPr>
                    <w:jc w:val="center"/>
                    <w:rPr>
                      <w:color w:val="auto"/>
                    </w:rPr>
                  </w:pPr>
                  <w:r>
                    <w:rPr>
                      <w:color w:val="auto"/>
                    </w:rPr>
                    <w:t>13</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3BA7658">
                  <w:pPr>
                    <w:jc w:val="center"/>
                    <w:rPr>
                      <w:color w:val="auto"/>
                    </w:rPr>
                  </w:pPr>
                  <w:r>
                    <w:rPr>
                      <w:color w:val="auto"/>
                    </w:rPr>
                    <w:t>挥发酚</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885D498">
                  <w:pPr>
                    <w:jc w:val="center"/>
                    <w:rPr>
                      <w:color w:val="auto"/>
                    </w:rPr>
                  </w:pPr>
                  <w:r>
                    <w:rPr>
                      <w:color w:val="auto"/>
                    </w:rPr>
                    <w:t>40</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BBF1391">
                  <w:pPr>
                    <w:jc w:val="center"/>
                    <w:rPr>
                      <w:color w:val="auto"/>
                    </w:rPr>
                  </w:pPr>
                  <w:r>
                    <w:rPr>
                      <w:color w:val="auto"/>
                    </w:rPr>
                    <w:t>40</w:t>
                  </w:r>
                </w:p>
              </w:tc>
            </w:tr>
            <w:tr w14:paraId="64C0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57" w:type="pct"/>
                  <w:vMerge w:val="continue"/>
                  <w:tcBorders>
                    <w:left w:val="single" w:color="000000" w:sz="4" w:space="0"/>
                    <w:bottom w:val="single" w:color="000000" w:sz="4" w:space="0"/>
                    <w:right w:val="single" w:color="000000" w:sz="4" w:space="0"/>
                  </w:tcBorders>
                  <w:tcMar>
                    <w:left w:w="108" w:type="dxa"/>
                    <w:right w:w="108" w:type="dxa"/>
                  </w:tcMar>
                  <w:vAlign w:val="center"/>
                </w:tcPr>
                <w:p w14:paraId="3146BCED">
                  <w:pPr>
                    <w:jc w:val="center"/>
                    <w:rPr>
                      <w:color w:val="auto"/>
                    </w:rPr>
                  </w:pPr>
                </w:p>
              </w:tc>
              <w:tc>
                <w:tcPr>
                  <w:tcW w:w="31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FBB2E95">
                  <w:pPr>
                    <w:jc w:val="center"/>
                    <w:rPr>
                      <w:color w:val="auto"/>
                    </w:rPr>
                  </w:pPr>
                  <w:r>
                    <w:rPr>
                      <w:color w:val="auto"/>
                    </w:rPr>
                    <w:t>14</w:t>
                  </w:r>
                </w:p>
              </w:tc>
              <w:tc>
                <w:tcPr>
                  <w:tcW w:w="1832"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D63EDE7">
                  <w:pPr>
                    <w:jc w:val="center"/>
                    <w:rPr>
                      <w:color w:val="auto"/>
                    </w:rPr>
                  </w:pPr>
                  <w:r>
                    <w:rPr>
                      <w:color w:val="auto"/>
                    </w:rPr>
                    <w:t>总氰化物</w:t>
                  </w:r>
                </w:p>
              </w:tc>
              <w:tc>
                <w:tcPr>
                  <w:tcW w:w="998"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F5FDF79">
                  <w:pPr>
                    <w:jc w:val="center"/>
                    <w:rPr>
                      <w:color w:val="auto"/>
                    </w:rPr>
                  </w:pPr>
                  <w:r>
                    <w:rPr>
                      <w:color w:val="auto"/>
                    </w:rPr>
                    <w:t>10</w:t>
                  </w:r>
                </w:p>
              </w:tc>
              <w:tc>
                <w:tcPr>
                  <w:tcW w:w="99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6775F44">
                  <w:pPr>
                    <w:jc w:val="center"/>
                    <w:rPr>
                      <w:color w:val="auto"/>
                    </w:rPr>
                  </w:pPr>
                  <w:r>
                    <w:rPr>
                      <w:color w:val="auto"/>
                    </w:rPr>
                    <w:t>10</w:t>
                  </w:r>
                </w:p>
              </w:tc>
            </w:tr>
          </w:tbl>
          <w:p w14:paraId="672CA931">
            <w:pPr>
              <w:pStyle w:val="66"/>
              <w:widowControl/>
              <w:numPr>
                <w:ilvl w:val="0"/>
                <w:numId w:val="0"/>
              </w:numPr>
              <w:kinsoku w:val="0"/>
              <w:autoSpaceDE w:val="0"/>
              <w:autoSpaceDN w:val="0"/>
              <w:adjustRightInd w:val="0"/>
              <w:snapToGrid w:val="0"/>
              <w:spacing w:line="460" w:lineRule="exact"/>
              <w:ind w:firstLine="480" w:firstLineChars="200"/>
              <w:textAlignment w:val="baseline"/>
              <w:rPr>
                <w:rFonts w:hint="eastAsia" w:ascii="Times New Roman" w:hAnsi="Times New Roman" w:cs="Times New Roman"/>
                <w:color w:val="auto"/>
                <w:sz w:val="24"/>
                <w:szCs w:val="24"/>
                <w:lang w:eastAsia="zh-CN"/>
              </w:rPr>
            </w:pPr>
            <w:r>
              <w:rPr>
                <w:rFonts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4</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z w:val="24"/>
                <w:szCs w:val="24"/>
                <w:lang w:eastAsia="zh-CN"/>
              </w:rPr>
              <w:t>绿化营养土</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项目生产的</w:t>
            </w:r>
            <w:r>
              <w:rPr>
                <w:rFonts w:hint="eastAsia" w:ascii="Times New Roman" w:hAnsi="Times New Roman" w:cs="Times New Roman"/>
                <w:color w:val="auto"/>
                <w:sz w:val="24"/>
                <w:szCs w:val="24"/>
                <w:lang w:eastAsia="zh-CN"/>
              </w:rPr>
              <w:t>绿化营养土</w:t>
            </w:r>
            <w:r>
              <w:rPr>
                <w:rFonts w:hint="default" w:ascii="Times New Roman" w:hAnsi="Times New Roman" w:eastAsia="宋体" w:cs="Times New Roman"/>
                <w:color w:val="auto"/>
                <w:sz w:val="24"/>
                <w:szCs w:val="24"/>
                <w:lang w:eastAsia="zh-CN"/>
              </w:rPr>
              <w:t>使用城市污水处理厂污泥作为原料，</w:t>
            </w:r>
            <w:r>
              <w:rPr>
                <w:rFonts w:hint="eastAsia" w:ascii="Times New Roman" w:hAnsi="Times New Roman" w:cs="Times New Roman"/>
                <w:color w:val="auto"/>
                <w:sz w:val="24"/>
                <w:szCs w:val="24"/>
                <w:lang w:eastAsia="zh-CN"/>
              </w:rPr>
              <w:t>添加草木灰</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炉渣</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土壤改良矿化剂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经过</w:t>
            </w:r>
            <w:r>
              <w:rPr>
                <w:rFonts w:hint="eastAsia" w:ascii="Times New Roman" w:hAnsi="Times New Roman" w:cs="Times New Roman"/>
                <w:color w:val="auto"/>
                <w:sz w:val="24"/>
                <w:szCs w:val="24"/>
                <w:lang w:eastAsia="zh-CN"/>
              </w:rPr>
              <w:t>粉碎搅拌、低温闪急干化、矿化干化、陈化等工艺后</w:t>
            </w:r>
            <w:r>
              <w:rPr>
                <w:rFonts w:hint="eastAsia" w:ascii="Times New Roman" w:hAnsi="Times New Roman" w:eastAsia="宋体" w:cs="Times New Roman"/>
                <w:color w:val="auto"/>
                <w:sz w:val="24"/>
                <w:szCs w:val="24"/>
                <w:lang w:eastAsia="zh-CN"/>
              </w:rPr>
              <w:t>得到成品</w:t>
            </w:r>
            <w:r>
              <w:rPr>
                <w:rFonts w:hint="default" w:ascii="Times New Roman" w:hAnsi="Times New Roman" w:eastAsia="宋体" w:cs="Times New Roman"/>
                <w:color w:val="auto"/>
                <w:sz w:val="24"/>
                <w:szCs w:val="24"/>
                <w:lang w:eastAsia="zh-CN"/>
              </w:rPr>
              <w:t>。本产品应满足《城镇污水处理厂污泥处置园林绿化用泥质》（GB/T23486-2009）中表1</w:t>
            </w:r>
            <w:r>
              <w:rPr>
                <w:rFonts w:hint="eastAsia" w:ascii="Times New Roman" w:hAnsi="Times New Roman" w:cs="Times New Roman"/>
                <w:color w:val="auto"/>
                <w:sz w:val="24"/>
                <w:szCs w:val="24"/>
                <w:lang w:eastAsia="zh-CN"/>
              </w:rPr>
              <w:t>、表</w:t>
            </w:r>
            <w:r>
              <w:rPr>
                <w:rFonts w:hint="eastAsia" w:ascii="Times New Roman" w:hAnsi="Times New Roman" w:cs="Times New Roman"/>
                <w:color w:val="auto"/>
                <w:sz w:val="24"/>
                <w:szCs w:val="24"/>
                <w:lang w:val="en-US" w:eastAsia="zh-CN"/>
              </w:rPr>
              <w:t>2、表3、表4</w:t>
            </w:r>
            <w:r>
              <w:rPr>
                <w:rFonts w:hint="default" w:ascii="Times New Roman" w:hAnsi="Times New Roman" w:eastAsia="宋体" w:cs="Times New Roman"/>
                <w:color w:val="auto"/>
                <w:sz w:val="24"/>
                <w:szCs w:val="24"/>
                <w:lang w:eastAsia="zh-CN"/>
              </w:rPr>
              <w:t>中的要求，产品出厂前应逐批检验，检验合格后方可出厂。出厂检验项目</w:t>
            </w:r>
            <w:r>
              <w:rPr>
                <w:rFonts w:hint="eastAsia" w:ascii="Times New Roman" w:hAnsi="Times New Roman" w:cs="Times New Roman"/>
                <w:color w:val="auto"/>
                <w:sz w:val="24"/>
                <w:szCs w:val="24"/>
                <w:lang w:eastAsia="zh-CN"/>
              </w:rPr>
              <w:t>理化指标及限值</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养分指标及限值</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生物学指标及限值</w:t>
            </w:r>
            <w:r>
              <w:rPr>
                <w:rFonts w:hint="default" w:ascii="Times New Roman" w:hAnsi="Times New Roman" w:eastAsia="宋体" w:cs="Times New Roman"/>
                <w:color w:val="auto"/>
                <w:sz w:val="24"/>
                <w:szCs w:val="24"/>
                <w:lang w:eastAsia="zh-CN"/>
              </w:rPr>
              <w:t>、污染物指标及限值。</w:t>
            </w:r>
            <w:r>
              <w:rPr>
                <w:rFonts w:hint="eastAsia" w:ascii="Times New Roman" w:hAnsi="Times New Roman" w:cs="Times New Roman"/>
                <w:color w:val="auto"/>
                <w:sz w:val="24"/>
                <w:szCs w:val="24"/>
                <w:lang w:eastAsia="zh-CN"/>
              </w:rPr>
              <w:t>具体要求详见下表：</w:t>
            </w:r>
          </w:p>
          <w:p w14:paraId="198E8D7F">
            <w:pPr>
              <w:pStyle w:val="6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2" w:firstLineChars="200"/>
              <w:jc w:val="center"/>
              <w:textAlignment w:val="baseline"/>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eastAsia="zh-CN"/>
              </w:rPr>
              <w:t>表</w:t>
            </w:r>
            <w:r>
              <w:rPr>
                <w:rFonts w:hint="eastAsia" w:ascii="Times New Roman" w:hAnsi="Times New Roman" w:cs="Times New Roman"/>
                <w:b/>
                <w:bCs/>
                <w:color w:val="auto"/>
                <w:sz w:val="24"/>
                <w:szCs w:val="24"/>
                <w:lang w:val="en-US" w:eastAsia="zh-CN"/>
              </w:rPr>
              <w:t xml:space="preserve">2.9  </w:t>
            </w:r>
            <w:r>
              <w:rPr>
                <w:rFonts w:hint="eastAsia" w:ascii="Times New Roman" w:hAnsi="Times New Roman" w:cs="Times New Roman"/>
                <w:b/>
                <w:bCs/>
                <w:color w:val="auto"/>
                <w:sz w:val="24"/>
                <w:szCs w:val="24"/>
                <w:lang w:eastAsia="zh-CN"/>
              </w:rPr>
              <w:t>绿化营养土出厂管控限值要求</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55"/>
              <w:gridCol w:w="1655"/>
              <w:gridCol w:w="1752"/>
              <w:gridCol w:w="1424"/>
              <w:gridCol w:w="136"/>
              <w:gridCol w:w="1560"/>
            </w:tblGrid>
            <w:tr w14:paraId="4CDF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restart"/>
                  <w:tcBorders>
                    <w:top w:val="single" w:color="000000" w:sz="4" w:space="0"/>
                    <w:left w:val="single" w:color="000000" w:sz="4" w:space="0"/>
                    <w:right w:val="single" w:color="000000" w:sz="4" w:space="0"/>
                  </w:tcBorders>
                  <w:tcMar>
                    <w:left w:w="108" w:type="dxa"/>
                    <w:right w:w="108" w:type="dxa"/>
                  </w:tcMar>
                  <w:vAlign w:val="center"/>
                </w:tcPr>
                <w:p w14:paraId="4FA538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b/>
                      <w:color w:val="auto"/>
                      <w:lang w:eastAsia="zh-CN"/>
                    </w:rPr>
                  </w:pPr>
                  <w:r>
                    <w:rPr>
                      <w:rFonts w:hint="eastAsia"/>
                      <w:b/>
                      <w:color w:val="auto"/>
                      <w:lang w:eastAsia="zh-CN"/>
                    </w:rPr>
                    <w:t>其他</w:t>
                  </w:r>
                  <w:r>
                    <w:rPr>
                      <w:b/>
                      <w:color w:val="auto"/>
                    </w:rPr>
                    <w:t>理化指标</w:t>
                  </w:r>
                  <w:r>
                    <w:rPr>
                      <w:rFonts w:hint="eastAsia"/>
                      <w:b/>
                      <w:color w:val="auto"/>
                      <w:lang w:eastAsia="zh-CN"/>
                    </w:rPr>
                    <w:t>及限值</w:t>
                  </w: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531A18F">
                  <w:pPr>
                    <w:keepNext w:val="0"/>
                    <w:keepLines w:val="0"/>
                    <w:pageBreakBefore w:val="0"/>
                    <w:widowControl w:val="0"/>
                    <w:kinsoku/>
                    <w:wordWrap/>
                    <w:overflowPunct/>
                    <w:topLinePunct w:val="0"/>
                    <w:autoSpaceDE/>
                    <w:autoSpaceDN/>
                    <w:bidi w:val="0"/>
                    <w:adjustRightInd w:val="0"/>
                    <w:snapToGrid w:val="0"/>
                    <w:jc w:val="center"/>
                    <w:textAlignment w:val="auto"/>
                    <w:rPr>
                      <w:b/>
                      <w:color w:val="auto"/>
                    </w:rPr>
                  </w:pPr>
                  <w:r>
                    <w:rPr>
                      <w:b/>
                      <w:color w:val="auto"/>
                    </w:rPr>
                    <w:t>序号</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B47ACD2">
                  <w:pPr>
                    <w:keepNext w:val="0"/>
                    <w:keepLines w:val="0"/>
                    <w:pageBreakBefore w:val="0"/>
                    <w:widowControl w:val="0"/>
                    <w:kinsoku/>
                    <w:wordWrap/>
                    <w:overflowPunct/>
                    <w:topLinePunct w:val="0"/>
                    <w:autoSpaceDE/>
                    <w:autoSpaceDN/>
                    <w:bidi w:val="0"/>
                    <w:adjustRightInd w:val="0"/>
                    <w:snapToGrid w:val="0"/>
                    <w:jc w:val="center"/>
                    <w:textAlignment w:val="auto"/>
                    <w:rPr>
                      <w:b/>
                      <w:color w:val="auto"/>
                    </w:rPr>
                  </w:pPr>
                  <w:r>
                    <w:rPr>
                      <w:b/>
                      <w:color w:val="auto"/>
                    </w:rPr>
                    <w:t>理化指标</w:t>
                  </w:r>
                </w:p>
              </w:tc>
              <w:tc>
                <w:tcPr>
                  <w:tcW w:w="1906"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54BDD2F">
                  <w:pPr>
                    <w:keepNext w:val="0"/>
                    <w:keepLines w:val="0"/>
                    <w:pageBreakBefore w:val="0"/>
                    <w:widowControl w:val="0"/>
                    <w:kinsoku/>
                    <w:wordWrap/>
                    <w:overflowPunct/>
                    <w:topLinePunct w:val="0"/>
                    <w:autoSpaceDE/>
                    <w:autoSpaceDN/>
                    <w:bidi w:val="0"/>
                    <w:adjustRightInd w:val="0"/>
                    <w:snapToGrid w:val="0"/>
                    <w:jc w:val="center"/>
                    <w:textAlignment w:val="auto"/>
                    <w:rPr>
                      <w:b/>
                      <w:color w:val="auto"/>
                    </w:rPr>
                  </w:pPr>
                  <w:r>
                    <w:rPr>
                      <w:b/>
                      <w:color w:val="auto"/>
                    </w:rPr>
                    <w:t>限值</w:t>
                  </w:r>
                </w:p>
              </w:tc>
            </w:tr>
            <w:tr w14:paraId="5844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7C61A0E1">
                  <w:pPr>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1473E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lang w:val="en-US" w:eastAsia="zh-CN"/>
                    </w:rPr>
                  </w:pPr>
                  <w:r>
                    <w:rPr>
                      <w:rFonts w:hint="eastAsia"/>
                      <w:color w:val="auto"/>
                      <w:lang w:val="en-US" w:eastAsia="zh-CN"/>
                    </w:rPr>
                    <w:t>/</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3D17A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lang w:val="en-US" w:eastAsia="zh-CN"/>
                    </w:rPr>
                  </w:pPr>
                  <w:r>
                    <w:rPr>
                      <w:rFonts w:hint="eastAsia"/>
                      <w:color w:val="auto"/>
                      <w:lang w:val="en-US" w:eastAsia="zh-CN"/>
                    </w:rPr>
                    <w:t>/</w:t>
                  </w:r>
                </w:p>
              </w:tc>
              <w:tc>
                <w:tcPr>
                  <w:tcW w:w="953"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DB741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lang w:eastAsia="zh-CN"/>
                    </w:rPr>
                  </w:pPr>
                  <w:r>
                    <w:rPr>
                      <w:rFonts w:hint="eastAsia" w:eastAsia="宋体"/>
                      <w:color w:val="auto"/>
                      <w:lang w:eastAsia="zh-CN"/>
                    </w:rPr>
                    <w:t>酸性土壤(pH&lt;6.5)</w:t>
                  </w:r>
                </w:p>
              </w:tc>
              <w:tc>
                <w:tcPr>
                  <w:tcW w:w="95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80664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lang w:eastAsia="zh-CN"/>
                    </w:rPr>
                  </w:pPr>
                  <w:r>
                    <w:rPr>
                      <w:rFonts w:hint="eastAsia"/>
                      <w:color w:val="auto"/>
                      <w:lang w:eastAsia="zh-CN"/>
                    </w:rPr>
                    <w:t>中性和碱性土壤</w:t>
                  </w:r>
                  <w:r>
                    <w:rPr>
                      <w:rFonts w:hint="eastAsia" w:eastAsia="宋体"/>
                      <w:color w:val="auto"/>
                      <w:lang w:eastAsia="zh-CN"/>
                    </w:rPr>
                    <w:t>(pH</w:t>
                  </w:r>
                  <w:r>
                    <w:rPr>
                      <w:rFonts w:hint="default" w:ascii="Times New Roman" w:hAnsi="Times New Roman" w:eastAsia="宋体" w:cs="Times New Roman"/>
                      <w:color w:val="auto"/>
                      <w:lang w:eastAsia="zh-CN"/>
                    </w:rPr>
                    <w:t>≥</w:t>
                  </w:r>
                  <w:r>
                    <w:rPr>
                      <w:rFonts w:hint="eastAsia" w:eastAsia="宋体"/>
                      <w:color w:val="auto"/>
                      <w:lang w:eastAsia="zh-CN"/>
                    </w:rPr>
                    <w:t>6.5)</w:t>
                  </w:r>
                </w:p>
              </w:tc>
            </w:tr>
            <w:tr w14:paraId="7536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3BF0CDB4">
                  <w:pPr>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E5EC355">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BDBCE90">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pH</w:t>
                  </w:r>
                </w:p>
              </w:tc>
              <w:tc>
                <w:tcPr>
                  <w:tcW w:w="953"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5191F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lang w:val="en-US" w:eastAsia="zh-CN"/>
                    </w:rPr>
                  </w:pPr>
                  <w:r>
                    <w:rPr>
                      <w:rFonts w:hint="eastAsia"/>
                      <w:color w:val="auto"/>
                      <w:lang w:val="en-US" w:eastAsia="zh-CN"/>
                    </w:rPr>
                    <w:t>6.5~8.5</w:t>
                  </w:r>
                </w:p>
              </w:tc>
              <w:tc>
                <w:tcPr>
                  <w:tcW w:w="95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4A3F7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lang w:val="en-US" w:eastAsia="zh-CN"/>
                    </w:rPr>
                  </w:pPr>
                  <w:r>
                    <w:rPr>
                      <w:rFonts w:hint="eastAsia"/>
                      <w:color w:val="auto"/>
                      <w:lang w:val="en-US" w:eastAsia="zh-CN"/>
                    </w:rPr>
                    <w:t>5.5~7.8</w:t>
                  </w:r>
                </w:p>
              </w:tc>
            </w:tr>
            <w:tr w14:paraId="616B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bottom w:val="single" w:color="000000" w:sz="4" w:space="0"/>
                    <w:right w:val="single" w:color="000000" w:sz="4" w:space="0"/>
                  </w:tcBorders>
                  <w:tcMar>
                    <w:left w:w="108" w:type="dxa"/>
                    <w:right w:w="108" w:type="dxa"/>
                  </w:tcMar>
                  <w:vAlign w:val="center"/>
                </w:tcPr>
                <w:p w14:paraId="4536060E">
                  <w:pPr>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DCCDB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lang w:val="en-US" w:eastAsia="zh-CN"/>
                    </w:rPr>
                  </w:pPr>
                  <w:r>
                    <w:rPr>
                      <w:color w:val="auto"/>
                    </w:rPr>
                    <w:t>2</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978C643">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含水率（%）</w:t>
                  </w:r>
                </w:p>
              </w:tc>
              <w:tc>
                <w:tcPr>
                  <w:tcW w:w="1906"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D017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lang w:val="en-US" w:eastAsia="zh-CN"/>
                    </w:rPr>
                  </w:pPr>
                  <w:r>
                    <w:rPr>
                      <w:color w:val="auto"/>
                    </w:rPr>
                    <w:t>&lt;</w:t>
                  </w:r>
                  <w:r>
                    <w:rPr>
                      <w:rFonts w:hint="eastAsia"/>
                      <w:color w:val="auto"/>
                      <w:lang w:val="en-US" w:eastAsia="zh-CN"/>
                    </w:rPr>
                    <w:t>40</w:t>
                  </w:r>
                </w:p>
              </w:tc>
            </w:tr>
            <w:tr w14:paraId="56F2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11" w:type="pct"/>
                  <w:vMerge w:val="restart"/>
                  <w:tcBorders>
                    <w:top w:val="single" w:color="000000" w:sz="4" w:space="0"/>
                    <w:left w:val="single" w:color="000000" w:sz="4" w:space="0"/>
                    <w:right w:val="single" w:color="000000" w:sz="4" w:space="0"/>
                  </w:tcBorders>
                  <w:tcMar>
                    <w:left w:w="108" w:type="dxa"/>
                    <w:right w:w="108" w:type="dxa"/>
                  </w:tcMar>
                  <w:vAlign w:val="center"/>
                </w:tcPr>
                <w:p w14:paraId="486FCC00">
                  <w:pPr>
                    <w:jc w:val="center"/>
                    <w:rPr>
                      <w:rFonts w:hint="eastAsia"/>
                      <w:b/>
                      <w:color w:val="auto"/>
                      <w:lang w:eastAsia="zh-CN"/>
                    </w:rPr>
                  </w:pPr>
                  <w:r>
                    <w:rPr>
                      <w:rFonts w:hint="eastAsia"/>
                      <w:b/>
                      <w:color w:val="auto"/>
                      <w:lang w:eastAsia="zh-CN"/>
                    </w:rPr>
                    <w:t>养分指标及</w:t>
                  </w:r>
                </w:p>
                <w:p w14:paraId="4BBA2F6B">
                  <w:pPr>
                    <w:jc w:val="center"/>
                    <w:rPr>
                      <w:rFonts w:hint="eastAsia" w:eastAsia="宋体"/>
                      <w:color w:val="auto"/>
                      <w:lang w:eastAsia="zh-CN"/>
                    </w:rPr>
                  </w:pPr>
                  <w:r>
                    <w:rPr>
                      <w:rFonts w:hint="eastAsia"/>
                      <w:b/>
                      <w:color w:val="auto"/>
                      <w:lang w:eastAsia="zh-CN"/>
                    </w:rPr>
                    <w:t>限值</w:t>
                  </w: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D2FA24A">
                  <w:pPr>
                    <w:jc w:val="center"/>
                    <w:rPr>
                      <w:color w:val="auto"/>
                    </w:rPr>
                  </w:pPr>
                  <w:r>
                    <w:rPr>
                      <w:color w:val="auto"/>
                    </w:rPr>
                    <w:t>1</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6052BDB">
                  <w:pPr>
                    <w:jc w:val="center"/>
                    <w:rPr>
                      <w:color w:val="auto"/>
                    </w:rPr>
                  </w:pPr>
                  <w:r>
                    <w:rPr>
                      <w:rFonts w:hint="eastAsia"/>
                      <w:color w:val="auto"/>
                    </w:rPr>
                    <w:t>总养分[总氮(以N计)+总磷(以P</w:t>
                  </w:r>
                  <w:r>
                    <w:rPr>
                      <w:rFonts w:hint="eastAsia"/>
                      <w:color w:val="auto"/>
                      <w:vertAlign w:val="subscript"/>
                      <w:lang w:val="en-US" w:eastAsia="zh-CN"/>
                    </w:rPr>
                    <w:t>5</w:t>
                  </w:r>
                  <w:r>
                    <w:rPr>
                      <w:rFonts w:hint="eastAsia"/>
                      <w:color w:val="auto"/>
                    </w:rPr>
                    <w:t>O</w:t>
                  </w:r>
                  <w:r>
                    <w:rPr>
                      <w:rFonts w:hint="eastAsia"/>
                      <w:color w:val="auto"/>
                      <w:vertAlign w:val="subscript"/>
                      <w:lang w:val="en-US" w:eastAsia="zh-CN"/>
                    </w:rPr>
                    <w:t>2</w:t>
                  </w:r>
                  <w:r>
                    <w:rPr>
                      <w:rFonts w:hint="eastAsia"/>
                      <w:color w:val="auto"/>
                    </w:rPr>
                    <w:t>计)+总钾(以K</w:t>
                  </w:r>
                  <w:r>
                    <w:rPr>
                      <w:rFonts w:hint="eastAsia"/>
                      <w:color w:val="auto"/>
                      <w:vertAlign w:val="subscript"/>
                      <w:lang w:val="en-US" w:eastAsia="zh-CN"/>
                    </w:rPr>
                    <w:t>2</w:t>
                  </w:r>
                  <w:r>
                    <w:rPr>
                      <w:rFonts w:hint="eastAsia"/>
                      <w:color w:val="auto"/>
                    </w:rPr>
                    <w:t>O计)](%)</w:t>
                  </w:r>
                </w:p>
              </w:tc>
              <w:tc>
                <w:tcPr>
                  <w:tcW w:w="1906"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67AEBDF">
                  <w:pPr>
                    <w:jc w:val="center"/>
                    <w:rPr>
                      <w:rFonts w:hint="eastAsia" w:eastAsia="宋体"/>
                      <w:color w:val="auto"/>
                      <w:lang w:eastAsia="zh-CN"/>
                    </w:rPr>
                  </w:pPr>
                  <w:r>
                    <w:rPr>
                      <w:rFonts w:hint="default" w:ascii="Times New Roman" w:hAnsi="Times New Roman" w:eastAsia="宋体" w:cs="Times New Roman"/>
                      <w:color w:val="auto"/>
                      <w:lang w:eastAsia="zh-CN"/>
                    </w:rPr>
                    <w:t>≥</w:t>
                  </w:r>
                  <w:r>
                    <w:rPr>
                      <w:rFonts w:hint="eastAsia"/>
                      <w:color w:val="auto"/>
                      <w:lang w:val="en-US" w:eastAsia="zh-CN"/>
                    </w:rPr>
                    <w:t>3</w:t>
                  </w:r>
                </w:p>
              </w:tc>
            </w:tr>
            <w:tr w14:paraId="1D9E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10D2E15A">
                  <w:pPr>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02FB5E">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2</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E2A43E">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有机物含量/%</w:t>
                  </w:r>
                </w:p>
              </w:tc>
              <w:tc>
                <w:tcPr>
                  <w:tcW w:w="1906"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A2A9E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rPr>
                  </w:pPr>
                  <w:r>
                    <w:rPr>
                      <w:rFonts w:hint="default" w:ascii="Times New Roman" w:hAnsi="Times New Roman" w:eastAsia="宋体" w:cs="Times New Roman"/>
                      <w:color w:val="auto"/>
                      <w:lang w:eastAsia="zh-CN"/>
                    </w:rPr>
                    <w:t>≥</w:t>
                  </w:r>
                  <w:r>
                    <w:rPr>
                      <w:rFonts w:hint="eastAsia" w:cs="Times New Roman"/>
                      <w:color w:val="auto"/>
                      <w:lang w:val="en-US" w:eastAsia="zh-CN"/>
                    </w:rPr>
                    <w:t>25</w:t>
                  </w:r>
                </w:p>
              </w:tc>
            </w:tr>
            <w:tr w14:paraId="02D7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restart"/>
                  <w:tcBorders>
                    <w:left w:val="single" w:color="000000" w:sz="4" w:space="0"/>
                    <w:right w:val="single" w:color="000000" w:sz="4" w:space="0"/>
                  </w:tcBorders>
                  <w:tcMar>
                    <w:left w:w="108" w:type="dxa"/>
                    <w:right w:w="108" w:type="dxa"/>
                  </w:tcMar>
                  <w:vAlign w:val="center"/>
                </w:tcPr>
                <w:p w14:paraId="05A84F03">
                  <w:pPr>
                    <w:jc w:val="center"/>
                    <w:rPr>
                      <w:rFonts w:hint="eastAsia" w:eastAsia="宋体"/>
                      <w:color w:val="auto"/>
                      <w:lang w:eastAsia="zh-CN"/>
                    </w:rPr>
                  </w:pPr>
                  <w:r>
                    <w:rPr>
                      <w:rFonts w:hint="eastAsia"/>
                      <w:b/>
                      <w:bCs/>
                      <w:color w:val="auto"/>
                      <w:lang w:eastAsia="zh-CN"/>
                    </w:rPr>
                    <w:t>生物学指标及限值</w:t>
                  </w: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84036EC">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C0DB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lang w:eastAsia="zh-CN"/>
                    </w:rPr>
                  </w:pPr>
                  <w:r>
                    <w:rPr>
                      <w:rFonts w:hint="eastAsia"/>
                      <w:color w:val="auto"/>
                      <w:lang w:eastAsia="zh-CN"/>
                    </w:rPr>
                    <w:t>粪大肠菌群菌值</w:t>
                  </w:r>
                </w:p>
              </w:tc>
              <w:tc>
                <w:tcPr>
                  <w:tcW w:w="1906"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25F6C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&gt;</w:t>
                  </w:r>
                  <w:r>
                    <w:rPr>
                      <w:rFonts w:hint="eastAsia" w:cs="Times New Roman"/>
                      <w:color w:val="auto"/>
                      <w:lang w:val="en-US" w:eastAsia="zh-CN"/>
                    </w:rPr>
                    <w:t>0.01</w:t>
                  </w:r>
                </w:p>
              </w:tc>
            </w:tr>
            <w:tr w14:paraId="6242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55FBA75A">
                  <w:pPr>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6798410">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2</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EB14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rPr>
                  </w:pPr>
                  <w:r>
                    <w:rPr>
                      <w:rFonts w:hint="eastAsia"/>
                      <w:color w:val="auto"/>
                    </w:rPr>
                    <w:t>蠕虫卵死亡率/%</w:t>
                  </w:r>
                </w:p>
              </w:tc>
              <w:tc>
                <w:tcPr>
                  <w:tcW w:w="1906" w:type="pct"/>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6E978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&gt;</w:t>
                  </w:r>
                  <w:r>
                    <w:rPr>
                      <w:rFonts w:hint="eastAsia" w:cs="Times New Roman"/>
                      <w:color w:val="auto"/>
                      <w:lang w:val="en-US" w:eastAsia="zh-CN"/>
                    </w:rPr>
                    <w:t>95</w:t>
                  </w:r>
                </w:p>
              </w:tc>
            </w:tr>
            <w:tr w14:paraId="4BE3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restart"/>
                  <w:tcBorders>
                    <w:top w:val="single" w:color="000000" w:sz="4" w:space="0"/>
                    <w:left w:val="single" w:color="000000" w:sz="4" w:space="0"/>
                    <w:right w:val="single" w:color="000000" w:sz="4" w:space="0"/>
                  </w:tcBorders>
                  <w:tcMar>
                    <w:left w:w="108" w:type="dxa"/>
                    <w:right w:w="108" w:type="dxa"/>
                  </w:tcMar>
                  <w:vAlign w:val="center"/>
                </w:tcPr>
                <w:p w14:paraId="30711F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color w:val="auto"/>
                      <w:lang w:val="en-US" w:eastAsia="zh-CN"/>
                    </w:rPr>
                  </w:pPr>
                  <w:r>
                    <w:rPr>
                      <w:b/>
                      <w:color w:val="auto"/>
                    </w:rPr>
                    <w:t>控污染物指标</w:t>
                  </w:r>
                </w:p>
              </w:tc>
              <w:tc>
                <w:tcPr>
                  <w:tcW w:w="2082" w:type="pct"/>
                  <w:gridSpan w:val="2"/>
                  <w:tcBorders>
                    <w:top w:val="single" w:color="000000" w:sz="4" w:space="0"/>
                    <w:left w:val="single" w:color="000000" w:sz="4" w:space="0"/>
                    <w:right w:val="single" w:color="000000" w:sz="4" w:space="0"/>
                  </w:tcBorders>
                  <w:tcMar>
                    <w:left w:w="108" w:type="dxa"/>
                    <w:right w:w="108" w:type="dxa"/>
                  </w:tcMar>
                  <w:vAlign w:val="center"/>
                </w:tcPr>
                <w:p w14:paraId="797C37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b/>
                      <w:color w:val="auto"/>
                      <w:lang w:val="en-US" w:eastAsia="zh-CN"/>
                    </w:rPr>
                  </w:pPr>
                  <w:r>
                    <w:rPr>
                      <w:rFonts w:hint="eastAsia"/>
                      <w:b/>
                      <w:color w:val="auto"/>
                      <w:lang w:val="en-US" w:eastAsia="zh-CN"/>
                    </w:rPr>
                    <w:t>/</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5B4D1F8">
                  <w:pPr>
                    <w:keepNext w:val="0"/>
                    <w:keepLines w:val="0"/>
                    <w:pageBreakBefore w:val="0"/>
                    <w:widowControl w:val="0"/>
                    <w:kinsoku/>
                    <w:wordWrap/>
                    <w:overflowPunct/>
                    <w:topLinePunct w:val="0"/>
                    <w:autoSpaceDE/>
                    <w:autoSpaceDN/>
                    <w:bidi w:val="0"/>
                    <w:adjustRightInd w:val="0"/>
                    <w:snapToGrid w:val="0"/>
                    <w:jc w:val="center"/>
                    <w:textAlignment w:val="auto"/>
                    <w:rPr>
                      <w:b/>
                      <w:color w:val="auto"/>
                    </w:rPr>
                  </w:pPr>
                  <w:r>
                    <w:rPr>
                      <w:b/>
                      <w:color w:val="auto"/>
                    </w:rPr>
                    <w:t>酸性土壤(pH&lt;6.5)</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55F92DD">
                  <w:pPr>
                    <w:keepNext w:val="0"/>
                    <w:keepLines w:val="0"/>
                    <w:pageBreakBefore w:val="0"/>
                    <w:widowControl w:val="0"/>
                    <w:kinsoku/>
                    <w:wordWrap/>
                    <w:overflowPunct/>
                    <w:topLinePunct w:val="0"/>
                    <w:autoSpaceDE/>
                    <w:autoSpaceDN/>
                    <w:bidi w:val="0"/>
                    <w:adjustRightInd w:val="0"/>
                    <w:snapToGrid w:val="0"/>
                    <w:jc w:val="center"/>
                    <w:textAlignment w:val="auto"/>
                    <w:rPr>
                      <w:b/>
                      <w:color w:val="auto"/>
                    </w:rPr>
                  </w:pPr>
                  <w:r>
                    <w:rPr>
                      <w:b/>
                      <w:color w:val="auto"/>
                    </w:rPr>
                    <w:t>中性和碱性土壤(pH≥6.5)</w:t>
                  </w:r>
                </w:p>
              </w:tc>
            </w:tr>
            <w:tr w14:paraId="383E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10623847">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FA3504F">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A496B19">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总镉(mg/kg干污泥)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D4C3AAF">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5</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258EBFF">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20</w:t>
                  </w:r>
                </w:p>
              </w:tc>
            </w:tr>
            <w:tr w14:paraId="6051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575A9481">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915C3D0">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2</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0EFFDE2">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总汞计(mg/kg干污泥)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221886F">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5</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F9E419">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15</w:t>
                  </w:r>
                </w:p>
              </w:tc>
            </w:tr>
            <w:tr w14:paraId="0DAC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4C4D5073">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547C333">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3</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CA5047E">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总铅(mg/kg干污泥)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F8E7591">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300</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F5BC3C7">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1000</w:t>
                  </w:r>
                </w:p>
              </w:tc>
            </w:tr>
            <w:tr w14:paraId="01DD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6729E5C4">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D032BB7">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4</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77549B5">
                  <w:pPr>
                    <w:jc w:val="center"/>
                    <w:rPr>
                      <w:color w:val="auto"/>
                    </w:rPr>
                  </w:pPr>
                  <w:r>
                    <w:t>总铬(mg/kg干污泥)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3E0DDBC">
                  <w:pPr>
                    <w:jc w:val="center"/>
                    <w:rPr>
                      <w:color w:val="auto"/>
                    </w:rPr>
                  </w:pPr>
                  <w:r>
                    <w:t>&lt;600</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9481A4">
                  <w:pPr>
                    <w:jc w:val="center"/>
                    <w:rPr>
                      <w:color w:val="auto"/>
                    </w:rPr>
                  </w:pPr>
                  <w:r>
                    <w:t>&lt;1000</w:t>
                  </w:r>
                </w:p>
              </w:tc>
            </w:tr>
            <w:tr w14:paraId="1A49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7E7F89D0">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CC5E26">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5</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A451496">
                  <w:pPr>
                    <w:jc w:val="center"/>
                    <w:rPr>
                      <w:color w:val="auto"/>
                    </w:rPr>
                  </w:pPr>
                  <w:r>
                    <w:t>总砷(mg/kg干污泥)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7099A3D">
                  <w:pPr>
                    <w:jc w:val="center"/>
                    <w:rPr>
                      <w:color w:val="auto"/>
                    </w:rPr>
                  </w:pPr>
                  <w:r>
                    <w:t>&lt;75</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4ABF97E">
                  <w:pPr>
                    <w:jc w:val="center"/>
                    <w:rPr>
                      <w:color w:val="auto"/>
                    </w:rPr>
                  </w:pPr>
                  <w:r>
                    <w:t>&lt;75</w:t>
                  </w:r>
                </w:p>
              </w:tc>
            </w:tr>
            <w:tr w14:paraId="294F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2857AC1A">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45C6EF9">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6</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2F0E2B5">
                  <w:pPr>
                    <w:jc w:val="center"/>
                    <w:rPr>
                      <w:color w:val="auto"/>
                    </w:rPr>
                  </w:pPr>
                  <w:r>
                    <w:t>总镍(mg/kg干污泥)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A993F62">
                  <w:pPr>
                    <w:jc w:val="center"/>
                    <w:rPr>
                      <w:color w:val="auto"/>
                    </w:rPr>
                  </w:pPr>
                  <w:r>
                    <w:t>&lt;100</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D81C845">
                  <w:pPr>
                    <w:jc w:val="center"/>
                    <w:rPr>
                      <w:color w:val="auto"/>
                    </w:rPr>
                  </w:pPr>
                  <w:r>
                    <w:t>&lt;200</w:t>
                  </w:r>
                </w:p>
              </w:tc>
            </w:tr>
            <w:tr w14:paraId="53D3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0190EF2C">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BD86925">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7</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5A520C3">
                  <w:pPr>
                    <w:jc w:val="center"/>
                    <w:rPr>
                      <w:color w:val="auto"/>
                    </w:rPr>
                  </w:pPr>
                  <w:r>
                    <w:t>总锌(mg/kg干污泥)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4F16018">
                  <w:pPr>
                    <w:jc w:val="center"/>
                    <w:rPr>
                      <w:color w:val="auto"/>
                    </w:rPr>
                  </w:pPr>
                  <w:r>
                    <w:t>&lt;2000</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96480B8">
                  <w:pPr>
                    <w:jc w:val="center"/>
                    <w:rPr>
                      <w:color w:val="auto"/>
                    </w:rPr>
                  </w:pPr>
                  <w:r>
                    <w:t>&lt;4000</w:t>
                  </w:r>
                </w:p>
              </w:tc>
            </w:tr>
            <w:tr w14:paraId="2073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6B708E3A">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B367F36">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8</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028D2BE">
                  <w:pPr>
                    <w:jc w:val="center"/>
                    <w:rPr>
                      <w:color w:val="auto"/>
                    </w:rPr>
                  </w:pPr>
                  <w:r>
                    <w:t>总铜(mg/kg干污泥)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CDFFC8">
                  <w:pPr>
                    <w:jc w:val="center"/>
                    <w:rPr>
                      <w:color w:val="auto"/>
                    </w:rPr>
                  </w:pPr>
                  <w:r>
                    <w:t>&lt;800</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F1950AF">
                  <w:pPr>
                    <w:jc w:val="center"/>
                    <w:rPr>
                      <w:color w:val="auto"/>
                    </w:rPr>
                  </w:pPr>
                  <w:r>
                    <w:t>&lt;1500</w:t>
                  </w:r>
                </w:p>
              </w:tc>
            </w:tr>
            <w:tr w14:paraId="0FC8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34C6502F">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99AC8B9">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9</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2B4B50F">
                  <w:pPr>
                    <w:jc w:val="center"/>
                    <w:rPr>
                      <w:color w:val="auto"/>
                    </w:rPr>
                  </w:pPr>
                  <w:r>
                    <w:t>硼(mg/kg干污泥)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AE17652">
                  <w:pPr>
                    <w:jc w:val="center"/>
                    <w:rPr>
                      <w:color w:val="auto"/>
                    </w:rPr>
                  </w:pPr>
                  <w:r>
                    <w:t>&lt;150</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2FE6F72">
                  <w:pPr>
                    <w:jc w:val="center"/>
                    <w:rPr>
                      <w:color w:val="auto"/>
                    </w:rPr>
                  </w:pPr>
                  <w:r>
                    <w:t>&lt;150</w:t>
                  </w:r>
                </w:p>
              </w:tc>
            </w:tr>
            <w:tr w14:paraId="50B2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556B3B42">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F535A22">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10</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2F3FAC9">
                  <w:pPr>
                    <w:jc w:val="center"/>
                    <w:rPr>
                      <w:color w:val="auto"/>
                    </w:rPr>
                  </w:pPr>
                  <w:r>
                    <w:t>矿物油(mg/kg干污泥)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76FCCA4">
                  <w:pPr>
                    <w:jc w:val="center"/>
                    <w:rPr>
                      <w:color w:val="auto"/>
                    </w:rPr>
                  </w:pPr>
                  <w:r>
                    <w:t>&lt;3000</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B36F709">
                  <w:pPr>
                    <w:jc w:val="center"/>
                    <w:rPr>
                      <w:color w:val="auto"/>
                    </w:rPr>
                  </w:pPr>
                  <w:r>
                    <w:t>&lt;3000</w:t>
                  </w:r>
                </w:p>
              </w:tc>
            </w:tr>
            <w:tr w14:paraId="5AD6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7501A70D">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27E89E7">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11</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5275A63">
                  <w:pPr>
                    <w:jc w:val="center"/>
                    <w:rPr>
                      <w:color w:val="auto"/>
                    </w:rPr>
                  </w:pPr>
                  <w:r>
                    <w:t>苯并(a)芘(mg/kg干污泥)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073360">
                  <w:pPr>
                    <w:jc w:val="center"/>
                    <w:rPr>
                      <w:color w:val="auto"/>
                    </w:rPr>
                  </w:pPr>
                  <w:r>
                    <w:t>&lt;3</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13FBF3C">
                  <w:pPr>
                    <w:jc w:val="center"/>
                    <w:rPr>
                      <w:color w:val="auto"/>
                    </w:rPr>
                  </w:pPr>
                  <w:r>
                    <w:t>&lt;3</w:t>
                  </w:r>
                </w:p>
              </w:tc>
            </w:tr>
            <w:tr w14:paraId="2753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11" w:type="pct"/>
                  <w:vMerge w:val="continue"/>
                  <w:tcBorders>
                    <w:left w:val="single" w:color="000000" w:sz="4" w:space="0"/>
                    <w:right w:val="single" w:color="000000" w:sz="4" w:space="0"/>
                  </w:tcBorders>
                  <w:tcMar>
                    <w:left w:w="108" w:type="dxa"/>
                    <w:right w:w="108" w:type="dxa"/>
                  </w:tcMar>
                  <w:vAlign w:val="center"/>
                </w:tcPr>
                <w:p w14:paraId="256A0B97">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1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2FCD15">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12</w:t>
                  </w:r>
                </w:p>
              </w:tc>
              <w:tc>
                <w:tcPr>
                  <w:tcW w:w="10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2866C32">
                  <w:pPr>
                    <w:jc w:val="center"/>
                    <w:rPr>
                      <w:color w:val="auto"/>
                    </w:rPr>
                  </w:pPr>
                  <w:r>
                    <w:t>可吸附有机卤化物(AOX)(以Cl计)(mg/kg干污泥)</w:t>
                  </w:r>
                </w:p>
              </w:tc>
              <w:tc>
                <w:tcPr>
                  <w:tcW w:w="870"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301228B">
                  <w:pPr>
                    <w:jc w:val="center"/>
                    <w:rPr>
                      <w:color w:val="auto"/>
                    </w:rPr>
                  </w:pPr>
                  <w:r>
                    <w:t>&lt;500</w:t>
                  </w:r>
                </w:p>
              </w:tc>
              <w:tc>
                <w:tcPr>
                  <w:tcW w:w="1036"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E0F2C3E">
                  <w:pPr>
                    <w:jc w:val="center"/>
                    <w:rPr>
                      <w:color w:val="auto"/>
                    </w:rPr>
                  </w:pPr>
                  <w:r>
                    <w:t>&lt;500</w:t>
                  </w:r>
                </w:p>
              </w:tc>
            </w:tr>
          </w:tbl>
          <w:p w14:paraId="522CAB81">
            <w:pPr>
              <w:numPr>
                <w:ilvl w:val="0"/>
                <w:numId w:val="0"/>
              </w:numPr>
              <w:adjustRightInd w:val="0"/>
              <w:snapToGrid w:val="0"/>
              <w:spacing w:before="120" w:beforeLines="50" w:line="360" w:lineRule="auto"/>
              <w:jc w:val="left"/>
              <w:rPr>
                <w:b/>
                <w:bCs/>
                <w:color w:val="auto"/>
                <w:kern w:val="0"/>
                <w:sz w:val="24"/>
              </w:rPr>
            </w:pPr>
            <w:r>
              <w:rPr>
                <w:rFonts w:hint="eastAsia"/>
                <w:b/>
                <w:bCs/>
                <w:color w:val="auto"/>
                <w:kern w:val="0"/>
                <w:sz w:val="24"/>
                <w:lang w:val="en-US" w:eastAsia="zh-CN"/>
              </w:rPr>
              <w:t>3、</w:t>
            </w:r>
            <w:r>
              <w:rPr>
                <w:b/>
                <w:bCs/>
                <w:color w:val="auto"/>
                <w:kern w:val="0"/>
                <w:sz w:val="24"/>
              </w:rPr>
              <w:t>项目主要生产单元、主要工艺、主要生产设施及设施参数</w:t>
            </w:r>
          </w:p>
          <w:p w14:paraId="7F9CBB23">
            <w:pPr>
              <w:adjustRightInd w:val="0"/>
              <w:snapToGrid w:val="0"/>
              <w:spacing w:line="360" w:lineRule="auto"/>
              <w:jc w:val="center"/>
              <w:rPr>
                <w:color w:val="auto"/>
              </w:rPr>
            </w:pPr>
            <w:r>
              <w:rPr>
                <w:b/>
                <w:bCs/>
                <w:color w:val="auto"/>
                <w:kern w:val="0"/>
                <w:sz w:val="24"/>
              </w:rPr>
              <w:t>表</w:t>
            </w:r>
            <w:r>
              <w:rPr>
                <w:rFonts w:hint="eastAsia"/>
                <w:b/>
                <w:bCs/>
                <w:color w:val="auto"/>
                <w:kern w:val="0"/>
                <w:sz w:val="24"/>
                <w:lang w:val="en-US" w:eastAsia="zh-CN"/>
              </w:rPr>
              <w:t>2.10</w:t>
            </w:r>
            <w:r>
              <w:rPr>
                <w:rFonts w:hint="eastAsia"/>
                <w:b/>
                <w:bCs/>
                <w:color w:val="auto"/>
                <w:kern w:val="0"/>
                <w:sz w:val="24"/>
              </w:rPr>
              <w:t xml:space="preserve"> </w:t>
            </w:r>
            <w:r>
              <w:rPr>
                <w:b/>
                <w:bCs/>
                <w:color w:val="auto"/>
                <w:kern w:val="0"/>
                <w:sz w:val="24"/>
              </w:rPr>
              <w:t xml:space="preserve"> 项目主要生产单元、主要工艺、主要生产设施及设施参数一览表</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2"/>
              <w:gridCol w:w="1155"/>
              <w:gridCol w:w="3529"/>
              <w:gridCol w:w="1949"/>
            </w:tblGrid>
            <w:tr w14:paraId="7A824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Merge w:val="restart"/>
                  <w:vAlign w:val="center"/>
                </w:tcPr>
                <w:p w14:paraId="4D43571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auto"/>
                      <w:kern w:val="0"/>
                      <w:sz w:val="21"/>
                      <w:szCs w:val="21"/>
                    </w:rPr>
                  </w:pPr>
                  <w:r>
                    <w:rPr>
                      <w:color w:val="auto"/>
                      <w:kern w:val="0"/>
                      <w:sz w:val="21"/>
                      <w:szCs w:val="21"/>
                    </w:rPr>
                    <w:t>主要生产设施</w:t>
                  </w:r>
                </w:p>
              </w:tc>
              <w:tc>
                <w:tcPr>
                  <w:tcW w:w="2860" w:type="pct"/>
                  <w:gridSpan w:val="2"/>
                  <w:vAlign w:val="center"/>
                </w:tcPr>
                <w:p w14:paraId="3612C78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auto"/>
                      <w:kern w:val="0"/>
                      <w:sz w:val="21"/>
                      <w:szCs w:val="21"/>
                    </w:rPr>
                  </w:pPr>
                  <w:r>
                    <w:rPr>
                      <w:color w:val="auto"/>
                      <w:kern w:val="0"/>
                      <w:sz w:val="21"/>
                      <w:szCs w:val="21"/>
                    </w:rPr>
                    <w:t>设施参数</w:t>
                  </w:r>
                </w:p>
              </w:tc>
              <w:tc>
                <w:tcPr>
                  <w:tcW w:w="1190" w:type="pct"/>
                  <w:vMerge w:val="restart"/>
                  <w:vAlign w:val="center"/>
                </w:tcPr>
                <w:p w14:paraId="44027ACD">
                  <w:pPr>
                    <w:keepNext w:val="0"/>
                    <w:keepLines w:val="0"/>
                    <w:pageBreakBefore w:val="0"/>
                    <w:wordWrap/>
                    <w:overflowPunct/>
                    <w:topLinePunct w:val="0"/>
                    <w:autoSpaceDE w:val="0"/>
                    <w:autoSpaceDN w:val="0"/>
                    <w:bidi w:val="0"/>
                    <w:adjustRightInd w:val="0"/>
                    <w:snapToGrid w:val="0"/>
                    <w:jc w:val="center"/>
                    <w:rPr>
                      <w:rFonts w:hint="default" w:eastAsia="宋体"/>
                      <w:color w:val="auto"/>
                      <w:kern w:val="0"/>
                      <w:sz w:val="21"/>
                      <w:szCs w:val="21"/>
                      <w:lang w:val="en-US" w:eastAsia="zh-CN"/>
                    </w:rPr>
                  </w:pPr>
                  <w:r>
                    <w:rPr>
                      <w:rFonts w:hint="eastAsia"/>
                      <w:color w:val="auto"/>
                      <w:szCs w:val="21"/>
                      <w:lang w:eastAsia="zh-CN"/>
                    </w:rPr>
                    <w:t>数量</w:t>
                  </w:r>
                </w:p>
              </w:tc>
            </w:tr>
            <w:tr w14:paraId="15BD4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Merge w:val="continue"/>
                  <w:vAlign w:val="center"/>
                </w:tcPr>
                <w:p w14:paraId="2A96FD0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auto"/>
                      <w:sz w:val="21"/>
                      <w:szCs w:val="21"/>
                    </w:rPr>
                  </w:pPr>
                </w:p>
              </w:tc>
              <w:tc>
                <w:tcPr>
                  <w:tcW w:w="705" w:type="pct"/>
                  <w:vAlign w:val="center"/>
                </w:tcPr>
                <w:p w14:paraId="7E9F3C4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auto"/>
                      <w:kern w:val="0"/>
                      <w:sz w:val="21"/>
                      <w:szCs w:val="21"/>
                    </w:rPr>
                  </w:pPr>
                  <w:r>
                    <w:rPr>
                      <w:color w:val="auto"/>
                      <w:sz w:val="21"/>
                      <w:szCs w:val="21"/>
                    </w:rPr>
                    <w:t>参数名称</w:t>
                  </w:r>
                </w:p>
              </w:tc>
              <w:tc>
                <w:tcPr>
                  <w:tcW w:w="2154" w:type="pct"/>
                  <w:vAlign w:val="center"/>
                </w:tcPr>
                <w:p w14:paraId="2A577B7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auto"/>
                      <w:kern w:val="0"/>
                      <w:sz w:val="21"/>
                      <w:szCs w:val="21"/>
                    </w:rPr>
                  </w:pPr>
                  <w:r>
                    <w:rPr>
                      <w:color w:val="auto"/>
                      <w:kern w:val="0"/>
                      <w:sz w:val="21"/>
                      <w:szCs w:val="21"/>
                    </w:rPr>
                    <w:t>设计值</w:t>
                  </w:r>
                </w:p>
              </w:tc>
              <w:tc>
                <w:tcPr>
                  <w:tcW w:w="1190" w:type="pct"/>
                  <w:vMerge w:val="continue"/>
                  <w:vAlign w:val="center"/>
                </w:tcPr>
                <w:p w14:paraId="3AA9ED5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auto"/>
                      <w:kern w:val="0"/>
                      <w:sz w:val="21"/>
                      <w:szCs w:val="21"/>
                    </w:rPr>
                  </w:pPr>
                </w:p>
              </w:tc>
            </w:tr>
            <w:tr w14:paraId="7DC37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315ECD2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lang w:val="en-US" w:eastAsia="zh-CN"/>
                    </w:rPr>
                  </w:pPr>
                  <w:r>
                    <w:rPr>
                      <w:rFonts w:hint="eastAsia"/>
                      <w:color w:val="auto"/>
                      <w:sz w:val="21"/>
                      <w:szCs w:val="21"/>
                      <w:lang w:val="en-US" w:eastAsia="zh-CN"/>
                    </w:rPr>
                    <w:t>强制布料车</w:t>
                  </w:r>
                </w:p>
              </w:tc>
              <w:tc>
                <w:tcPr>
                  <w:tcW w:w="705" w:type="pct"/>
                  <w:vAlign w:val="center"/>
                </w:tcPr>
                <w:p w14:paraId="46F7A37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auto"/>
                      <w:sz w:val="21"/>
                      <w:szCs w:val="21"/>
                      <w:lang w:eastAsia="zh-CN"/>
                    </w:rPr>
                  </w:pPr>
                  <w:r>
                    <w:rPr>
                      <w:rFonts w:hint="eastAsia"/>
                      <w:color w:val="auto"/>
                      <w:sz w:val="21"/>
                      <w:szCs w:val="21"/>
                      <w:lang w:eastAsia="zh-CN"/>
                    </w:rPr>
                    <w:t>功率</w:t>
                  </w:r>
                </w:p>
              </w:tc>
              <w:tc>
                <w:tcPr>
                  <w:tcW w:w="2154" w:type="pct"/>
                  <w:vAlign w:val="center"/>
                </w:tcPr>
                <w:p w14:paraId="74B9C80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15kw</w:t>
                  </w:r>
                </w:p>
              </w:tc>
              <w:tc>
                <w:tcPr>
                  <w:tcW w:w="1190" w:type="pct"/>
                  <w:shd w:val="clear" w:color="auto" w:fill="auto"/>
                  <w:vAlign w:val="center"/>
                </w:tcPr>
                <w:p w14:paraId="21B4865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r>
            <w:tr w14:paraId="53338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6BF76E41">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污泥螺旋提升机</w:t>
                  </w:r>
                </w:p>
              </w:tc>
              <w:tc>
                <w:tcPr>
                  <w:tcW w:w="705" w:type="pct"/>
                  <w:vAlign w:val="center"/>
                </w:tcPr>
                <w:p w14:paraId="2306DE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0E7362E3">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7.5</w:t>
                  </w:r>
                </w:p>
              </w:tc>
              <w:tc>
                <w:tcPr>
                  <w:tcW w:w="1190" w:type="pct"/>
                  <w:shd w:val="clear" w:color="auto" w:fill="auto"/>
                  <w:vAlign w:val="center"/>
                </w:tcPr>
                <w:p w14:paraId="2F066462">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7E214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301634F7">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搅拌机</w:t>
                  </w:r>
                </w:p>
              </w:tc>
              <w:tc>
                <w:tcPr>
                  <w:tcW w:w="705" w:type="pct"/>
                  <w:vAlign w:val="center"/>
                </w:tcPr>
                <w:p w14:paraId="04B5E0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130BADA5">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15</w:t>
                  </w:r>
                </w:p>
              </w:tc>
              <w:tc>
                <w:tcPr>
                  <w:tcW w:w="1190" w:type="pct"/>
                  <w:shd w:val="clear" w:color="auto" w:fill="auto"/>
                  <w:vAlign w:val="center"/>
                </w:tcPr>
                <w:p w14:paraId="751FAC97">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62AA9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476296DA">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矿化剂罐</w:t>
                  </w:r>
                </w:p>
              </w:tc>
              <w:tc>
                <w:tcPr>
                  <w:tcW w:w="705" w:type="pct"/>
                  <w:vAlign w:val="center"/>
                </w:tcPr>
                <w:p w14:paraId="6C7FAD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容积</w:t>
                  </w:r>
                </w:p>
              </w:tc>
              <w:tc>
                <w:tcPr>
                  <w:tcW w:w="2154" w:type="pct"/>
                  <w:vAlign w:val="center"/>
                </w:tcPr>
                <w:p w14:paraId="70353BFC">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w:t>
                  </w:r>
                </w:p>
              </w:tc>
              <w:tc>
                <w:tcPr>
                  <w:tcW w:w="1190" w:type="pct"/>
                  <w:shd w:val="clear" w:color="auto" w:fill="auto"/>
                  <w:vAlign w:val="center"/>
                </w:tcPr>
                <w:p w14:paraId="18CB20BD">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37C19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3E56406E">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矿化剂计量泵</w:t>
                  </w:r>
                </w:p>
              </w:tc>
              <w:tc>
                <w:tcPr>
                  <w:tcW w:w="705" w:type="pct"/>
                  <w:vAlign w:val="center"/>
                </w:tcPr>
                <w:p w14:paraId="28E45A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6E6B19E2">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1</w:t>
                  </w:r>
                </w:p>
              </w:tc>
              <w:tc>
                <w:tcPr>
                  <w:tcW w:w="1190" w:type="pct"/>
                  <w:shd w:val="clear" w:color="auto" w:fill="auto"/>
                  <w:vAlign w:val="center"/>
                </w:tcPr>
                <w:p w14:paraId="571F40BB">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38677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3EE8948C">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返混料螺旋输送机</w:t>
                  </w:r>
                </w:p>
              </w:tc>
              <w:tc>
                <w:tcPr>
                  <w:tcW w:w="705" w:type="pct"/>
                  <w:vAlign w:val="center"/>
                </w:tcPr>
                <w:p w14:paraId="4F961A4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611A04F6">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7.5</w:t>
                  </w:r>
                </w:p>
              </w:tc>
              <w:tc>
                <w:tcPr>
                  <w:tcW w:w="1190" w:type="pct"/>
                  <w:shd w:val="clear" w:color="auto" w:fill="auto"/>
                  <w:vAlign w:val="center"/>
                </w:tcPr>
                <w:p w14:paraId="6D89CA1D">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29F31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181348CD">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双向卸料螺旋输送机</w:t>
                  </w:r>
                </w:p>
              </w:tc>
              <w:tc>
                <w:tcPr>
                  <w:tcW w:w="705" w:type="pct"/>
                  <w:vAlign w:val="center"/>
                </w:tcPr>
                <w:p w14:paraId="57CA04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0E5CEA45">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7.5</w:t>
                  </w:r>
                </w:p>
              </w:tc>
              <w:tc>
                <w:tcPr>
                  <w:tcW w:w="1190" w:type="pct"/>
                  <w:shd w:val="clear" w:color="auto" w:fill="auto"/>
                  <w:vAlign w:val="center"/>
                </w:tcPr>
                <w:p w14:paraId="185D9F44">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1D7FC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6D494650">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负压旋风分离器</w:t>
                  </w:r>
                </w:p>
              </w:tc>
              <w:tc>
                <w:tcPr>
                  <w:tcW w:w="705" w:type="pct"/>
                  <w:vAlign w:val="center"/>
                </w:tcPr>
                <w:p w14:paraId="580F109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型号</w:t>
                  </w:r>
                </w:p>
              </w:tc>
              <w:tc>
                <w:tcPr>
                  <w:tcW w:w="2154" w:type="pct"/>
                  <w:vAlign w:val="center"/>
                </w:tcPr>
                <w:p w14:paraId="1F7E780D">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w:t>
                  </w:r>
                </w:p>
              </w:tc>
              <w:tc>
                <w:tcPr>
                  <w:tcW w:w="1190" w:type="pct"/>
                  <w:shd w:val="clear" w:color="auto" w:fill="auto"/>
                  <w:vAlign w:val="center"/>
                </w:tcPr>
                <w:p w14:paraId="062FFD60">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6DB85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72935BDE">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关风卸料机</w:t>
                  </w:r>
                </w:p>
              </w:tc>
              <w:tc>
                <w:tcPr>
                  <w:tcW w:w="705" w:type="pct"/>
                  <w:vAlign w:val="center"/>
                </w:tcPr>
                <w:p w14:paraId="0DC2EE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277A387C">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4.5</w:t>
                  </w:r>
                </w:p>
              </w:tc>
              <w:tc>
                <w:tcPr>
                  <w:tcW w:w="1190" w:type="pct"/>
                  <w:shd w:val="clear" w:color="auto" w:fill="auto"/>
                  <w:vAlign w:val="center"/>
                </w:tcPr>
                <w:p w14:paraId="0FF24F13">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56B0B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41AEE933">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高压风机</w:t>
                  </w:r>
                </w:p>
              </w:tc>
              <w:tc>
                <w:tcPr>
                  <w:tcW w:w="705" w:type="pct"/>
                  <w:vAlign w:val="center"/>
                </w:tcPr>
                <w:p w14:paraId="15F0E3E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299A5D16">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eastAsia" w:eastAsia="微软雅黑" w:cs="Times New Roman"/>
                      <w:b w:val="0"/>
                      <w:bCs w:val="0"/>
                      <w:color w:val="auto"/>
                      <w:sz w:val="21"/>
                      <w:szCs w:val="21"/>
                      <w:vertAlign w:val="baseline"/>
                      <w:lang w:val="en-US" w:eastAsia="zh-CN"/>
                    </w:rPr>
                    <w:t>/</w:t>
                  </w:r>
                </w:p>
              </w:tc>
              <w:tc>
                <w:tcPr>
                  <w:tcW w:w="1190" w:type="pct"/>
                  <w:shd w:val="clear" w:color="auto" w:fill="auto"/>
                  <w:vAlign w:val="center"/>
                </w:tcPr>
                <w:p w14:paraId="307DFAD7">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r>
            <w:tr w14:paraId="001A7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70F4210F">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中压风机</w:t>
                  </w:r>
                </w:p>
              </w:tc>
              <w:tc>
                <w:tcPr>
                  <w:tcW w:w="705" w:type="pct"/>
                  <w:vAlign w:val="center"/>
                </w:tcPr>
                <w:p w14:paraId="6BC915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0CA732DD">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11</w:t>
                  </w:r>
                </w:p>
              </w:tc>
              <w:tc>
                <w:tcPr>
                  <w:tcW w:w="1190" w:type="pct"/>
                  <w:shd w:val="clear" w:color="auto" w:fill="auto"/>
                  <w:vAlign w:val="center"/>
                </w:tcPr>
                <w:p w14:paraId="03F428EB">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2F1BE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575C4C47">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布料螺旋输送机</w:t>
                  </w:r>
                </w:p>
              </w:tc>
              <w:tc>
                <w:tcPr>
                  <w:tcW w:w="705" w:type="pct"/>
                  <w:vAlign w:val="center"/>
                </w:tcPr>
                <w:p w14:paraId="5B3F5B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139CB3EE">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7.5</w:t>
                  </w:r>
                </w:p>
              </w:tc>
              <w:tc>
                <w:tcPr>
                  <w:tcW w:w="1190" w:type="pct"/>
                  <w:shd w:val="clear" w:color="auto" w:fill="auto"/>
                  <w:vAlign w:val="center"/>
                </w:tcPr>
                <w:p w14:paraId="29CFCB82">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0D968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5E58E472">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矿化仓排风风机</w:t>
                  </w:r>
                </w:p>
              </w:tc>
              <w:tc>
                <w:tcPr>
                  <w:tcW w:w="705" w:type="pct"/>
                  <w:vAlign w:val="center"/>
                </w:tcPr>
                <w:p w14:paraId="635506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7BC0DB84">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1.3</w:t>
                  </w:r>
                </w:p>
              </w:tc>
              <w:tc>
                <w:tcPr>
                  <w:tcW w:w="1190" w:type="pct"/>
                  <w:shd w:val="clear" w:color="auto" w:fill="auto"/>
                  <w:vAlign w:val="center"/>
                </w:tcPr>
                <w:p w14:paraId="18213575">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41CFE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4976EA0B">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生物矿化仓</w:t>
                  </w:r>
                </w:p>
              </w:tc>
              <w:tc>
                <w:tcPr>
                  <w:tcW w:w="705" w:type="pct"/>
                  <w:vAlign w:val="center"/>
                </w:tcPr>
                <w:p w14:paraId="6299C9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容积</w:t>
                  </w:r>
                </w:p>
              </w:tc>
              <w:tc>
                <w:tcPr>
                  <w:tcW w:w="2154" w:type="pct"/>
                  <w:vAlign w:val="center"/>
                </w:tcPr>
                <w:p w14:paraId="2DF69303">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eastAsia" w:eastAsia="微软雅黑" w:cs="Times New Roman"/>
                      <w:b w:val="0"/>
                      <w:bCs w:val="0"/>
                      <w:color w:val="auto"/>
                      <w:sz w:val="21"/>
                      <w:szCs w:val="21"/>
                      <w:vertAlign w:val="baseline"/>
                      <w:lang w:val="en-US" w:eastAsia="zh-CN"/>
                    </w:rPr>
                    <w:t>/</w:t>
                  </w:r>
                </w:p>
              </w:tc>
              <w:tc>
                <w:tcPr>
                  <w:tcW w:w="1190" w:type="pct"/>
                  <w:shd w:val="clear" w:color="auto" w:fill="auto"/>
                  <w:vAlign w:val="center"/>
                </w:tcPr>
                <w:p w14:paraId="7372AE65">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2477B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1F89A8C9">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矿化仓上料机</w:t>
                  </w:r>
                </w:p>
              </w:tc>
              <w:tc>
                <w:tcPr>
                  <w:tcW w:w="705" w:type="pct"/>
                  <w:vAlign w:val="center"/>
                </w:tcPr>
                <w:p w14:paraId="39BD42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6D8458EF">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7.5</w:t>
                  </w:r>
                </w:p>
              </w:tc>
              <w:tc>
                <w:tcPr>
                  <w:tcW w:w="1190" w:type="pct"/>
                  <w:shd w:val="clear" w:color="auto" w:fill="auto"/>
                  <w:vAlign w:val="center"/>
                </w:tcPr>
                <w:p w14:paraId="5E9935C3">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748C0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7A9A1612">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破碎机</w:t>
                  </w:r>
                </w:p>
              </w:tc>
              <w:tc>
                <w:tcPr>
                  <w:tcW w:w="705" w:type="pct"/>
                  <w:vAlign w:val="center"/>
                </w:tcPr>
                <w:p w14:paraId="59810B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0F013956">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45</w:t>
                  </w:r>
                </w:p>
              </w:tc>
              <w:tc>
                <w:tcPr>
                  <w:tcW w:w="1190" w:type="pct"/>
                  <w:shd w:val="clear" w:color="auto" w:fill="auto"/>
                  <w:vAlign w:val="center"/>
                </w:tcPr>
                <w:p w14:paraId="6AC7A29D">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0BB4D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3B7C6636">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铲车</w:t>
                  </w:r>
                </w:p>
              </w:tc>
              <w:tc>
                <w:tcPr>
                  <w:tcW w:w="705" w:type="pct"/>
                  <w:vAlign w:val="center"/>
                </w:tcPr>
                <w:p w14:paraId="5C67264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rPr>
                    <w:t>型号</w:t>
                  </w:r>
                </w:p>
              </w:tc>
              <w:tc>
                <w:tcPr>
                  <w:tcW w:w="2154" w:type="pct"/>
                  <w:vAlign w:val="center"/>
                </w:tcPr>
                <w:p w14:paraId="211CFA5C">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eastAsia" w:eastAsia="微软雅黑" w:cs="Times New Roman"/>
                      <w:b w:val="0"/>
                      <w:bCs w:val="0"/>
                      <w:color w:val="auto"/>
                      <w:sz w:val="21"/>
                      <w:szCs w:val="21"/>
                      <w:vertAlign w:val="baseline"/>
                      <w:lang w:val="en-US" w:eastAsia="zh-CN"/>
                    </w:rPr>
                    <w:t>/</w:t>
                  </w:r>
                </w:p>
              </w:tc>
              <w:tc>
                <w:tcPr>
                  <w:tcW w:w="1190" w:type="pct"/>
                  <w:shd w:val="clear" w:color="auto" w:fill="auto"/>
                  <w:vAlign w:val="center"/>
                </w:tcPr>
                <w:p w14:paraId="3852BA6C">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585D6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5EACE58A">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高温陈化仓</w:t>
                  </w:r>
                </w:p>
              </w:tc>
              <w:tc>
                <w:tcPr>
                  <w:tcW w:w="705" w:type="pct"/>
                  <w:vAlign w:val="center"/>
                </w:tcPr>
                <w:p w14:paraId="60BED5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尺寸</w:t>
                  </w:r>
                </w:p>
              </w:tc>
              <w:tc>
                <w:tcPr>
                  <w:tcW w:w="2154" w:type="pct"/>
                  <w:vAlign w:val="center"/>
                </w:tcPr>
                <w:p w14:paraId="69C80919">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eastAsia" w:eastAsia="微软雅黑" w:cs="Times New Roman"/>
                      <w:b w:val="0"/>
                      <w:bCs w:val="0"/>
                      <w:color w:val="auto"/>
                      <w:sz w:val="21"/>
                      <w:szCs w:val="21"/>
                      <w:vertAlign w:val="baseline"/>
                      <w:lang w:val="en-US" w:eastAsia="zh-CN"/>
                    </w:rPr>
                    <w:t>/</w:t>
                  </w:r>
                </w:p>
              </w:tc>
              <w:tc>
                <w:tcPr>
                  <w:tcW w:w="1190" w:type="pct"/>
                  <w:shd w:val="clear" w:color="auto" w:fill="auto"/>
                  <w:vAlign w:val="center"/>
                </w:tcPr>
                <w:p w14:paraId="0C5A83B8">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4F7BB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1C17000B">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一般无加固废储料仓</w:t>
                  </w:r>
                </w:p>
              </w:tc>
              <w:tc>
                <w:tcPr>
                  <w:tcW w:w="705" w:type="pct"/>
                  <w:vAlign w:val="center"/>
                </w:tcPr>
                <w:p w14:paraId="0C88E6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容积</w:t>
                  </w:r>
                </w:p>
              </w:tc>
              <w:tc>
                <w:tcPr>
                  <w:tcW w:w="2154" w:type="pct"/>
                  <w:vAlign w:val="center"/>
                </w:tcPr>
                <w:p w14:paraId="0C89C28D">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eastAsia" w:eastAsia="微软雅黑" w:cs="Times New Roman"/>
                      <w:b w:val="0"/>
                      <w:bCs w:val="0"/>
                      <w:color w:val="auto"/>
                      <w:sz w:val="21"/>
                      <w:szCs w:val="21"/>
                      <w:vertAlign w:val="baseline"/>
                      <w:lang w:val="en-US" w:eastAsia="zh-CN"/>
                    </w:rPr>
                    <w:t>/</w:t>
                  </w:r>
                </w:p>
              </w:tc>
              <w:tc>
                <w:tcPr>
                  <w:tcW w:w="1190" w:type="pct"/>
                  <w:shd w:val="clear" w:color="auto" w:fill="auto"/>
                  <w:vAlign w:val="center"/>
                </w:tcPr>
                <w:p w14:paraId="556CA689">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51ADA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6898B3BB">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固化</w:t>
                  </w:r>
                </w:p>
                <w:p w14:paraId="04D177D2">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剂罐</w:t>
                  </w:r>
                </w:p>
              </w:tc>
              <w:tc>
                <w:tcPr>
                  <w:tcW w:w="705" w:type="pct"/>
                  <w:vAlign w:val="center"/>
                </w:tcPr>
                <w:p w14:paraId="14F0F13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容积</w:t>
                  </w:r>
                </w:p>
              </w:tc>
              <w:tc>
                <w:tcPr>
                  <w:tcW w:w="2154" w:type="pct"/>
                  <w:vAlign w:val="center"/>
                </w:tcPr>
                <w:p w14:paraId="4EC92DF6">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eastAsia" w:eastAsia="微软雅黑" w:cs="Times New Roman"/>
                      <w:b w:val="0"/>
                      <w:bCs w:val="0"/>
                      <w:color w:val="auto"/>
                      <w:sz w:val="21"/>
                      <w:szCs w:val="21"/>
                      <w:vertAlign w:val="baseline"/>
                      <w:lang w:val="en-US" w:eastAsia="zh-CN"/>
                    </w:rPr>
                    <w:t>/</w:t>
                  </w:r>
                </w:p>
              </w:tc>
              <w:tc>
                <w:tcPr>
                  <w:tcW w:w="1190" w:type="pct"/>
                  <w:shd w:val="clear" w:color="auto" w:fill="auto"/>
                  <w:vAlign w:val="center"/>
                </w:tcPr>
                <w:p w14:paraId="579AD32A">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24F39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5D33DC46">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固化剂计量泵</w:t>
                  </w:r>
                </w:p>
              </w:tc>
              <w:tc>
                <w:tcPr>
                  <w:tcW w:w="705" w:type="pct"/>
                  <w:vAlign w:val="center"/>
                </w:tcPr>
                <w:p w14:paraId="04187B2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6131AC78">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1</w:t>
                  </w:r>
                </w:p>
              </w:tc>
              <w:tc>
                <w:tcPr>
                  <w:tcW w:w="1190" w:type="pct"/>
                  <w:shd w:val="clear" w:color="auto" w:fill="auto"/>
                  <w:vAlign w:val="center"/>
                </w:tcPr>
                <w:p w14:paraId="096BCDC0">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6DEEC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0C8DCD3C">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拌混机</w:t>
                  </w:r>
                </w:p>
              </w:tc>
              <w:tc>
                <w:tcPr>
                  <w:tcW w:w="705" w:type="pct"/>
                  <w:vAlign w:val="center"/>
                </w:tcPr>
                <w:p w14:paraId="518903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2D22EB49">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11</w:t>
                  </w:r>
                </w:p>
              </w:tc>
              <w:tc>
                <w:tcPr>
                  <w:tcW w:w="1190" w:type="pct"/>
                  <w:shd w:val="clear" w:color="auto" w:fill="auto"/>
                  <w:vAlign w:val="center"/>
                </w:tcPr>
                <w:p w14:paraId="160D42CD">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7C002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10E90326">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成型机</w:t>
                  </w:r>
                </w:p>
              </w:tc>
              <w:tc>
                <w:tcPr>
                  <w:tcW w:w="705" w:type="pct"/>
                  <w:vAlign w:val="center"/>
                </w:tcPr>
                <w:p w14:paraId="4A84C3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2E6E1477">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45</w:t>
                  </w:r>
                </w:p>
              </w:tc>
              <w:tc>
                <w:tcPr>
                  <w:tcW w:w="1190" w:type="pct"/>
                  <w:shd w:val="clear" w:color="auto" w:fill="auto"/>
                  <w:vAlign w:val="center"/>
                </w:tcPr>
                <w:p w14:paraId="344A2E3A">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0C1D7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7BAC0186">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储罐</w:t>
                  </w:r>
                </w:p>
              </w:tc>
              <w:tc>
                <w:tcPr>
                  <w:tcW w:w="705" w:type="pct"/>
                  <w:vAlign w:val="center"/>
                </w:tcPr>
                <w:p w14:paraId="3BBCD7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容积</w:t>
                  </w:r>
                </w:p>
              </w:tc>
              <w:tc>
                <w:tcPr>
                  <w:tcW w:w="2154" w:type="pct"/>
                  <w:vAlign w:val="center"/>
                </w:tcPr>
                <w:p w14:paraId="216C66C8">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eastAsia" w:eastAsia="微软雅黑" w:cs="Times New Roman"/>
                      <w:b w:val="0"/>
                      <w:bCs w:val="0"/>
                      <w:color w:val="auto"/>
                      <w:sz w:val="21"/>
                      <w:szCs w:val="21"/>
                      <w:vertAlign w:val="baseline"/>
                      <w:lang w:val="en-US" w:eastAsia="zh-CN"/>
                    </w:rPr>
                    <w:t>/</w:t>
                  </w:r>
                </w:p>
              </w:tc>
              <w:tc>
                <w:tcPr>
                  <w:tcW w:w="1190" w:type="pct"/>
                  <w:shd w:val="clear" w:color="auto" w:fill="auto"/>
                  <w:vAlign w:val="center"/>
                </w:tcPr>
                <w:p w14:paraId="2C9C2D3A">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14:paraId="4A498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8" w:type="pct"/>
                  <w:vAlign w:val="center"/>
                </w:tcPr>
                <w:p w14:paraId="7A7898B5">
                  <w:pPr>
                    <w:keepNext w:val="0"/>
                    <w:keepLines w:val="0"/>
                    <w:pageBreakBefore w:val="0"/>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vertAlign w:val="baseline"/>
                      <w:lang w:val="en-US" w:eastAsia="zh-CN"/>
                    </w:rPr>
                    <w:t>投加输送机</w:t>
                  </w:r>
                </w:p>
              </w:tc>
              <w:tc>
                <w:tcPr>
                  <w:tcW w:w="705" w:type="pct"/>
                  <w:vAlign w:val="center"/>
                </w:tcPr>
                <w:p w14:paraId="71B4F4C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功率</w:t>
                  </w:r>
                </w:p>
              </w:tc>
              <w:tc>
                <w:tcPr>
                  <w:tcW w:w="2154" w:type="pct"/>
                  <w:vAlign w:val="center"/>
                </w:tcPr>
                <w:p w14:paraId="6D1311AB">
                  <w:pPr>
                    <w:keepNext w:val="0"/>
                    <w:keepLines w:val="0"/>
                    <w:pageBreakBefore w:val="0"/>
                    <w:widowControl w:val="0"/>
                    <w:kinsoku/>
                    <w:wordWrap/>
                    <w:overflowPunct/>
                    <w:topLinePunct w:val="0"/>
                    <w:bidi w:val="0"/>
                    <w:adjustRightInd w:val="0"/>
                    <w:snapToGrid w:val="0"/>
                    <w:spacing w:beforeLines="0" w:afterLine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微软雅黑" w:cs="Times New Roman"/>
                      <w:b w:val="0"/>
                      <w:bCs w:val="0"/>
                      <w:color w:val="auto"/>
                      <w:sz w:val="21"/>
                      <w:szCs w:val="21"/>
                      <w:vertAlign w:val="baseline"/>
                      <w:lang w:val="en-US" w:eastAsia="zh-CN"/>
                    </w:rPr>
                    <w:t>7.5</w:t>
                  </w:r>
                </w:p>
              </w:tc>
              <w:tc>
                <w:tcPr>
                  <w:tcW w:w="1190" w:type="pct"/>
                  <w:shd w:val="clear" w:color="auto" w:fill="auto"/>
                  <w:vAlign w:val="center"/>
                </w:tcPr>
                <w:p w14:paraId="4EC39FCC">
                  <w:pPr>
                    <w:keepNext w:val="0"/>
                    <w:keepLines w:val="0"/>
                    <w:pageBreakBefore w:val="0"/>
                    <w:wordWrap/>
                    <w:overflowPunct/>
                    <w:topLinePunct w:val="0"/>
                    <w:bidi w:val="0"/>
                    <w:adjustRightInd w:val="0"/>
                    <w:snapToGrid w:val="0"/>
                    <w:spacing w:line="240" w:lineRule="auto"/>
                    <w:jc w:val="center"/>
                    <w:textAlignment w:val="auto"/>
                    <w:rPr>
                      <w:rFonts w:hint="eastAsia"/>
                      <w:color w:val="auto"/>
                      <w:kern w:val="0"/>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bl>
          <w:p w14:paraId="23CEE923">
            <w:pPr>
              <w:adjustRightInd w:val="0"/>
              <w:snapToGrid w:val="0"/>
              <w:spacing w:before="120" w:beforeLines="50" w:line="360" w:lineRule="auto"/>
              <w:rPr>
                <w:color w:val="auto"/>
                <w:kern w:val="0"/>
                <w:sz w:val="24"/>
              </w:rPr>
            </w:pPr>
            <w:r>
              <w:rPr>
                <w:rFonts w:hint="eastAsia"/>
                <w:b/>
                <w:bCs/>
                <w:color w:val="auto"/>
                <w:kern w:val="0"/>
                <w:sz w:val="24"/>
              </w:rPr>
              <w:t>4、项目原辅材料及资源、能源消耗</w:t>
            </w:r>
          </w:p>
          <w:p w14:paraId="1049FA03">
            <w:pPr>
              <w:adjustRightInd w:val="0"/>
              <w:snapToGrid w:val="0"/>
              <w:spacing w:line="360" w:lineRule="auto"/>
              <w:ind w:firstLine="480" w:firstLineChars="200"/>
              <w:rPr>
                <w:color w:val="auto"/>
                <w:kern w:val="0"/>
                <w:sz w:val="24"/>
              </w:rPr>
            </w:pPr>
            <w:r>
              <w:rPr>
                <w:rFonts w:hint="default" w:ascii="Times New Roman" w:hAnsi="Times New Roman" w:eastAsia="宋体" w:cs="Times New Roman"/>
                <w:snapToGrid/>
                <w:color w:val="auto"/>
                <w:spacing w:val="0"/>
                <w:kern w:val="0"/>
                <w:position w:val="0"/>
                <w:sz w:val="24"/>
                <w:szCs w:val="24"/>
              </w:rPr>
              <w:t>项目主要原辅材料及</w:t>
            </w:r>
            <w:r>
              <w:rPr>
                <w:rFonts w:hint="eastAsia" w:ascii="Times New Roman" w:hAnsi="Times New Roman" w:eastAsia="宋体" w:cs="Times New Roman"/>
                <w:b w:val="0"/>
                <w:bCs w:val="0"/>
                <w:snapToGrid/>
                <w:color w:val="auto"/>
                <w:spacing w:val="0"/>
                <w:kern w:val="0"/>
                <w:position w:val="0"/>
                <w:sz w:val="24"/>
                <w:szCs w:val="24"/>
                <w:lang w:eastAsia="zh-CN"/>
              </w:rPr>
              <w:t>资源、能源</w:t>
            </w:r>
            <w:r>
              <w:rPr>
                <w:rFonts w:hint="default" w:ascii="Times New Roman" w:hAnsi="Times New Roman" w:eastAsia="宋体" w:cs="Times New Roman"/>
                <w:snapToGrid/>
                <w:color w:val="auto"/>
                <w:spacing w:val="0"/>
                <w:kern w:val="0"/>
                <w:position w:val="0"/>
                <w:sz w:val="24"/>
                <w:szCs w:val="24"/>
              </w:rPr>
              <w:t>消耗见</w:t>
            </w:r>
            <w:r>
              <w:rPr>
                <w:color w:val="auto"/>
                <w:kern w:val="0"/>
                <w:sz w:val="24"/>
              </w:rPr>
              <w:t>表</w:t>
            </w:r>
            <w:r>
              <w:rPr>
                <w:rFonts w:hint="eastAsia"/>
                <w:color w:val="auto"/>
                <w:kern w:val="0"/>
                <w:sz w:val="24"/>
                <w:lang w:val="en-US" w:eastAsia="zh-CN"/>
              </w:rPr>
              <w:t>2.11</w:t>
            </w:r>
            <w:r>
              <w:rPr>
                <w:color w:val="auto"/>
                <w:kern w:val="0"/>
                <w:sz w:val="24"/>
              </w:rPr>
              <w:t>。</w:t>
            </w:r>
          </w:p>
          <w:p w14:paraId="093DB0C4">
            <w:pPr>
              <w:adjustRightInd w:val="0"/>
              <w:snapToGrid w:val="0"/>
              <w:spacing w:line="360" w:lineRule="auto"/>
              <w:jc w:val="center"/>
              <w:rPr>
                <w:b/>
                <w:bCs/>
                <w:color w:val="auto"/>
                <w:kern w:val="0"/>
                <w:sz w:val="24"/>
              </w:rPr>
            </w:pPr>
            <w:r>
              <w:rPr>
                <w:b/>
                <w:bCs/>
                <w:color w:val="auto"/>
                <w:kern w:val="0"/>
                <w:sz w:val="24"/>
              </w:rPr>
              <w:t>表2</w:t>
            </w:r>
            <w:r>
              <w:rPr>
                <w:rFonts w:hint="eastAsia"/>
                <w:b/>
                <w:bCs/>
                <w:color w:val="auto"/>
                <w:kern w:val="0"/>
                <w:sz w:val="24"/>
                <w:lang w:val="en-US" w:eastAsia="zh-CN"/>
              </w:rPr>
              <w:t>.11</w:t>
            </w:r>
            <w:r>
              <w:rPr>
                <w:b/>
                <w:bCs/>
                <w:color w:val="auto"/>
                <w:kern w:val="0"/>
                <w:sz w:val="24"/>
              </w:rPr>
              <w:t xml:space="preserve"> </w:t>
            </w:r>
            <w:r>
              <w:rPr>
                <w:rFonts w:hint="eastAsia"/>
                <w:b/>
                <w:bCs/>
                <w:color w:val="auto"/>
                <w:kern w:val="0"/>
                <w:sz w:val="24"/>
              </w:rPr>
              <w:t xml:space="preserve"> </w:t>
            </w:r>
            <w:r>
              <w:rPr>
                <w:b/>
                <w:bCs/>
                <w:color w:val="auto"/>
                <w:kern w:val="0"/>
                <w:sz w:val="24"/>
              </w:rPr>
              <w:t>项目原辅材料及资源、能源消耗一览表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078"/>
              <w:gridCol w:w="1415"/>
              <w:gridCol w:w="1453"/>
              <w:gridCol w:w="2253"/>
            </w:tblGrid>
            <w:tr w14:paraId="5724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0677CF34">
                  <w:pPr>
                    <w:widowControl/>
                    <w:adjustRightInd w:val="0"/>
                    <w:snapToGrid w:val="0"/>
                    <w:spacing w:before="48" w:beforeLines="20"/>
                    <w:jc w:val="center"/>
                    <w:rPr>
                      <w:color w:val="auto"/>
                      <w:kern w:val="0"/>
                      <w:szCs w:val="21"/>
                      <w:highlight w:val="none"/>
                    </w:rPr>
                  </w:pPr>
                  <w:r>
                    <w:rPr>
                      <w:color w:val="auto"/>
                      <w:kern w:val="0"/>
                      <w:szCs w:val="21"/>
                      <w:highlight w:val="none"/>
                    </w:rPr>
                    <w:t>序号</w:t>
                  </w:r>
                </w:p>
              </w:tc>
              <w:tc>
                <w:tcPr>
                  <w:tcW w:w="1270" w:type="pct"/>
                  <w:vAlign w:val="center"/>
                </w:tcPr>
                <w:p w14:paraId="7333A583">
                  <w:pPr>
                    <w:widowControl/>
                    <w:adjustRightInd w:val="0"/>
                    <w:snapToGrid w:val="0"/>
                    <w:spacing w:before="48" w:beforeLines="20"/>
                    <w:jc w:val="center"/>
                    <w:rPr>
                      <w:color w:val="auto"/>
                      <w:kern w:val="0"/>
                      <w:szCs w:val="21"/>
                      <w:highlight w:val="none"/>
                    </w:rPr>
                  </w:pPr>
                  <w:r>
                    <w:rPr>
                      <w:color w:val="auto"/>
                      <w:kern w:val="0"/>
                      <w:szCs w:val="21"/>
                      <w:highlight w:val="none"/>
                    </w:rPr>
                    <w:t>名 称</w:t>
                  </w:r>
                </w:p>
              </w:tc>
              <w:tc>
                <w:tcPr>
                  <w:tcW w:w="865" w:type="pct"/>
                  <w:vAlign w:val="center"/>
                </w:tcPr>
                <w:p w14:paraId="197CDF65">
                  <w:pPr>
                    <w:widowControl/>
                    <w:adjustRightInd w:val="0"/>
                    <w:snapToGrid w:val="0"/>
                    <w:spacing w:before="48" w:beforeLines="20"/>
                    <w:jc w:val="center"/>
                    <w:rPr>
                      <w:color w:val="auto"/>
                      <w:kern w:val="0"/>
                      <w:szCs w:val="21"/>
                      <w:highlight w:val="none"/>
                    </w:rPr>
                  </w:pPr>
                  <w:r>
                    <w:rPr>
                      <w:color w:val="auto"/>
                      <w:kern w:val="0"/>
                      <w:szCs w:val="21"/>
                      <w:highlight w:val="none"/>
                    </w:rPr>
                    <w:t>单 位</w:t>
                  </w:r>
                </w:p>
              </w:tc>
              <w:tc>
                <w:tcPr>
                  <w:tcW w:w="888" w:type="pct"/>
                  <w:vAlign w:val="center"/>
                </w:tcPr>
                <w:p w14:paraId="5EC9F120">
                  <w:pPr>
                    <w:widowControl/>
                    <w:adjustRightInd w:val="0"/>
                    <w:snapToGrid w:val="0"/>
                    <w:spacing w:before="48" w:beforeLines="20"/>
                    <w:jc w:val="center"/>
                    <w:rPr>
                      <w:color w:val="auto"/>
                      <w:kern w:val="0"/>
                      <w:szCs w:val="21"/>
                      <w:highlight w:val="none"/>
                    </w:rPr>
                  </w:pPr>
                  <w:r>
                    <w:rPr>
                      <w:rFonts w:hint="eastAsia"/>
                      <w:color w:val="auto"/>
                      <w:szCs w:val="21"/>
                      <w:highlight w:val="none"/>
                    </w:rPr>
                    <w:t>物质形态</w:t>
                  </w:r>
                </w:p>
              </w:tc>
              <w:tc>
                <w:tcPr>
                  <w:tcW w:w="1375" w:type="pct"/>
                  <w:vAlign w:val="center"/>
                </w:tcPr>
                <w:p w14:paraId="7D56E2DB">
                  <w:pPr>
                    <w:widowControl/>
                    <w:adjustRightInd w:val="0"/>
                    <w:snapToGrid w:val="0"/>
                    <w:spacing w:before="48" w:beforeLines="20"/>
                    <w:jc w:val="center"/>
                    <w:rPr>
                      <w:color w:val="auto"/>
                      <w:kern w:val="0"/>
                      <w:szCs w:val="21"/>
                      <w:highlight w:val="none"/>
                    </w:rPr>
                  </w:pPr>
                  <w:r>
                    <w:rPr>
                      <w:rFonts w:hint="eastAsia"/>
                      <w:color w:val="auto"/>
                      <w:szCs w:val="21"/>
                      <w:highlight w:val="none"/>
                      <w:lang w:eastAsia="zh-CN"/>
                    </w:rPr>
                    <w:t>使用量</w:t>
                  </w:r>
                </w:p>
              </w:tc>
            </w:tr>
            <w:tr w14:paraId="1D92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5"/>
                  <w:vAlign w:val="center"/>
                </w:tcPr>
                <w:p w14:paraId="7A40BEC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kern w:val="2"/>
                      <w:sz w:val="21"/>
                      <w:szCs w:val="21"/>
                      <w:lang w:val="en-US" w:eastAsia="zh-CN" w:bidi="ar-SA"/>
                    </w:rPr>
                  </w:pPr>
                  <w:r>
                    <w:rPr>
                      <w:rFonts w:hint="eastAsia" w:ascii="宋体" w:hAnsi="宋体" w:cs="宋体"/>
                      <w:b/>
                      <w:bCs/>
                      <w:color w:val="auto"/>
                      <w:sz w:val="21"/>
                      <w:szCs w:val="21"/>
                      <w:vertAlign w:val="baseline"/>
                      <w:lang w:val="zh-CN" w:eastAsia="zh-CN"/>
                    </w:rPr>
                    <w:t>建筑掺和料</w:t>
                  </w:r>
                </w:p>
              </w:tc>
            </w:tr>
            <w:tr w14:paraId="1CDF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361B8798">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270" w:type="pct"/>
                  <w:vAlign w:val="center"/>
                </w:tcPr>
                <w:p w14:paraId="4C68A0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vertAlign w:val="baseline"/>
                      <w:lang w:val="en-US" w:eastAsia="zh-CN"/>
                    </w:rPr>
                    <w:t>炉渣</w:t>
                  </w:r>
                </w:p>
              </w:tc>
              <w:tc>
                <w:tcPr>
                  <w:tcW w:w="865" w:type="pct"/>
                  <w:vAlign w:val="center"/>
                </w:tcPr>
                <w:p w14:paraId="7CA3AFD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888" w:type="pct"/>
                  <w:shd w:val="clear" w:color="auto" w:fill="auto"/>
                  <w:vAlign w:val="center"/>
                </w:tcPr>
                <w:p w14:paraId="3A74A16C">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1375" w:type="pct"/>
                  <w:shd w:val="clear" w:color="auto" w:fill="auto"/>
                  <w:vAlign w:val="center"/>
                </w:tcPr>
                <w:p w14:paraId="4A77B7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r>
                    <w:rPr>
                      <w:rFonts w:hint="eastAsia"/>
                      <w:color w:val="auto"/>
                      <w:kern w:val="2"/>
                      <w:sz w:val="21"/>
                      <w:szCs w:val="21"/>
                      <w:lang w:val="en-US" w:eastAsia="zh-CN" w:bidi="ar-SA"/>
                    </w:rPr>
                    <w:t>5500</w:t>
                  </w:r>
                </w:p>
              </w:tc>
            </w:tr>
            <w:tr w14:paraId="47A9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580D4D40">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270" w:type="pct"/>
                  <w:vAlign w:val="center"/>
                </w:tcPr>
                <w:p w14:paraId="14BB75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s="Times New Roman"/>
                      <w:color w:val="auto"/>
                      <w:kern w:val="2"/>
                      <w:sz w:val="21"/>
                      <w:szCs w:val="21"/>
                      <w:lang w:val="en-US" w:eastAsia="zh-CN" w:bidi="ar-SA"/>
                    </w:rPr>
                    <w:t>粉煤灰</w:t>
                  </w:r>
                </w:p>
              </w:tc>
              <w:tc>
                <w:tcPr>
                  <w:tcW w:w="865" w:type="pct"/>
                  <w:vAlign w:val="center"/>
                </w:tcPr>
                <w:p w14:paraId="6A1708C4">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888" w:type="pct"/>
                  <w:shd w:val="clear" w:color="auto" w:fill="auto"/>
                  <w:vAlign w:val="center"/>
                </w:tcPr>
                <w:p w14:paraId="5C3EE20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1375" w:type="pct"/>
                  <w:shd w:val="clear" w:color="auto" w:fill="auto"/>
                  <w:vAlign w:val="center"/>
                </w:tcPr>
                <w:p w14:paraId="28E608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6000</w:t>
                  </w:r>
                </w:p>
              </w:tc>
            </w:tr>
            <w:tr w14:paraId="0BD3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6F141C9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1270" w:type="pct"/>
                  <w:vAlign w:val="center"/>
                </w:tcPr>
                <w:p w14:paraId="6D6E68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脱硫石膏</w:t>
                  </w:r>
                </w:p>
              </w:tc>
              <w:tc>
                <w:tcPr>
                  <w:tcW w:w="865" w:type="pct"/>
                  <w:vAlign w:val="center"/>
                </w:tcPr>
                <w:p w14:paraId="0EF80602">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888" w:type="pct"/>
                  <w:shd w:val="clear" w:color="auto" w:fill="auto"/>
                  <w:vAlign w:val="center"/>
                </w:tcPr>
                <w:p w14:paraId="4879EC60">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1375" w:type="pct"/>
                  <w:shd w:val="clear" w:color="auto" w:fill="auto"/>
                  <w:vAlign w:val="center"/>
                </w:tcPr>
                <w:p w14:paraId="58C133C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vertAlign w:val="baseline"/>
                      <w:lang w:val="en-US" w:eastAsia="zh-CN"/>
                    </w:rPr>
                  </w:pPr>
                  <w:r>
                    <w:rPr>
                      <w:rFonts w:hint="eastAsia"/>
                      <w:color w:val="auto"/>
                      <w:sz w:val="21"/>
                      <w:szCs w:val="21"/>
                      <w:vertAlign w:val="baseline"/>
                      <w:lang w:val="en-US" w:eastAsia="zh-CN"/>
                    </w:rPr>
                    <w:t>2000</w:t>
                  </w:r>
                </w:p>
              </w:tc>
            </w:tr>
            <w:tr w14:paraId="17CB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54D8C30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1270" w:type="pct"/>
                  <w:vAlign w:val="center"/>
                </w:tcPr>
                <w:p w14:paraId="5C0B4B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水泥</w:t>
                  </w:r>
                </w:p>
              </w:tc>
              <w:tc>
                <w:tcPr>
                  <w:tcW w:w="865" w:type="pct"/>
                  <w:vAlign w:val="center"/>
                </w:tcPr>
                <w:p w14:paraId="76F3FA49">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888" w:type="pct"/>
                  <w:shd w:val="clear" w:color="auto" w:fill="auto"/>
                  <w:vAlign w:val="center"/>
                </w:tcPr>
                <w:p w14:paraId="4318F85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1375" w:type="pct"/>
                  <w:shd w:val="clear" w:color="auto" w:fill="auto"/>
                  <w:vAlign w:val="center"/>
                </w:tcPr>
                <w:p w14:paraId="27700D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vertAlign w:val="baseline"/>
                      <w:lang w:val="en-US" w:eastAsia="zh-CN"/>
                    </w:rPr>
                  </w:pPr>
                  <w:r>
                    <w:rPr>
                      <w:rFonts w:hint="eastAsia"/>
                      <w:color w:val="auto"/>
                      <w:sz w:val="21"/>
                      <w:szCs w:val="21"/>
                      <w:vertAlign w:val="baseline"/>
                      <w:lang w:val="en-US" w:eastAsia="zh-CN"/>
                    </w:rPr>
                    <w:t>1000</w:t>
                  </w:r>
                </w:p>
              </w:tc>
            </w:tr>
            <w:tr w14:paraId="6A72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63CAF972">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1270" w:type="pct"/>
                  <w:vAlign w:val="center"/>
                </w:tcPr>
                <w:p w14:paraId="36C2C3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生石灰</w:t>
                  </w:r>
                </w:p>
              </w:tc>
              <w:tc>
                <w:tcPr>
                  <w:tcW w:w="865" w:type="pct"/>
                  <w:vAlign w:val="center"/>
                </w:tcPr>
                <w:p w14:paraId="37EF6AD0">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888" w:type="pct"/>
                  <w:shd w:val="clear" w:color="auto" w:fill="auto"/>
                  <w:vAlign w:val="center"/>
                </w:tcPr>
                <w:p w14:paraId="6F0A9918">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1375" w:type="pct"/>
                  <w:shd w:val="clear" w:color="auto" w:fill="auto"/>
                  <w:vAlign w:val="center"/>
                </w:tcPr>
                <w:p w14:paraId="7C92522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vertAlign w:val="baseline"/>
                      <w:lang w:val="en-US" w:eastAsia="zh-CN"/>
                    </w:rPr>
                  </w:pPr>
                  <w:r>
                    <w:rPr>
                      <w:rFonts w:hint="eastAsia"/>
                      <w:color w:val="auto"/>
                      <w:sz w:val="21"/>
                      <w:szCs w:val="21"/>
                      <w:vertAlign w:val="baseline"/>
                      <w:lang w:val="en-US" w:eastAsia="zh-CN"/>
                    </w:rPr>
                    <w:t>1000</w:t>
                  </w:r>
                </w:p>
              </w:tc>
            </w:tr>
            <w:tr w14:paraId="6219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5"/>
                  <w:vAlign w:val="center"/>
                </w:tcPr>
                <w:p w14:paraId="2C86C76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vertAlign w:val="baseline"/>
                      <w:lang w:val="en-US" w:eastAsia="zh-CN"/>
                    </w:rPr>
                  </w:pPr>
                  <w:r>
                    <w:rPr>
                      <w:rFonts w:hint="eastAsia" w:ascii="宋体" w:hAnsi="宋体" w:eastAsia="宋体" w:cs="宋体"/>
                      <w:b/>
                      <w:bCs/>
                      <w:color w:val="auto"/>
                      <w:sz w:val="21"/>
                      <w:szCs w:val="21"/>
                      <w:vertAlign w:val="baseline"/>
                      <w:lang w:val="zh-CN" w:eastAsia="zh-CN"/>
                    </w:rPr>
                    <w:t>集料</w:t>
                  </w:r>
                  <w:r>
                    <w:rPr>
                      <w:rFonts w:hint="eastAsia" w:ascii="宋体" w:hAnsi="宋体" w:cs="宋体"/>
                      <w:b/>
                      <w:bCs/>
                      <w:color w:val="auto"/>
                      <w:sz w:val="21"/>
                      <w:szCs w:val="21"/>
                      <w:vertAlign w:val="baseline"/>
                      <w:lang w:val="zh-CN" w:eastAsia="zh-CN"/>
                    </w:rPr>
                    <w:t>（生物滤料）</w:t>
                  </w:r>
                </w:p>
              </w:tc>
            </w:tr>
            <w:tr w14:paraId="7E3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1BEB558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270" w:type="pct"/>
                  <w:vAlign w:val="center"/>
                </w:tcPr>
                <w:p w14:paraId="46F5C1C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煤矸石</w:t>
                  </w:r>
                </w:p>
              </w:tc>
              <w:tc>
                <w:tcPr>
                  <w:tcW w:w="865" w:type="pct"/>
                  <w:vAlign w:val="center"/>
                </w:tcPr>
                <w:p w14:paraId="3C688C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color w:val="auto"/>
                      <w:sz w:val="21"/>
                      <w:szCs w:val="21"/>
                    </w:rPr>
                    <w:t>t/a</w:t>
                  </w:r>
                </w:p>
              </w:tc>
              <w:tc>
                <w:tcPr>
                  <w:tcW w:w="888" w:type="pct"/>
                  <w:shd w:val="clear" w:color="auto" w:fill="auto"/>
                  <w:vAlign w:val="center"/>
                </w:tcPr>
                <w:p w14:paraId="1BD3DDC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1375" w:type="pct"/>
                  <w:shd w:val="clear" w:color="auto" w:fill="auto"/>
                  <w:vAlign w:val="center"/>
                </w:tcPr>
                <w:p w14:paraId="5E3715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r>
                    <w:rPr>
                      <w:rFonts w:hint="eastAsia"/>
                      <w:color w:val="auto"/>
                      <w:sz w:val="21"/>
                      <w:szCs w:val="21"/>
                      <w:vertAlign w:val="baseline"/>
                      <w:lang w:val="en-US" w:eastAsia="zh-CN"/>
                    </w:rPr>
                    <w:t>8000</w:t>
                  </w:r>
                </w:p>
              </w:tc>
            </w:tr>
            <w:tr w14:paraId="10F0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579498A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270" w:type="pct"/>
                  <w:vAlign w:val="center"/>
                </w:tcPr>
                <w:p w14:paraId="4EF9687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建筑掺和料</w:t>
                  </w:r>
                </w:p>
              </w:tc>
              <w:tc>
                <w:tcPr>
                  <w:tcW w:w="865" w:type="pct"/>
                  <w:vAlign w:val="center"/>
                </w:tcPr>
                <w:p w14:paraId="59B491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color w:val="auto"/>
                      <w:sz w:val="21"/>
                      <w:szCs w:val="21"/>
                    </w:rPr>
                    <w:t>t/a</w:t>
                  </w:r>
                </w:p>
              </w:tc>
              <w:tc>
                <w:tcPr>
                  <w:tcW w:w="888" w:type="pct"/>
                  <w:shd w:val="clear" w:color="auto" w:fill="auto"/>
                  <w:vAlign w:val="center"/>
                </w:tcPr>
                <w:p w14:paraId="6604A0F9">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1375" w:type="pct"/>
                  <w:shd w:val="clear" w:color="auto" w:fill="auto"/>
                  <w:vAlign w:val="center"/>
                </w:tcPr>
                <w:p w14:paraId="3CD6C9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6036</w:t>
                  </w:r>
                </w:p>
              </w:tc>
            </w:tr>
            <w:tr w14:paraId="2DE1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12AF300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1270" w:type="pct"/>
                  <w:vAlign w:val="center"/>
                </w:tcPr>
                <w:p w14:paraId="0A36218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b w:val="0"/>
                      <w:bCs w:val="0"/>
                      <w:color w:val="auto"/>
                      <w:sz w:val="21"/>
                      <w:szCs w:val="21"/>
                      <w:vertAlign w:val="baseline"/>
                      <w:lang w:val="zh-CN" w:eastAsia="zh-CN"/>
                    </w:rPr>
                  </w:pPr>
                  <w:r>
                    <w:rPr>
                      <w:rFonts w:hint="eastAsia" w:ascii="宋体" w:hAnsi="宋体" w:eastAsia="宋体" w:cs="宋体"/>
                      <w:b w:val="0"/>
                      <w:bCs w:val="0"/>
                      <w:color w:val="auto"/>
                      <w:sz w:val="21"/>
                      <w:szCs w:val="21"/>
                      <w:vertAlign w:val="baseline"/>
                      <w:lang w:val="zh-CN" w:eastAsia="zh-CN"/>
                    </w:rPr>
                    <w:t>污泥</w:t>
                  </w:r>
                </w:p>
              </w:tc>
              <w:tc>
                <w:tcPr>
                  <w:tcW w:w="865" w:type="pct"/>
                  <w:vAlign w:val="center"/>
                </w:tcPr>
                <w:p w14:paraId="0C2D4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t/a</w:t>
                  </w:r>
                </w:p>
              </w:tc>
              <w:tc>
                <w:tcPr>
                  <w:tcW w:w="888" w:type="pct"/>
                  <w:shd w:val="clear" w:color="auto" w:fill="auto"/>
                  <w:vAlign w:val="center"/>
                </w:tcPr>
                <w:p w14:paraId="4A2F6B8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1375" w:type="pct"/>
                  <w:shd w:val="clear" w:color="auto" w:fill="auto"/>
                  <w:vAlign w:val="center"/>
                </w:tcPr>
                <w:p w14:paraId="79AED58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5200</w:t>
                  </w:r>
                </w:p>
              </w:tc>
            </w:tr>
            <w:tr w14:paraId="016C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7EF0693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1270" w:type="pct"/>
                  <w:vAlign w:val="center"/>
                </w:tcPr>
                <w:p w14:paraId="1B7AF0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b w:val="0"/>
                      <w:bCs w:val="0"/>
                      <w:color w:val="auto"/>
                      <w:sz w:val="21"/>
                      <w:szCs w:val="21"/>
                      <w:vertAlign w:val="baseline"/>
                      <w:lang w:val="zh-CN" w:eastAsia="zh-CN"/>
                    </w:rPr>
                  </w:pPr>
                  <w:r>
                    <w:rPr>
                      <w:rFonts w:hint="eastAsia" w:ascii="宋体" w:hAnsi="宋体" w:eastAsia="宋体" w:cs="宋体"/>
                      <w:b w:val="0"/>
                      <w:bCs w:val="0"/>
                      <w:color w:val="auto"/>
                      <w:sz w:val="21"/>
                      <w:szCs w:val="21"/>
                      <w:vertAlign w:val="baseline"/>
                      <w:lang w:val="zh-CN" w:eastAsia="zh-CN"/>
                    </w:rPr>
                    <w:t>固化剂</w:t>
                  </w:r>
                </w:p>
              </w:tc>
              <w:tc>
                <w:tcPr>
                  <w:tcW w:w="865" w:type="pct"/>
                  <w:vAlign w:val="center"/>
                </w:tcPr>
                <w:p w14:paraId="02E191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t/a</w:t>
                  </w:r>
                </w:p>
              </w:tc>
              <w:tc>
                <w:tcPr>
                  <w:tcW w:w="888" w:type="pct"/>
                  <w:shd w:val="clear" w:color="auto" w:fill="auto"/>
                  <w:vAlign w:val="center"/>
                </w:tcPr>
                <w:p w14:paraId="2952524F">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1375" w:type="pct"/>
                  <w:shd w:val="clear" w:color="auto" w:fill="auto"/>
                  <w:vAlign w:val="center"/>
                </w:tcPr>
                <w:p w14:paraId="2D04AB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14:paraId="2E5A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5"/>
                  <w:vAlign w:val="center"/>
                </w:tcPr>
                <w:p w14:paraId="36A9FA8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s="Times New Roman"/>
                      <w:color w:val="auto"/>
                      <w:sz w:val="21"/>
                      <w:szCs w:val="21"/>
                      <w:highlight w:val="none"/>
                      <w:lang w:val="en-US" w:eastAsia="zh-CN"/>
                    </w:rPr>
                  </w:pPr>
                  <w:r>
                    <w:rPr>
                      <w:rFonts w:hint="eastAsia" w:ascii="宋体" w:hAnsi="宋体" w:eastAsia="宋体" w:cs="宋体"/>
                      <w:b/>
                      <w:bCs/>
                      <w:color w:val="auto"/>
                      <w:sz w:val="21"/>
                      <w:szCs w:val="21"/>
                      <w:vertAlign w:val="baseline"/>
                      <w:lang w:val="zh-CN" w:eastAsia="zh-CN"/>
                    </w:rPr>
                    <w:t>土壤改良土</w:t>
                  </w:r>
                </w:p>
              </w:tc>
            </w:tr>
            <w:tr w14:paraId="0491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576D4744">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270" w:type="pct"/>
                  <w:vAlign w:val="center"/>
                </w:tcPr>
                <w:p w14:paraId="7EF8A1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草木灰</w:t>
                  </w:r>
                </w:p>
              </w:tc>
              <w:tc>
                <w:tcPr>
                  <w:tcW w:w="865" w:type="pct"/>
                  <w:vAlign w:val="center"/>
                </w:tcPr>
                <w:p w14:paraId="648F8FD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color w:val="auto"/>
                      <w:sz w:val="21"/>
                      <w:szCs w:val="21"/>
                    </w:rPr>
                    <w:t>t/a</w:t>
                  </w:r>
                </w:p>
              </w:tc>
              <w:tc>
                <w:tcPr>
                  <w:tcW w:w="888" w:type="pct"/>
                  <w:shd w:val="clear" w:color="auto" w:fill="auto"/>
                  <w:vAlign w:val="center"/>
                </w:tcPr>
                <w:p w14:paraId="45CAE7C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1375" w:type="pct"/>
                  <w:shd w:val="clear" w:color="auto" w:fill="auto"/>
                  <w:vAlign w:val="center"/>
                </w:tcPr>
                <w:p w14:paraId="69E0EF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2000</w:t>
                  </w:r>
                </w:p>
              </w:tc>
            </w:tr>
            <w:tr w14:paraId="57E0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0ACEB9F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270" w:type="pct"/>
                  <w:vAlign w:val="center"/>
                </w:tcPr>
                <w:p w14:paraId="7BFABD9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炉渣</w:t>
                  </w:r>
                </w:p>
              </w:tc>
              <w:tc>
                <w:tcPr>
                  <w:tcW w:w="865" w:type="pct"/>
                  <w:vAlign w:val="center"/>
                </w:tcPr>
                <w:p w14:paraId="6359613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color w:val="auto"/>
                      <w:sz w:val="21"/>
                      <w:szCs w:val="21"/>
                    </w:rPr>
                    <w:t>t/a</w:t>
                  </w:r>
                </w:p>
              </w:tc>
              <w:tc>
                <w:tcPr>
                  <w:tcW w:w="888" w:type="pct"/>
                  <w:shd w:val="clear" w:color="auto" w:fill="auto"/>
                  <w:vAlign w:val="center"/>
                </w:tcPr>
                <w:p w14:paraId="252C5AC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态</w:t>
                  </w:r>
                </w:p>
              </w:tc>
              <w:tc>
                <w:tcPr>
                  <w:tcW w:w="1375" w:type="pct"/>
                  <w:shd w:val="clear" w:color="auto" w:fill="auto"/>
                  <w:vAlign w:val="center"/>
                </w:tcPr>
                <w:p w14:paraId="009F936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1500</w:t>
                  </w:r>
                </w:p>
              </w:tc>
            </w:tr>
            <w:tr w14:paraId="3F87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45FA4BE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1270" w:type="pct"/>
                  <w:vAlign w:val="center"/>
                </w:tcPr>
                <w:p w14:paraId="6B630A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b w:val="0"/>
                      <w:bCs w:val="0"/>
                      <w:color w:val="auto"/>
                      <w:sz w:val="21"/>
                      <w:szCs w:val="21"/>
                      <w:vertAlign w:val="baseline"/>
                      <w:lang w:val="zh-CN" w:eastAsia="zh-CN"/>
                    </w:rPr>
                  </w:pPr>
                  <w:r>
                    <w:rPr>
                      <w:rFonts w:hint="eastAsia" w:ascii="宋体" w:hAnsi="宋体" w:eastAsia="宋体" w:cs="宋体"/>
                      <w:b w:val="0"/>
                      <w:bCs w:val="0"/>
                      <w:color w:val="auto"/>
                      <w:sz w:val="21"/>
                      <w:szCs w:val="21"/>
                      <w:vertAlign w:val="baseline"/>
                      <w:lang w:val="zh-CN" w:eastAsia="zh-CN"/>
                    </w:rPr>
                    <w:t>污泥</w:t>
                  </w:r>
                </w:p>
              </w:tc>
              <w:tc>
                <w:tcPr>
                  <w:tcW w:w="865" w:type="pct"/>
                  <w:vAlign w:val="center"/>
                </w:tcPr>
                <w:p w14:paraId="17FD0324">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 w:val="21"/>
                      <w:szCs w:val="21"/>
                    </w:rPr>
                  </w:pPr>
                  <w:r>
                    <w:rPr>
                      <w:color w:val="auto"/>
                      <w:sz w:val="21"/>
                      <w:szCs w:val="21"/>
                    </w:rPr>
                    <w:t>t/a</w:t>
                  </w:r>
                </w:p>
              </w:tc>
              <w:tc>
                <w:tcPr>
                  <w:tcW w:w="888" w:type="pct"/>
                  <w:shd w:val="clear" w:color="auto" w:fill="auto"/>
                  <w:vAlign w:val="center"/>
                </w:tcPr>
                <w:p w14:paraId="3208027C">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态</w:t>
                  </w:r>
                </w:p>
              </w:tc>
              <w:tc>
                <w:tcPr>
                  <w:tcW w:w="1375" w:type="pct"/>
                  <w:shd w:val="clear" w:color="auto" w:fill="auto"/>
                  <w:vAlign w:val="center"/>
                </w:tcPr>
                <w:p w14:paraId="38ADE5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vertAlign w:val="baseline"/>
                      <w:lang w:val="en-US" w:eastAsia="zh-CN"/>
                    </w:rPr>
                  </w:pPr>
                  <w:r>
                    <w:rPr>
                      <w:rFonts w:hint="eastAsia"/>
                      <w:color w:val="auto"/>
                      <w:sz w:val="21"/>
                      <w:szCs w:val="21"/>
                      <w:vertAlign w:val="baseline"/>
                      <w:lang w:val="en-US" w:eastAsia="zh-CN"/>
                    </w:rPr>
                    <w:t>9000</w:t>
                  </w:r>
                </w:p>
              </w:tc>
            </w:tr>
            <w:tr w14:paraId="39AE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51FFC71F">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1270" w:type="pct"/>
                  <w:vAlign w:val="center"/>
                </w:tcPr>
                <w:p w14:paraId="07B110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b w:val="0"/>
                      <w:bCs w:val="0"/>
                      <w:color w:val="auto"/>
                      <w:sz w:val="21"/>
                      <w:szCs w:val="21"/>
                      <w:vertAlign w:val="baseline"/>
                      <w:lang w:val="zh-CN" w:eastAsia="zh-CN"/>
                    </w:rPr>
                  </w:pPr>
                  <w:r>
                    <w:rPr>
                      <w:rFonts w:hint="eastAsia" w:ascii="宋体" w:hAnsi="宋体" w:eastAsia="宋体" w:cs="宋体"/>
                      <w:b w:val="0"/>
                      <w:bCs w:val="0"/>
                      <w:color w:val="auto"/>
                      <w:sz w:val="21"/>
                      <w:szCs w:val="21"/>
                      <w:vertAlign w:val="baseline"/>
                      <w:lang w:val="zh-CN" w:eastAsia="zh-CN"/>
                    </w:rPr>
                    <w:t>土壤改良矿化剂</w:t>
                  </w:r>
                </w:p>
              </w:tc>
              <w:tc>
                <w:tcPr>
                  <w:tcW w:w="865" w:type="pct"/>
                  <w:vAlign w:val="center"/>
                </w:tcPr>
                <w:p w14:paraId="427745A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 w:val="21"/>
                      <w:szCs w:val="21"/>
                    </w:rPr>
                  </w:pPr>
                  <w:r>
                    <w:rPr>
                      <w:color w:val="auto"/>
                      <w:sz w:val="21"/>
                      <w:szCs w:val="21"/>
                    </w:rPr>
                    <w:t>t/a</w:t>
                  </w:r>
                </w:p>
              </w:tc>
              <w:tc>
                <w:tcPr>
                  <w:tcW w:w="888" w:type="pct"/>
                  <w:shd w:val="clear" w:color="auto" w:fill="auto"/>
                  <w:vAlign w:val="center"/>
                </w:tcPr>
                <w:p w14:paraId="04248FA8">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液态</w:t>
                  </w:r>
                </w:p>
              </w:tc>
              <w:tc>
                <w:tcPr>
                  <w:tcW w:w="1375" w:type="pct"/>
                  <w:shd w:val="clear" w:color="auto" w:fill="auto"/>
                  <w:vAlign w:val="center"/>
                </w:tcPr>
                <w:p w14:paraId="6C4A65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vertAlign w:val="baseline"/>
                      <w:lang w:val="en-US" w:eastAsia="zh-CN"/>
                    </w:rPr>
                  </w:pPr>
                  <w:r>
                    <w:rPr>
                      <w:rFonts w:hint="eastAsia"/>
                      <w:color w:val="auto"/>
                      <w:sz w:val="21"/>
                      <w:szCs w:val="21"/>
                      <w:vertAlign w:val="baseline"/>
                      <w:lang w:val="en-US" w:eastAsia="zh-CN"/>
                    </w:rPr>
                    <w:t>40</w:t>
                  </w:r>
                </w:p>
              </w:tc>
            </w:tr>
            <w:tr w14:paraId="4D21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5"/>
                  <w:vAlign w:val="center"/>
                </w:tcPr>
                <w:p w14:paraId="6DEB5EB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s="Times New Roman"/>
                      <w:color w:val="auto"/>
                      <w:sz w:val="21"/>
                      <w:szCs w:val="21"/>
                      <w:highlight w:val="none"/>
                      <w:lang w:val="en-US" w:eastAsia="zh-CN"/>
                    </w:rPr>
                  </w:pPr>
                  <w:r>
                    <w:rPr>
                      <w:rFonts w:hint="eastAsia" w:ascii="宋体" w:hAnsi="宋体" w:eastAsia="宋体" w:cs="宋体"/>
                      <w:b/>
                      <w:bCs/>
                      <w:color w:val="auto"/>
                      <w:sz w:val="21"/>
                      <w:szCs w:val="21"/>
                      <w:vertAlign w:val="baseline"/>
                      <w:lang w:val="zh-CN" w:eastAsia="zh-CN"/>
                    </w:rPr>
                    <w:t>绿</w:t>
                  </w:r>
                  <w:r>
                    <w:rPr>
                      <w:rFonts w:hint="eastAsia" w:ascii="宋体" w:hAnsi="宋体" w:cs="宋体"/>
                      <w:b/>
                      <w:bCs/>
                      <w:color w:val="auto"/>
                      <w:sz w:val="21"/>
                      <w:szCs w:val="21"/>
                      <w:vertAlign w:val="baseline"/>
                      <w:lang w:val="zh-CN" w:eastAsia="zh-CN"/>
                    </w:rPr>
                    <w:t>化营养土</w:t>
                  </w:r>
                </w:p>
              </w:tc>
            </w:tr>
            <w:tr w14:paraId="36A4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6A174A0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270" w:type="pct"/>
                  <w:vAlign w:val="center"/>
                </w:tcPr>
                <w:p w14:paraId="60B54B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ascii="宋体" w:hAnsi="宋体" w:cs="宋体"/>
                      <w:b w:val="0"/>
                      <w:bCs w:val="0"/>
                      <w:color w:val="auto"/>
                      <w:sz w:val="21"/>
                      <w:szCs w:val="21"/>
                      <w:vertAlign w:val="baseline"/>
                      <w:lang w:val="zh-CN" w:eastAsia="zh-CN"/>
                    </w:rPr>
                    <w:t>秸秆</w:t>
                  </w:r>
                </w:p>
              </w:tc>
              <w:tc>
                <w:tcPr>
                  <w:tcW w:w="865" w:type="pct"/>
                  <w:vAlign w:val="center"/>
                </w:tcPr>
                <w:p w14:paraId="70F3138A">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color w:val="auto"/>
                      <w:sz w:val="21"/>
                      <w:szCs w:val="21"/>
                    </w:rPr>
                    <w:t>t/a</w:t>
                  </w:r>
                </w:p>
              </w:tc>
              <w:tc>
                <w:tcPr>
                  <w:tcW w:w="888" w:type="pct"/>
                  <w:shd w:val="clear" w:color="auto" w:fill="auto"/>
                  <w:vAlign w:val="center"/>
                </w:tcPr>
                <w:p w14:paraId="0BB0A2D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2253" w:type="dxa"/>
                  <w:shd w:val="clear" w:color="auto" w:fill="auto"/>
                  <w:vAlign w:val="center"/>
                </w:tcPr>
                <w:p w14:paraId="2046B3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1000</w:t>
                  </w:r>
                </w:p>
              </w:tc>
            </w:tr>
            <w:tr w14:paraId="6A9D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1F2E349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270" w:type="pct"/>
                  <w:vAlign w:val="center"/>
                </w:tcPr>
                <w:p w14:paraId="26FE440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ascii="宋体" w:hAnsi="宋体" w:cs="宋体"/>
                      <w:b w:val="0"/>
                      <w:bCs w:val="0"/>
                      <w:color w:val="auto"/>
                      <w:sz w:val="21"/>
                      <w:szCs w:val="21"/>
                      <w:vertAlign w:val="baseline"/>
                      <w:lang w:val="zh-CN" w:eastAsia="zh-CN"/>
                    </w:rPr>
                    <w:t>草木灰</w:t>
                  </w:r>
                </w:p>
              </w:tc>
              <w:tc>
                <w:tcPr>
                  <w:tcW w:w="865" w:type="pct"/>
                  <w:vAlign w:val="center"/>
                </w:tcPr>
                <w:p w14:paraId="5750907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color w:val="auto"/>
                      <w:sz w:val="21"/>
                      <w:szCs w:val="21"/>
                    </w:rPr>
                    <w:t>t/a</w:t>
                  </w:r>
                </w:p>
              </w:tc>
              <w:tc>
                <w:tcPr>
                  <w:tcW w:w="888" w:type="pct"/>
                  <w:shd w:val="clear" w:color="auto" w:fill="auto"/>
                  <w:vAlign w:val="center"/>
                </w:tcPr>
                <w:p w14:paraId="5985C7B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2253" w:type="dxa"/>
                  <w:shd w:val="clear" w:color="auto" w:fill="auto"/>
                  <w:vAlign w:val="center"/>
                </w:tcPr>
                <w:p w14:paraId="0522C0D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1000</w:t>
                  </w:r>
                </w:p>
              </w:tc>
            </w:tr>
            <w:tr w14:paraId="0421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5C8921C2">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1270" w:type="pct"/>
                  <w:vAlign w:val="center"/>
                </w:tcPr>
                <w:p w14:paraId="64578F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b w:val="0"/>
                      <w:bCs w:val="0"/>
                      <w:color w:val="auto"/>
                      <w:sz w:val="21"/>
                      <w:szCs w:val="21"/>
                      <w:vertAlign w:val="baseline"/>
                      <w:lang w:val="zh-CN" w:eastAsia="zh-CN"/>
                    </w:rPr>
                  </w:pPr>
                  <w:r>
                    <w:rPr>
                      <w:rFonts w:hint="eastAsia" w:ascii="宋体" w:hAnsi="宋体" w:cs="宋体"/>
                      <w:b w:val="0"/>
                      <w:bCs w:val="0"/>
                      <w:color w:val="auto"/>
                      <w:sz w:val="21"/>
                      <w:szCs w:val="21"/>
                      <w:vertAlign w:val="baseline"/>
                      <w:lang w:val="zh-CN" w:eastAsia="zh-CN"/>
                    </w:rPr>
                    <w:t>沼渣</w:t>
                  </w:r>
                </w:p>
              </w:tc>
              <w:tc>
                <w:tcPr>
                  <w:tcW w:w="865" w:type="pct"/>
                  <w:vAlign w:val="center"/>
                </w:tcPr>
                <w:p w14:paraId="1634E2C0">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 w:val="21"/>
                      <w:szCs w:val="21"/>
                    </w:rPr>
                  </w:pPr>
                  <w:r>
                    <w:rPr>
                      <w:color w:val="auto"/>
                      <w:sz w:val="21"/>
                      <w:szCs w:val="21"/>
                    </w:rPr>
                    <w:t>t/a</w:t>
                  </w:r>
                </w:p>
              </w:tc>
              <w:tc>
                <w:tcPr>
                  <w:tcW w:w="888" w:type="pct"/>
                  <w:shd w:val="clear" w:color="auto" w:fill="auto"/>
                  <w:vAlign w:val="center"/>
                </w:tcPr>
                <w:p w14:paraId="5405DF70">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2253" w:type="dxa"/>
                  <w:shd w:val="clear" w:color="auto" w:fill="auto"/>
                  <w:vAlign w:val="center"/>
                </w:tcPr>
                <w:p w14:paraId="261D4F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vertAlign w:val="baseline"/>
                      <w:lang w:val="en-US" w:eastAsia="zh-CN"/>
                    </w:rPr>
                  </w:pPr>
                  <w:r>
                    <w:rPr>
                      <w:rFonts w:hint="eastAsia"/>
                      <w:color w:val="auto"/>
                      <w:sz w:val="21"/>
                      <w:szCs w:val="21"/>
                      <w:vertAlign w:val="baseline"/>
                      <w:lang w:val="en-US" w:eastAsia="zh-CN"/>
                    </w:rPr>
                    <w:t>2000</w:t>
                  </w:r>
                </w:p>
              </w:tc>
            </w:tr>
            <w:tr w14:paraId="7932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6FECAF44">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1270" w:type="pct"/>
                  <w:vAlign w:val="center"/>
                </w:tcPr>
                <w:p w14:paraId="59BBBAA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b w:val="0"/>
                      <w:bCs w:val="0"/>
                      <w:color w:val="auto"/>
                      <w:sz w:val="21"/>
                      <w:szCs w:val="21"/>
                      <w:vertAlign w:val="baseline"/>
                      <w:lang w:val="zh-CN" w:eastAsia="zh-CN"/>
                    </w:rPr>
                  </w:pPr>
                  <w:r>
                    <w:rPr>
                      <w:rFonts w:hint="eastAsia" w:ascii="宋体" w:hAnsi="宋体" w:cs="宋体"/>
                      <w:b w:val="0"/>
                      <w:bCs w:val="0"/>
                      <w:color w:val="auto"/>
                      <w:sz w:val="21"/>
                      <w:szCs w:val="21"/>
                      <w:vertAlign w:val="baseline"/>
                      <w:lang w:val="zh-CN" w:eastAsia="zh-CN"/>
                    </w:rPr>
                    <w:t>污泥</w:t>
                  </w:r>
                </w:p>
              </w:tc>
              <w:tc>
                <w:tcPr>
                  <w:tcW w:w="865" w:type="pct"/>
                  <w:vAlign w:val="center"/>
                </w:tcPr>
                <w:p w14:paraId="7320AC7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 w:val="21"/>
                      <w:szCs w:val="21"/>
                    </w:rPr>
                  </w:pPr>
                  <w:r>
                    <w:rPr>
                      <w:color w:val="auto"/>
                      <w:sz w:val="21"/>
                      <w:szCs w:val="21"/>
                    </w:rPr>
                    <w:t>t/a</w:t>
                  </w:r>
                </w:p>
              </w:tc>
              <w:tc>
                <w:tcPr>
                  <w:tcW w:w="888" w:type="pct"/>
                  <w:shd w:val="clear" w:color="auto" w:fill="auto"/>
                  <w:vAlign w:val="center"/>
                </w:tcPr>
                <w:p w14:paraId="74BDC86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2253" w:type="dxa"/>
                  <w:shd w:val="clear" w:color="auto" w:fill="auto"/>
                  <w:vAlign w:val="center"/>
                </w:tcPr>
                <w:p w14:paraId="11B3C30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vertAlign w:val="baseline"/>
                      <w:lang w:val="en-US" w:eastAsia="zh-CN"/>
                    </w:rPr>
                  </w:pPr>
                  <w:r>
                    <w:rPr>
                      <w:rFonts w:hint="eastAsia"/>
                      <w:color w:val="auto"/>
                      <w:sz w:val="21"/>
                      <w:szCs w:val="21"/>
                      <w:vertAlign w:val="baseline"/>
                      <w:lang w:val="en-US" w:eastAsia="zh-CN"/>
                    </w:rPr>
                    <w:t>5000</w:t>
                  </w:r>
                </w:p>
              </w:tc>
            </w:tr>
            <w:tr w14:paraId="7293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01" w:type="pct"/>
                  <w:vAlign w:val="center"/>
                </w:tcPr>
                <w:p w14:paraId="2E74E5FA">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1270" w:type="pct"/>
                  <w:vAlign w:val="center"/>
                </w:tcPr>
                <w:p w14:paraId="3C82E1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b w:val="0"/>
                      <w:bCs w:val="0"/>
                      <w:color w:val="auto"/>
                      <w:sz w:val="21"/>
                      <w:szCs w:val="21"/>
                      <w:vertAlign w:val="baseline"/>
                      <w:lang w:val="zh-CN" w:eastAsia="zh-CN"/>
                    </w:rPr>
                  </w:pPr>
                  <w:r>
                    <w:rPr>
                      <w:rFonts w:hint="eastAsia" w:ascii="宋体" w:hAnsi="宋体" w:eastAsia="宋体" w:cs="宋体"/>
                      <w:b w:val="0"/>
                      <w:bCs w:val="0"/>
                      <w:color w:val="auto"/>
                      <w:sz w:val="21"/>
                      <w:szCs w:val="21"/>
                      <w:vertAlign w:val="baseline"/>
                      <w:lang w:val="zh-CN" w:eastAsia="zh-CN"/>
                    </w:rPr>
                    <w:t>绿化用矿化剂</w:t>
                  </w:r>
                </w:p>
              </w:tc>
              <w:tc>
                <w:tcPr>
                  <w:tcW w:w="865" w:type="pct"/>
                  <w:vAlign w:val="center"/>
                </w:tcPr>
                <w:p w14:paraId="79C874C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 w:val="21"/>
                      <w:szCs w:val="21"/>
                    </w:rPr>
                  </w:pPr>
                  <w:r>
                    <w:rPr>
                      <w:color w:val="auto"/>
                      <w:sz w:val="21"/>
                      <w:szCs w:val="21"/>
                    </w:rPr>
                    <w:t>t/a</w:t>
                  </w:r>
                </w:p>
              </w:tc>
              <w:tc>
                <w:tcPr>
                  <w:tcW w:w="888" w:type="pct"/>
                  <w:shd w:val="clear" w:color="auto" w:fill="auto"/>
                  <w:vAlign w:val="center"/>
                </w:tcPr>
                <w:p w14:paraId="3AFB040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固态</w:t>
                  </w:r>
                </w:p>
              </w:tc>
              <w:tc>
                <w:tcPr>
                  <w:tcW w:w="2253" w:type="dxa"/>
                  <w:shd w:val="clear" w:color="auto" w:fill="auto"/>
                  <w:vAlign w:val="center"/>
                </w:tcPr>
                <w:p w14:paraId="5A2D50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vertAlign w:val="baseline"/>
                      <w:lang w:val="en-US" w:eastAsia="zh-CN"/>
                    </w:rPr>
                  </w:pPr>
                  <w:r>
                    <w:rPr>
                      <w:rFonts w:hint="eastAsia"/>
                      <w:color w:val="auto"/>
                      <w:sz w:val="21"/>
                      <w:szCs w:val="21"/>
                      <w:vertAlign w:val="baseline"/>
                      <w:lang w:val="en-US" w:eastAsia="zh-CN"/>
                    </w:rPr>
                    <w:t>20</w:t>
                  </w:r>
                </w:p>
              </w:tc>
            </w:tr>
            <w:tr w14:paraId="2102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5"/>
                  <w:vAlign w:val="center"/>
                </w:tcPr>
                <w:p w14:paraId="51A929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vertAlign w:val="baseline"/>
                      <w:lang w:val="en-US" w:eastAsia="zh-CN"/>
                    </w:rPr>
                  </w:pPr>
                  <w:r>
                    <w:rPr>
                      <w:rFonts w:hint="eastAsia"/>
                      <w:b/>
                      <w:bCs/>
                      <w:color w:val="auto"/>
                      <w:kern w:val="0"/>
                      <w:szCs w:val="21"/>
                      <w:highlight w:val="none"/>
                    </w:rPr>
                    <w:t>资源、能源消耗</w:t>
                  </w:r>
                </w:p>
              </w:tc>
            </w:tr>
            <w:tr w14:paraId="4FF8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24" w:type="dxa"/>
                  <w:vAlign w:val="center"/>
                </w:tcPr>
                <w:p w14:paraId="2B4008B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164" w:type="dxa"/>
                  <w:vAlign w:val="center"/>
                </w:tcPr>
                <w:p w14:paraId="6F989E13">
                  <w:pPr>
                    <w:pStyle w:val="38"/>
                    <w:ind w:left="0" w:leftChars="0" w:firstLine="0" w:firstLineChars="0"/>
                    <w:rPr>
                      <w:rFonts w:hint="eastAsia" w:ascii="宋体" w:hAnsi="宋体" w:eastAsia="宋体" w:cs="宋体"/>
                      <w:b w:val="0"/>
                      <w:bCs w:val="0"/>
                      <w:color w:val="auto"/>
                      <w:sz w:val="21"/>
                      <w:szCs w:val="21"/>
                      <w:vertAlign w:val="baseline"/>
                      <w:lang w:val="zh-CN" w:eastAsia="zh-CN"/>
                    </w:rPr>
                  </w:pPr>
                  <w:r>
                    <w:rPr>
                      <w:rFonts w:cs="Times New Roman"/>
                      <w:b w:val="0"/>
                      <w:bCs w:val="0"/>
                      <w:color w:val="auto"/>
                      <w:highlight w:val="none"/>
                      <w:lang w:eastAsia="zh-CN"/>
                    </w:rPr>
                    <w:t>水</w:t>
                  </w:r>
                </w:p>
              </w:tc>
              <w:tc>
                <w:tcPr>
                  <w:tcW w:w="865" w:type="pct"/>
                  <w:vAlign w:val="center"/>
                </w:tcPr>
                <w:p w14:paraId="2663C06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 w:val="21"/>
                      <w:szCs w:val="21"/>
                    </w:rPr>
                  </w:pPr>
                  <w:r>
                    <w:rPr>
                      <w:color w:val="auto"/>
                      <w:sz w:val="21"/>
                      <w:szCs w:val="21"/>
                    </w:rPr>
                    <w:t>t/a</w:t>
                  </w:r>
                </w:p>
              </w:tc>
              <w:tc>
                <w:tcPr>
                  <w:tcW w:w="888" w:type="pct"/>
                  <w:shd w:val="clear" w:color="auto" w:fill="auto"/>
                  <w:vAlign w:val="center"/>
                </w:tcPr>
                <w:p w14:paraId="210E7A9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75" w:type="pct"/>
                  <w:shd w:val="clear" w:color="auto" w:fill="auto"/>
                  <w:vAlign w:val="center"/>
                </w:tcPr>
                <w:p w14:paraId="462368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vertAlign w:val="baseline"/>
                      <w:lang w:val="en-US" w:eastAsia="zh-CN"/>
                    </w:rPr>
                  </w:pPr>
                  <w:r>
                    <w:rPr>
                      <w:rFonts w:hint="eastAsia"/>
                      <w:color w:val="auto"/>
                      <w:sz w:val="21"/>
                      <w:szCs w:val="21"/>
                      <w:vertAlign w:val="baseline"/>
                      <w:lang w:val="en-US" w:eastAsia="zh-CN"/>
                    </w:rPr>
                    <w:t>150</w:t>
                  </w:r>
                </w:p>
              </w:tc>
            </w:tr>
            <w:tr w14:paraId="1101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24" w:type="dxa"/>
                  <w:vAlign w:val="center"/>
                </w:tcPr>
                <w:p w14:paraId="671CD50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2164" w:type="dxa"/>
                  <w:vAlign w:val="center"/>
                </w:tcPr>
                <w:p w14:paraId="627883B4">
                  <w:pPr>
                    <w:pStyle w:val="38"/>
                    <w:ind w:left="0" w:leftChars="0" w:firstLine="0" w:firstLineChars="0"/>
                    <w:rPr>
                      <w:rFonts w:hint="eastAsia" w:ascii="宋体" w:hAnsi="宋体" w:eastAsia="宋体" w:cs="宋体"/>
                      <w:b w:val="0"/>
                      <w:bCs w:val="0"/>
                      <w:color w:val="auto"/>
                      <w:sz w:val="21"/>
                      <w:szCs w:val="21"/>
                      <w:vertAlign w:val="baseline"/>
                      <w:lang w:val="zh-CN" w:eastAsia="zh-CN"/>
                    </w:rPr>
                  </w:pPr>
                  <w:r>
                    <w:rPr>
                      <w:rFonts w:cs="Times New Roman"/>
                      <w:b w:val="0"/>
                      <w:bCs w:val="0"/>
                      <w:color w:val="auto"/>
                      <w:highlight w:val="none"/>
                      <w:lang w:eastAsia="zh-CN"/>
                    </w:rPr>
                    <w:t>电</w:t>
                  </w:r>
                </w:p>
              </w:tc>
              <w:tc>
                <w:tcPr>
                  <w:tcW w:w="865" w:type="pct"/>
                  <w:vAlign w:val="center"/>
                </w:tcPr>
                <w:p w14:paraId="248620B8">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 w:val="21"/>
                      <w:szCs w:val="21"/>
                    </w:rPr>
                  </w:pPr>
                  <w:r>
                    <w:rPr>
                      <w:rFonts w:hint="default" w:ascii="Times New Roman" w:hAnsi="Times New Roman" w:cs="Times New Roman"/>
                      <w:color w:val="000000"/>
                    </w:rPr>
                    <w:t>万kW·h/a</w:t>
                  </w:r>
                </w:p>
              </w:tc>
              <w:tc>
                <w:tcPr>
                  <w:tcW w:w="888" w:type="pct"/>
                  <w:shd w:val="clear" w:color="auto" w:fill="auto"/>
                  <w:vAlign w:val="center"/>
                </w:tcPr>
                <w:p w14:paraId="4A1D5D8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75" w:type="pct"/>
                  <w:shd w:val="clear" w:color="auto" w:fill="auto"/>
                  <w:vAlign w:val="center"/>
                </w:tcPr>
                <w:p w14:paraId="2AFAF08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vertAlign w:val="baseline"/>
                      <w:lang w:val="en-US" w:eastAsia="zh-CN"/>
                    </w:rPr>
                  </w:pPr>
                  <w:r>
                    <w:rPr>
                      <w:rFonts w:hint="eastAsia"/>
                      <w:color w:val="auto"/>
                      <w:sz w:val="21"/>
                      <w:szCs w:val="21"/>
                      <w:vertAlign w:val="baseline"/>
                      <w:lang w:val="en-US" w:eastAsia="zh-CN"/>
                    </w:rPr>
                    <w:t>15</w:t>
                  </w:r>
                </w:p>
              </w:tc>
            </w:tr>
          </w:tbl>
          <w:p w14:paraId="0C4894B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ascii="宋体" w:hAnsi="宋体" w:eastAsia="宋体" w:cs="宋体"/>
                <w:b/>
                <w:bCs/>
                <w:color w:val="auto"/>
                <w:sz w:val="24"/>
                <w:szCs w:val="24"/>
              </w:rPr>
            </w:pPr>
            <w:r>
              <w:rPr>
                <w:rFonts w:ascii="宋体" w:hAnsi="宋体" w:eastAsia="宋体" w:cs="宋体"/>
                <w:b/>
                <w:bCs/>
                <w:color w:val="auto"/>
                <w:sz w:val="24"/>
                <w:szCs w:val="24"/>
              </w:rPr>
              <w:t>主要原辅材料理化性质</w:t>
            </w:r>
          </w:p>
          <w:p w14:paraId="2AF3DA3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lang w:eastAsia="zh-CN"/>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w:t>
            </w:r>
            <w:r>
              <w:rPr>
                <w:rFonts w:hint="eastAsia"/>
                <w:b/>
                <w:bCs/>
                <w:color w:val="auto"/>
                <w:sz w:val="24"/>
                <w:lang w:eastAsia="zh-CN"/>
              </w:rPr>
              <w:t>矿化剂</w:t>
            </w:r>
          </w:p>
          <w:p w14:paraId="2BB05CA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矿化剂</w:t>
            </w:r>
            <w:r>
              <w:rPr>
                <w:rFonts w:hint="eastAsia" w:ascii="宋体" w:hAnsi="宋体" w:eastAsia="宋体" w:cs="宋体"/>
                <w:color w:val="auto"/>
                <w:kern w:val="0"/>
                <w:sz w:val="24"/>
                <w:szCs w:val="24"/>
                <w:lang w:val="en-US" w:eastAsia="zh-CN" w:bidi="ar"/>
              </w:rPr>
              <w:t>能有效去除硫化氢、氨气等恶臭气体，除臭效率高，充分降解污泥中的有机质、钝化重金属、释放结合水加速晾晒干化，实现污泥的减量化、稳定化、 无害化，为资源化综合利用创造条件。</w:t>
            </w:r>
            <w:r>
              <w:rPr>
                <w:rFonts w:hint="eastAsia" w:ascii="宋体" w:hAnsi="宋体" w:cs="宋体"/>
                <w:color w:val="auto"/>
                <w:kern w:val="0"/>
                <w:sz w:val="24"/>
                <w:szCs w:val="24"/>
                <w:lang w:val="en-US" w:eastAsia="zh-CN" w:bidi="ar"/>
              </w:rPr>
              <w:t>矿化剂</w:t>
            </w:r>
            <w:r>
              <w:rPr>
                <w:rFonts w:hint="eastAsia" w:ascii="宋体" w:hAnsi="宋体" w:eastAsia="宋体" w:cs="宋体"/>
                <w:color w:val="auto"/>
                <w:kern w:val="0"/>
                <w:sz w:val="24"/>
                <w:szCs w:val="24"/>
                <w:lang w:val="en-US" w:eastAsia="zh-CN" w:bidi="ar"/>
              </w:rPr>
              <w:t>对人体和动植物无任何副作用，对环境不会产生污染。长期使用，可以达到净化空气，美化环境，提高生活品质的效果。</w:t>
            </w:r>
            <w:r>
              <w:rPr>
                <w:rFonts w:hint="eastAsia" w:ascii="宋体" w:hAnsi="宋体" w:cs="宋体"/>
                <w:color w:val="auto"/>
                <w:kern w:val="0"/>
                <w:sz w:val="24"/>
                <w:szCs w:val="24"/>
                <w:lang w:val="en-US" w:eastAsia="zh-CN" w:bidi="ar"/>
              </w:rPr>
              <w:t>矿化剂</w:t>
            </w:r>
            <w:r>
              <w:rPr>
                <w:rFonts w:hint="eastAsia" w:ascii="宋体" w:hAnsi="宋体" w:eastAsia="宋体" w:cs="宋体"/>
                <w:color w:val="auto"/>
                <w:kern w:val="0"/>
                <w:sz w:val="24"/>
                <w:szCs w:val="24"/>
                <w:lang w:val="en-US" w:eastAsia="zh-CN" w:bidi="ar"/>
              </w:rPr>
              <w:t>是遵循微生态工程原理，在充分借鉴先进复合微生物技术的基础上，采用微生态工程技术，运用现代生物技术生产，针对不同来源的固废针对性的培育能高效降解对应有机毒物的酶制剂和菌制剂，其原理是：从自然界已经存在的众多微生物中选取对特征污染物有优异降解作用的菌株加以驯化和培养，并形成分工协作具有互补作用的菌群，以不同性质的污染物为食物，产生的酶作为催化剂加速各自的降解过程。此外，矿化剂的氧化还原作用能钝化重金属，比如能将有害的六价铬离子还原为稳定的三价铬离子。</w:t>
            </w:r>
          </w:p>
          <w:p w14:paraId="7FAD46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可根据最终产物的要求选用不同型号的矿化剂，比如，土壤改良土使用有机质和氨氮分解能力强的</w:t>
            </w:r>
            <w:r>
              <w:rPr>
                <w:rFonts w:hint="eastAsia" w:ascii="宋体" w:hAnsi="宋体" w:cs="宋体"/>
                <w:b w:val="0"/>
                <w:bCs w:val="0"/>
                <w:color w:val="auto"/>
                <w:sz w:val="24"/>
                <w:szCs w:val="24"/>
                <w:lang w:val="en-US" w:eastAsia="zh-CN"/>
              </w:rPr>
              <w:t>土壤改良</w:t>
            </w:r>
            <w:r>
              <w:rPr>
                <w:rFonts w:hint="eastAsia" w:ascii="宋体" w:hAnsi="宋体" w:eastAsia="宋体" w:cs="宋体"/>
                <w:b w:val="0"/>
                <w:bCs w:val="0"/>
                <w:color w:val="auto"/>
                <w:sz w:val="24"/>
                <w:szCs w:val="24"/>
                <w:lang w:val="en-US" w:eastAsia="zh-CN"/>
              </w:rPr>
              <w:t>矿化剂</w:t>
            </w:r>
            <w:r>
              <w:rPr>
                <w:rFonts w:hint="eastAsia" w:ascii="宋体" w:hAnsi="宋体" w:cs="宋体"/>
                <w:b w:val="0"/>
                <w:bCs w:val="0"/>
                <w:color w:val="auto"/>
                <w:sz w:val="24"/>
                <w:szCs w:val="24"/>
                <w:lang w:val="en-US" w:eastAsia="zh-CN"/>
              </w:rPr>
              <w:t>；绿化用</w:t>
            </w:r>
            <w:r>
              <w:rPr>
                <w:rFonts w:hint="eastAsia" w:ascii="宋体" w:hAnsi="宋体" w:eastAsia="宋体" w:cs="宋体"/>
                <w:b w:val="0"/>
                <w:bCs w:val="0"/>
                <w:color w:val="auto"/>
                <w:sz w:val="24"/>
                <w:szCs w:val="24"/>
                <w:lang w:val="en-US" w:eastAsia="zh-CN"/>
              </w:rPr>
              <w:t>土使用能降解大分子，保留有机质和氨氮营养物的</w:t>
            </w:r>
            <w:r>
              <w:rPr>
                <w:rFonts w:hint="eastAsia" w:ascii="宋体" w:hAnsi="宋体" w:cs="宋体"/>
                <w:b w:val="0"/>
                <w:bCs w:val="0"/>
                <w:color w:val="auto"/>
                <w:sz w:val="24"/>
                <w:szCs w:val="24"/>
                <w:lang w:val="en-US" w:eastAsia="zh-CN"/>
              </w:rPr>
              <w:t>绿化用</w:t>
            </w:r>
            <w:r>
              <w:rPr>
                <w:rFonts w:hint="eastAsia" w:ascii="宋体" w:hAnsi="宋体" w:eastAsia="宋体" w:cs="宋体"/>
                <w:b w:val="0"/>
                <w:bCs w:val="0"/>
                <w:color w:val="auto"/>
                <w:sz w:val="24"/>
                <w:szCs w:val="24"/>
                <w:lang w:val="en-US" w:eastAsia="zh-CN"/>
              </w:rPr>
              <w:t>矿化剂</w:t>
            </w:r>
            <w:r>
              <w:rPr>
                <w:rFonts w:hint="eastAsia" w:ascii="宋体" w:hAnsi="宋体" w:cs="宋体"/>
                <w:b w:val="0"/>
                <w:bCs w:val="0"/>
                <w:color w:val="auto"/>
                <w:sz w:val="24"/>
                <w:szCs w:val="24"/>
                <w:lang w:val="en-US" w:eastAsia="zh-CN"/>
              </w:rPr>
              <w:t>。</w:t>
            </w:r>
          </w:p>
          <w:p w14:paraId="4C77340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lang w:val="en-US" w:eastAsia="zh-CN"/>
              </w:rPr>
            </w:pPr>
            <w:r>
              <w:rPr>
                <w:rFonts w:hint="default" w:ascii="Times New Roman" w:hAnsi="Times New Roman" w:cs="Times New Roman"/>
                <w:b/>
                <w:bCs/>
                <w:color w:val="auto"/>
                <w:sz w:val="24"/>
                <w:lang w:val="en-US" w:eastAsia="zh-CN"/>
              </w:rPr>
              <w:t>（2）</w:t>
            </w:r>
            <w:r>
              <w:rPr>
                <w:rFonts w:hint="eastAsia"/>
                <w:b/>
                <w:bCs/>
                <w:color w:val="auto"/>
                <w:sz w:val="24"/>
                <w:lang w:val="en-US" w:eastAsia="zh-CN"/>
              </w:rPr>
              <w:t>固化剂</w:t>
            </w:r>
          </w:p>
          <w:p w14:paraId="6D95B8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auto"/>
                <w:sz w:val="24"/>
                <w:szCs w:val="24"/>
                <w:lang w:val="en-US" w:eastAsia="zh-CN"/>
              </w:rPr>
            </w:pPr>
            <w:r>
              <w:rPr>
                <w:rFonts w:hint="eastAsia"/>
                <w:b w:val="0"/>
                <w:bCs w:val="0"/>
                <w:color w:val="auto"/>
                <w:sz w:val="24"/>
                <w:szCs w:val="24"/>
                <w:lang w:val="en-US" w:eastAsia="zh-CN"/>
              </w:rPr>
              <w:t>主要用于多种污泥的脱水干化和固化处理，可以达到污泥减量化、高强度固化和防水的效果。使用固化剂后污泥胶体性质即刻被破坏，毛细管通道迅速建立，增加和扩散，使污泥内部水分向外扩散挥发通道打开，利于污泥的迅速干化。</w:t>
            </w:r>
          </w:p>
          <w:p w14:paraId="27F1F93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b/>
                <w:bCs/>
                <w:color w:val="auto"/>
                <w:sz w:val="24"/>
                <w:lang w:val="en-US" w:eastAsia="zh-CN"/>
              </w:rPr>
            </w:pPr>
            <w:r>
              <w:rPr>
                <w:rFonts w:hint="default" w:ascii="Times New Roman" w:hAnsi="Times New Roman" w:cs="Times New Roman"/>
                <w:b/>
                <w:bCs/>
                <w:color w:val="auto"/>
                <w:sz w:val="24"/>
                <w:lang w:val="en-US" w:eastAsia="zh-CN"/>
              </w:rPr>
              <w:t>（3）</w:t>
            </w:r>
            <w:r>
              <w:rPr>
                <w:rFonts w:hint="eastAsia"/>
                <w:b/>
                <w:bCs/>
                <w:color w:val="auto"/>
                <w:sz w:val="24"/>
                <w:lang w:val="en-US" w:eastAsia="zh-CN"/>
              </w:rPr>
              <w:t>污泥</w:t>
            </w:r>
          </w:p>
          <w:p w14:paraId="036A1D34">
            <w:pPr>
              <w:pStyle w:val="74"/>
              <w:keepNext w:val="0"/>
              <w:keepLines w:val="0"/>
              <w:pageBreakBefore w:val="0"/>
              <w:widowControl w:val="0"/>
              <w:kinsoku/>
              <w:wordWrap/>
              <w:overflowPunct/>
              <w:topLinePunct w:val="0"/>
              <w:autoSpaceDE/>
              <w:autoSpaceDN/>
              <w:bidi w:val="0"/>
              <w:adjustRightInd w:val="0"/>
              <w:snapToGrid w:val="0"/>
              <w:ind w:firstLine="420"/>
              <w:textAlignment w:val="auto"/>
              <w:rPr>
                <w:rFonts w:hint="default" w:eastAsia="宋体"/>
                <w:bCs/>
                <w:color w:val="auto"/>
                <w:sz w:val="24"/>
                <w:szCs w:val="24"/>
                <w:lang w:val="en-US" w:eastAsia="zh-CN"/>
              </w:rPr>
            </w:pPr>
            <w:r>
              <w:rPr>
                <w:rFonts w:hint="eastAsia"/>
                <w:bCs/>
                <w:color w:val="auto"/>
                <w:sz w:val="24"/>
                <w:szCs w:val="24"/>
                <w:lang w:eastAsia="zh-CN"/>
              </w:rPr>
              <w:t>项目污泥主要来源于城南污水处理厂，城南污水处理厂属于生活污水处理厂，污泥属于一般工业固废，根据企业提供的城南污水处理厂监测报告，污泥含水率为</w:t>
            </w:r>
            <w:r>
              <w:rPr>
                <w:rFonts w:hint="eastAsia"/>
                <w:bCs/>
                <w:color w:val="auto"/>
                <w:sz w:val="24"/>
                <w:szCs w:val="24"/>
                <w:lang w:val="en-US" w:eastAsia="zh-CN"/>
              </w:rPr>
              <w:t>34.4%，</w:t>
            </w:r>
            <w:r>
              <w:rPr>
                <w:rFonts w:hint="eastAsia"/>
                <w:bCs/>
                <w:color w:val="auto"/>
                <w:sz w:val="24"/>
                <w:szCs w:val="24"/>
              </w:rPr>
              <w:t>项目生活污泥成分如下：</w:t>
            </w:r>
          </w:p>
          <w:p w14:paraId="5EBB4060">
            <w:pPr>
              <w:pStyle w:val="7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
                <w:color w:val="auto"/>
                <w:sz w:val="24"/>
                <w:szCs w:val="24"/>
              </w:rPr>
            </w:pPr>
            <w:r>
              <w:rPr>
                <w:rFonts w:hint="eastAsia"/>
                <w:b/>
                <w:color w:val="auto"/>
                <w:sz w:val="24"/>
                <w:szCs w:val="24"/>
              </w:rPr>
              <w:t>表2</w:t>
            </w:r>
            <w:r>
              <w:rPr>
                <w:rFonts w:hint="eastAsia"/>
                <w:b/>
                <w:color w:val="auto"/>
                <w:sz w:val="24"/>
                <w:szCs w:val="24"/>
                <w:lang w:val="en-US" w:eastAsia="zh-CN"/>
              </w:rPr>
              <w:t>.12</w:t>
            </w:r>
            <w:r>
              <w:rPr>
                <w:rFonts w:hint="eastAsia"/>
                <w:b/>
                <w:color w:val="auto"/>
                <w:sz w:val="24"/>
                <w:szCs w:val="24"/>
              </w:rPr>
              <w:t xml:space="preserve"> 生活污泥成分分析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1496"/>
              <w:gridCol w:w="2693"/>
              <w:gridCol w:w="2575"/>
            </w:tblGrid>
            <w:tr w14:paraId="0D86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82E77FE">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检测项目</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1268B6">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检测结果</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4A02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rFonts w:hint="eastAsia"/>
                      <w:b w:val="0"/>
                      <w:bCs w:val="0"/>
                      <w:color w:val="auto"/>
                      <w:kern w:val="0"/>
                      <w:szCs w:val="21"/>
                      <w:highlight w:val="none"/>
                      <w:lang w:val="en-US" w:eastAsia="zh-CN"/>
                    </w:rPr>
                    <w:t>《城镇污水处理厂污泥处置土地改良用泥质》（GB/T24600-2009）</w:t>
                  </w:r>
                </w:p>
              </w:tc>
              <w:tc>
                <w:tcPr>
                  <w:tcW w:w="25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75C60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Cs w:val="21"/>
                      <w:highlight w:val="none"/>
                      <w:lang w:val="en-US" w:eastAsia="zh-CN"/>
                    </w:rPr>
                  </w:pPr>
                  <w:r>
                    <w:rPr>
                      <w:rFonts w:hint="eastAsia"/>
                      <w:b w:val="0"/>
                      <w:bCs w:val="0"/>
                      <w:color w:val="auto"/>
                      <w:kern w:val="0"/>
                      <w:szCs w:val="21"/>
                      <w:highlight w:val="none"/>
                      <w:lang w:val="en-US" w:eastAsia="zh-CN"/>
                    </w:rPr>
                    <w:t>《城镇污水处理厂污泥处置园林绿化用泥质》</w:t>
                  </w:r>
                </w:p>
                <w:p w14:paraId="759C89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4"/>
                      <w:vertAlign w:val="baseline"/>
                      <w:lang w:val="en-US" w:eastAsia="zh-CN" w:bidi="ar-SA"/>
                    </w:rPr>
                  </w:pPr>
                  <w:r>
                    <w:rPr>
                      <w:rFonts w:hint="eastAsia"/>
                      <w:b w:val="0"/>
                      <w:bCs w:val="0"/>
                      <w:color w:val="auto"/>
                      <w:kern w:val="0"/>
                      <w:szCs w:val="21"/>
                      <w:highlight w:val="none"/>
                      <w:lang w:val="en-US" w:eastAsia="zh-CN"/>
                    </w:rPr>
                    <w:t>（GB/T23486-2009）</w:t>
                  </w:r>
                </w:p>
              </w:tc>
            </w:tr>
            <w:tr w14:paraId="163D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E5388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pH（无量纲）</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69D6E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8.6</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5980C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lang w:val="en-US" w:eastAsia="zh-CN"/>
                    </w:rPr>
                  </w:pPr>
                  <w:r>
                    <w:rPr>
                      <w:color w:val="auto"/>
                    </w:rPr>
                    <w:t>5.5~10</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9175D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rFonts w:hint="eastAsia"/>
                      <w:color w:val="auto"/>
                      <w:lang w:val="en-US" w:eastAsia="zh-CN"/>
                    </w:rPr>
                    <w:t>5.5~7.8</w:t>
                  </w:r>
                </w:p>
              </w:tc>
            </w:tr>
            <w:tr w14:paraId="0551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3B4D4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含水率（%）</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0F35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34.4</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DC968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&lt;65</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CC7B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&lt;</w:t>
                  </w:r>
                  <w:r>
                    <w:rPr>
                      <w:rFonts w:hint="eastAsia"/>
                      <w:color w:val="auto"/>
                      <w:lang w:val="en-US" w:eastAsia="zh-CN"/>
                    </w:rPr>
                    <w:t>40</w:t>
                  </w:r>
                </w:p>
              </w:tc>
            </w:tr>
            <w:tr w14:paraId="26F1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5F24F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酚（mg/kg）</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B2EB5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0.05</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C4984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lang w:val="en-US"/>
                    </w:rPr>
                  </w:pPr>
                  <w:r>
                    <w:rPr>
                      <w:rFonts w:hint="eastAsia"/>
                      <w:color w:val="auto"/>
                      <w:lang w:val="en-US" w:eastAsia="zh-CN"/>
                    </w:rPr>
                    <w:t>40</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FDA53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lang w:val="en-US" w:eastAsia="zh-CN"/>
                    </w:rPr>
                  </w:pPr>
                  <w:r>
                    <w:rPr>
                      <w:rFonts w:hint="eastAsia"/>
                      <w:color w:val="auto"/>
                      <w:lang w:val="en-US" w:eastAsia="zh-CN"/>
                    </w:rPr>
                    <w:t>/</w:t>
                  </w:r>
                </w:p>
              </w:tc>
            </w:tr>
            <w:tr w14:paraId="78F9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A6660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氰化物（mg/kg）</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EB34A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ND</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3671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lang w:val="en-US"/>
                    </w:rPr>
                  </w:pPr>
                  <w:r>
                    <w:rPr>
                      <w:rFonts w:hint="eastAsia"/>
                      <w:color w:val="auto"/>
                      <w:lang w:val="en-US" w:eastAsia="zh-CN"/>
                    </w:rPr>
                    <w:t>10</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6D3C7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lang w:val="en-US" w:eastAsia="zh-CN"/>
                    </w:rPr>
                  </w:pPr>
                  <w:r>
                    <w:rPr>
                      <w:rFonts w:hint="eastAsia"/>
                      <w:color w:val="auto"/>
                      <w:lang w:val="en-US" w:eastAsia="zh-CN"/>
                    </w:rPr>
                    <w:t>/</w:t>
                  </w:r>
                </w:p>
              </w:tc>
            </w:tr>
            <w:tr w14:paraId="187B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40AD6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总汞（mg/kg）</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1F1CE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0.23</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60286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15</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F94BD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15</w:t>
                  </w:r>
                </w:p>
              </w:tc>
            </w:tr>
            <w:tr w14:paraId="4B52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3800F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砷及其化合物（mg/kg）</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7C16F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3.00</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8B07B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75</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90A52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75</w:t>
                  </w:r>
                </w:p>
              </w:tc>
            </w:tr>
            <w:tr w14:paraId="4873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A755B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铅及其化合物（mg/kg）</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62A35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ND</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C020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1000</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397BF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1000</w:t>
                  </w:r>
                </w:p>
              </w:tc>
            </w:tr>
            <w:tr w14:paraId="2243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57C05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铜及其化合物（mg/kg）</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53EFF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39.96</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6E56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lang w:val="en-US" w:eastAsia="zh-CN"/>
                    </w:rPr>
                  </w:pPr>
                  <w:r>
                    <w:rPr>
                      <w:rFonts w:hint="eastAsia"/>
                      <w:color w:val="auto"/>
                      <w:lang w:val="en-US" w:eastAsia="zh-CN"/>
                    </w:rPr>
                    <w:t>1500</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4174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rFonts w:hint="eastAsia"/>
                      <w:color w:val="auto"/>
                      <w:lang w:val="en-US" w:eastAsia="zh-CN"/>
                    </w:rPr>
                    <w:t>1500</w:t>
                  </w:r>
                </w:p>
              </w:tc>
            </w:tr>
            <w:tr w14:paraId="31BD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3EEE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铬及其化合物（mg/kg）</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85C2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ND</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484E3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1000</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AAA8B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1000</w:t>
                  </w:r>
                </w:p>
              </w:tc>
            </w:tr>
            <w:tr w14:paraId="375A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4F697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锌及其化合物（mg/kg）</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C0D7C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1.31×10</w:t>
                  </w:r>
                  <w:r>
                    <w:rPr>
                      <w:color w:val="auto"/>
                      <w:vertAlign w:val="superscript"/>
                    </w:rPr>
                    <w:t>3</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3A939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lang w:val="en-US" w:eastAsia="zh-CN"/>
                    </w:rPr>
                  </w:pPr>
                  <w:r>
                    <w:rPr>
                      <w:rFonts w:hint="eastAsia"/>
                      <w:color w:val="auto"/>
                      <w:lang w:val="en-US" w:eastAsia="zh-CN"/>
                    </w:rPr>
                    <w:t>4000</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639D1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lang w:val="en-US" w:eastAsia="zh-CN"/>
                    </w:rPr>
                  </w:pPr>
                  <w:r>
                    <w:rPr>
                      <w:rFonts w:hint="eastAsia"/>
                      <w:color w:val="auto"/>
                      <w:lang w:val="en-US" w:eastAsia="zh-CN"/>
                    </w:rPr>
                    <w:t>4000</w:t>
                  </w:r>
                </w:p>
              </w:tc>
            </w:tr>
            <w:tr w14:paraId="0FAE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00D01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镉及其化合物（mg/kg）</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70904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ND</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83C9E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20</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D3428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20</w:t>
                  </w:r>
                </w:p>
              </w:tc>
            </w:tr>
            <w:tr w14:paraId="4B1C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154F6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镍及其化合物（mg/kg）</w:t>
                  </w:r>
                </w:p>
              </w:tc>
              <w:tc>
                <w:tcPr>
                  <w:tcW w:w="14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AFE1C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ND</w:t>
                  </w:r>
                </w:p>
              </w:tc>
              <w:tc>
                <w:tcPr>
                  <w:tcW w:w="269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637C9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lang w:val="en-US" w:eastAsia="zh-CN"/>
                    </w:rPr>
                  </w:pPr>
                  <w:r>
                    <w:rPr>
                      <w:rFonts w:hint="eastAsia"/>
                      <w:color w:val="auto"/>
                      <w:lang w:val="en-US" w:eastAsia="zh-CN"/>
                    </w:rPr>
                    <w:t>200</w:t>
                  </w:r>
                </w:p>
              </w:tc>
              <w:tc>
                <w:tcPr>
                  <w:tcW w:w="257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DFC88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lang w:val="en-US" w:eastAsia="zh-CN"/>
                    </w:rPr>
                  </w:pPr>
                  <w:r>
                    <w:rPr>
                      <w:rFonts w:hint="eastAsia"/>
                      <w:color w:val="auto"/>
                      <w:lang w:val="en-US" w:eastAsia="zh-CN"/>
                    </w:rPr>
                    <w:t>200</w:t>
                  </w:r>
                </w:p>
              </w:tc>
            </w:tr>
            <w:tr w14:paraId="66E0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6DC82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lang w:val="en-US" w:eastAsia="zh-CN" w:bidi="ar-SA"/>
                    </w:rPr>
                  </w:pPr>
                  <w:r>
                    <w:rPr>
                      <w:color w:val="auto"/>
                    </w:rPr>
                    <w:t>备注</w:t>
                  </w:r>
                </w:p>
              </w:tc>
              <w:tc>
                <w:tcPr>
                  <w:tcW w:w="6764"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4F106DB">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“ND”表示未检出。</w:t>
                  </w:r>
                </w:p>
              </w:tc>
            </w:tr>
          </w:tbl>
          <w:p w14:paraId="6DC677F4">
            <w:pPr>
              <w:pStyle w:val="74"/>
              <w:keepNext w:val="0"/>
              <w:keepLines w:val="0"/>
              <w:pageBreakBefore w:val="0"/>
              <w:widowControl w:val="0"/>
              <w:kinsoku/>
              <w:wordWrap/>
              <w:overflowPunct/>
              <w:topLinePunct w:val="0"/>
              <w:autoSpaceDE/>
              <w:autoSpaceDN/>
              <w:bidi w:val="0"/>
              <w:adjustRightInd w:val="0"/>
              <w:snapToGrid w:val="0"/>
              <w:ind w:firstLine="420"/>
              <w:textAlignment w:val="auto"/>
              <w:rPr>
                <w:bCs/>
                <w:color w:val="auto"/>
                <w:sz w:val="24"/>
                <w:szCs w:val="24"/>
              </w:rPr>
            </w:pPr>
            <w:r>
              <w:rPr>
                <w:rFonts w:hint="eastAsia"/>
                <w:bCs/>
                <w:color w:val="auto"/>
                <w:sz w:val="24"/>
                <w:szCs w:val="24"/>
              </w:rPr>
              <w:t>对照上表成分分析与</w:t>
            </w:r>
            <w:r>
              <w:rPr>
                <w:rFonts w:hint="eastAsia"/>
                <w:bCs/>
                <w:color w:val="auto"/>
                <w:sz w:val="24"/>
                <w:szCs w:val="24"/>
                <w:lang w:val="en-US" w:eastAsia="zh-CN"/>
              </w:rPr>
              <w:t>《城镇污水处理厂污泥处置土地改良用泥质》（GB/T24600-2009）、《城镇污水处理厂污泥处置园林绿化用泥质》（GB/T23486-2009）</w:t>
            </w:r>
            <w:r>
              <w:rPr>
                <w:rFonts w:hint="eastAsia"/>
                <w:bCs/>
                <w:color w:val="auto"/>
                <w:sz w:val="24"/>
                <w:szCs w:val="24"/>
              </w:rPr>
              <w:t>中标准限值，可知本项目使用污泥满足要求。</w:t>
            </w:r>
          </w:p>
          <w:p w14:paraId="0D28D5E3">
            <w:pPr>
              <w:pStyle w:val="74"/>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可行分析：</w:t>
            </w:r>
          </w:p>
          <w:p w14:paraId="42FAA7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采用含水率</w:t>
            </w:r>
            <w:r>
              <w:rPr>
                <w:rFonts w:hint="eastAsia" w:cs="Times New Roman"/>
                <w:color w:val="auto"/>
                <w:sz w:val="24"/>
                <w:szCs w:val="24"/>
                <w:lang w:eastAsia="zh-CN"/>
              </w:rPr>
              <w:t>小于</w:t>
            </w:r>
            <w:r>
              <w:rPr>
                <w:rFonts w:hint="default"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%的污泥作为主要原料，成本低廉，实现了废弃物的资源化利用。投加专用</w:t>
            </w:r>
            <w:r>
              <w:rPr>
                <w:rFonts w:hint="default" w:ascii="Times New Roman" w:hAnsi="Times New Roman" w:eastAsia="宋体" w:cs="Times New Roman"/>
                <w:color w:val="auto"/>
                <w:sz w:val="24"/>
                <w:szCs w:val="24"/>
                <w:lang w:eastAsia="zh-CN"/>
              </w:rPr>
              <w:t>矿化剂</w:t>
            </w:r>
            <w:r>
              <w:rPr>
                <w:rFonts w:hint="default" w:ascii="Times New Roman" w:hAnsi="Times New Roman" w:eastAsia="宋体" w:cs="Times New Roman"/>
                <w:color w:val="auto"/>
                <w:sz w:val="24"/>
                <w:szCs w:val="24"/>
              </w:rPr>
              <w:t>进行矿化好氧发酵。此过程不仅有效降解有机质、杀灭病原菌，更关键的是在</w:t>
            </w:r>
            <w:r>
              <w:rPr>
                <w:rFonts w:hint="eastAsia" w:cs="Times New Roman"/>
                <w:color w:val="auto"/>
                <w:sz w:val="24"/>
                <w:szCs w:val="24"/>
                <w:lang w:eastAsia="zh-CN"/>
              </w:rPr>
              <w:t>绿化营养土、土壤改良土</w:t>
            </w:r>
            <w:r>
              <w:rPr>
                <w:rFonts w:hint="default" w:ascii="Times New Roman" w:hAnsi="Times New Roman" w:eastAsia="宋体" w:cs="Times New Roman"/>
                <w:color w:val="auto"/>
                <w:sz w:val="24"/>
                <w:szCs w:val="24"/>
              </w:rPr>
              <w:t>内部培育并固定了丰富的功能菌群，使其成为具备高生物活性的“生物催化剂”。通过精准控制的生物干化技术，将物料含水率降至</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滤料中含有的高活性生物酶能快速作用于待脱水的污泥，破坏其胶体结构，对亲水性有机质进行改性，拆解水分与污泥颗粒的结合，使结合水转化为自由水，从而显著改善污泥的脱水性能。</w:t>
            </w:r>
          </w:p>
          <w:p w14:paraId="43926216">
            <w:pPr>
              <w:pStyle w:val="74"/>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污泥作为原料，既有利于发展循环经济，同时也符合节约土地资源的原则，既满足了大量</w:t>
            </w:r>
            <w:r>
              <w:rPr>
                <w:rFonts w:hint="default" w:ascii="Times New Roman" w:hAnsi="Times New Roman" w:eastAsia="宋体" w:cs="Times New Roman"/>
                <w:bCs/>
                <w:color w:val="auto"/>
                <w:sz w:val="24"/>
                <w:szCs w:val="24"/>
                <w:lang w:eastAsia="zh-CN"/>
              </w:rPr>
              <w:t>生产</w:t>
            </w:r>
            <w:r>
              <w:rPr>
                <w:rFonts w:hint="default" w:ascii="Times New Roman" w:hAnsi="Times New Roman" w:eastAsia="宋体" w:cs="Times New Roman"/>
                <w:bCs/>
                <w:color w:val="auto"/>
                <w:sz w:val="24"/>
                <w:szCs w:val="24"/>
              </w:rPr>
              <w:t>要求，又实现了减少环境污染，减低能源消耗的可持续发展模式。</w:t>
            </w:r>
          </w:p>
          <w:p w14:paraId="7AEDE6A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宋体" w:hAnsi="宋体" w:eastAsia="宋体" w:cs="宋体"/>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w:t>
            </w:r>
            <w:r>
              <w:rPr>
                <w:rFonts w:hint="eastAsia" w:ascii="宋体" w:hAnsi="宋体" w:cs="宋体"/>
                <w:b/>
                <w:bCs/>
                <w:color w:val="auto"/>
                <w:sz w:val="24"/>
                <w:szCs w:val="24"/>
                <w:lang w:val="en-US" w:eastAsia="zh-CN"/>
              </w:rPr>
              <w:t>炉渣、粉煤灰、脱硫石膏、煤矸石、草木灰、沼渣</w:t>
            </w:r>
          </w:p>
          <w:p w14:paraId="2870AE3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炉渣、粉煤灰、脱硫石膏、煤矸石</w:t>
            </w:r>
            <w:r>
              <w:rPr>
                <w:rFonts w:hint="eastAsia" w:ascii="宋体" w:hAnsi="宋体" w:cs="宋体"/>
                <w:color w:val="auto"/>
                <w:sz w:val="24"/>
                <w:szCs w:val="24"/>
                <w:lang w:val="en-US" w:eastAsia="zh-CN"/>
              </w:rPr>
              <w:t>来源于钱营孜发电厂，钱营孜发电厂用原煤燃烧进行发电，用石灰进行脱硫，根据钱营孜发电厂的环评报告及排污许可证，</w:t>
            </w:r>
            <w:r>
              <w:rPr>
                <w:rFonts w:hint="eastAsia" w:ascii="宋体" w:hAnsi="宋体" w:eastAsia="宋体" w:cs="宋体"/>
                <w:color w:val="auto"/>
                <w:sz w:val="24"/>
                <w:szCs w:val="24"/>
                <w:lang w:val="en-US" w:eastAsia="zh-CN"/>
              </w:rPr>
              <w:t>炉渣、粉煤灰、脱硫石膏、煤矸石</w:t>
            </w:r>
            <w:r>
              <w:rPr>
                <w:rFonts w:hint="eastAsia" w:ascii="宋体" w:hAnsi="宋体" w:cs="宋体"/>
                <w:color w:val="auto"/>
                <w:sz w:val="24"/>
                <w:szCs w:val="24"/>
                <w:lang w:val="en-US" w:eastAsia="zh-CN"/>
              </w:rPr>
              <w:t>为一般工业固体废物，不属于危险废物。</w:t>
            </w:r>
          </w:p>
          <w:p w14:paraId="74817CB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草木灰来源于光大电厂，光大电厂用生物质进行发电，根据钱营孜发电厂的环评报告及排污许可证，草木灰为一般工业固体废物，不属于危险废物。</w:t>
            </w:r>
          </w:p>
          <w:p w14:paraId="7E1502A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沼渣来源于安徽安特食品股份有限公司，是一家以玉米、小麦为原料，生产白酒、洋酒等产品的企业。根据安徽安特食品股份有限公司的环评报告及排污许可证，沼渣为一般工业固体废物，不属于危险废物。</w:t>
            </w:r>
          </w:p>
          <w:p w14:paraId="20A1D40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lang w:eastAsia="zh-CN"/>
              </w:rPr>
            </w:pP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5</w:t>
            </w:r>
            <w:r>
              <w:rPr>
                <w:rFonts w:hint="eastAsia" w:ascii="宋体" w:hAnsi="宋体" w:cs="宋体"/>
                <w:b/>
                <w:bCs/>
                <w:color w:val="auto"/>
                <w:sz w:val="24"/>
                <w:szCs w:val="24"/>
                <w:lang w:eastAsia="zh-CN"/>
              </w:rPr>
              <w:t>）</w:t>
            </w:r>
            <w:r>
              <w:rPr>
                <w:rFonts w:ascii="宋体" w:hAnsi="宋体" w:eastAsia="宋体" w:cs="宋体"/>
                <w:b/>
                <w:bCs/>
                <w:color w:val="auto"/>
                <w:sz w:val="24"/>
                <w:szCs w:val="24"/>
              </w:rPr>
              <w:t>原料来源及控制措施</w:t>
            </w:r>
          </w:p>
          <w:p w14:paraId="07F88CB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原料市场来源，本项目原材料主要来源于城南污水处理厂、钱营孜发电厂、光大电厂及国祯污水处理厂污泥，当这些企业由于检修或减产等原因，不能满足本项目生产所需的原料时，采购市内周边地区类似的企业，根据企业提供属于一般固废的证明材料及排污许可证（如环评、环保竣工验收报告、排污许可证等，查验原件，复印</w:t>
            </w:r>
            <w:r>
              <w:rPr>
                <w:rFonts w:hint="eastAsia" w:ascii="宋体" w:hAnsi="宋体" w:cs="宋体"/>
                <w:color w:val="auto"/>
                <w:sz w:val="24"/>
                <w:szCs w:val="24"/>
                <w:lang w:eastAsia="zh-CN"/>
              </w:rPr>
              <w:t>件加</w:t>
            </w:r>
            <w:r>
              <w:rPr>
                <w:rFonts w:hint="eastAsia" w:ascii="宋体" w:hAnsi="宋体" w:eastAsia="宋体" w:cs="宋体"/>
                <w:color w:val="auto"/>
                <w:sz w:val="24"/>
                <w:szCs w:val="24"/>
              </w:rPr>
              <w:t>盖公章），通过和回收单位签订协议，确保不回收到其他与本项目无关的工业废物或原料，不是危险废物，并在回收过程中严格把关，避免将其他原料的混入，随后将购买的原料运输到车间原料区暂存。</w:t>
            </w:r>
          </w:p>
          <w:p w14:paraId="528DBA6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原材料采购来源控制:</w:t>
            </w:r>
          </w:p>
          <w:p w14:paraId="751740D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原料采购过程应严格控制原料来源，禁止采购被危险废物污染的原料，污泥需提供污泥检测报告，满足入场标准后方可入场。包装运输要求:原料运输前应进行包装或进行篷布遮盖，不得裸露运输，包装物应防水、耐压、遮蔽性好，可多次重复使用;在装卸、运输过程中应确保包装完好，无物料遗</w:t>
            </w:r>
            <w:r>
              <w:rPr>
                <w:rFonts w:hint="eastAsia" w:ascii="宋体" w:hAnsi="宋体" w:cs="宋体"/>
                <w:color w:val="auto"/>
                <w:sz w:val="24"/>
                <w:szCs w:val="24"/>
                <w:lang w:eastAsia="zh-CN"/>
              </w:rPr>
              <w:t>撒</w:t>
            </w:r>
            <w:r>
              <w:rPr>
                <w:rFonts w:hint="eastAsia" w:ascii="宋体" w:hAnsi="宋体" w:eastAsia="宋体" w:cs="宋体"/>
                <w:color w:val="auto"/>
                <w:sz w:val="24"/>
                <w:szCs w:val="24"/>
              </w:rPr>
              <w:t>;进厂后的原料应分区分类存放，同时对地面进行防水、防渗、防腐处理，符合一般固废暂存要求。</w:t>
            </w:r>
          </w:p>
          <w:p w14:paraId="65D293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污泥</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根据《一般固体废物分类与代码》</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GB/T39198-2020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一般固体废物指未列入《国家危险废物名录》或者根据国家规定的危险废物鉴别标准认定其不具有危险特性的固体废物。本项目的各类污泥</w:t>
            </w:r>
            <w:r>
              <w:rPr>
                <w:rFonts w:hint="eastAsia" w:cs="Times New Roman"/>
                <w:color w:val="auto"/>
                <w:sz w:val="24"/>
                <w:szCs w:val="24"/>
                <w:lang w:eastAsia="zh-CN"/>
              </w:rPr>
              <w:t>进入</w:t>
            </w:r>
            <w:r>
              <w:rPr>
                <w:rFonts w:hint="default" w:ascii="Times New Roman" w:hAnsi="Times New Roman" w:eastAsia="宋体" w:cs="Times New Roman"/>
                <w:color w:val="auto"/>
                <w:sz w:val="24"/>
                <w:szCs w:val="24"/>
              </w:rPr>
              <w:t>厂区后喷洒除臭剂</w:t>
            </w:r>
            <w:r>
              <w:rPr>
                <w:rFonts w:hint="eastAsia" w:ascii="Times New Roman" w:hAnsi="Times New Roman" w:eastAsia="宋体" w:cs="Times New Roman"/>
                <w:color w:val="auto"/>
                <w:sz w:val="24"/>
                <w:szCs w:val="24"/>
                <w:lang w:eastAsia="zh-CN"/>
              </w:rPr>
              <w:t>后在</w:t>
            </w:r>
            <w:r>
              <w:rPr>
                <w:rFonts w:hint="default" w:ascii="Times New Roman" w:hAnsi="Times New Roman" w:eastAsia="宋体" w:cs="Times New Roman"/>
                <w:color w:val="auto"/>
                <w:sz w:val="24"/>
                <w:szCs w:val="24"/>
              </w:rPr>
              <w:t>原料暂存车间储存，厂区原料暂存区具备防雨、防风、防渗漏等措施，污泥中不得混入生活垃圾，可以达到《中华人民共和国固体废物污染环境防治法》和《一般工业固体废物贮存和填埋污染控制标准》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 18599-2020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中的相关标准。</w:t>
            </w:r>
          </w:p>
          <w:p w14:paraId="674605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本项目进厂原料污泥</w:t>
            </w:r>
            <w:r>
              <w:rPr>
                <w:rFonts w:hint="eastAsia" w:cs="Times New Roman"/>
                <w:color w:val="auto"/>
                <w:sz w:val="24"/>
                <w:szCs w:val="24"/>
                <w:lang w:eastAsia="zh-CN"/>
              </w:rPr>
              <w:t>须</w:t>
            </w:r>
            <w:r>
              <w:rPr>
                <w:rFonts w:hint="default" w:ascii="Times New Roman" w:hAnsi="Times New Roman" w:eastAsia="宋体" w:cs="Times New Roman"/>
                <w:color w:val="auto"/>
                <w:sz w:val="24"/>
                <w:szCs w:val="24"/>
              </w:rPr>
              <w:t>经有资质单位检测报告，保证重金属、有机污染物满足使用要求</w:t>
            </w:r>
            <w:r>
              <w:rPr>
                <w:rFonts w:hint="eastAsia" w:cs="Times New Roman"/>
                <w:color w:val="auto"/>
                <w:sz w:val="24"/>
                <w:szCs w:val="24"/>
                <w:lang w:eastAsia="zh-CN"/>
              </w:rPr>
              <w:t>，对于不符合要求的污泥不允许进场</w:t>
            </w:r>
            <w:r>
              <w:rPr>
                <w:rFonts w:hint="default" w:ascii="Times New Roman" w:hAnsi="Times New Roman" w:eastAsia="宋体" w:cs="Times New Roman"/>
                <w:color w:val="auto"/>
                <w:sz w:val="24"/>
                <w:szCs w:val="24"/>
              </w:rPr>
              <w:t>。本项目进厂后的污泥应做到分区贮存、产品分批次生产。项目所用的污泥产生单位需提供环评批复、污泥需提供泥质检测报告，判定污泥为一般固体废物。</w:t>
            </w:r>
          </w:p>
          <w:p w14:paraId="44C96D8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eastAsia="宋体" w:cs="宋体"/>
                <w:b/>
                <w:bCs/>
                <w:color w:val="auto"/>
                <w:sz w:val="24"/>
                <w:szCs w:val="24"/>
              </w:rPr>
            </w:pPr>
            <w:r>
              <w:rPr>
                <w:rFonts w:ascii="宋体" w:hAnsi="宋体" w:eastAsia="宋体" w:cs="宋体"/>
                <w:b/>
                <w:bCs/>
                <w:color w:val="auto"/>
                <w:sz w:val="24"/>
                <w:szCs w:val="24"/>
              </w:rPr>
              <w:t>原辅材料暂存及输送管理:</w:t>
            </w:r>
          </w:p>
          <w:p w14:paraId="397293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项目原辅材料暂存处满足《一般工业固体废物贮存和填埋污染控制标准》</w:t>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t>(GB18599-2020)的要求。</w:t>
            </w:r>
          </w:p>
          <w:p w14:paraId="49ECFD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(1)贮存、处置场地面应做硬化、遮挡处理，</w:t>
            </w:r>
            <w:r>
              <w:rPr>
                <w:rFonts w:hint="eastAsia" w:cs="Times New Roman"/>
                <w:color w:val="auto"/>
                <w:sz w:val="24"/>
                <w:szCs w:val="24"/>
                <w:lang w:eastAsia="zh-CN"/>
              </w:rPr>
              <w:t>防</w:t>
            </w:r>
            <w:r>
              <w:rPr>
                <w:rFonts w:hint="default" w:ascii="Times New Roman" w:hAnsi="Times New Roman" w:eastAsia="宋体" w:cs="Times New Roman"/>
                <w:color w:val="auto"/>
                <w:sz w:val="24"/>
                <w:szCs w:val="24"/>
              </w:rPr>
              <w:t>置风蚀、雨淋、遗洒、泄漏、渗漏等防范措施，严禁向非物料储存区域放置。</w:t>
            </w:r>
          </w:p>
          <w:p w14:paraId="0371AC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(2)建立检查维护制度。定期检查地面、围护等设施，发现有损坏可能或异常，应及时采取必要措施，以保障正常运行。</w:t>
            </w:r>
          </w:p>
          <w:p w14:paraId="0BD505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立档案制度。应将入场的原料种类、数量等资料，详细记录在案，长期保存，供随时查阅。物料输送过程中采用铲车进行转运、输送，转运、输送过程中应避免物料洒落，洒落的物料应及时进行清扫至指定地点暂存。</w:t>
            </w:r>
          </w:p>
          <w:p w14:paraId="22C8F3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lang w:eastAsia="zh-CN"/>
              </w:rPr>
            </w:pPr>
            <w:r>
              <w:rPr>
                <w:rFonts w:hint="eastAsia"/>
                <w:b w:val="0"/>
                <w:bCs w:val="0"/>
                <w:color w:val="auto"/>
                <w:sz w:val="24"/>
                <w:lang w:eastAsia="zh-CN"/>
              </w:rPr>
              <w:t>产品控制：</w:t>
            </w:r>
          </w:p>
          <w:p w14:paraId="32EA3F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lang w:eastAsia="zh-CN"/>
              </w:rPr>
            </w:pPr>
            <w:r>
              <w:rPr>
                <w:rFonts w:hint="eastAsia"/>
                <w:b w:val="0"/>
                <w:bCs w:val="0"/>
                <w:color w:val="auto"/>
                <w:sz w:val="24"/>
                <w:lang w:eastAsia="zh-CN"/>
              </w:rPr>
              <w:t>①检测标准：本项目产品经检测满足产品标准后方可出厂，产品检测的指标和标准根据行业和使用目的不同及时进行调整。</w:t>
            </w:r>
          </w:p>
          <w:p w14:paraId="6DF0B9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lang w:eastAsia="zh-CN"/>
              </w:rPr>
            </w:pPr>
            <w:r>
              <w:rPr>
                <w:rFonts w:hint="eastAsia"/>
                <w:b w:val="0"/>
                <w:bCs w:val="0"/>
                <w:color w:val="auto"/>
                <w:sz w:val="24"/>
                <w:lang w:eastAsia="zh-CN"/>
              </w:rPr>
              <w:t>②检测频次：本项目每批次产品生产完成后均需要进行产品合格性检测，监测指标满足相关产品标准要求后方可出厂。</w:t>
            </w:r>
          </w:p>
          <w:p w14:paraId="2656A6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lang w:eastAsia="zh-CN"/>
              </w:rPr>
            </w:pPr>
            <w:r>
              <w:rPr>
                <w:rFonts w:hint="eastAsia"/>
                <w:b w:val="0"/>
                <w:bCs w:val="0"/>
                <w:color w:val="auto"/>
                <w:sz w:val="24"/>
                <w:lang w:eastAsia="zh-CN"/>
              </w:rPr>
              <w:t>③生产要求：本项目所用原料污泥均需符合进厂要求后方可进厂投入生产，本项目污泥进厂后不得在厂区进行长时间的堆放，应尽快投入生产过程中。生产过程中应加强产品生产过程管理，需每日填写原料污泥消耗台账，并对相应的产品产量进行准确统计，生产过程中应根据产品的不同，应做到分区、分批次生产，保证产品不交叉生产，当每种产品种类结束生产时，应对生产设备及时进行清理清扫。生产过程中应做到生产设施、环保设施同时运行，产品出厂应满足标准要求后方可出厂使用。</w:t>
            </w:r>
          </w:p>
          <w:p w14:paraId="507F6DA0">
            <w:pPr>
              <w:keepNext w:val="0"/>
              <w:keepLines w:val="0"/>
              <w:pageBreakBefore w:val="0"/>
              <w:kinsoku/>
              <w:wordWrap/>
              <w:overflowPunct/>
              <w:topLinePunct w:val="0"/>
              <w:autoSpaceDE/>
              <w:autoSpaceDN/>
              <w:bidi w:val="0"/>
              <w:adjustRightInd w:val="0"/>
              <w:snapToGrid w:val="0"/>
              <w:spacing w:before="120" w:beforeLines="50" w:line="360" w:lineRule="auto"/>
              <w:textAlignment w:val="auto"/>
              <w:rPr>
                <w:b/>
                <w:bCs/>
                <w:color w:val="auto"/>
                <w:sz w:val="24"/>
              </w:rPr>
            </w:pPr>
            <w:r>
              <w:rPr>
                <w:rFonts w:hint="eastAsia"/>
                <w:b/>
                <w:bCs/>
                <w:color w:val="auto"/>
                <w:sz w:val="24"/>
              </w:rPr>
              <w:t>5、水平衡</w:t>
            </w:r>
          </w:p>
          <w:p w14:paraId="11C8DD5D">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auto"/>
                <w:sz w:val="24"/>
                <w:lang w:eastAsia="zh-CN"/>
              </w:rPr>
            </w:pPr>
            <w:r>
              <w:rPr>
                <w:rFonts w:hint="eastAsia"/>
                <w:color w:val="auto"/>
                <w:sz w:val="24"/>
              </w:rPr>
              <w:t>本</w:t>
            </w:r>
            <w:r>
              <w:rPr>
                <w:color w:val="auto"/>
                <w:sz w:val="24"/>
              </w:rPr>
              <w:t>项目</w:t>
            </w:r>
            <w:r>
              <w:rPr>
                <w:rFonts w:hint="eastAsia"/>
                <w:color w:val="auto"/>
                <w:sz w:val="24"/>
              </w:rPr>
              <w:t>营运过程中用水主要为职工生活</w:t>
            </w:r>
            <w:r>
              <w:rPr>
                <w:rFonts w:hint="eastAsia"/>
                <w:color w:val="auto"/>
                <w:sz w:val="24"/>
                <w:lang w:eastAsia="zh-CN"/>
              </w:rPr>
              <w:t>所产生的生活污水。</w:t>
            </w:r>
          </w:p>
          <w:p w14:paraId="0E8E39EF">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rFonts w:hint="eastAsia"/>
                <w:color w:val="auto"/>
                <w:sz w:val="24"/>
              </w:rPr>
              <w:t>（1）生活用水</w:t>
            </w:r>
          </w:p>
          <w:p w14:paraId="41D91BC9">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color w:val="FF0000"/>
                <w:sz w:val="24"/>
              </w:rPr>
            </w:pPr>
            <w:r>
              <w:rPr>
                <w:rFonts w:hint="eastAsia"/>
                <w:color w:val="auto"/>
                <w:sz w:val="24"/>
                <w:szCs w:val="24"/>
              </w:rPr>
              <w:t>项目劳动定员</w:t>
            </w:r>
            <w:r>
              <w:rPr>
                <w:color w:val="auto"/>
                <w:sz w:val="24"/>
                <w:szCs w:val="24"/>
              </w:rPr>
              <w:t>本项目拥有职工</w:t>
            </w:r>
            <w:r>
              <w:rPr>
                <w:rFonts w:hint="eastAsia"/>
                <w:color w:val="auto"/>
                <w:sz w:val="24"/>
                <w:szCs w:val="24"/>
                <w:lang w:val="en-US" w:eastAsia="zh-CN"/>
              </w:rPr>
              <w:t>10</w:t>
            </w:r>
            <w:r>
              <w:rPr>
                <w:color w:val="auto"/>
                <w:sz w:val="24"/>
                <w:szCs w:val="24"/>
              </w:rPr>
              <w:t>人，项目不设置食堂</w:t>
            </w:r>
            <w:r>
              <w:rPr>
                <w:rFonts w:hint="eastAsia"/>
                <w:color w:val="auto"/>
                <w:sz w:val="24"/>
                <w:szCs w:val="24"/>
              </w:rPr>
              <w:t>，</w:t>
            </w:r>
            <w:r>
              <w:rPr>
                <w:rFonts w:hint="eastAsia"/>
                <w:color w:val="auto"/>
                <w:sz w:val="24"/>
                <w:szCs w:val="24"/>
                <w:lang w:eastAsia="zh-CN"/>
              </w:rPr>
              <w:t>参考</w:t>
            </w:r>
            <w:r>
              <w:rPr>
                <w:color w:val="auto"/>
                <w:sz w:val="24"/>
                <w:szCs w:val="24"/>
              </w:rPr>
              <w:t>《</w:t>
            </w:r>
            <w:r>
              <w:rPr>
                <w:rFonts w:hint="eastAsia"/>
                <w:color w:val="auto"/>
                <w:sz w:val="24"/>
                <w:szCs w:val="24"/>
                <w:lang w:eastAsia="zh-CN"/>
              </w:rPr>
              <w:t>安徽省行业用水定额</w:t>
            </w:r>
            <w:r>
              <w:rPr>
                <w:color w:val="auto"/>
                <w:sz w:val="24"/>
                <w:szCs w:val="24"/>
              </w:rPr>
              <w:t>》（</w:t>
            </w:r>
            <w:r>
              <w:rPr>
                <w:rFonts w:hint="eastAsia"/>
                <w:color w:val="auto"/>
                <w:sz w:val="24"/>
                <w:szCs w:val="24"/>
              </w:rPr>
              <w:t>DB34/T679</w:t>
            </w:r>
            <w:r>
              <w:rPr>
                <w:rFonts w:hint="eastAsia"/>
                <w:color w:val="auto"/>
                <w:sz w:val="24"/>
                <w:szCs w:val="24"/>
                <w:lang w:val="en-US" w:eastAsia="zh-CN"/>
              </w:rPr>
              <w:t>-</w:t>
            </w:r>
            <w:r>
              <w:rPr>
                <w:rFonts w:hint="eastAsia"/>
                <w:color w:val="auto"/>
                <w:sz w:val="24"/>
                <w:szCs w:val="24"/>
              </w:rPr>
              <w:t>2025</w:t>
            </w:r>
            <w:r>
              <w:rPr>
                <w:color w:val="auto"/>
                <w:sz w:val="24"/>
                <w:szCs w:val="24"/>
              </w:rPr>
              <w:t>），职工日人均用水量按</w:t>
            </w:r>
            <w:r>
              <w:rPr>
                <w:rFonts w:hint="eastAsia"/>
                <w:color w:val="auto"/>
                <w:sz w:val="24"/>
                <w:szCs w:val="24"/>
                <w:lang w:val="en-US" w:eastAsia="zh-CN"/>
              </w:rPr>
              <w:t>15m</w:t>
            </w:r>
            <w:r>
              <w:rPr>
                <w:rFonts w:hint="eastAsia"/>
                <w:color w:val="auto"/>
                <w:sz w:val="24"/>
                <w:szCs w:val="24"/>
                <w:vertAlign w:val="superscript"/>
                <w:lang w:val="en-US" w:eastAsia="zh-CN"/>
              </w:rPr>
              <w:t>3</w:t>
            </w:r>
            <w:r>
              <w:rPr>
                <w:color w:val="auto"/>
                <w:sz w:val="24"/>
                <w:szCs w:val="24"/>
              </w:rPr>
              <w:t>/人</w:t>
            </w:r>
            <w:r>
              <w:rPr>
                <w:rFonts w:hint="eastAsia"/>
                <w:color w:val="auto"/>
                <w:sz w:val="24"/>
                <w:szCs w:val="24"/>
              </w:rPr>
              <w:t>·</w:t>
            </w:r>
            <w:r>
              <w:rPr>
                <w:rFonts w:hint="eastAsia"/>
                <w:color w:val="auto"/>
                <w:sz w:val="24"/>
                <w:szCs w:val="24"/>
                <w:lang w:val="en-US" w:eastAsia="zh-CN"/>
              </w:rPr>
              <w:t>a</w:t>
            </w:r>
            <w:r>
              <w:rPr>
                <w:color w:val="auto"/>
                <w:sz w:val="24"/>
                <w:szCs w:val="24"/>
              </w:rPr>
              <w:t>估算</w:t>
            </w:r>
            <w:r>
              <w:rPr>
                <w:rFonts w:hint="eastAsia"/>
                <w:color w:val="auto"/>
                <w:sz w:val="24"/>
                <w:szCs w:val="24"/>
              </w:rPr>
              <w:t>，年工作时间按300天计算</w:t>
            </w:r>
            <w:r>
              <w:rPr>
                <w:color w:val="auto"/>
                <w:sz w:val="24"/>
                <w:szCs w:val="24"/>
              </w:rPr>
              <w:t>。</w:t>
            </w:r>
            <w:r>
              <w:rPr>
                <w:rFonts w:hint="eastAsia"/>
                <w:color w:val="auto"/>
                <w:sz w:val="24"/>
                <w:szCs w:val="24"/>
              </w:rPr>
              <w:t>则职工生活用水量为</w:t>
            </w:r>
            <w:r>
              <w:rPr>
                <w:rFonts w:hint="eastAsia"/>
                <w:color w:val="auto"/>
                <w:sz w:val="24"/>
                <w:szCs w:val="24"/>
                <w:lang w:val="en-US" w:eastAsia="zh-CN"/>
              </w:rPr>
              <w:t>0.5</w:t>
            </w:r>
            <w:r>
              <w:rPr>
                <w:rFonts w:hint="eastAsia"/>
                <w:color w:val="auto"/>
                <w:sz w:val="24"/>
                <w:szCs w:val="24"/>
              </w:rPr>
              <w:t>t/d（</w:t>
            </w:r>
            <w:r>
              <w:rPr>
                <w:rFonts w:hint="eastAsia"/>
                <w:color w:val="auto"/>
                <w:sz w:val="24"/>
                <w:szCs w:val="24"/>
                <w:lang w:val="en-US" w:eastAsia="zh-CN"/>
              </w:rPr>
              <w:t>150</w:t>
            </w:r>
            <w:r>
              <w:rPr>
                <w:rFonts w:hint="eastAsia"/>
                <w:color w:val="auto"/>
                <w:sz w:val="24"/>
                <w:szCs w:val="24"/>
              </w:rPr>
              <w:t>t/a）。</w:t>
            </w:r>
            <w:r>
              <w:rPr>
                <w:color w:val="auto"/>
                <w:sz w:val="24"/>
                <w:szCs w:val="24"/>
              </w:rPr>
              <w:t>废水产生量按照用水量的80%计算，则产生的生活污水量为</w:t>
            </w:r>
            <w:r>
              <w:rPr>
                <w:rFonts w:hint="eastAsia"/>
                <w:color w:val="auto"/>
                <w:sz w:val="24"/>
                <w:szCs w:val="24"/>
                <w:lang w:val="en-US" w:eastAsia="zh-CN"/>
              </w:rPr>
              <w:t>0.4</w:t>
            </w:r>
            <w:r>
              <w:rPr>
                <w:color w:val="auto"/>
                <w:sz w:val="24"/>
                <w:szCs w:val="24"/>
              </w:rPr>
              <w:t>t/d</w:t>
            </w:r>
            <w:r>
              <w:rPr>
                <w:rFonts w:hint="eastAsia"/>
                <w:color w:val="auto"/>
                <w:sz w:val="24"/>
                <w:szCs w:val="24"/>
              </w:rPr>
              <w:t>（</w:t>
            </w:r>
            <w:r>
              <w:rPr>
                <w:rFonts w:hint="eastAsia"/>
                <w:color w:val="auto"/>
                <w:sz w:val="24"/>
                <w:szCs w:val="24"/>
                <w:lang w:val="en-US" w:eastAsia="zh-CN"/>
              </w:rPr>
              <w:t>120</w:t>
            </w:r>
            <w:r>
              <w:rPr>
                <w:rFonts w:hint="eastAsia"/>
                <w:color w:val="auto"/>
                <w:sz w:val="24"/>
                <w:szCs w:val="24"/>
              </w:rPr>
              <w:t>t</w:t>
            </w:r>
            <w:r>
              <w:rPr>
                <w:color w:val="auto"/>
                <w:sz w:val="24"/>
                <w:szCs w:val="24"/>
              </w:rPr>
              <w:t>/a</w:t>
            </w:r>
            <w:r>
              <w:rPr>
                <w:rFonts w:hint="eastAsia"/>
                <w:color w:val="auto"/>
                <w:sz w:val="24"/>
                <w:szCs w:val="24"/>
                <w:lang w:val="en-US" w:eastAsia="zh-CN"/>
              </w:rPr>
              <w:t>)</w:t>
            </w:r>
            <w:r>
              <w:rPr>
                <w:color w:val="auto"/>
                <w:sz w:val="24"/>
                <w:szCs w:val="24"/>
              </w:rPr>
              <w:t>。</w:t>
            </w:r>
            <w:r>
              <w:rPr>
                <w:rFonts w:hint="eastAsia"/>
                <w:color w:val="auto"/>
                <w:sz w:val="24"/>
              </w:rPr>
              <w:t>生活污水经化粪池处理后定期清掏</w:t>
            </w:r>
            <w:r>
              <w:rPr>
                <w:rFonts w:hint="eastAsia"/>
                <w:color w:val="auto"/>
                <w:sz w:val="24"/>
                <w:lang w:eastAsia="zh-CN"/>
              </w:rPr>
              <w:t>不外排</w:t>
            </w:r>
            <w:r>
              <w:rPr>
                <w:color w:val="auto"/>
                <w:sz w:val="24"/>
              </w:rPr>
              <w:t>。</w:t>
            </w:r>
          </w:p>
          <w:p w14:paraId="3A4CA602">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jc w:val="center"/>
              <w:textAlignment w:val="auto"/>
              <w:rPr>
                <w:color w:val="auto"/>
                <w:szCs w:val="24"/>
              </w:rPr>
            </w:pPr>
            <w:r>
              <w:rPr>
                <w:color w:val="auto"/>
                <w:szCs w:val="24"/>
              </w:rPr>
              <w:object>
                <v:shape id="_x0000_i1025" o:spt="75" type="#_x0000_t75" style="height:50.9pt;width:293.8pt;" o:ole="t" filled="f" o:preferrelative="t" stroked="f" coordsize="21600,21600">
                  <v:path/>
                  <v:fill on="f" focussize="0,0"/>
                  <v:stroke on="f"/>
                  <v:imagedata r:id="rId8" cropright="16361f" o:title=""/>
                  <o:lock v:ext="edit" aspectratio="f"/>
                  <w10:wrap type="none"/>
                  <w10:anchorlock/>
                </v:shape>
                <o:OLEObject Type="Embed" ProgID="Visio.Drawing.11" ShapeID="_x0000_i1025" DrawAspect="Content" ObjectID="_1468075725" r:id="rId7">
                  <o:LockedField>false</o:LockedField>
                </o:OLEObject>
              </w:object>
            </w:r>
          </w:p>
          <w:p w14:paraId="40B7CFEB">
            <w:pPr>
              <w:pStyle w:val="17"/>
              <w:snapToGrid w:val="0"/>
              <w:spacing w:after="0" w:line="360" w:lineRule="auto"/>
              <w:ind w:left="0" w:leftChars="0" w:firstLine="0"/>
              <w:jc w:val="center"/>
              <w:rPr>
                <w:b/>
                <w:bCs/>
                <w:color w:val="auto"/>
                <w:szCs w:val="24"/>
              </w:rPr>
            </w:pPr>
            <w:r>
              <w:rPr>
                <w:b/>
                <w:bCs/>
                <w:color w:val="auto"/>
                <w:szCs w:val="24"/>
              </w:rPr>
              <w:t>图</w:t>
            </w:r>
            <w:r>
              <w:rPr>
                <w:rFonts w:hint="eastAsia"/>
                <w:b/>
                <w:bCs/>
                <w:color w:val="auto"/>
                <w:szCs w:val="24"/>
              </w:rPr>
              <w:t>2</w:t>
            </w:r>
            <w:r>
              <w:rPr>
                <w:rFonts w:hint="eastAsia"/>
                <w:b/>
                <w:bCs/>
                <w:color w:val="auto"/>
                <w:szCs w:val="24"/>
                <w:lang w:val="en-US" w:eastAsia="zh-CN"/>
              </w:rPr>
              <w:t>.1</w:t>
            </w:r>
            <w:r>
              <w:rPr>
                <w:b/>
                <w:bCs/>
                <w:color w:val="auto"/>
                <w:szCs w:val="24"/>
              </w:rPr>
              <w:t xml:space="preserve">  </w:t>
            </w:r>
            <w:r>
              <w:rPr>
                <w:rFonts w:hint="eastAsia"/>
                <w:b/>
                <w:bCs/>
                <w:color w:val="auto"/>
                <w:szCs w:val="24"/>
              </w:rPr>
              <w:t>本</w:t>
            </w:r>
            <w:r>
              <w:rPr>
                <w:b/>
                <w:bCs/>
                <w:color w:val="auto"/>
                <w:szCs w:val="24"/>
              </w:rPr>
              <w:t>项目水平衡图 单位：t/d</w:t>
            </w:r>
          </w:p>
          <w:p w14:paraId="2D8D0251">
            <w:pPr>
              <w:adjustRightInd w:val="0"/>
              <w:snapToGrid w:val="0"/>
              <w:spacing w:line="360" w:lineRule="auto"/>
              <w:rPr>
                <w:b/>
                <w:bCs/>
                <w:color w:val="auto"/>
                <w:kern w:val="0"/>
                <w:sz w:val="24"/>
              </w:rPr>
            </w:pPr>
            <w:r>
              <w:rPr>
                <w:rFonts w:hint="eastAsia"/>
                <w:b/>
                <w:bCs/>
                <w:color w:val="auto"/>
                <w:kern w:val="0"/>
                <w:sz w:val="24"/>
              </w:rPr>
              <w:t>6、</w:t>
            </w:r>
            <w:r>
              <w:rPr>
                <w:b/>
                <w:bCs/>
                <w:color w:val="auto"/>
                <w:kern w:val="0"/>
                <w:sz w:val="24"/>
              </w:rPr>
              <w:t>劳动定员及工作制度</w:t>
            </w:r>
          </w:p>
          <w:p w14:paraId="6372ACDA">
            <w:pPr>
              <w:adjustRightInd w:val="0"/>
              <w:snapToGrid w:val="0"/>
              <w:spacing w:line="360" w:lineRule="auto"/>
              <w:ind w:firstLine="480" w:firstLineChars="200"/>
              <w:rPr>
                <w:color w:val="auto"/>
                <w:kern w:val="0"/>
                <w:sz w:val="24"/>
              </w:rPr>
            </w:pPr>
            <w:r>
              <w:rPr>
                <w:rFonts w:hint="eastAsia"/>
                <w:color w:val="auto"/>
                <w:kern w:val="0"/>
                <w:sz w:val="24"/>
              </w:rPr>
              <w:t>项目劳动定员</w:t>
            </w:r>
            <w:r>
              <w:rPr>
                <w:rFonts w:hint="eastAsia"/>
                <w:color w:val="auto"/>
                <w:kern w:val="0"/>
                <w:sz w:val="24"/>
                <w:lang w:val="en-US" w:eastAsia="zh-CN"/>
              </w:rPr>
              <w:t>1</w:t>
            </w:r>
            <w:r>
              <w:rPr>
                <w:rFonts w:hint="eastAsia"/>
                <w:color w:val="auto"/>
                <w:kern w:val="0"/>
                <w:sz w:val="24"/>
              </w:rPr>
              <w:t>0人，年工作300天，日工作8小时（昼间），单班制，不提供食宿。</w:t>
            </w:r>
          </w:p>
          <w:p w14:paraId="540C4446">
            <w:pPr>
              <w:adjustRightInd w:val="0"/>
              <w:snapToGrid w:val="0"/>
              <w:spacing w:line="360" w:lineRule="auto"/>
              <w:rPr>
                <w:b/>
                <w:bCs/>
                <w:color w:val="auto"/>
                <w:kern w:val="0"/>
                <w:sz w:val="24"/>
              </w:rPr>
            </w:pPr>
            <w:r>
              <w:rPr>
                <w:rFonts w:hint="eastAsia"/>
                <w:b/>
                <w:bCs/>
                <w:color w:val="auto"/>
                <w:kern w:val="0"/>
                <w:sz w:val="24"/>
                <w:lang w:val="en-US" w:eastAsia="zh-CN"/>
              </w:rPr>
              <w:t>7</w:t>
            </w:r>
            <w:r>
              <w:rPr>
                <w:rFonts w:hint="eastAsia"/>
                <w:b/>
                <w:bCs/>
                <w:color w:val="auto"/>
                <w:kern w:val="0"/>
                <w:sz w:val="24"/>
              </w:rPr>
              <w:t>、</w:t>
            </w:r>
            <w:r>
              <w:rPr>
                <w:b/>
                <w:bCs/>
                <w:color w:val="auto"/>
                <w:kern w:val="0"/>
                <w:sz w:val="24"/>
              </w:rPr>
              <w:t>厂区平面布置</w:t>
            </w:r>
          </w:p>
          <w:p w14:paraId="0D51B57D">
            <w:pPr>
              <w:pStyle w:val="2"/>
              <w:snapToGrid w:val="0"/>
              <w:spacing w:line="360" w:lineRule="auto"/>
              <w:ind w:firstLine="480" w:firstLineChars="200"/>
              <w:rPr>
                <w:color w:val="auto"/>
                <w:kern w:val="0"/>
              </w:rPr>
            </w:pPr>
            <w:r>
              <w:rPr>
                <w:color w:val="auto"/>
                <w:kern w:val="0"/>
              </w:rPr>
              <w:t>①项目整体布置</w:t>
            </w:r>
          </w:p>
          <w:p w14:paraId="3CD52979">
            <w:pPr>
              <w:pStyle w:val="2"/>
              <w:snapToGrid w:val="0"/>
              <w:spacing w:line="360" w:lineRule="auto"/>
              <w:ind w:firstLine="480" w:firstLineChars="200"/>
              <w:rPr>
                <w:color w:val="auto"/>
                <w:kern w:val="0"/>
              </w:rPr>
            </w:pPr>
            <w:r>
              <w:rPr>
                <w:color w:val="auto"/>
                <w:kern w:val="0"/>
              </w:rPr>
              <w:t>项目建设地点位于</w:t>
            </w:r>
            <w:r>
              <w:rPr>
                <w:rFonts w:hint="default" w:ascii="Times New Roman" w:hAnsi="Times New Roman" w:eastAsia="宋体" w:cs="Times New Roman"/>
                <w:sz w:val="24"/>
                <w:szCs w:val="24"/>
                <w:lang w:eastAsia="zh-CN"/>
              </w:rPr>
              <w:t>安徽省宿州市埇桥区</w:t>
            </w:r>
            <w:r>
              <w:rPr>
                <w:rFonts w:hint="default" w:ascii="Times New Roman" w:hAnsi="Times New Roman" w:eastAsia="宋体" w:cs="Times New Roman"/>
                <w:sz w:val="24"/>
                <w:szCs w:val="24"/>
              </w:rPr>
              <w:t>顺河镇魏庄村魏武路北侧17号</w:t>
            </w:r>
            <w:r>
              <w:rPr>
                <w:color w:val="auto"/>
                <w:kern w:val="0"/>
              </w:rPr>
              <w:t>，厂区分为生产区、办公</w:t>
            </w:r>
            <w:r>
              <w:rPr>
                <w:rFonts w:hint="eastAsia"/>
                <w:color w:val="auto"/>
                <w:kern w:val="0"/>
                <w:lang w:eastAsia="zh-CN"/>
              </w:rPr>
              <w:t>室</w:t>
            </w:r>
            <w:r>
              <w:rPr>
                <w:color w:val="auto"/>
                <w:kern w:val="0"/>
              </w:rPr>
              <w:t>、原料区、成品区等功能分区，具体见平面布置图。</w:t>
            </w:r>
          </w:p>
          <w:p w14:paraId="116886EE">
            <w:pPr>
              <w:pStyle w:val="2"/>
              <w:snapToGrid w:val="0"/>
              <w:spacing w:line="360" w:lineRule="auto"/>
              <w:ind w:firstLine="480" w:firstLineChars="200"/>
              <w:rPr>
                <w:color w:val="auto"/>
                <w:kern w:val="0"/>
              </w:rPr>
            </w:pPr>
            <w:r>
              <w:rPr>
                <w:color w:val="auto"/>
                <w:kern w:val="0"/>
              </w:rPr>
              <w:t>②项目原料及产品由汽车进行运输。</w:t>
            </w:r>
          </w:p>
          <w:p w14:paraId="14798D51">
            <w:pPr>
              <w:pStyle w:val="2"/>
              <w:snapToGrid w:val="0"/>
              <w:spacing w:line="360" w:lineRule="auto"/>
              <w:ind w:firstLine="480" w:firstLineChars="200"/>
              <w:rPr>
                <w:color w:val="auto"/>
                <w:kern w:val="0"/>
              </w:rPr>
            </w:pPr>
            <w:r>
              <w:rPr>
                <w:color w:val="auto"/>
                <w:kern w:val="0"/>
              </w:rPr>
              <w:t>③平面布置合理性</w:t>
            </w:r>
          </w:p>
          <w:p w14:paraId="53C0CE96">
            <w:pPr>
              <w:adjustRightInd w:val="0"/>
              <w:snapToGrid w:val="0"/>
              <w:spacing w:line="336" w:lineRule="auto"/>
              <w:ind w:firstLine="480" w:firstLineChars="200"/>
              <w:rPr>
                <w:rFonts w:hint="eastAsia" w:eastAsia="宋体"/>
                <w:color w:val="auto"/>
                <w:lang w:val="en-US" w:eastAsia="zh-CN"/>
              </w:rPr>
            </w:pPr>
            <w:r>
              <w:rPr>
                <w:color w:val="auto"/>
                <w:kern w:val="0"/>
                <w:sz w:val="24"/>
              </w:rPr>
              <w:t>项目厂区布置总体来说，结构明朗，流程顺畅，布局紧凑，符合防火、安全卫生、环保、交通、运输、生产工艺流程等需求。总体上做到按功能分区，系统分明布置整齐。</w:t>
            </w:r>
          </w:p>
        </w:tc>
      </w:tr>
      <w:tr w14:paraId="437911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Before w:val="1"/>
          <w:wBefore w:w="233" w:type="dxa"/>
          <w:trHeight w:val="13752" w:hRule="atLeast"/>
          <w:jc w:val="center"/>
        </w:trPr>
        <w:tc>
          <w:tcPr>
            <w:tcW w:w="553" w:type="dxa"/>
            <w:gridSpan w:val="2"/>
            <w:tcBorders>
              <w:tl2br w:val="nil"/>
              <w:tr2bl w:val="nil"/>
            </w:tcBorders>
            <w:vAlign w:val="center"/>
          </w:tcPr>
          <w:p w14:paraId="71346D1A">
            <w:pPr>
              <w:pStyle w:val="26"/>
              <w:adjustRightInd w:val="0"/>
              <w:snapToGrid w:val="0"/>
              <w:spacing w:before="0" w:beforeAutospacing="0" w:after="0" w:afterAutospacing="0"/>
              <w:jc w:val="center"/>
              <w:rPr>
                <w:rFonts w:cs="宋体"/>
                <w:color w:val="auto"/>
                <w:szCs w:val="24"/>
              </w:rPr>
            </w:pPr>
            <w:r>
              <w:rPr>
                <w:rFonts w:hint="eastAsia" w:cs="宋体"/>
                <w:color w:val="auto"/>
                <w:szCs w:val="24"/>
              </w:rPr>
              <w:t>工艺流程和产排污环节</w:t>
            </w:r>
          </w:p>
        </w:tc>
        <w:tc>
          <w:tcPr>
            <w:tcW w:w="7975" w:type="dxa"/>
            <w:tcBorders>
              <w:tl2br w:val="nil"/>
              <w:tr2bl w:val="nil"/>
            </w:tcBorders>
          </w:tcPr>
          <w:p w14:paraId="582447B0">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eastAsia"/>
                <w:b/>
                <w:bCs/>
                <w:color w:val="auto"/>
                <w:sz w:val="24"/>
                <w:lang w:val="en-US" w:eastAsia="zh-CN"/>
              </w:rPr>
            </w:pPr>
            <w:r>
              <w:rPr>
                <w:rFonts w:hint="eastAsia"/>
                <w:b/>
                <w:bCs/>
                <w:color w:val="auto"/>
                <w:sz w:val="24"/>
                <w:lang w:val="en-US" w:eastAsia="zh-CN"/>
              </w:rPr>
              <w:t>1、土壤改良土生产工艺流程及产污环节图</w:t>
            </w:r>
          </w:p>
          <w:p w14:paraId="3D7F4F1F">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0" w:firstLine="482" w:firstLineChars="200"/>
              <w:jc w:val="center"/>
              <w:textAlignment w:val="auto"/>
              <w:rPr>
                <w:rFonts w:hint="eastAsia"/>
                <w:b/>
                <w:bCs/>
                <w:color w:val="auto"/>
                <w:sz w:val="24"/>
                <w:lang w:val="en-US" w:eastAsia="zh-CN"/>
              </w:rPr>
            </w:pPr>
            <w:r>
              <w:rPr>
                <w:rFonts w:hint="eastAsia"/>
                <w:b/>
                <w:bCs/>
                <w:color w:val="auto"/>
                <w:sz w:val="24"/>
                <w:lang w:val="en-US" w:eastAsia="zh-CN"/>
              </w:rPr>
              <w:object>
                <v:shape id="_x0000_i1026" o:spt="75" type="#_x0000_t75" style="height:612.55pt;width:287.7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14:paraId="3009C759">
            <w:pPr>
              <w:jc w:val="center"/>
              <w:rPr>
                <w:rFonts w:hint="eastAsia"/>
                <w:color w:val="auto"/>
                <w:sz w:val="24"/>
                <w:lang w:val="en-US" w:eastAsia="zh-CN"/>
              </w:rPr>
            </w:pPr>
          </w:p>
          <w:p w14:paraId="1BCBC176">
            <w:pPr>
              <w:numPr>
                <w:ilvl w:val="0"/>
                <w:numId w:val="0"/>
              </w:numPr>
              <w:spacing w:line="360" w:lineRule="auto"/>
              <w:ind w:leftChars="200"/>
              <w:jc w:val="center"/>
              <w:rPr>
                <w:rFonts w:hint="default"/>
                <w:b/>
                <w:bCs/>
                <w:color w:val="auto"/>
                <w:sz w:val="24"/>
                <w:lang w:val="en-US" w:eastAsia="zh-CN"/>
              </w:rPr>
            </w:pPr>
            <w:r>
              <w:rPr>
                <w:rFonts w:hint="eastAsia"/>
                <w:b/>
                <w:bCs/>
                <w:color w:val="auto"/>
                <w:sz w:val="24"/>
                <w:lang w:val="en-US" w:eastAsia="zh-CN"/>
              </w:rPr>
              <w:t>图2.3 土壤改良土生产工艺流程及产污环节图</w:t>
            </w:r>
          </w:p>
          <w:p w14:paraId="26B5325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b/>
                <w:bCs/>
                <w:color w:val="auto"/>
                <w:sz w:val="24"/>
                <w:szCs w:val="24"/>
              </w:rPr>
            </w:pPr>
            <w:r>
              <w:rPr>
                <w:rFonts w:hint="eastAsia"/>
                <w:b/>
                <w:bCs/>
                <w:color w:val="auto"/>
                <w:sz w:val="24"/>
                <w:szCs w:val="24"/>
              </w:rPr>
              <w:t>工艺流程简述：</w:t>
            </w:r>
          </w:p>
          <w:p w14:paraId="35286D36">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w:t>
            </w:r>
            <w:r>
              <w:rPr>
                <w:rFonts w:hint="eastAsia" w:cs="Times New Roman"/>
                <w:b w:val="0"/>
                <w:bCs w:val="0"/>
                <w:color w:val="auto"/>
                <w:sz w:val="24"/>
                <w:szCs w:val="24"/>
                <w:lang w:val="en-US" w:eastAsia="zh-CN"/>
              </w:rPr>
              <w:t>投料：</w:t>
            </w:r>
            <w:r>
              <w:rPr>
                <w:rFonts w:hint="default" w:ascii="Times New Roman" w:hAnsi="Times New Roman" w:eastAsia="宋体" w:cs="Times New Roman"/>
                <w:b w:val="0"/>
                <w:bCs w:val="0"/>
                <w:color w:val="auto"/>
                <w:sz w:val="24"/>
                <w:szCs w:val="24"/>
                <w:lang w:val="en-US" w:eastAsia="zh-CN"/>
              </w:rPr>
              <w:t>使用铲车将原料污泥从污泥仓</w:t>
            </w:r>
            <w:r>
              <w:rPr>
                <w:rFonts w:hint="eastAsia" w:cs="Times New Roman"/>
                <w:b w:val="0"/>
                <w:bCs w:val="0"/>
                <w:color w:val="auto"/>
                <w:sz w:val="24"/>
                <w:szCs w:val="24"/>
                <w:lang w:val="en-US" w:eastAsia="zh-CN"/>
              </w:rPr>
              <w:t>投入料斗中，液态矿化剂使用密闭的管道输入搅拌机、草木灰在草木灰仓中储存经密闭管道投至搅拌机中。污泥含水率为40%，矿化剂的添加量为</w:t>
            </w:r>
            <w:r>
              <w:rPr>
                <w:rFonts w:hint="default" w:ascii="Times New Roman" w:hAnsi="Times New Roman" w:eastAsia="宋体" w:cs="Times New Roman"/>
                <w:b w:val="0"/>
                <w:bCs w:val="0"/>
                <w:color w:val="auto"/>
                <w:sz w:val="24"/>
                <w:szCs w:val="24"/>
                <w:lang w:val="en-US" w:eastAsia="zh-CN"/>
              </w:rPr>
              <w:t>污泥绝干量的1%~2%</w:t>
            </w:r>
            <w:r>
              <w:rPr>
                <w:rFonts w:hint="eastAsia" w:cs="Times New Roman"/>
                <w:b w:val="0"/>
                <w:bCs w:val="0"/>
                <w:color w:val="auto"/>
                <w:sz w:val="24"/>
                <w:szCs w:val="24"/>
                <w:lang w:val="en-US" w:eastAsia="zh-CN"/>
              </w:rPr>
              <w:t>。此工艺会产生固体废物S1-1。</w:t>
            </w:r>
          </w:p>
          <w:p w14:paraId="79E8C113">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w:t>
            </w:r>
            <w:r>
              <w:rPr>
                <w:rFonts w:hint="eastAsia" w:cs="Times New Roman"/>
                <w:b w:val="0"/>
                <w:bCs w:val="0"/>
                <w:color w:val="auto"/>
                <w:sz w:val="24"/>
                <w:szCs w:val="24"/>
                <w:lang w:val="en-US" w:eastAsia="zh-CN"/>
              </w:rPr>
              <w:t>粉碎、搅拌：利用刀片粉碎机对大块原材料进行粉碎，使其成为粉末状原材料。由于污水含水量较高，此处粉尘产生量可忽略不计。</w:t>
            </w:r>
          </w:p>
          <w:p w14:paraId="2768396F">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将原料以及配料送入搅拌机内进行搅拌。搅拌机为密封状态，不产生搅拌恶臭，在出料和物料输送到矿化、干化、陈化工序过程中少量恶臭气体产生、在搅拌机的出料口上方设置集气罩，将恶臭气体抽入生物除臭装置处理后排入大气。</w:t>
            </w:r>
          </w:p>
          <w:p w14:paraId="286E2C7F">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③低温闪急干化</w:t>
            </w:r>
            <w:r>
              <w:rPr>
                <w:rFonts w:hint="eastAsia" w:cs="Times New Roman"/>
                <w:b w:val="0"/>
                <w:bCs w:val="0"/>
                <w:color w:val="auto"/>
                <w:sz w:val="24"/>
                <w:szCs w:val="24"/>
                <w:lang w:val="en-US" w:eastAsia="zh-CN"/>
              </w:rPr>
              <w:t>：低温闪急干化主要对矿化、干化、陈化仓内的原料经过负压抽取至低温闪急干化机进行打散，打散完成后再次输送至干化仓，循环3~5次，实现对原料的脱水，脱水后的污泥含水率约20%。打散过程中产的恶臭气体经过集气罩收集后抽入生物除臭装置处理后排入大气。低温闪急干化的本质，是在人为创造的、低于常压沸点的热力学环境下，使物料内部的水分获得足够能量，在极短时间内完成从液态到气态的剧烈相变，并迅速脱离物料主体，从而实现快速脱水干化。</w:t>
            </w:r>
          </w:p>
          <w:p w14:paraId="13FE1DEB">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default"/>
                <w:color w:val="auto"/>
                <w:sz w:val="24"/>
                <w:szCs w:val="24"/>
                <w:lang w:val="en-US" w:eastAsia="zh-CN"/>
              </w:rPr>
              <w:fldChar w:fldCharType="begin"/>
            </w:r>
            <w:r>
              <w:rPr>
                <w:rFonts w:hint="default"/>
                <w:color w:val="auto"/>
                <w:sz w:val="24"/>
                <w:szCs w:val="24"/>
                <w:lang w:val="en-US" w:eastAsia="zh-CN"/>
              </w:rPr>
              <w:instrText xml:space="preserve"> = 4 \* GB3 \* MERGEFORMAT </w:instrText>
            </w:r>
            <w:r>
              <w:rPr>
                <w:rFonts w:hint="default"/>
                <w:color w:val="auto"/>
                <w:sz w:val="24"/>
                <w:szCs w:val="24"/>
                <w:lang w:val="en-US" w:eastAsia="zh-CN"/>
              </w:rPr>
              <w:fldChar w:fldCharType="separate"/>
            </w:r>
            <w:r>
              <w:rPr>
                <w:color w:val="auto"/>
                <w:sz w:val="24"/>
                <w:szCs w:val="24"/>
              </w:rPr>
              <w:t>④</w:t>
            </w:r>
            <w:r>
              <w:rPr>
                <w:rFonts w:hint="default"/>
                <w:color w:val="auto"/>
                <w:sz w:val="24"/>
                <w:szCs w:val="24"/>
                <w:lang w:val="en-US" w:eastAsia="zh-CN"/>
              </w:rPr>
              <w:fldChar w:fldCharType="end"/>
            </w:r>
            <w:r>
              <w:rPr>
                <w:rFonts w:hint="eastAsia" w:cs="Times New Roman"/>
                <w:b w:val="0"/>
                <w:bCs w:val="0"/>
                <w:color w:val="auto"/>
                <w:sz w:val="24"/>
                <w:szCs w:val="24"/>
                <w:lang w:val="en-US" w:eastAsia="zh-CN"/>
              </w:rPr>
              <w:t>矿化干化：矿化技术主要依靠好氧微生物在分解有机物时释放的热量来蒸发物料中的水分，本项目矿化温度约25~60℃。该过程不需要额外的热源，因而具有较低的能耗和较高的经济性。生物矿化的关键在于控制通风量，以确保微生物的活性和水分的有效去除。项目采用曝气系统合理控制通风量，使仓内温度稳定在25~60℃保证微生物活性和水分去除；干化是矿化后产生的结果，实现污泥的脱水。项目原料经过搅拌后输送至矿化、干化仓，进行矿化，搅拌后的原料需在干化、矿化仓内先矿化3天，矿化完成后进一步的干化1天。</w:t>
            </w:r>
          </w:p>
          <w:p w14:paraId="552DB6B9">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sz w:val="24"/>
                <w:szCs w:val="24"/>
                <w:lang w:val="en-US" w:eastAsia="zh-CN"/>
              </w:rPr>
            </w:pPr>
            <w:r>
              <w:rPr>
                <w:rFonts w:hint="default" w:cs="Times New Roman"/>
                <w:b w:val="0"/>
                <w:bCs w:val="0"/>
                <w:color w:val="auto"/>
                <w:sz w:val="24"/>
                <w:szCs w:val="24"/>
                <w:lang w:val="en-US" w:eastAsia="zh-CN"/>
              </w:rPr>
              <w:fldChar w:fldCharType="begin"/>
            </w:r>
            <w:r>
              <w:rPr>
                <w:rFonts w:hint="default" w:cs="Times New Roman"/>
                <w:b w:val="0"/>
                <w:bCs w:val="0"/>
                <w:color w:val="auto"/>
                <w:sz w:val="24"/>
                <w:szCs w:val="24"/>
                <w:lang w:val="en-US" w:eastAsia="zh-CN"/>
              </w:rPr>
              <w:instrText xml:space="preserve"> = 5 \* GB3 \* MERGEFORMAT </w:instrText>
            </w:r>
            <w:r>
              <w:rPr>
                <w:rFonts w:hint="default" w:cs="Times New Roman"/>
                <w:b w:val="0"/>
                <w:bCs w:val="0"/>
                <w:color w:val="auto"/>
                <w:sz w:val="24"/>
                <w:szCs w:val="24"/>
                <w:lang w:val="en-US" w:eastAsia="zh-CN"/>
              </w:rPr>
              <w:fldChar w:fldCharType="separate"/>
            </w:r>
            <w:r>
              <w:rPr>
                <w:color w:val="auto"/>
              </w:rPr>
              <w:t>⑤</w:t>
            </w:r>
            <w:r>
              <w:rPr>
                <w:rFonts w:hint="default" w:cs="Times New Roman"/>
                <w:b w:val="0"/>
                <w:bCs w:val="0"/>
                <w:color w:val="auto"/>
                <w:sz w:val="24"/>
                <w:szCs w:val="24"/>
                <w:lang w:val="en-US" w:eastAsia="zh-CN"/>
              </w:rPr>
              <w:fldChar w:fldCharType="end"/>
            </w:r>
            <w:r>
              <w:rPr>
                <w:rFonts w:hint="default" w:ascii="Times New Roman" w:hAnsi="Times New Roman" w:eastAsia="宋体" w:cs="Times New Roman"/>
                <w:b w:val="0"/>
                <w:bCs w:val="0"/>
                <w:color w:val="auto"/>
                <w:sz w:val="24"/>
                <w:szCs w:val="24"/>
                <w:lang w:val="en-US" w:eastAsia="zh-CN"/>
              </w:rPr>
              <w:t>低温闪急干化</w:t>
            </w:r>
            <w:r>
              <w:rPr>
                <w:rFonts w:hint="eastAsia" w:cs="Times New Roman"/>
                <w:b w:val="0"/>
                <w:bCs w:val="0"/>
                <w:color w:val="auto"/>
                <w:sz w:val="24"/>
                <w:szCs w:val="24"/>
                <w:lang w:val="en-US" w:eastAsia="zh-CN"/>
              </w:rPr>
              <w:t>：经过矿化干化的产品再次进入干化仓进行二次低温闪急干化，二次干化脱水后产品含水量约为12%。</w:t>
            </w:r>
          </w:p>
          <w:p w14:paraId="56CEBE69">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fldChar w:fldCharType="begin"/>
            </w:r>
            <w:r>
              <w:rPr>
                <w:rFonts w:hint="eastAsia" w:cs="Times New Roman"/>
                <w:b w:val="0"/>
                <w:bCs w:val="0"/>
                <w:color w:val="auto"/>
                <w:sz w:val="24"/>
                <w:szCs w:val="24"/>
                <w:lang w:val="en-US" w:eastAsia="zh-CN"/>
              </w:rPr>
              <w:instrText xml:space="preserve"> = 6 \* GB3 \* MERGEFORMAT </w:instrText>
            </w:r>
            <w:r>
              <w:rPr>
                <w:rFonts w:hint="eastAsia" w:cs="Times New Roman"/>
                <w:b w:val="0"/>
                <w:bCs w:val="0"/>
                <w:color w:val="auto"/>
                <w:sz w:val="24"/>
                <w:szCs w:val="24"/>
                <w:lang w:val="en-US" w:eastAsia="zh-CN"/>
              </w:rPr>
              <w:fldChar w:fldCharType="separate"/>
            </w:r>
            <w:r>
              <w:rPr>
                <w:color w:val="auto"/>
              </w:rPr>
              <w:t>⑥</w:t>
            </w:r>
            <w:r>
              <w:rPr>
                <w:rFonts w:hint="eastAsia" w:cs="Times New Roman"/>
                <w:b w:val="0"/>
                <w:bCs w:val="0"/>
                <w:color w:val="auto"/>
                <w:sz w:val="24"/>
                <w:szCs w:val="24"/>
                <w:lang w:val="en-US" w:eastAsia="zh-CN"/>
              </w:rPr>
              <w:fldChar w:fldCharType="end"/>
            </w:r>
            <w:r>
              <w:rPr>
                <w:rFonts w:hint="eastAsia" w:cs="Times New Roman"/>
                <w:b w:val="0"/>
                <w:bCs w:val="0"/>
                <w:color w:val="auto"/>
                <w:sz w:val="24"/>
                <w:szCs w:val="24"/>
                <w:lang w:val="en-US" w:eastAsia="zh-CN"/>
              </w:rPr>
              <w:t>陈化：陈化过程是一个微生物“发酵”和繁殖的过程，能够建立起丰富、均衡的微生物系统，抑制土传病原菌，分解原料中可能存在的对植物生长不利的有机酸、酚类等物质，以及未完全腐熟的有机质。陈化仓内部保持温度约为60℃左右可以有效地杀死大部分有害生物，陈化时间为15天。陈化工艺利用微生物好样发酵产生的热量保持陈化仓温度，无需额外的热源对陈化仓进行加热。</w:t>
            </w:r>
          </w:p>
          <w:p w14:paraId="59DC4344">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fldChar w:fldCharType="begin"/>
            </w:r>
            <w:r>
              <w:rPr>
                <w:rFonts w:hint="eastAsia" w:cs="Times New Roman"/>
                <w:b w:val="0"/>
                <w:bCs w:val="0"/>
                <w:color w:val="auto"/>
                <w:sz w:val="24"/>
                <w:szCs w:val="24"/>
                <w:lang w:val="en-US" w:eastAsia="zh-CN"/>
              </w:rPr>
              <w:instrText xml:space="preserve"> = 7 \* GB3 \* MERGEFORMAT </w:instrText>
            </w:r>
            <w:r>
              <w:rPr>
                <w:rFonts w:hint="eastAsia" w:cs="Times New Roman"/>
                <w:b w:val="0"/>
                <w:bCs w:val="0"/>
                <w:color w:val="auto"/>
                <w:sz w:val="24"/>
                <w:szCs w:val="24"/>
                <w:lang w:val="en-US" w:eastAsia="zh-CN"/>
              </w:rPr>
              <w:fldChar w:fldCharType="separate"/>
            </w:r>
            <w:r>
              <w:rPr>
                <w:color w:val="auto"/>
              </w:rPr>
              <w:t>⑦</w:t>
            </w:r>
            <w:r>
              <w:rPr>
                <w:rFonts w:hint="eastAsia" w:cs="Times New Roman"/>
                <w:b w:val="0"/>
                <w:bCs w:val="0"/>
                <w:color w:val="auto"/>
                <w:sz w:val="24"/>
                <w:szCs w:val="24"/>
                <w:lang w:val="en-US" w:eastAsia="zh-CN"/>
              </w:rPr>
              <w:fldChar w:fldCharType="end"/>
            </w:r>
            <w:r>
              <w:rPr>
                <w:rFonts w:hint="eastAsia" w:cs="Times New Roman"/>
                <w:b w:val="0"/>
                <w:bCs w:val="0"/>
                <w:color w:val="auto"/>
                <w:sz w:val="24"/>
                <w:szCs w:val="24"/>
                <w:lang w:val="en-US" w:eastAsia="zh-CN"/>
              </w:rPr>
              <w:t>筛分：通过振动筛筛分出各种规格的成品骨料，骨料分成5mm、8mm、15mm用于成品外售。筛选下来的细料继续进行下一步生产，对于未破碎完成的原料返回至破碎工序进一步破碎。</w:t>
            </w:r>
          </w:p>
          <w:p w14:paraId="77836DE9">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eastAsia"/>
                <w:b/>
                <w:bCs/>
                <w:color w:val="auto"/>
                <w:sz w:val="24"/>
                <w:lang w:val="en-US" w:eastAsia="zh-CN"/>
              </w:rPr>
            </w:pPr>
            <w:r>
              <w:rPr>
                <w:rFonts w:hint="eastAsia"/>
                <w:b/>
                <w:bCs/>
                <w:color w:val="auto"/>
                <w:sz w:val="24"/>
                <w:lang w:val="en-US" w:eastAsia="zh-CN"/>
              </w:rPr>
              <w:t>2、绿化营养土生产工艺流程及产污环节图</w:t>
            </w:r>
          </w:p>
          <w:p w14:paraId="12640EC6">
            <w:pPr>
              <w:pStyle w:val="13"/>
              <w:jc w:val="center"/>
              <w:rPr>
                <w:rFonts w:hint="eastAsia"/>
                <w:b/>
                <w:bCs/>
                <w:color w:val="auto"/>
                <w:sz w:val="24"/>
                <w:lang w:val="en-US" w:eastAsia="zh-CN"/>
              </w:rPr>
            </w:pPr>
            <w:r>
              <w:rPr>
                <w:rFonts w:hint="eastAsia"/>
                <w:b/>
                <w:bCs/>
                <w:color w:val="auto"/>
                <w:sz w:val="24"/>
                <w:lang w:val="en-US" w:eastAsia="zh-CN"/>
              </w:rPr>
              <w:object>
                <v:shape id="_x0000_i1027" o:spt="75" type="#_x0000_t75" style="height:545.75pt;width:263.75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14:paraId="1A68EC25">
            <w:pPr>
              <w:pStyle w:val="13"/>
              <w:jc w:val="center"/>
              <w:rPr>
                <w:color w:val="auto"/>
                <w:sz w:val="24"/>
                <w:szCs w:val="24"/>
              </w:rPr>
            </w:pPr>
            <w:r>
              <w:rPr>
                <w:rFonts w:hint="eastAsia"/>
                <w:b/>
                <w:bCs/>
                <w:color w:val="auto"/>
                <w:sz w:val="24"/>
                <w:lang w:val="en-US" w:eastAsia="zh-CN"/>
              </w:rPr>
              <w:t>图2.4  绿化营养土生产工艺流程及产污环节图</w:t>
            </w:r>
          </w:p>
          <w:p w14:paraId="771F2D8E">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w:t>
            </w:r>
            <w:r>
              <w:rPr>
                <w:rFonts w:hint="eastAsia" w:cs="Times New Roman"/>
                <w:b w:val="0"/>
                <w:bCs w:val="0"/>
                <w:color w:val="auto"/>
                <w:sz w:val="24"/>
                <w:szCs w:val="24"/>
                <w:lang w:val="en-US" w:eastAsia="zh-CN"/>
              </w:rPr>
              <w:t>投料：</w:t>
            </w:r>
            <w:r>
              <w:rPr>
                <w:rFonts w:hint="default" w:ascii="Times New Roman" w:hAnsi="Times New Roman" w:eastAsia="宋体" w:cs="Times New Roman"/>
                <w:b w:val="0"/>
                <w:bCs w:val="0"/>
                <w:color w:val="auto"/>
                <w:sz w:val="24"/>
                <w:szCs w:val="24"/>
                <w:lang w:val="en-US" w:eastAsia="zh-CN"/>
              </w:rPr>
              <w:t>使用铲车将原料污泥从污泥仓</w:t>
            </w:r>
            <w:r>
              <w:rPr>
                <w:rFonts w:hint="eastAsia" w:cs="Times New Roman"/>
                <w:b w:val="0"/>
                <w:bCs w:val="0"/>
                <w:color w:val="auto"/>
                <w:sz w:val="24"/>
                <w:szCs w:val="24"/>
                <w:lang w:val="en-US" w:eastAsia="zh-CN"/>
              </w:rPr>
              <w:t>投入料斗中，液态矿化剂使用密闭的管道输入搅拌机。污泥含水率为40%，矿化剂的添加量为</w:t>
            </w:r>
            <w:r>
              <w:rPr>
                <w:rFonts w:hint="default" w:ascii="Times New Roman" w:hAnsi="Times New Roman" w:eastAsia="宋体" w:cs="Times New Roman"/>
                <w:b w:val="0"/>
                <w:bCs w:val="0"/>
                <w:color w:val="auto"/>
                <w:sz w:val="24"/>
                <w:szCs w:val="24"/>
                <w:lang w:val="en-US" w:eastAsia="zh-CN"/>
              </w:rPr>
              <w:t>污泥绝干量的1%~2%</w:t>
            </w:r>
            <w:r>
              <w:rPr>
                <w:rFonts w:hint="eastAsia" w:cs="Times New Roman"/>
                <w:b w:val="0"/>
                <w:bCs w:val="0"/>
                <w:color w:val="auto"/>
                <w:sz w:val="24"/>
                <w:szCs w:val="24"/>
                <w:lang w:val="en-US" w:eastAsia="zh-CN"/>
              </w:rPr>
              <w:t>。此工艺会产生固体废物S1-1。</w:t>
            </w:r>
          </w:p>
          <w:p w14:paraId="645552B8">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w:t>
            </w:r>
            <w:r>
              <w:rPr>
                <w:rFonts w:hint="eastAsia" w:cs="Times New Roman"/>
                <w:b w:val="0"/>
                <w:bCs w:val="0"/>
                <w:color w:val="auto"/>
                <w:sz w:val="24"/>
                <w:szCs w:val="24"/>
                <w:lang w:val="en-US" w:eastAsia="zh-CN"/>
              </w:rPr>
              <w:t>粉碎、搅拌：利用刀片粉碎机对大块原材料进行粉碎，使其成为粉末状原材料。此过程会产生粉碎粉尘。粉碎工序为密闭加工，在出料和物料输送到搅拌工序过程中少量粉尘产生、在粉碎机组的出料口上方设置集气罩，将含尘气体抽入脉冲式布袋除尘器处理后排入大气。</w:t>
            </w:r>
          </w:p>
          <w:p w14:paraId="42F364D1">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将原料以及配料送入搅拌机内进行搅拌。搅拌机为密封状态，不产生搅拌恶臭，在出料和物料输送到矿化、干化、陈化工序过程中少量恶臭气体产生、在搅拌机的出料口上方设置集气罩，将恶臭气体抽入生物除臭装置处理后排入大气。</w:t>
            </w:r>
          </w:p>
          <w:p w14:paraId="2D9C90D1">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③低温闪急干化</w:t>
            </w:r>
            <w:r>
              <w:rPr>
                <w:rFonts w:hint="eastAsia" w:cs="Times New Roman"/>
                <w:b w:val="0"/>
                <w:bCs w:val="0"/>
                <w:color w:val="auto"/>
                <w:sz w:val="24"/>
                <w:szCs w:val="24"/>
                <w:lang w:val="en-US" w:eastAsia="zh-CN"/>
              </w:rPr>
              <w:t>：低温闪急干化主要对矿化、干化、陈化仓内的原料经过负压抽取至低温闪急干化机进行打散，打散完成后再次输送至干化仓，循环3~5次，实现对原料的脱水，脱水后的污泥含水率约20%。打散过程中产的恶臭气体经过集气罩收集后抽入生物除臭装置处理后排入大气。低温闪急干化的本质，是在人为创造的、低于常压沸点的热力学环境下，使物料内部的水分获得足够能量，在极短时间内完成从液态到气态的剧烈相变，并迅速脱离物料主体，从而实现快速脱水干化。</w:t>
            </w:r>
          </w:p>
          <w:p w14:paraId="3ECA32BA">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default"/>
                <w:color w:val="auto"/>
                <w:sz w:val="24"/>
                <w:szCs w:val="24"/>
                <w:lang w:val="en-US" w:eastAsia="zh-CN"/>
              </w:rPr>
              <w:fldChar w:fldCharType="begin"/>
            </w:r>
            <w:r>
              <w:rPr>
                <w:rFonts w:hint="default"/>
                <w:color w:val="auto"/>
                <w:sz w:val="24"/>
                <w:szCs w:val="24"/>
                <w:lang w:val="en-US" w:eastAsia="zh-CN"/>
              </w:rPr>
              <w:instrText xml:space="preserve"> = 4 \* GB3 \* MERGEFORMAT </w:instrText>
            </w:r>
            <w:r>
              <w:rPr>
                <w:rFonts w:hint="default"/>
                <w:color w:val="auto"/>
                <w:sz w:val="24"/>
                <w:szCs w:val="24"/>
                <w:lang w:val="en-US" w:eastAsia="zh-CN"/>
              </w:rPr>
              <w:fldChar w:fldCharType="separate"/>
            </w:r>
            <w:r>
              <w:rPr>
                <w:color w:val="auto"/>
                <w:sz w:val="24"/>
                <w:szCs w:val="24"/>
              </w:rPr>
              <w:t>④</w:t>
            </w:r>
            <w:r>
              <w:rPr>
                <w:rFonts w:hint="default"/>
                <w:color w:val="auto"/>
                <w:sz w:val="24"/>
                <w:szCs w:val="24"/>
                <w:lang w:val="en-US" w:eastAsia="zh-CN"/>
              </w:rPr>
              <w:fldChar w:fldCharType="end"/>
            </w:r>
            <w:r>
              <w:rPr>
                <w:rFonts w:hint="eastAsia" w:cs="Times New Roman"/>
                <w:b w:val="0"/>
                <w:bCs w:val="0"/>
                <w:color w:val="auto"/>
                <w:sz w:val="24"/>
                <w:szCs w:val="24"/>
                <w:lang w:val="en-US" w:eastAsia="zh-CN"/>
              </w:rPr>
              <w:t>矿化干化：矿化技术主要依靠好氧微生物在分解有机物时释放的热量来蒸发物料中的水分，本项目矿化温度约25~60℃。该过程不需要额外的热源，因而具有较低的能耗和较高的经济性。生物矿化的关键在于控制通风量，以确保微生物的活性和水分的有效去除。项目采用曝气系统合理控制通风量，使仓内温度稳定在25~60℃保证微生物活性和水分去除；干化是矿化后产生的结果，实现污泥的脱水。项目原料经过搅拌后输送至矿化、干化仓，进行矿化，搅拌后的原料需在干化、矿化仓内先矿化3天，矿化完成后进一步的干化1天。</w:t>
            </w:r>
          </w:p>
          <w:p w14:paraId="3748D248">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sz w:val="24"/>
                <w:szCs w:val="24"/>
                <w:lang w:val="en-US" w:eastAsia="zh-CN"/>
              </w:rPr>
            </w:pPr>
            <w:r>
              <w:rPr>
                <w:rFonts w:hint="default" w:cs="Times New Roman"/>
                <w:b w:val="0"/>
                <w:bCs w:val="0"/>
                <w:color w:val="auto"/>
                <w:sz w:val="24"/>
                <w:szCs w:val="24"/>
                <w:lang w:val="en-US" w:eastAsia="zh-CN"/>
              </w:rPr>
              <w:fldChar w:fldCharType="begin"/>
            </w:r>
            <w:r>
              <w:rPr>
                <w:rFonts w:hint="default" w:cs="Times New Roman"/>
                <w:b w:val="0"/>
                <w:bCs w:val="0"/>
                <w:color w:val="auto"/>
                <w:sz w:val="24"/>
                <w:szCs w:val="24"/>
                <w:lang w:val="en-US" w:eastAsia="zh-CN"/>
              </w:rPr>
              <w:instrText xml:space="preserve"> = 5 \* GB3 \* MERGEFORMAT </w:instrText>
            </w:r>
            <w:r>
              <w:rPr>
                <w:rFonts w:hint="default" w:cs="Times New Roman"/>
                <w:b w:val="0"/>
                <w:bCs w:val="0"/>
                <w:color w:val="auto"/>
                <w:sz w:val="24"/>
                <w:szCs w:val="24"/>
                <w:lang w:val="en-US" w:eastAsia="zh-CN"/>
              </w:rPr>
              <w:fldChar w:fldCharType="separate"/>
            </w:r>
            <w:r>
              <w:rPr>
                <w:color w:val="auto"/>
              </w:rPr>
              <w:t>⑤</w:t>
            </w:r>
            <w:r>
              <w:rPr>
                <w:rFonts w:hint="default" w:cs="Times New Roman"/>
                <w:b w:val="0"/>
                <w:bCs w:val="0"/>
                <w:color w:val="auto"/>
                <w:sz w:val="24"/>
                <w:szCs w:val="24"/>
                <w:lang w:val="en-US" w:eastAsia="zh-CN"/>
              </w:rPr>
              <w:fldChar w:fldCharType="end"/>
            </w:r>
            <w:r>
              <w:rPr>
                <w:rFonts w:hint="default" w:ascii="Times New Roman" w:hAnsi="Times New Roman" w:eastAsia="宋体" w:cs="Times New Roman"/>
                <w:b w:val="0"/>
                <w:bCs w:val="0"/>
                <w:color w:val="auto"/>
                <w:sz w:val="24"/>
                <w:szCs w:val="24"/>
                <w:lang w:val="en-US" w:eastAsia="zh-CN"/>
              </w:rPr>
              <w:t>低温闪急干化</w:t>
            </w:r>
            <w:r>
              <w:rPr>
                <w:rFonts w:hint="eastAsia" w:cs="Times New Roman"/>
                <w:b w:val="0"/>
                <w:bCs w:val="0"/>
                <w:color w:val="auto"/>
                <w:sz w:val="24"/>
                <w:szCs w:val="24"/>
                <w:lang w:val="en-US" w:eastAsia="zh-CN"/>
              </w:rPr>
              <w:t>：经过矿化干化的产品再次进入干化仓进行二次低温闪急干化，二次干化脱水后产品含水量约为12%。</w:t>
            </w:r>
          </w:p>
          <w:p w14:paraId="536245D7">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fldChar w:fldCharType="begin"/>
            </w:r>
            <w:r>
              <w:rPr>
                <w:rFonts w:hint="eastAsia" w:cs="Times New Roman"/>
                <w:b w:val="0"/>
                <w:bCs w:val="0"/>
                <w:color w:val="auto"/>
                <w:sz w:val="24"/>
                <w:szCs w:val="24"/>
                <w:lang w:val="en-US" w:eastAsia="zh-CN"/>
              </w:rPr>
              <w:instrText xml:space="preserve"> = 6 \* GB3 \* MERGEFORMAT </w:instrText>
            </w:r>
            <w:r>
              <w:rPr>
                <w:rFonts w:hint="eastAsia" w:cs="Times New Roman"/>
                <w:b w:val="0"/>
                <w:bCs w:val="0"/>
                <w:color w:val="auto"/>
                <w:sz w:val="24"/>
                <w:szCs w:val="24"/>
                <w:lang w:val="en-US" w:eastAsia="zh-CN"/>
              </w:rPr>
              <w:fldChar w:fldCharType="separate"/>
            </w:r>
            <w:r>
              <w:rPr>
                <w:color w:val="auto"/>
              </w:rPr>
              <w:t>⑥</w:t>
            </w:r>
            <w:r>
              <w:rPr>
                <w:rFonts w:hint="eastAsia" w:cs="Times New Roman"/>
                <w:b w:val="0"/>
                <w:bCs w:val="0"/>
                <w:color w:val="auto"/>
                <w:sz w:val="24"/>
                <w:szCs w:val="24"/>
                <w:lang w:val="en-US" w:eastAsia="zh-CN"/>
              </w:rPr>
              <w:fldChar w:fldCharType="end"/>
            </w:r>
            <w:r>
              <w:rPr>
                <w:rFonts w:hint="eastAsia" w:cs="Times New Roman"/>
                <w:b w:val="0"/>
                <w:bCs w:val="0"/>
                <w:color w:val="auto"/>
                <w:sz w:val="24"/>
                <w:szCs w:val="24"/>
                <w:lang w:val="en-US" w:eastAsia="zh-CN"/>
              </w:rPr>
              <w:t>陈化：陈化过程是一个微生物“发酵”和繁殖的过程，能够建立起丰富、均衡的微生物系统，抑制土传病原菌，分解原料中可能存在的对植物生长不利的有机酸、酚类等物质，以及未完全腐熟的有机质。陈化仓内部保持温度约为60℃左右可以有效地杀死大部分有害生物，陈化时间为15天。陈化工艺利用微生物好样发酵产生的热量保持陈化仓温度，无需额外的热源对陈化仓进行加热。</w:t>
            </w:r>
          </w:p>
          <w:p w14:paraId="011B352A">
            <w:pPr>
              <w:keepNext w:val="0"/>
              <w:keepLines w:val="0"/>
              <w:pageBreakBefore w:val="0"/>
              <w:widowControl w:val="0"/>
              <w:numPr>
                <w:ilvl w:val="0"/>
                <w:numId w:val="0"/>
              </w:numPr>
              <w:tabs>
                <w:tab w:val="left" w:pos="1453"/>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fldChar w:fldCharType="begin"/>
            </w:r>
            <w:r>
              <w:rPr>
                <w:rFonts w:hint="eastAsia" w:cs="Times New Roman"/>
                <w:b w:val="0"/>
                <w:bCs w:val="0"/>
                <w:color w:val="auto"/>
                <w:sz w:val="24"/>
                <w:szCs w:val="24"/>
                <w:lang w:val="en-US" w:eastAsia="zh-CN"/>
              </w:rPr>
              <w:instrText xml:space="preserve"> = 7 \* GB3 \* MERGEFORMAT </w:instrText>
            </w:r>
            <w:r>
              <w:rPr>
                <w:rFonts w:hint="eastAsia" w:cs="Times New Roman"/>
                <w:b w:val="0"/>
                <w:bCs w:val="0"/>
                <w:color w:val="auto"/>
                <w:sz w:val="24"/>
                <w:szCs w:val="24"/>
                <w:lang w:val="en-US" w:eastAsia="zh-CN"/>
              </w:rPr>
              <w:fldChar w:fldCharType="separate"/>
            </w:r>
            <w:r>
              <w:rPr>
                <w:color w:val="auto"/>
              </w:rPr>
              <w:t>⑦</w:t>
            </w:r>
            <w:r>
              <w:rPr>
                <w:rFonts w:hint="eastAsia" w:cs="Times New Roman"/>
                <w:b w:val="0"/>
                <w:bCs w:val="0"/>
                <w:color w:val="auto"/>
                <w:sz w:val="24"/>
                <w:szCs w:val="24"/>
                <w:lang w:val="en-US" w:eastAsia="zh-CN"/>
              </w:rPr>
              <w:fldChar w:fldCharType="end"/>
            </w:r>
            <w:r>
              <w:rPr>
                <w:rFonts w:hint="eastAsia" w:cs="Times New Roman"/>
                <w:b w:val="0"/>
                <w:bCs w:val="0"/>
                <w:color w:val="auto"/>
                <w:sz w:val="24"/>
                <w:szCs w:val="24"/>
                <w:lang w:val="en-US" w:eastAsia="zh-CN"/>
              </w:rPr>
              <w:t>筛分：通过振动筛筛分出各种规格的成品骨料，骨料分成5mm、8mm、15mm用于成品外售。筛选下来的细料继续进行下一步生产，对于未破碎完成的原料返回至破碎工序进一步破碎。</w:t>
            </w:r>
          </w:p>
          <w:p w14:paraId="3B87CBAF">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eastAsia"/>
                <w:b/>
                <w:bCs/>
                <w:color w:val="auto"/>
                <w:sz w:val="24"/>
                <w:lang w:val="en-US" w:eastAsia="zh-CN"/>
              </w:rPr>
            </w:pPr>
            <w:r>
              <w:rPr>
                <w:rFonts w:hint="eastAsia"/>
                <w:b/>
                <w:bCs/>
                <w:color w:val="auto"/>
                <w:sz w:val="24"/>
                <w:lang w:val="en-US" w:eastAsia="zh-CN"/>
              </w:rPr>
              <w:t>3、</w:t>
            </w:r>
            <w:r>
              <w:rPr>
                <w:rFonts w:hint="eastAsia"/>
                <w:b/>
                <w:bCs w:val="0"/>
                <w:color w:val="auto"/>
                <w:sz w:val="24"/>
                <w:highlight w:val="none"/>
                <w:lang w:eastAsia="zh-CN"/>
              </w:rPr>
              <w:t>建筑掺和料</w:t>
            </w:r>
            <w:r>
              <w:rPr>
                <w:rFonts w:hint="eastAsia"/>
                <w:b/>
                <w:bCs/>
                <w:color w:val="auto"/>
                <w:sz w:val="24"/>
                <w:lang w:val="en-US" w:eastAsia="zh-CN"/>
              </w:rPr>
              <w:t>生产工艺流程及产污环节图</w:t>
            </w:r>
          </w:p>
          <w:p w14:paraId="7E2C30BC">
            <w:pPr>
              <w:pStyle w:val="20"/>
              <w:keepNext w:val="0"/>
              <w:keepLines w:val="0"/>
              <w:pageBreakBefore w:val="0"/>
              <w:kinsoku/>
              <w:wordWrap/>
              <w:overflowPunct/>
              <w:topLinePunct w:val="0"/>
              <w:autoSpaceDE/>
              <w:autoSpaceDN/>
              <w:bidi w:val="0"/>
              <w:adjustRightInd/>
              <w:spacing w:line="360" w:lineRule="auto"/>
              <w:ind w:firstLine="482" w:firstLineChars="200"/>
              <w:jc w:val="center"/>
              <w:textAlignment w:val="auto"/>
              <w:rPr>
                <w:b/>
                <w:bCs w:val="0"/>
                <w:color w:val="auto"/>
                <w:sz w:val="24"/>
                <w:highlight w:val="none"/>
              </w:rPr>
            </w:pPr>
            <w:r>
              <w:rPr>
                <w:b/>
                <w:bCs w:val="0"/>
                <w:color w:val="auto"/>
                <w:sz w:val="24"/>
                <w:highlight w:val="none"/>
              </w:rPr>
              <w:object>
                <v:shape id="_x0000_i1028" o:spt="75" type="#_x0000_t75" style="height:396pt;width:327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8" r:id="rId13">
                  <o:LockedField>false</o:LockedField>
                </o:OLEObject>
              </w:object>
            </w:r>
          </w:p>
          <w:p w14:paraId="6F407784">
            <w:pPr>
              <w:pStyle w:val="20"/>
              <w:keepNext w:val="0"/>
              <w:keepLines w:val="0"/>
              <w:pageBreakBefore w:val="0"/>
              <w:kinsoku/>
              <w:wordWrap/>
              <w:overflowPunct/>
              <w:topLinePunct w:val="0"/>
              <w:autoSpaceDE/>
              <w:autoSpaceDN/>
              <w:bidi w:val="0"/>
              <w:adjustRightInd/>
              <w:spacing w:line="360" w:lineRule="auto"/>
              <w:jc w:val="center"/>
              <w:textAlignment w:val="auto"/>
              <w:rPr>
                <w:b/>
                <w:bCs w:val="0"/>
                <w:color w:val="auto"/>
                <w:sz w:val="24"/>
                <w:highlight w:val="none"/>
              </w:rPr>
            </w:pPr>
            <w:r>
              <w:rPr>
                <w:rFonts w:hint="eastAsia"/>
                <w:b/>
                <w:bCs w:val="0"/>
                <w:color w:val="auto"/>
                <w:sz w:val="24"/>
                <w:highlight w:val="none"/>
              </w:rPr>
              <w:t>图2</w:t>
            </w:r>
            <w:r>
              <w:rPr>
                <w:rFonts w:hint="eastAsia"/>
                <w:b/>
                <w:bCs w:val="0"/>
                <w:color w:val="auto"/>
                <w:sz w:val="24"/>
                <w:highlight w:val="none"/>
                <w:lang w:val="en-US" w:eastAsia="zh-CN"/>
              </w:rPr>
              <w:t>.5</w:t>
            </w:r>
            <w:r>
              <w:rPr>
                <w:rFonts w:hint="eastAsia"/>
                <w:b/>
                <w:bCs w:val="0"/>
                <w:color w:val="auto"/>
                <w:sz w:val="24"/>
                <w:highlight w:val="none"/>
              </w:rPr>
              <w:t xml:space="preserve">  </w:t>
            </w:r>
            <w:r>
              <w:rPr>
                <w:rFonts w:hint="eastAsia"/>
                <w:b/>
                <w:bCs w:val="0"/>
                <w:color w:val="auto"/>
                <w:sz w:val="24"/>
                <w:highlight w:val="none"/>
                <w:lang w:eastAsia="zh-CN"/>
              </w:rPr>
              <w:t>建筑掺和料</w:t>
            </w:r>
            <w:r>
              <w:rPr>
                <w:rFonts w:hint="eastAsia"/>
                <w:b/>
                <w:bCs w:val="0"/>
                <w:color w:val="auto"/>
                <w:sz w:val="24"/>
                <w:highlight w:val="none"/>
              </w:rPr>
              <w:t>生产工艺流程及产污环节图</w:t>
            </w:r>
          </w:p>
          <w:p w14:paraId="5357975C">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eastAsia" w:eastAsia="宋体"/>
                <w:b w:val="0"/>
                <w:bCs w:val="0"/>
                <w:color w:val="auto"/>
                <w:sz w:val="24"/>
                <w:lang w:val="en-US" w:eastAsia="zh-CN"/>
              </w:rPr>
            </w:pPr>
            <w:r>
              <w:rPr>
                <w:rFonts w:hint="eastAsia"/>
                <w:b w:val="0"/>
                <w:bCs w:val="0"/>
                <w:color w:val="auto"/>
                <w:sz w:val="24"/>
                <w:lang w:val="en-US" w:eastAsia="zh-CN"/>
              </w:rPr>
              <w:t>粉煤灰、水泥经密闭管道输送投料，炉渣、脱硫石膏、生石灰采用铲车投料，投入雷蒙磨经研磨后通过密闭管道输送至搅拌机，同时按比例加入水泥混合搅拌均匀后通过密闭管道输送至建筑掺和料成品仓储存。研磨和搅拌均在密闭状态下进行。</w:t>
            </w:r>
          </w:p>
          <w:p w14:paraId="21CC5027">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eastAsia"/>
                <w:b/>
                <w:bCs/>
                <w:color w:val="auto"/>
                <w:sz w:val="24"/>
                <w:lang w:val="en-US" w:eastAsia="zh-CN"/>
              </w:rPr>
            </w:pPr>
            <w:r>
              <w:rPr>
                <w:rFonts w:hint="eastAsia"/>
                <w:b/>
                <w:bCs/>
                <w:color w:val="auto"/>
                <w:sz w:val="24"/>
                <w:lang w:val="en-US" w:eastAsia="zh-CN"/>
              </w:rPr>
              <w:t>4、</w:t>
            </w:r>
            <w:r>
              <w:rPr>
                <w:rFonts w:hint="eastAsia"/>
                <w:b/>
                <w:bCs w:val="0"/>
                <w:color w:val="auto"/>
                <w:sz w:val="24"/>
                <w:highlight w:val="none"/>
                <w:lang w:eastAsia="zh-CN"/>
              </w:rPr>
              <w:t>集料</w:t>
            </w:r>
            <w:r>
              <w:rPr>
                <w:rFonts w:hint="eastAsia"/>
                <w:b/>
                <w:bCs/>
                <w:color w:val="auto"/>
                <w:sz w:val="24"/>
                <w:lang w:val="en-US" w:eastAsia="zh-CN"/>
              </w:rPr>
              <w:t>生产工艺流程及产污环节图</w:t>
            </w:r>
          </w:p>
          <w:p w14:paraId="7E5C66C6">
            <w:pPr>
              <w:pStyle w:val="20"/>
              <w:keepNext w:val="0"/>
              <w:keepLines w:val="0"/>
              <w:pageBreakBefore w:val="0"/>
              <w:kinsoku/>
              <w:wordWrap/>
              <w:overflowPunct/>
              <w:topLinePunct w:val="0"/>
              <w:autoSpaceDE/>
              <w:autoSpaceDN/>
              <w:bidi w:val="0"/>
              <w:adjustRightInd/>
              <w:spacing w:line="360" w:lineRule="auto"/>
              <w:ind w:firstLine="482" w:firstLineChars="200"/>
              <w:jc w:val="center"/>
              <w:textAlignment w:val="auto"/>
              <w:rPr>
                <w:b/>
                <w:bCs w:val="0"/>
                <w:color w:val="auto"/>
                <w:sz w:val="24"/>
                <w:highlight w:val="none"/>
              </w:rPr>
            </w:pPr>
            <w:r>
              <w:rPr>
                <w:b/>
                <w:bCs w:val="0"/>
                <w:color w:val="auto"/>
                <w:sz w:val="24"/>
                <w:highlight w:val="none"/>
              </w:rPr>
              <w:object>
                <v:shape id="_x0000_i1029" o:spt="75" type="#_x0000_t75" style="height:309pt;width:297pt;" o:ole="t" filled="f" o:preferrelative="t" stroked="f" coordsize="21600,21600">
                  <v:path/>
                  <v:fill on="f" focussize="0,0"/>
                  <v:stroke on="f"/>
                  <v:imagedata r:id="rId16" o:title=""/>
                  <o:lock v:ext="edit" aspectratio="f"/>
                  <w10:wrap type="none"/>
                  <w10:anchorlock/>
                </v:shape>
                <o:OLEObject Type="Embed" ProgID="Visio.Drawing.11" ShapeID="_x0000_i1029" DrawAspect="Content" ObjectID="_1468075729" r:id="rId15">
                  <o:LockedField>false</o:LockedField>
                </o:OLEObject>
              </w:object>
            </w:r>
          </w:p>
          <w:p w14:paraId="78652EAA">
            <w:pPr>
              <w:pStyle w:val="2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val="0"/>
                <w:color w:val="auto"/>
                <w:sz w:val="24"/>
                <w:highlight w:val="none"/>
              </w:rPr>
            </w:pPr>
            <w:r>
              <w:rPr>
                <w:rFonts w:hint="eastAsia"/>
                <w:b/>
                <w:bCs w:val="0"/>
                <w:color w:val="auto"/>
                <w:sz w:val="24"/>
                <w:highlight w:val="none"/>
              </w:rPr>
              <w:t>图</w:t>
            </w:r>
            <w:r>
              <w:rPr>
                <w:rFonts w:hint="eastAsia"/>
                <w:b/>
                <w:bCs w:val="0"/>
                <w:color w:val="auto"/>
                <w:sz w:val="24"/>
                <w:highlight w:val="none"/>
                <w:lang w:val="en-US" w:eastAsia="zh-CN"/>
              </w:rPr>
              <w:t>2.6</w:t>
            </w:r>
            <w:r>
              <w:rPr>
                <w:rFonts w:hint="eastAsia"/>
                <w:b/>
                <w:bCs w:val="0"/>
                <w:color w:val="auto"/>
                <w:sz w:val="24"/>
                <w:highlight w:val="none"/>
              </w:rPr>
              <w:t xml:space="preserve">  </w:t>
            </w:r>
            <w:r>
              <w:rPr>
                <w:rFonts w:hint="eastAsia"/>
                <w:b/>
                <w:bCs w:val="0"/>
                <w:color w:val="auto"/>
                <w:sz w:val="24"/>
                <w:highlight w:val="none"/>
                <w:lang w:eastAsia="zh-CN"/>
              </w:rPr>
              <w:t>集料</w:t>
            </w:r>
            <w:r>
              <w:rPr>
                <w:rFonts w:hint="eastAsia"/>
                <w:b/>
                <w:bCs w:val="0"/>
                <w:color w:val="auto"/>
                <w:sz w:val="24"/>
                <w:highlight w:val="none"/>
              </w:rPr>
              <w:t>生产工艺流程及产污环节图</w:t>
            </w:r>
          </w:p>
          <w:p w14:paraId="1C625087">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eastAsia" w:eastAsia="宋体"/>
                <w:b w:val="0"/>
                <w:bCs w:val="0"/>
                <w:color w:val="auto"/>
                <w:sz w:val="24"/>
                <w:lang w:val="en-US" w:eastAsia="zh-CN"/>
              </w:rPr>
            </w:pPr>
            <w:r>
              <w:rPr>
                <w:rFonts w:hint="eastAsia"/>
                <w:b w:val="0"/>
                <w:bCs w:val="0"/>
                <w:color w:val="auto"/>
                <w:sz w:val="24"/>
                <w:lang w:val="en-US" w:eastAsia="zh-CN"/>
              </w:rPr>
              <w:t>建筑掺和料为自产，储存在水泥仓中，经密闭管道投入搅拌机，污泥（含水率约12%）和煤矸石采用铲车投入搅拌机，加入液态固化剂进行搅拌，搅拌机搅拌过程中处于密闭状态。混和均匀后通过密闭管道打入集料成品仓暂存。建筑掺和料成品仓会产生呼吸废气；投料、搅拌工艺会有噪声产生。</w:t>
            </w:r>
          </w:p>
          <w:p w14:paraId="6A2C17DF">
            <w:pPr>
              <w:pStyle w:val="20"/>
              <w:keepNext w:val="0"/>
              <w:keepLines w:val="0"/>
              <w:pageBreakBefore w:val="0"/>
              <w:kinsoku/>
              <w:wordWrap/>
              <w:overflowPunct/>
              <w:topLinePunct w:val="0"/>
              <w:autoSpaceDE/>
              <w:autoSpaceDN/>
              <w:bidi w:val="0"/>
              <w:adjustRightInd/>
              <w:spacing w:line="360" w:lineRule="auto"/>
              <w:ind w:firstLine="482" w:firstLineChars="200"/>
              <w:textAlignment w:val="auto"/>
              <w:rPr>
                <w:b/>
                <w:bCs w:val="0"/>
                <w:color w:val="auto"/>
                <w:sz w:val="24"/>
                <w:highlight w:val="none"/>
              </w:rPr>
            </w:pPr>
            <w:r>
              <w:rPr>
                <w:b/>
                <w:bCs w:val="0"/>
                <w:color w:val="auto"/>
                <w:sz w:val="24"/>
                <w:highlight w:val="none"/>
              </w:rPr>
              <w:t>项目生产过程中</w:t>
            </w:r>
            <w:r>
              <w:rPr>
                <w:rFonts w:hint="default" w:ascii="Times New Roman" w:hAnsi="Times New Roman" w:eastAsia="宋体" w:cs="Times New Roman"/>
                <w:b/>
                <w:bCs w:val="0"/>
                <w:color w:val="auto"/>
                <w:sz w:val="24"/>
                <w:highlight w:val="none"/>
              </w:rPr>
              <w:t>污染物</w:t>
            </w:r>
            <w:r>
              <w:rPr>
                <w:b/>
                <w:bCs w:val="0"/>
                <w:color w:val="auto"/>
                <w:sz w:val="24"/>
                <w:highlight w:val="none"/>
              </w:rPr>
              <w:t>产生</w:t>
            </w:r>
            <w:r>
              <w:rPr>
                <w:rFonts w:hint="eastAsia"/>
                <w:b/>
                <w:color w:val="auto"/>
                <w:sz w:val="24"/>
                <w:highlight w:val="none"/>
              </w:rPr>
              <w:t>节点</w:t>
            </w:r>
            <w:r>
              <w:rPr>
                <w:b/>
                <w:bCs w:val="0"/>
                <w:color w:val="auto"/>
                <w:sz w:val="24"/>
                <w:highlight w:val="none"/>
              </w:rPr>
              <w:t>汇总如下：</w:t>
            </w:r>
          </w:p>
          <w:p w14:paraId="576D4C0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color w:val="auto"/>
                <w:sz w:val="24"/>
                <w:highlight w:val="none"/>
              </w:rPr>
            </w:pPr>
            <w:r>
              <w:rPr>
                <w:rFonts w:hint="eastAsia"/>
                <w:b/>
                <w:color w:val="auto"/>
                <w:sz w:val="24"/>
                <w:highlight w:val="none"/>
              </w:rPr>
              <w:t>表</w:t>
            </w:r>
            <w:r>
              <w:rPr>
                <w:rFonts w:hint="eastAsia"/>
                <w:b/>
                <w:color w:val="auto"/>
                <w:sz w:val="24"/>
                <w:highlight w:val="none"/>
                <w:lang w:val="en-US" w:eastAsia="zh-CN"/>
              </w:rPr>
              <w:t xml:space="preserve">2.13 </w:t>
            </w:r>
            <w:r>
              <w:rPr>
                <w:rFonts w:hint="eastAsia"/>
                <w:b/>
                <w:color w:val="auto"/>
                <w:sz w:val="24"/>
                <w:highlight w:val="none"/>
              </w:rPr>
              <w:t xml:space="preserve"> 生产工艺产污节点、主要污染物</w:t>
            </w:r>
          </w:p>
          <w:tbl>
            <w:tblPr>
              <w:tblStyle w:val="30"/>
              <w:tblW w:w="7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593"/>
              <w:gridCol w:w="1594"/>
              <w:gridCol w:w="1594"/>
              <w:gridCol w:w="1594"/>
            </w:tblGrid>
            <w:tr w14:paraId="2D8B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Align w:val="center"/>
                </w:tcPr>
                <w:p w14:paraId="480FFB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产品</w:t>
                  </w:r>
                </w:p>
              </w:tc>
              <w:tc>
                <w:tcPr>
                  <w:tcW w:w="1593" w:type="dxa"/>
                  <w:vAlign w:val="center"/>
                </w:tcPr>
                <w:p w14:paraId="0C0D4DAC">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default" w:ascii="Times New Roman" w:hAnsi="Times New Roman" w:cs="Times New Roman"/>
                      <w:color w:val="auto"/>
                      <w:kern w:val="0"/>
                      <w:sz w:val="21"/>
                      <w:szCs w:val="21"/>
                      <w:vertAlign w:val="baseline"/>
                      <w:lang w:eastAsia="zh-CN"/>
                    </w:rPr>
                    <w:t>类别</w:t>
                  </w:r>
                </w:p>
              </w:tc>
              <w:tc>
                <w:tcPr>
                  <w:tcW w:w="1594" w:type="dxa"/>
                  <w:vAlign w:val="center"/>
                </w:tcPr>
                <w:p w14:paraId="5AC53CD6">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default" w:ascii="Times New Roman" w:hAnsi="Times New Roman" w:cs="Times New Roman"/>
                      <w:color w:val="auto"/>
                      <w:kern w:val="0"/>
                      <w:sz w:val="21"/>
                      <w:szCs w:val="21"/>
                      <w:vertAlign w:val="baseline"/>
                      <w:lang w:eastAsia="zh-CN"/>
                    </w:rPr>
                    <w:t>产污环节</w:t>
                  </w:r>
                </w:p>
              </w:tc>
              <w:tc>
                <w:tcPr>
                  <w:tcW w:w="1594" w:type="dxa"/>
                  <w:vAlign w:val="center"/>
                </w:tcPr>
                <w:p w14:paraId="68E341D9">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default" w:ascii="Times New Roman" w:hAnsi="Times New Roman" w:cs="Times New Roman"/>
                      <w:color w:val="auto"/>
                      <w:kern w:val="0"/>
                      <w:sz w:val="21"/>
                      <w:szCs w:val="21"/>
                      <w:vertAlign w:val="baseline"/>
                      <w:lang w:eastAsia="zh-CN"/>
                    </w:rPr>
                    <w:t>代号</w:t>
                  </w:r>
                </w:p>
              </w:tc>
              <w:tc>
                <w:tcPr>
                  <w:tcW w:w="1594" w:type="dxa"/>
                  <w:vAlign w:val="center"/>
                </w:tcPr>
                <w:p w14:paraId="56DB0DE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default" w:ascii="Times New Roman" w:hAnsi="Times New Roman" w:cs="Times New Roman"/>
                      <w:color w:val="auto"/>
                      <w:kern w:val="0"/>
                      <w:sz w:val="21"/>
                      <w:szCs w:val="21"/>
                      <w:vertAlign w:val="baseline"/>
                      <w:lang w:eastAsia="zh-CN"/>
                    </w:rPr>
                    <w:t>污染因子</w:t>
                  </w:r>
                </w:p>
              </w:tc>
            </w:tr>
            <w:tr w14:paraId="2844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14:paraId="4299D2E1">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eastAsia" w:ascii="宋体" w:hAnsi="宋体" w:cs="宋体"/>
                      <w:color w:val="auto"/>
                      <w:kern w:val="0"/>
                      <w:sz w:val="21"/>
                      <w:szCs w:val="21"/>
                      <w:vertAlign w:val="baseline"/>
                    </w:rPr>
                    <w:t>土壤改良土</w:t>
                  </w:r>
                </w:p>
              </w:tc>
              <w:tc>
                <w:tcPr>
                  <w:tcW w:w="1593" w:type="dxa"/>
                  <w:vMerge w:val="restart"/>
                  <w:vAlign w:val="center"/>
                </w:tcPr>
                <w:p w14:paraId="160741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废气</w:t>
                  </w:r>
                </w:p>
              </w:tc>
              <w:tc>
                <w:tcPr>
                  <w:tcW w:w="1594" w:type="dxa"/>
                  <w:vAlign w:val="center"/>
                </w:tcPr>
                <w:p w14:paraId="17B579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投料</w:t>
                  </w:r>
                </w:p>
              </w:tc>
              <w:tc>
                <w:tcPr>
                  <w:tcW w:w="1594" w:type="dxa"/>
                  <w:vAlign w:val="center"/>
                </w:tcPr>
                <w:p w14:paraId="7EBFBB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G1-1</w:t>
                  </w:r>
                </w:p>
              </w:tc>
              <w:tc>
                <w:tcPr>
                  <w:tcW w:w="1594" w:type="dxa"/>
                  <w:vAlign w:val="center"/>
                </w:tcPr>
                <w:p w14:paraId="4CCC21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颗粒物</w:t>
                  </w:r>
                </w:p>
              </w:tc>
            </w:tr>
            <w:tr w14:paraId="7830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1A6B2F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rPr>
                  </w:pPr>
                </w:p>
              </w:tc>
              <w:tc>
                <w:tcPr>
                  <w:tcW w:w="1593" w:type="dxa"/>
                  <w:vMerge w:val="continue"/>
                  <w:vAlign w:val="center"/>
                </w:tcPr>
                <w:p w14:paraId="268F9C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4" w:type="dxa"/>
                  <w:vAlign w:val="center"/>
                </w:tcPr>
                <w:p w14:paraId="3D90ED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低温闪急干化</w:t>
                  </w:r>
                </w:p>
              </w:tc>
              <w:tc>
                <w:tcPr>
                  <w:tcW w:w="1594" w:type="dxa"/>
                  <w:vAlign w:val="center"/>
                </w:tcPr>
                <w:p w14:paraId="13D158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G1-</w:t>
                  </w:r>
                  <w:r>
                    <w:rPr>
                      <w:rFonts w:hint="eastAsia" w:cs="Times New Roman"/>
                      <w:b w:val="0"/>
                      <w:bCs w:val="0"/>
                      <w:color w:val="auto"/>
                      <w:kern w:val="0"/>
                      <w:sz w:val="21"/>
                      <w:szCs w:val="21"/>
                      <w:vertAlign w:val="baseline"/>
                      <w:lang w:val="en-US" w:eastAsia="zh-CN"/>
                    </w:rPr>
                    <w:t>2</w:t>
                  </w:r>
                </w:p>
              </w:tc>
              <w:tc>
                <w:tcPr>
                  <w:tcW w:w="1594" w:type="dxa"/>
                  <w:vMerge w:val="restart"/>
                  <w:vAlign w:val="center"/>
                </w:tcPr>
                <w:p w14:paraId="5AF1EC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val="en-US" w:eastAsia="zh-CN"/>
                    </w:rPr>
                    <w:t>NH</w:t>
                  </w:r>
                  <w:r>
                    <w:rPr>
                      <w:rFonts w:hint="default" w:ascii="Times New Roman" w:hAnsi="Times New Roman" w:cs="Times New Roman"/>
                      <w:color w:val="auto"/>
                      <w:kern w:val="0"/>
                      <w:sz w:val="21"/>
                      <w:szCs w:val="21"/>
                      <w:vertAlign w:val="subscript"/>
                      <w:lang w:val="en-US" w:eastAsia="zh-CN"/>
                    </w:rPr>
                    <w:t>3</w:t>
                  </w:r>
                  <w:r>
                    <w:rPr>
                      <w:rFonts w:hint="default" w:ascii="Times New Roman" w:hAnsi="Times New Roman" w:cs="Times New Roman"/>
                      <w:color w:val="auto"/>
                      <w:kern w:val="0"/>
                      <w:sz w:val="21"/>
                      <w:szCs w:val="21"/>
                      <w:vertAlign w:val="baseline"/>
                      <w:lang w:val="en-US" w:eastAsia="zh-CN"/>
                    </w:rPr>
                    <w:t>、H</w:t>
                  </w:r>
                  <w:r>
                    <w:rPr>
                      <w:rFonts w:hint="default" w:ascii="Times New Roman" w:hAnsi="Times New Roman" w:cs="Times New Roman"/>
                      <w:color w:val="auto"/>
                      <w:kern w:val="0"/>
                      <w:sz w:val="21"/>
                      <w:szCs w:val="21"/>
                      <w:vertAlign w:val="subscript"/>
                      <w:lang w:val="en-US" w:eastAsia="zh-CN"/>
                    </w:rPr>
                    <w:t>2</w:t>
                  </w:r>
                  <w:r>
                    <w:rPr>
                      <w:rFonts w:hint="default" w:ascii="Times New Roman" w:hAnsi="Times New Roman" w:cs="Times New Roman"/>
                      <w:color w:val="auto"/>
                      <w:kern w:val="0"/>
                      <w:sz w:val="21"/>
                      <w:szCs w:val="21"/>
                      <w:vertAlign w:val="baseline"/>
                      <w:lang w:val="en-US" w:eastAsia="zh-CN"/>
                    </w:rPr>
                    <w:t>S、臭气浓度</w:t>
                  </w:r>
                </w:p>
              </w:tc>
            </w:tr>
            <w:tr w14:paraId="2386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4F7DB2B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rPr>
                  </w:pPr>
                </w:p>
              </w:tc>
              <w:tc>
                <w:tcPr>
                  <w:tcW w:w="1593" w:type="dxa"/>
                  <w:vMerge w:val="continue"/>
                  <w:vAlign w:val="center"/>
                </w:tcPr>
                <w:p w14:paraId="243491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4" w:type="dxa"/>
                  <w:vAlign w:val="center"/>
                </w:tcPr>
                <w:p w14:paraId="0154D8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矿化干化</w:t>
                  </w:r>
                </w:p>
              </w:tc>
              <w:tc>
                <w:tcPr>
                  <w:tcW w:w="1594" w:type="dxa"/>
                  <w:vAlign w:val="center"/>
                </w:tcPr>
                <w:p w14:paraId="4B9507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G1-</w:t>
                  </w:r>
                  <w:r>
                    <w:rPr>
                      <w:rFonts w:hint="eastAsia" w:cs="Times New Roman"/>
                      <w:b w:val="0"/>
                      <w:bCs w:val="0"/>
                      <w:color w:val="auto"/>
                      <w:kern w:val="0"/>
                      <w:sz w:val="21"/>
                      <w:szCs w:val="21"/>
                      <w:vertAlign w:val="baseline"/>
                      <w:lang w:val="en-US" w:eastAsia="zh-CN"/>
                    </w:rPr>
                    <w:t>3</w:t>
                  </w:r>
                </w:p>
              </w:tc>
              <w:tc>
                <w:tcPr>
                  <w:tcW w:w="1594" w:type="dxa"/>
                  <w:vMerge w:val="continue"/>
                  <w:vAlign w:val="center"/>
                </w:tcPr>
                <w:p w14:paraId="218E62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r>
            <w:tr w14:paraId="75C8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1CCE83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rPr>
                  </w:pPr>
                </w:p>
              </w:tc>
              <w:tc>
                <w:tcPr>
                  <w:tcW w:w="1593" w:type="dxa"/>
                  <w:vMerge w:val="continue"/>
                  <w:vAlign w:val="center"/>
                </w:tcPr>
                <w:p w14:paraId="344C67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4" w:type="dxa"/>
                  <w:vAlign w:val="center"/>
                </w:tcPr>
                <w:p w14:paraId="4EDBD0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陈化</w:t>
                  </w:r>
                </w:p>
              </w:tc>
              <w:tc>
                <w:tcPr>
                  <w:tcW w:w="1594" w:type="dxa"/>
                  <w:vAlign w:val="center"/>
                </w:tcPr>
                <w:p w14:paraId="07281D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G1-</w:t>
                  </w:r>
                  <w:r>
                    <w:rPr>
                      <w:rFonts w:hint="eastAsia" w:cs="Times New Roman"/>
                      <w:b w:val="0"/>
                      <w:bCs w:val="0"/>
                      <w:color w:val="auto"/>
                      <w:kern w:val="0"/>
                      <w:sz w:val="21"/>
                      <w:szCs w:val="21"/>
                      <w:vertAlign w:val="baseline"/>
                      <w:lang w:val="en-US" w:eastAsia="zh-CN"/>
                    </w:rPr>
                    <w:t>4</w:t>
                  </w:r>
                </w:p>
              </w:tc>
              <w:tc>
                <w:tcPr>
                  <w:tcW w:w="1594" w:type="dxa"/>
                  <w:vMerge w:val="continue"/>
                  <w:vAlign w:val="center"/>
                </w:tcPr>
                <w:p w14:paraId="540881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r>
            <w:tr w14:paraId="4D99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542A23D9">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p>
              </w:tc>
              <w:tc>
                <w:tcPr>
                  <w:tcW w:w="1593" w:type="dxa"/>
                  <w:vAlign w:val="center"/>
                </w:tcPr>
                <w:p w14:paraId="35C502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固废</w:t>
                  </w:r>
                </w:p>
              </w:tc>
              <w:tc>
                <w:tcPr>
                  <w:tcW w:w="1594" w:type="dxa"/>
                  <w:vAlign w:val="center"/>
                </w:tcPr>
                <w:p w14:paraId="447EED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投料</w:t>
                  </w:r>
                </w:p>
              </w:tc>
              <w:tc>
                <w:tcPr>
                  <w:tcW w:w="1594" w:type="dxa"/>
                  <w:vAlign w:val="center"/>
                </w:tcPr>
                <w:p w14:paraId="03EA68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S1-1</w:t>
                  </w:r>
                </w:p>
              </w:tc>
              <w:tc>
                <w:tcPr>
                  <w:tcW w:w="1594" w:type="dxa"/>
                  <w:vAlign w:val="center"/>
                </w:tcPr>
                <w:p w14:paraId="0ACC0E47">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eastAsia" w:ascii="宋体" w:hAnsi="宋体" w:cs="宋体"/>
                      <w:color w:val="auto"/>
                      <w:kern w:val="0"/>
                      <w:sz w:val="21"/>
                      <w:szCs w:val="21"/>
                      <w:vertAlign w:val="baseline"/>
                      <w:lang w:eastAsia="zh-CN"/>
                    </w:rPr>
                    <w:t>废包装袋</w:t>
                  </w:r>
                </w:p>
              </w:tc>
            </w:tr>
            <w:tr w14:paraId="58B9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4F5E21F2">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p>
              </w:tc>
              <w:tc>
                <w:tcPr>
                  <w:tcW w:w="1593" w:type="dxa"/>
                  <w:vMerge w:val="restart"/>
                  <w:vAlign w:val="center"/>
                </w:tcPr>
                <w:p w14:paraId="728043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噪声</w:t>
                  </w:r>
                </w:p>
              </w:tc>
              <w:tc>
                <w:tcPr>
                  <w:tcW w:w="1594" w:type="dxa"/>
                  <w:vAlign w:val="center"/>
                </w:tcPr>
                <w:p w14:paraId="00A5D2F3">
                  <w:pPr>
                    <w:jc w:val="center"/>
                    <w:rPr>
                      <w:rFonts w:ascii="宋体" w:hAnsi="宋体" w:cs="宋体"/>
                      <w:color w:val="auto"/>
                      <w:kern w:val="0"/>
                      <w:sz w:val="21"/>
                      <w:szCs w:val="21"/>
                      <w:vertAlign w:val="baseline"/>
                    </w:rPr>
                  </w:pPr>
                  <w:r>
                    <w:rPr>
                      <w:rFonts w:hint="default" w:ascii="Times New Roman" w:hAnsi="Times New Roman" w:eastAsia="宋体" w:cs="Times New Roman"/>
                      <w:color w:val="auto"/>
                      <w:kern w:val="0"/>
                      <w:sz w:val="21"/>
                      <w:szCs w:val="21"/>
                    </w:rPr>
                    <w:t>设备运行</w:t>
                  </w:r>
                </w:p>
              </w:tc>
              <w:tc>
                <w:tcPr>
                  <w:tcW w:w="1594" w:type="dxa"/>
                  <w:vAlign w:val="center"/>
                </w:tcPr>
                <w:p w14:paraId="5AC69159">
                  <w:pPr>
                    <w:jc w:val="center"/>
                    <w:rPr>
                      <w:rFonts w:hint="default" w:ascii="Times New Roman" w:hAnsi="Times New Roman" w:cs="Times New Roman"/>
                      <w:b w:val="0"/>
                      <w:bCs w:val="0"/>
                      <w:color w:val="auto"/>
                      <w:kern w:val="0"/>
                      <w:sz w:val="21"/>
                      <w:szCs w:val="21"/>
                      <w:vertAlign w:val="baseline"/>
                    </w:rPr>
                  </w:pPr>
                  <w:r>
                    <w:rPr>
                      <w:rFonts w:hint="default" w:ascii="Times New Roman" w:hAnsi="Times New Roman" w:eastAsia="宋体" w:cs="Times New Roman"/>
                      <w:color w:val="auto"/>
                      <w:kern w:val="0"/>
                      <w:sz w:val="21"/>
                      <w:szCs w:val="21"/>
                    </w:rPr>
                    <w:t>N</w:t>
                  </w:r>
                </w:p>
              </w:tc>
              <w:tc>
                <w:tcPr>
                  <w:tcW w:w="1594" w:type="dxa"/>
                  <w:vAlign w:val="center"/>
                </w:tcPr>
                <w:p w14:paraId="497D35F8">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default" w:ascii="Times New Roman" w:hAnsi="Times New Roman" w:eastAsia="宋体" w:cs="Times New Roman"/>
                      <w:color w:val="auto"/>
                      <w:kern w:val="0"/>
                      <w:sz w:val="21"/>
                      <w:szCs w:val="21"/>
                    </w:rPr>
                    <w:t>噪声</w:t>
                  </w:r>
                </w:p>
              </w:tc>
            </w:tr>
            <w:tr w14:paraId="68C3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06D05B36">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p>
              </w:tc>
              <w:tc>
                <w:tcPr>
                  <w:tcW w:w="1593" w:type="dxa"/>
                  <w:vMerge w:val="continue"/>
                  <w:vAlign w:val="center"/>
                </w:tcPr>
                <w:p w14:paraId="231065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p>
              </w:tc>
              <w:tc>
                <w:tcPr>
                  <w:tcW w:w="1594" w:type="dxa"/>
                  <w:vAlign w:val="center"/>
                </w:tcPr>
                <w:p w14:paraId="602D0440">
                  <w:pPr>
                    <w:jc w:val="center"/>
                    <w:rPr>
                      <w:rFonts w:hint="eastAsia" w:ascii="宋体" w:hAnsi="宋体" w:cs="宋体"/>
                      <w:color w:val="auto"/>
                      <w:kern w:val="0"/>
                      <w:sz w:val="21"/>
                      <w:szCs w:val="21"/>
                      <w:vertAlign w:val="baseline"/>
                      <w:lang w:eastAsia="zh-CN"/>
                    </w:rPr>
                  </w:pPr>
                  <w:r>
                    <w:rPr>
                      <w:rFonts w:hint="default" w:ascii="Times New Roman" w:hAnsi="Times New Roman" w:eastAsia="宋体" w:cs="Times New Roman"/>
                      <w:color w:val="auto"/>
                      <w:kern w:val="0"/>
                      <w:sz w:val="21"/>
                      <w:szCs w:val="21"/>
                    </w:rPr>
                    <w:t>风机</w:t>
                  </w:r>
                </w:p>
              </w:tc>
              <w:tc>
                <w:tcPr>
                  <w:tcW w:w="1594" w:type="dxa"/>
                  <w:vAlign w:val="center"/>
                </w:tcPr>
                <w:p w14:paraId="59038AC6">
                  <w:pPr>
                    <w:jc w:val="center"/>
                    <w:rPr>
                      <w:rFonts w:hint="default" w:ascii="Times New Roman" w:hAnsi="Times New Roman" w:cs="Times New Roman"/>
                      <w:b w:val="0"/>
                      <w:bCs w:val="0"/>
                      <w:color w:val="auto"/>
                      <w:kern w:val="0"/>
                      <w:sz w:val="21"/>
                      <w:szCs w:val="21"/>
                      <w:vertAlign w:val="baseline"/>
                    </w:rPr>
                  </w:pPr>
                  <w:r>
                    <w:rPr>
                      <w:rFonts w:hint="default" w:ascii="Times New Roman" w:hAnsi="Times New Roman" w:eastAsia="宋体" w:cs="Times New Roman"/>
                      <w:color w:val="auto"/>
                      <w:kern w:val="0"/>
                      <w:sz w:val="21"/>
                      <w:szCs w:val="21"/>
                    </w:rPr>
                    <w:t>N</w:t>
                  </w:r>
                </w:p>
              </w:tc>
              <w:tc>
                <w:tcPr>
                  <w:tcW w:w="1594" w:type="dxa"/>
                  <w:vAlign w:val="center"/>
                </w:tcPr>
                <w:p w14:paraId="0A364F12">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default" w:ascii="Times New Roman" w:hAnsi="Times New Roman" w:eastAsia="宋体" w:cs="Times New Roman"/>
                      <w:color w:val="auto"/>
                      <w:kern w:val="0"/>
                      <w:sz w:val="21"/>
                      <w:szCs w:val="21"/>
                    </w:rPr>
                    <w:t>噪声</w:t>
                  </w:r>
                </w:p>
              </w:tc>
            </w:tr>
            <w:tr w14:paraId="59A7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14:paraId="091F91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绿化营养土</w:t>
                  </w:r>
                </w:p>
              </w:tc>
              <w:tc>
                <w:tcPr>
                  <w:tcW w:w="1593" w:type="dxa"/>
                  <w:vMerge w:val="restart"/>
                  <w:vAlign w:val="center"/>
                </w:tcPr>
                <w:p w14:paraId="4CACE814">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eastAsia" w:ascii="宋体" w:hAnsi="宋体" w:cs="宋体"/>
                      <w:color w:val="auto"/>
                      <w:kern w:val="0"/>
                      <w:sz w:val="21"/>
                      <w:szCs w:val="21"/>
                      <w:vertAlign w:val="baseline"/>
                      <w:lang w:eastAsia="zh-CN"/>
                    </w:rPr>
                    <w:t>废气</w:t>
                  </w:r>
                </w:p>
              </w:tc>
              <w:tc>
                <w:tcPr>
                  <w:tcW w:w="1594" w:type="dxa"/>
                  <w:vAlign w:val="center"/>
                </w:tcPr>
                <w:p w14:paraId="71C2C7D6">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eastAsia" w:ascii="宋体" w:hAnsi="宋体" w:cs="宋体"/>
                      <w:color w:val="auto"/>
                      <w:kern w:val="0"/>
                      <w:sz w:val="21"/>
                      <w:szCs w:val="21"/>
                      <w:vertAlign w:val="baseline"/>
                      <w:lang w:eastAsia="zh-CN"/>
                    </w:rPr>
                    <w:t>投料</w:t>
                  </w:r>
                </w:p>
              </w:tc>
              <w:tc>
                <w:tcPr>
                  <w:tcW w:w="1594" w:type="dxa"/>
                  <w:vAlign w:val="center"/>
                </w:tcPr>
                <w:p w14:paraId="42AA59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kern w:val="0"/>
                      <w:sz w:val="21"/>
                      <w:szCs w:val="21"/>
                      <w:vertAlign w:val="baseline"/>
                    </w:rPr>
                  </w:pPr>
                  <w:r>
                    <w:rPr>
                      <w:rFonts w:hint="default" w:ascii="Times New Roman" w:hAnsi="Times New Roman" w:cs="Times New Roman"/>
                      <w:b w:val="0"/>
                      <w:bCs w:val="0"/>
                      <w:color w:val="auto"/>
                      <w:kern w:val="0"/>
                      <w:sz w:val="21"/>
                      <w:szCs w:val="21"/>
                      <w:vertAlign w:val="baseline"/>
                      <w:lang w:val="en-US" w:eastAsia="zh-CN"/>
                    </w:rPr>
                    <w:t>G2-1</w:t>
                  </w:r>
                </w:p>
              </w:tc>
              <w:tc>
                <w:tcPr>
                  <w:tcW w:w="1594" w:type="dxa"/>
                  <w:vAlign w:val="center"/>
                </w:tcPr>
                <w:p w14:paraId="61CC346A">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eastAsia" w:ascii="宋体" w:hAnsi="宋体" w:cs="宋体"/>
                      <w:color w:val="auto"/>
                      <w:kern w:val="0"/>
                      <w:sz w:val="21"/>
                      <w:szCs w:val="21"/>
                      <w:vertAlign w:val="baseline"/>
                      <w:lang w:eastAsia="zh-CN"/>
                    </w:rPr>
                    <w:t>颗粒物</w:t>
                  </w:r>
                </w:p>
              </w:tc>
            </w:tr>
            <w:tr w14:paraId="0039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15DEAF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3" w:type="dxa"/>
                  <w:vMerge w:val="continue"/>
                  <w:vAlign w:val="center"/>
                </w:tcPr>
                <w:p w14:paraId="685A1C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4" w:type="dxa"/>
                  <w:vAlign w:val="center"/>
                </w:tcPr>
                <w:p w14:paraId="22032A51">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eastAsia" w:ascii="宋体" w:hAnsi="宋体" w:cs="宋体"/>
                      <w:color w:val="auto"/>
                      <w:kern w:val="0"/>
                      <w:sz w:val="21"/>
                      <w:szCs w:val="21"/>
                      <w:vertAlign w:val="baseline"/>
                      <w:lang w:eastAsia="zh-CN"/>
                    </w:rPr>
                    <w:t>低温闪急干化</w:t>
                  </w:r>
                </w:p>
              </w:tc>
              <w:tc>
                <w:tcPr>
                  <w:tcW w:w="1594" w:type="dxa"/>
                  <w:vAlign w:val="center"/>
                </w:tcPr>
                <w:p w14:paraId="7139CE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kern w:val="0"/>
                      <w:sz w:val="21"/>
                      <w:szCs w:val="21"/>
                      <w:vertAlign w:val="baseline"/>
                      <w:lang w:val="en-US"/>
                    </w:rPr>
                  </w:pPr>
                  <w:r>
                    <w:rPr>
                      <w:rFonts w:hint="default" w:ascii="Times New Roman" w:hAnsi="Times New Roman" w:cs="Times New Roman"/>
                      <w:b w:val="0"/>
                      <w:bCs w:val="0"/>
                      <w:color w:val="auto"/>
                      <w:kern w:val="0"/>
                      <w:sz w:val="21"/>
                      <w:szCs w:val="21"/>
                      <w:vertAlign w:val="baseline"/>
                      <w:lang w:val="en-US" w:eastAsia="zh-CN"/>
                    </w:rPr>
                    <w:t>G2-2</w:t>
                  </w:r>
                </w:p>
              </w:tc>
              <w:tc>
                <w:tcPr>
                  <w:tcW w:w="1594" w:type="dxa"/>
                  <w:vMerge w:val="restart"/>
                  <w:vAlign w:val="center"/>
                </w:tcPr>
                <w:p w14:paraId="5AC2690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default" w:ascii="Times New Roman" w:hAnsi="Times New Roman" w:cs="Times New Roman"/>
                      <w:color w:val="auto"/>
                      <w:kern w:val="0"/>
                      <w:sz w:val="21"/>
                      <w:szCs w:val="21"/>
                      <w:vertAlign w:val="baseline"/>
                      <w:lang w:val="en-US" w:eastAsia="zh-CN"/>
                    </w:rPr>
                    <w:t>NH</w:t>
                  </w:r>
                  <w:r>
                    <w:rPr>
                      <w:rFonts w:hint="default" w:ascii="Times New Roman" w:hAnsi="Times New Roman" w:cs="Times New Roman"/>
                      <w:color w:val="auto"/>
                      <w:kern w:val="0"/>
                      <w:sz w:val="21"/>
                      <w:szCs w:val="21"/>
                      <w:vertAlign w:val="subscript"/>
                      <w:lang w:val="en-US" w:eastAsia="zh-CN"/>
                    </w:rPr>
                    <w:t>3</w:t>
                  </w:r>
                  <w:r>
                    <w:rPr>
                      <w:rFonts w:hint="default" w:ascii="Times New Roman" w:hAnsi="Times New Roman" w:cs="Times New Roman"/>
                      <w:color w:val="auto"/>
                      <w:kern w:val="0"/>
                      <w:sz w:val="21"/>
                      <w:szCs w:val="21"/>
                      <w:vertAlign w:val="baseline"/>
                      <w:lang w:val="en-US" w:eastAsia="zh-CN"/>
                    </w:rPr>
                    <w:t>、H</w:t>
                  </w:r>
                  <w:r>
                    <w:rPr>
                      <w:rFonts w:hint="default" w:ascii="Times New Roman" w:hAnsi="Times New Roman" w:cs="Times New Roman"/>
                      <w:color w:val="auto"/>
                      <w:kern w:val="0"/>
                      <w:sz w:val="21"/>
                      <w:szCs w:val="21"/>
                      <w:vertAlign w:val="subscript"/>
                      <w:lang w:val="en-US" w:eastAsia="zh-CN"/>
                    </w:rPr>
                    <w:t>2</w:t>
                  </w:r>
                  <w:r>
                    <w:rPr>
                      <w:rFonts w:hint="default" w:ascii="Times New Roman" w:hAnsi="Times New Roman" w:cs="Times New Roman"/>
                      <w:color w:val="auto"/>
                      <w:kern w:val="0"/>
                      <w:sz w:val="21"/>
                      <w:szCs w:val="21"/>
                      <w:vertAlign w:val="baseline"/>
                      <w:lang w:val="en-US" w:eastAsia="zh-CN"/>
                    </w:rPr>
                    <w:t>S、臭气浓度</w:t>
                  </w:r>
                </w:p>
              </w:tc>
            </w:tr>
            <w:tr w14:paraId="4022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01917A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3" w:type="dxa"/>
                  <w:vMerge w:val="continue"/>
                  <w:vAlign w:val="center"/>
                </w:tcPr>
                <w:p w14:paraId="6A99E0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4" w:type="dxa"/>
                  <w:vAlign w:val="center"/>
                </w:tcPr>
                <w:p w14:paraId="601708FC">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eastAsia" w:ascii="宋体" w:hAnsi="宋体" w:cs="宋体"/>
                      <w:color w:val="auto"/>
                      <w:kern w:val="0"/>
                      <w:sz w:val="21"/>
                      <w:szCs w:val="21"/>
                      <w:vertAlign w:val="baseline"/>
                      <w:lang w:eastAsia="zh-CN"/>
                    </w:rPr>
                    <w:t>矿化干化</w:t>
                  </w:r>
                </w:p>
              </w:tc>
              <w:tc>
                <w:tcPr>
                  <w:tcW w:w="1594" w:type="dxa"/>
                  <w:vAlign w:val="center"/>
                </w:tcPr>
                <w:p w14:paraId="5FF1C2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kern w:val="0"/>
                      <w:sz w:val="21"/>
                      <w:szCs w:val="21"/>
                      <w:vertAlign w:val="baseline"/>
                      <w:lang w:val="en-US"/>
                    </w:rPr>
                  </w:pPr>
                  <w:r>
                    <w:rPr>
                      <w:rFonts w:hint="default" w:ascii="Times New Roman" w:hAnsi="Times New Roman" w:cs="Times New Roman"/>
                      <w:b w:val="0"/>
                      <w:bCs w:val="0"/>
                      <w:color w:val="auto"/>
                      <w:kern w:val="0"/>
                      <w:sz w:val="21"/>
                      <w:szCs w:val="21"/>
                      <w:vertAlign w:val="baseline"/>
                      <w:lang w:val="en-US" w:eastAsia="zh-CN"/>
                    </w:rPr>
                    <w:t>G2-3</w:t>
                  </w:r>
                </w:p>
              </w:tc>
              <w:tc>
                <w:tcPr>
                  <w:tcW w:w="1594" w:type="dxa"/>
                  <w:vMerge w:val="continue"/>
                  <w:vAlign w:val="center"/>
                </w:tcPr>
                <w:p w14:paraId="089AD42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p>
              </w:tc>
            </w:tr>
            <w:tr w14:paraId="0224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1242DB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3" w:type="dxa"/>
                  <w:vMerge w:val="continue"/>
                  <w:vAlign w:val="center"/>
                </w:tcPr>
                <w:p w14:paraId="0F76D8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4" w:type="dxa"/>
                  <w:vAlign w:val="center"/>
                </w:tcPr>
                <w:p w14:paraId="083E93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陈化</w:t>
                  </w:r>
                </w:p>
              </w:tc>
              <w:tc>
                <w:tcPr>
                  <w:tcW w:w="1594" w:type="dxa"/>
                  <w:vAlign w:val="center"/>
                </w:tcPr>
                <w:p w14:paraId="65E1BC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G2-</w:t>
                  </w:r>
                  <w:r>
                    <w:rPr>
                      <w:rFonts w:hint="eastAsia" w:cs="Times New Roman"/>
                      <w:b w:val="0"/>
                      <w:bCs w:val="0"/>
                      <w:color w:val="auto"/>
                      <w:kern w:val="0"/>
                      <w:sz w:val="21"/>
                      <w:szCs w:val="21"/>
                      <w:vertAlign w:val="baseline"/>
                      <w:lang w:val="en-US" w:eastAsia="zh-CN"/>
                    </w:rPr>
                    <w:t>4</w:t>
                  </w:r>
                </w:p>
              </w:tc>
              <w:tc>
                <w:tcPr>
                  <w:tcW w:w="1594" w:type="dxa"/>
                  <w:vMerge w:val="continue"/>
                  <w:vAlign w:val="center"/>
                </w:tcPr>
                <w:p w14:paraId="1315611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p>
              </w:tc>
            </w:tr>
            <w:tr w14:paraId="561C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01F5246A">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p>
              </w:tc>
              <w:tc>
                <w:tcPr>
                  <w:tcW w:w="1593" w:type="dxa"/>
                  <w:vAlign w:val="center"/>
                </w:tcPr>
                <w:p w14:paraId="697EBC05">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eastAsia" w:ascii="宋体" w:hAnsi="宋体" w:cs="宋体"/>
                      <w:color w:val="auto"/>
                      <w:kern w:val="0"/>
                      <w:sz w:val="21"/>
                      <w:szCs w:val="21"/>
                      <w:vertAlign w:val="baseline"/>
                      <w:lang w:val="en-US" w:eastAsia="zh-CN"/>
                    </w:rPr>
                    <w:t>固废</w:t>
                  </w:r>
                </w:p>
              </w:tc>
              <w:tc>
                <w:tcPr>
                  <w:tcW w:w="1594" w:type="dxa"/>
                  <w:vAlign w:val="center"/>
                </w:tcPr>
                <w:p w14:paraId="16172ED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eastAsia" w:ascii="宋体" w:hAnsi="宋体" w:cs="宋体"/>
                      <w:color w:val="auto"/>
                      <w:kern w:val="0"/>
                      <w:sz w:val="21"/>
                      <w:szCs w:val="21"/>
                      <w:vertAlign w:val="baseline"/>
                      <w:lang w:eastAsia="zh-CN"/>
                    </w:rPr>
                    <w:t>投料</w:t>
                  </w:r>
                </w:p>
              </w:tc>
              <w:tc>
                <w:tcPr>
                  <w:tcW w:w="1594" w:type="dxa"/>
                  <w:vAlign w:val="center"/>
                </w:tcPr>
                <w:p w14:paraId="4A70F6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cs="宋体"/>
                      <w:color w:val="auto"/>
                      <w:kern w:val="0"/>
                      <w:sz w:val="21"/>
                      <w:szCs w:val="21"/>
                      <w:vertAlign w:val="baseline"/>
                      <w:lang w:val="en-US"/>
                    </w:rPr>
                  </w:pPr>
                  <w:r>
                    <w:rPr>
                      <w:rFonts w:hint="eastAsia" w:ascii="Times New Roman" w:hAnsi="Times New Roman" w:cs="Times New Roman"/>
                      <w:b w:val="0"/>
                      <w:bCs w:val="0"/>
                      <w:color w:val="auto"/>
                      <w:kern w:val="0"/>
                      <w:sz w:val="21"/>
                      <w:szCs w:val="21"/>
                      <w:vertAlign w:val="baseline"/>
                      <w:lang w:val="en-US" w:eastAsia="zh-CN"/>
                    </w:rPr>
                    <w:t>S</w:t>
                  </w:r>
                  <w:r>
                    <w:rPr>
                      <w:rFonts w:hint="eastAsia" w:cs="Times New Roman"/>
                      <w:b w:val="0"/>
                      <w:bCs w:val="0"/>
                      <w:color w:val="auto"/>
                      <w:kern w:val="0"/>
                      <w:sz w:val="21"/>
                      <w:szCs w:val="21"/>
                      <w:vertAlign w:val="baseline"/>
                      <w:lang w:val="en-US" w:eastAsia="zh-CN"/>
                    </w:rPr>
                    <w:t>2</w:t>
                  </w:r>
                  <w:r>
                    <w:rPr>
                      <w:rFonts w:hint="eastAsia" w:ascii="Times New Roman" w:hAnsi="Times New Roman" w:cs="Times New Roman"/>
                      <w:b w:val="0"/>
                      <w:bCs w:val="0"/>
                      <w:color w:val="auto"/>
                      <w:kern w:val="0"/>
                      <w:sz w:val="21"/>
                      <w:szCs w:val="21"/>
                      <w:vertAlign w:val="baseline"/>
                      <w:lang w:val="en-US" w:eastAsia="zh-CN"/>
                    </w:rPr>
                    <w:t>-1</w:t>
                  </w:r>
                  <w:r>
                    <w:rPr>
                      <w:rFonts w:hint="eastAsia" w:cs="Times New Roman"/>
                      <w:b w:val="0"/>
                      <w:bCs w:val="0"/>
                      <w:color w:val="auto"/>
                      <w:kern w:val="0"/>
                      <w:sz w:val="21"/>
                      <w:szCs w:val="21"/>
                      <w:vertAlign w:val="baseline"/>
                      <w:lang w:val="en-US" w:eastAsia="zh-CN"/>
                    </w:rPr>
                    <w:t>、S2-2</w:t>
                  </w:r>
                </w:p>
              </w:tc>
              <w:tc>
                <w:tcPr>
                  <w:tcW w:w="1594" w:type="dxa"/>
                  <w:vAlign w:val="center"/>
                </w:tcPr>
                <w:p w14:paraId="296FE6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废包装袋、废包装桶</w:t>
                  </w:r>
                </w:p>
              </w:tc>
            </w:tr>
            <w:tr w14:paraId="4CEA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030BDC11">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p>
              </w:tc>
              <w:tc>
                <w:tcPr>
                  <w:tcW w:w="1593" w:type="dxa"/>
                  <w:vMerge w:val="restart"/>
                  <w:vAlign w:val="center"/>
                </w:tcPr>
                <w:p w14:paraId="74200C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噪声</w:t>
                  </w:r>
                </w:p>
              </w:tc>
              <w:tc>
                <w:tcPr>
                  <w:tcW w:w="1594" w:type="dxa"/>
                  <w:vAlign w:val="center"/>
                </w:tcPr>
                <w:p w14:paraId="0BEED65D">
                  <w:pPr>
                    <w:jc w:val="center"/>
                    <w:rPr>
                      <w:rFonts w:ascii="宋体" w:hAnsi="宋体" w:cs="宋体"/>
                      <w:color w:val="auto"/>
                      <w:kern w:val="0"/>
                      <w:sz w:val="21"/>
                      <w:szCs w:val="21"/>
                      <w:vertAlign w:val="baseline"/>
                    </w:rPr>
                  </w:pPr>
                  <w:r>
                    <w:rPr>
                      <w:rFonts w:hint="default" w:ascii="Times New Roman" w:hAnsi="Times New Roman" w:eastAsia="宋体" w:cs="Times New Roman"/>
                      <w:color w:val="auto"/>
                      <w:kern w:val="0"/>
                      <w:sz w:val="21"/>
                      <w:szCs w:val="21"/>
                    </w:rPr>
                    <w:t>设备运行</w:t>
                  </w:r>
                </w:p>
              </w:tc>
              <w:tc>
                <w:tcPr>
                  <w:tcW w:w="1594" w:type="dxa"/>
                  <w:vAlign w:val="center"/>
                </w:tcPr>
                <w:p w14:paraId="73958124">
                  <w:pPr>
                    <w:jc w:val="center"/>
                    <w:rPr>
                      <w:rFonts w:ascii="宋体" w:hAnsi="宋体" w:cs="宋体"/>
                      <w:color w:val="auto"/>
                      <w:kern w:val="0"/>
                      <w:sz w:val="21"/>
                      <w:szCs w:val="21"/>
                      <w:vertAlign w:val="baseline"/>
                    </w:rPr>
                  </w:pPr>
                  <w:r>
                    <w:rPr>
                      <w:rFonts w:hint="default" w:ascii="Times New Roman" w:hAnsi="Times New Roman" w:eastAsia="宋体" w:cs="Times New Roman"/>
                      <w:color w:val="auto"/>
                      <w:kern w:val="0"/>
                      <w:sz w:val="21"/>
                      <w:szCs w:val="21"/>
                    </w:rPr>
                    <w:t>N</w:t>
                  </w:r>
                </w:p>
              </w:tc>
              <w:tc>
                <w:tcPr>
                  <w:tcW w:w="1594" w:type="dxa"/>
                  <w:vAlign w:val="center"/>
                </w:tcPr>
                <w:p w14:paraId="76D1CD68">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default" w:ascii="Times New Roman" w:hAnsi="Times New Roman" w:eastAsia="宋体" w:cs="Times New Roman"/>
                      <w:color w:val="auto"/>
                      <w:kern w:val="0"/>
                      <w:sz w:val="21"/>
                      <w:szCs w:val="21"/>
                    </w:rPr>
                    <w:t>噪声</w:t>
                  </w:r>
                </w:p>
              </w:tc>
            </w:tr>
            <w:tr w14:paraId="467E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7EC98E1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p>
              </w:tc>
              <w:tc>
                <w:tcPr>
                  <w:tcW w:w="1593" w:type="dxa"/>
                  <w:vMerge w:val="continue"/>
                  <w:vAlign w:val="center"/>
                </w:tcPr>
                <w:p w14:paraId="3F4ECC72">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p>
              </w:tc>
              <w:tc>
                <w:tcPr>
                  <w:tcW w:w="1594" w:type="dxa"/>
                  <w:vAlign w:val="center"/>
                </w:tcPr>
                <w:p w14:paraId="41DD23CE">
                  <w:pPr>
                    <w:jc w:val="center"/>
                    <w:rPr>
                      <w:rFonts w:ascii="宋体" w:hAnsi="宋体" w:cs="宋体"/>
                      <w:color w:val="auto"/>
                      <w:kern w:val="0"/>
                      <w:sz w:val="21"/>
                      <w:szCs w:val="21"/>
                      <w:vertAlign w:val="baseline"/>
                    </w:rPr>
                  </w:pPr>
                  <w:r>
                    <w:rPr>
                      <w:rFonts w:hint="default" w:ascii="Times New Roman" w:hAnsi="Times New Roman" w:eastAsia="宋体" w:cs="Times New Roman"/>
                      <w:color w:val="auto"/>
                      <w:kern w:val="0"/>
                      <w:sz w:val="21"/>
                      <w:szCs w:val="21"/>
                    </w:rPr>
                    <w:t>风机</w:t>
                  </w:r>
                </w:p>
              </w:tc>
              <w:tc>
                <w:tcPr>
                  <w:tcW w:w="1594" w:type="dxa"/>
                  <w:vAlign w:val="center"/>
                </w:tcPr>
                <w:p w14:paraId="201F953B">
                  <w:pPr>
                    <w:jc w:val="center"/>
                    <w:rPr>
                      <w:rFonts w:ascii="宋体" w:hAnsi="宋体" w:cs="宋体"/>
                      <w:color w:val="auto"/>
                      <w:kern w:val="0"/>
                      <w:sz w:val="21"/>
                      <w:szCs w:val="21"/>
                      <w:vertAlign w:val="baseline"/>
                    </w:rPr>
                  </w:pPr>
                  <w:r>
                    <w:rPr>
                      <w:rFonts w:hint="default" w:ascii="Times New Roman" w:hAnsi="Times New Roman" w:eastAsia="宋体" w:cs="Times New Roman"/>
                      <w:color w:val="auto"/>
                      <w:kern w:val="0"/>
                      <w:sz w:val="21"/>
                      <w:szCs w:val="21"/>
                    </w:rPr>
                    <w:t>N</w:t>
                  </w:r>
                </w:p>
              </w:tc>
              <w:tc>
                <w:tcPr>
                  <w:tcW w:w="1594" w:type="dxa"/>
                  <w:vAlign w:val="center"/>
                </w:tcPr>
                <w:p w14:paraId="4D000EE7">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color w:val="auto"/>
                      <w:kern w:val="0"/>
                      <w:sz w:val="21"/>
                      <w:szCs w:val="21"/>
                      <w:vertAlign w:val="baseline"/>
                    </w:rPr>
                  </w:pPr>
                  <w:r>
                    <w:rPr>
                      <w:rFonts w:hint="default" w:ascii="Times New Roman" w:hAnsi="Times New Roman" w:eastAsia="宋体" w:cs="Times New Roman"/>
                      <w:color w:val="auto"/>
                      <w:kern w:val="0"/>
                      <w:sz w:val="21"/>
                      <w:szCs w:val="21"/>
                    </w:rPr>
                    <w:t>噪声</w:t>
                  </w:r>
                </w:p>
              </w:tc>
            </w:tr>
            <w:tr w14:paraId="5473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14:paraId="0CF739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建筑掺和料</w:t>
                  </w:r>
                </w:p>
              </w:tc>
              <w:tc>
                <w:tcPr>
                  <w:tcW w:w="1593" w:type="dxa"/>
                  <w:vAlign w:val="center"/>
                </w:tcPr>
                <w:p w14:paraId="3F9504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废气</w:t>
                  </w:r>
                </w:p>
              </w:tc>
              <w:tc>
                <w:tcPr>
                  <w:tcW w:w="1594" w:type="dxa"/>
                  <w:vAlign w:val="center"/>
                </w:tcPr>
                <w:p w14:paraId="0A8ECB60">
                  <w:pPr>
                    <w:jc w:val="center"/>
                    <w:rPr>
                      <w:rFonts w:hint="eastAsia" w:ascii="Times New Roman" w:hAnsi="Times New Roman" w:eastAsia="宋体" w:cs="Times New Roman"/>
                      <w:color w:val="auto"/>
                      <w:kern w:val="0"/>
                      <w:sz w:val="21"/>
                      <w:szCs w:val="21"/>
                      <w:lang w:eastAsia="zh-CN"/>
                    </w:rPr>
                  </w:pPr>
                  <w:r>
                    <w:rPr>
                      <w:rFonts w:hint="eastAsia" w:ascii="宋体" w:hAnsi="宋体" w:cs="宋体"/>
                      <w:color w:val="auto"/>
                      <w:kern w:val="0"/>
                      <w:sz w:val="21"/>
                      <w:szCs w:val="21"/>
                      <w:vertAlign w:val="baseline"/>
                      <w:lang w:eastAsia="zh-CN"/>
                    </w:rPr>
                    <w:t>投料</w:t>
                  </w:r>
                </w:p>
              </w:tc>
              <w:tc>
                <w:tcPr>
                  <w:tcW w:w="1594" w:type="dxa"/>
                  <w:vAlign w:val="center"/>
                </w:tcPr>
                <w:p w14:paraId="776C7217">
                  <w:pPr>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b w:val="0"/>
                      <w:bCs w:val="0"/>
                      <w:color w:val="auto"/>
                      <w:kern w:val="0"/>
                      <w:sz w:val="21"/>
                      <w:szCs w:val="21"/>
                      <w:vertAlign w:val="baseline"/>
                      <w:lang w:val="en-US" w:eastAsia="zh-CN"/>
                    </w:rPr>
                    <w:t>G</w:t>
                  </w:r>
                  <w:r>
                    <w:rPr>
                      <w:rFonts w:hint="eastAsia" w:cs="Times New Roman"/>
                      <w:b w:val="0"/>
                      <w:bCs w:val="0"/>
                      <w:color w:val="auto"/>
                      <w:kern w:val="0"/>
                      <w:sz w:val="21"/>
                      <w:szCs w:val="21"/>
                      <w:vertAlign w:val="baseline"/>
                      <w:lang w:val="en-US" w:eastAsia="zh-CN"/>
                    </w:rPr>
                    <w:t>3</w:t>
                  </w:r>
                  <w:r>
                    <w:rPr>
                      <w:rFonts w:hint="default" w:ascii="Times New Roman" w:hAnsi="Times New Roman" w:cs="Times New Roman"/>
                      <w:b w:val="0"/>
                      <w:bCs w:val="0"/>
                      <w:color w:val="auto"/>
                      <w:kern w:val="0"/>
                      <w:sz w:val="21"/>
                      <w:szCs w:val="21"/>
                      <w:vertAlign w:val="baseline"/>
                      <w:lang w:val="en-US" w:eastAsia="zh-CN"/>
                    </w:rPr>
                    <w:t>-1</w:t>
                  </w:r>
                </w:p>
              </w:tc>
              <w:tc>
                <w:tcPr>
                  <w:tcW w:w="1594" w:type="dxa"/>
                  <w:vAlign w:val="center"/>
                </w:tcPr>
                <w:p w14:paraId="20373E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颗粒物</w:t>
                  </w:r>
                </w:p>
              </w:tc>
            </w:tr>
            <w:tr w14:paraId="41D4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3BEA4C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p>
              </w:tc>
              <w:tc>
                <w:tcPr>
                  <w:tcW w:w="1593" w:type="dxa"/>
                  <w:vMerge w:val="restart"/>
                  <w:vAlign w:val="center"/>
                </w:tcPr>
                <w:p w14:paraId="72B296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r>
                    <w:rPr>
                      <w:rFonts w:hint="eastAsia" w:ascii="宋体" w:hAnsi="宋体" w:cs="宋体"/>
                      <w:color w:val="auto"/>
                      <w:kern w:val="0"/>
                      <w:sz w:val="21"/>
                      <w:szCs w:val="21"/>
                      <w:vertAlign w:val="baseline"/>
                      <w:lang w:val="en-US" w:eastAsia="zh-CN"/>
                    </w:rPr>
                    <w:t>噪声</w:t>
                  </w:r>
                </w:p>
              </w:tc>
              <w:tc>
                <w:tcPr>
                  <w:tcW w:w="1594" w:type="dxa"/>
                  <w:vAlign w:val="center"/>
                </w:tcPr>
                <w:p w14:paraId="569A4440">
                  <w:pPr>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设备运行</w:t>
                  </w:r>
                </w:p>
              </w:tc>
              <w:tc>
                <w:tcPr>
                  <w:tcW w:w="1594" w:type="dxa"/>
                  <w:vAlign w:val="center"/>
                </w:tcPr>
                <w:p w14:paraId="5C7919C9">
                  <w:pPr>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N</w:t>
                  </w:r>
                </w:p>
              </w:tc>
              <w:tc>
                <w:tcPr>
                  <w:tcW w:w="1594" w:type="dxa"/>
                  <w:vAlign w:val="center"/>
                </w:tcPr>
                <w:p w14:paraId="3524BA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噪声</w:t>
                  </w:r>
                </w:p>
              </w:tc>
            </w:tr>
            <w:tr w14:paraId="5E9E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47FEC6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p>
              </w:tc>
              <w:tc>
                <w:tcPr>
                  <w:tcW w:w="1593" w:type="dxa"/>
                  <w:vMerge w:val="continue"/>
                  <w:vAlign w:val="center"/>
                </w:tcPr>
                <w:p w14:paraId="6FB9FED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p>
              </w:tc>
              <w:tc>
                <w:tcPr>
                  <w:tcW w:w="1594" w:type="dxa"/>
                  <w:vAlign w:val="center"/>
                </w:tcPr>
                <w:p w14:paraId="478888E6">
                  <w:pPr>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风机</w:t>
                  </w:r>
                </w:p>
              </w:tc>
              <w:tc>
                <w:tcPr>
                  <w:tcW w:w="1594" w:type="dxa"/>
                  <w:vAlign w:val="center"/>
                </w:tcPr>
                <w:p w14:paraId="4017F037">
                  <w:pPr>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N</w:t>
                  </w:r>
                </w:p>
              </w:tc>
              <w:tc>
                <w:tcPr>
                  <w:tcW w:w="1594" w:type="dxa"/>
                  <w:vAlign w:val="center"/>
                </w:tcPr>
                <w:p w14:paraId="63A709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噪声</w:t>
                  </w:r>
                </w:p>
              </w:tc>
            </w:tr>
            <w:tr w14:paraId="2AD2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14:paraId="3B92A7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集料</w:t>
                  </w:r>
                </w:p>
              </w:tc>
              <w:tc>
                <w:tcPr>
                  <w:tcW w:w="1593" w:type="dxa"/>
                  <w:vAlign w:val="center"/>
                </w:tcPr>
                <w:p w14:paraId="784065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固废</w:t>
                  </w:r>
                </w:p>
              </w:tc>
              <w:tc>
                <w:tcPr>
                  <w:tcW w:w="1594" w:type="dxa"/>
                  <w:vAlign w:val="center"/>
                </w:tcPr>
                <w:p w14:paraId="015E16CA">
                  <w:pPr>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废包装袋</w:t>
                  </w:r>
                </w:p>
              </w:tc>
              <w:tc>
                <w:tcPr>
                  <w:tcW w:w="1594" w:type="dxa"/>
                  <w:vAlign w:val="center"/>
                </w:tcPr>
                <w:p w14:paraId="7E9F2F53">
                  <w:pPr>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S4-1</w:t>
                  </w:r>
                </w:p>
              </w:tc>
              <w:tc>
                <w:tcPr>
                  <w:tcW w:w="1594" w:type="dxa"/>
                  <w:vAlign w:val="center"/>
                </w:tcPr>
                <w:p w14:paraId="20AA76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废包装袋</w:t>
                  </w:r>
                </w:p>
              </w:tc>
            </w:tr>
            <w:tr w14:paraId="6769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243432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p>
              </w:tc>
              <w:tc>
                <w:tcPr>
                  <w:tcW w:w="1593" w:type="dxa"/>
                  <w:vMerge w:val="restart"/>
                  <w:vAlign w:val="center"/>
                </w:tcPr>
                <w:p w14:paraId="4D121A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r>
                    <w:rPr>
                      <w:rFonts w:hint="eastAsia" w:ascii="宋体" w:hAnsi="宋体" w:cs="宋体"/>
                      <w:color w:val="auto"/>
                      <w:kern w:val="0"/>
                      <w:sz w:val="21"/>
                      <w:szCs w:val="21"/>
                      <w:vertAlign w:val="baseline"/>
                      <w:lang w:val="en-US" w:eastAsia="zh-CN"/>
                    </w:rPr>
                    <w:t>噪声</w:t>
                  </w:r>
                </w:p>
              </w:tc>
              <w:tc>
                <w:tcPr>
                  <w:tcW w:w="1594" w:type="dxa"/>
                  <w:vAlign w:val="center"/>
                </w:tcPr>
                <w:p w14:paraId="5DC5E013">
                  <w:pPr>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设备运行</w:t>
                  </w:r>
                </w:p>
              </w:tc>
              <w:tc>
                <w:tcPr>
                  <w:tcW w:w="1594" w:type="dxa"/>
                  <w:vAlign w:val="center"/>
                </w:tcPr>
                <w:p w14:paraId="5A9EFF28">
                  <w:pPr>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N</w:t>
                  </w:r>
                </w:p>
              </w:tc>
              <w:tc>
                <w:tcPr>
                  <w:tcW w:w="1594" w:type="dxa"/>
                  <w:vAlign w:val="center"/>
                </w:tcPr>
                <w:p w14:paraId="2649D4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噪声</w:t>
                  </w:r>
                </w:p>
              </w:tc>
            </w:tr>
            <w:tr w14:paraId="2396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0993C6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p>
              </w:tc>
              <w:tc>
                <w:tcPr>
                  <w:tcW w:w="1593" w:type="dxa"/>
                  <w:vMerge w:val="continue"/>
                  <w:vAlign w:val="center"/>
                </w:tcPr>
                <w:p w14:paraId="358916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p>
              </w:tc>
              <w:tc>
                <w:tcPr>
                  <w:tcW w:w="1594" w:type="dxa"/>
                  <w:vAlign w:val="center"/>
                </w:tcPr>
                <w:p w14:paraId="2AAC4AFE">
                  <w:pPr>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风机</w:t>
                  </w:r>
                </w:p>
              </w:tc>
              <w:tc>
                <w:tcPr>
                  <w:tcW w:w="1594" w:type="dxa"/>
                  <w:vAlign w:val="center"/>
                </w:tcPr>
                <w:p w14:paraId="0986E391">
                  <w:pPr>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N</w:t>
                  </w:r>
                </w:p>
              </w:tc>
              <w:tc>
                <w:tcPr>
                  <w:tcW w:w="1594" w:type="dxa"/>
                  <w:vAlign w:val="center"/>
                </w:tcPr>
                <w:p w14:paraId="5DBF4E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噪声</w:t>
                  </w:r>
                </w:p>
              </w:tc>
            </w:tr>
            <w:tr w14:paraId="6C4F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14:paraId="4CDD95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其他</w:t>
                  </w:r>
                </w:p>
              </w:tc>
              <w:tc>
                <w:tcPr>
                  <w:tcW w:w="1593" w:type="dxa"/>
                  <w:vMerge w:val="restart"/>
                  <w:vAlign w:val="center"/>
                </w:tcPr>
                <w:p w14:paraId="5D9E74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废气</w:t>
                  </w:r>
                </w:p>
              </w:tc>
              <w:tc>
                <w:tcPr>
                  <w:tcW w:w="1594" w:type="dxa"/>
                  <w:vAlign w:val="center"/>
                </w:tcPr>
                <w:p w14:paraId="5610DCC8">
                  <w:pPr>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水泥筒仓呼吸废气</w:t>
                  </w:r>
                </w:p>
              </w:tc>
              <w:tc>
                <w:tcPr>
                  <w:tcW w:w="1594" w:type="dxa"/>
                  <w:vAlign w:val="center"/>
                </w:tcPr>
                <w:p w14:paraId="0E6A8B43">
                  <w:pPr>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G</w:t>
                  </w:r>
                </w:p>
              </w:tc>
              <w:tc>
                <w:tcPr>
                  <w:tcW w:w="1594" w:type="dxa"/>
                  <w:vMerge w:val="restart"/>
                  <w:vAlign w:val="center"/>
                </w:tcPr>
                <w:p w14:paraId="4CA48E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颗粒物</w:t>
                  </w:r>
                </w:p>
              </w:tc>
            </w:tr>
            <w:tr w14:paraId="744E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4C2A5E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p>
              </w:tc>
              <w:tc>
                <w:tcPr>
                  <w:tcW w:w="1593" w:type="dxa"/>
                  <w:vMerge w:val="continue"/>
                  <w:vAlign w:val="center"/>
                </w:tcPr>
                <w:p w14:paraId="437B6F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4" w:type="dxa"/>
                  <w:vAlign w:val="center"/>
                </w:tcPr>
                <w:p w14:paraId="071B844F">
                  <w:pPr>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粉煤灰筒仓呼吸废气</w:t>
                  </w:r>
                </w:p>
              </w:tc>
              <w:tc>
                <w:tcPr>
                  <w:tcW w:w="1594" w:type="dxa"/>
                  <w:vAlign w:val="center"/>
                </w:tcPr>
                <w:p w14:paraId="62AFCB26">
                  <w:pPr>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G</w:t>
                  </w:r>
                </w:p>
              </w:tc>
              <w:tc>
                <w:tcPr>
                  <w:tcW w:w="1594" w:type="dxa"/>
                  <w:vMerge w:val="continue"/>
                  <w:vAlign w:val="center"/>
                </w:tcPr>
                <w:p w14:paraId="7A7D097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p>
              </w:tc>
            </w:tr>
            <w:tr w14:paraId="081A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497109F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p>
              </w:tc>
              <w:tc>
                <w:tcPr>
                  <w:tcW w:w="1593" w:type="dxa"/>
                  <w:vMerge w:val="continue"/>
                  <w:vAlign w:val="center"/>
                </w:tcPr>
                <w:p w14:paraId="45661B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4" w:type="dxa"/>
                  <w:vAlign w:val="center"/>
                </w:tcPr>
                <w:p w14:paraId="28205A41">
                  <w:pPr>
                    <w:jc w:val="center"/>
                    <w:rPr>
                      <w:rFonts w:hint="eastAsia" w:cs="Times New Roman"/>
                      <w:color w:val="auto"/>
                      <w:kern w:val="0"/>
                      <w:sz w:val="21"/>
                      <w:szCs w:val="21"/>
                      <w:lang w:eastAsia="zh-CN"/>
                    </w:rPr>
                  </w:pPr>
                  <w:r>
                    <w:rPr>
                      <w:rFonts w:hint="eastAsia" w:cs="Times New Roman"/>
                      <w:color w:val="auto"/>
                      <w:kern w:val="0"/>
                      <w:sz w:val="21"/>
                      <w:szCs w:val="21"/>
                      <w:lang w:eastAsia="zh-CN"/>
                    </w:rPr>
                    <w:t>草木灰筒仓呼吸废气</w:t>
                  </w:r>
                </w:p>
              </w:tc>
              <w:tc>
                <w:tcPr>
                  <w:tcW w:w="1594" w:type="dxa"/>
                  <w:vAlign w:val="center"/>
                </w:tcPr>
                <w:p w14:paraId="2607401C">
                  <w:pPr>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G</w:t>
                  </w:r>
                </w:p>
              </w:tc>
              <w:tc>
                <w:tcPr>
                  <w:tcW w:w="1594" w:type="dxa"/>
                  <w:vMerge w:val="continue"/>
                  <w:vAlign w:val="center"/>
                </w:tcPr>
                <w:p w14:paraId="724194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p>
              </w:tc>
            </w:tr>
            <w:tr w14:paraId="0A07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593" w:type="dxa"/>
                  <w:vMerge w:val="continue"/>
                  <w:vAlign w:val="center"/>
                </w:tcPr>
                <w:p w14:paraId="332C4F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val="en-US" w:eastAsia="zh-CN"/>
                    </w:rPr>
                  </w:pPr>
                </w:p>
              </w:tc>
              <w:tc>
                <w:tcPr>
                  <w:tcW w:w="1593" w:type="dxa"/>
                  <w:vMerge w:val="continue"/>
                  <w:vAlign w:val="center"/>
                </w:tcPr>
                <w:p w14:paraId="5A1FA7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vertAlign w:val="baseline"/>
                      <w:lang w:eastAsia="zh-CN"/>
                    </w:rPr>
                  </w:pPr>
                </w:p>
              </w:tc>
              <w:tc>
                <w:tcPr>
                  <w:tcW w:w="1594" w:type="dxa"/>
                  <w:vAlign w:val="center"/>
                </w:tcPr>
                <w:p w14:paraId="60779617">
                  <w:pPr>
                    <w:jc w:val="center"/>
                    <w:rPr>
                      <w:rFonts w:hint="eastAsia" w:cs="Times New Roman"/>
                      <w:color w:val="auto"/>
                      <w:kern w:val="0"/>
                      <w:sz w:val="21"/>
                      <w:szCs w:val="21"/>
                      <w:lang w:eastAsia="zh-CN"/>
                    </w:rPr>
                  </w:pPr>
                  <w:r>
                    <w:rPr>
                      <w:rFonts w:hint="eastAsia" w:cs="Times New Roman"/>
                      <w:color w:val="auto"/>
                      <w:kern w:val="0"/>
                      <w:sz w:val="21"/>
                      <w:szCs w:val="21"/>
                      <w:lang w:eastAsia="zh-CN"/>
                    </w:rPr>
                    <w:t>建筑掺和料筒仓呼吸废气</w:t>
                  </w:r>
                </w:p>
              </w:tc>
              <w:tc>
                <w:tcPr>
                  <w:tcW w:w="1594" w:type="dxa"/>
                  <w:vAlign w:val="center"/>
                </w:tcPr>
                <w:p w14:paraId="3FC504F9">
                  <w:pPr>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G</w:t>
                  </w:r>
                </w:p>
              </w:tc>
              <w:tc>
                <w:tcPr>
                  <w:tcW w:w="1594" w:type="dxa"/>
                  <w:vMerge w:val="continue"/>
                  <w:vAlign w:val="center"/>
                </w:tcPr>
                <w:p w14:paraId="1700B8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p>
              </w:tc>
            </w:tr>
            <w:tr w14:paraId="40E5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Align w:val="center"/>
                </w:tcPr>
                <w:p w14:paraId="113D13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w:t>
                  </w:r>
                </w:p>
              </w:tc>
              <w:tc>
                <w:tcPr>
                  <w:tcW w:w="1593" w:type="dxa"/>
                  <w:vAlign w:val="center"/>
                </w:tcPr>
                <w:p w14:paraId="757B1A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1"/>
                      <w:szCs w:val="21"/>
                      <w:vertAlign w:val="baseline"/>
                      <w:lang w:eastAsia="zh-CN"/>
                    </w:rPr>
                  </w:pPr>
                  <w:r>
                    <w:rPr>
                      <w:rFonts w:hint="eastAsia" w:ascii="宋体" w:hAnsi="宋体" w:cs="宋体"/>
                      <w:color w:val="auto"/>
                      <w:kern w:val="0"/>
                      <w:sz w:val="21"/>
                      <w:szCs w:val="21"/>
                      <w:vertAlign w:val="baseline"/>
                      <w:lang w:eastAsia="zh-CN"/>
                    </w:rPr>
                    <w:t>废水</w:t>
                  </w:r>
                </w:p>
              </w:tc>
              <w:tc>
                <w:tcPr>
                  <w:tcW w:w="1594" w:type="dxa"/>
                  <w:vAlign w:val="center"/>
                </w:tcPr>
                <w:p w14:paraId="2BE353AE">
                  <w:pPr>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职工生活</w:t>
                  </w:r>
                </w:p>
              </w:tc>
              <w:tc>
                <w:tcPr>
                  <w:tcW w:w="1594" w:type="dxa"/>
                  <w:vAlign w:val="center"/>
                </w:tcPr>
                <w:p w14:paraId="74C0F89A">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W1</w:t>
                  </w:r>
                </w:p>
              </w:tc>
              <w:tc>
                <w:tcPr>
                  <w:tcW w:w="1594" w:type="dxa"/>
                  <w:vAlign w:val="center"/>
                </w:tcPr>
                <w:p w14:paraId="2627EF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lang w:val="en-US" w:eastAsia="zh-CN"/>
                    </w:rPr>
                  </w:pPr>
                  <w:r>
                    <w:rPr>
                      <w:rFonts w:hint="eastAsia" w:ascii="Times New Roman" w:hAnsi="Times New Roman" w:eastAsia="宋体" w:cs="Times New Roman"/>
                      <w:color w:val="auto"/>
                      <w:kern w:val="0"/>
                      <w:sz w:val="21"/>
                      <w:szCs w:val="21"/>
                      <w:lang w:val="en-US" w:eastAsia="zh-CN"/>
                    </w:rPr>
                    <w:t>COD、NH</w:t>
                  </w:r>
                  <w:r>
                    <w:rPr>
                      <w:rFonts w:hint="eastAsia" w:ascii="Times New Roman" w:hAnsi="Times New Roman" w:eastAsia="宋体" w:cs="Times New Roman"/>
                      <w:color w:val="auto"/>
                      <w:kern w:val="0"/>
                      <w:sz w:val="21"/>
                      <w:szCs w:val="21"/>
                      <w:vertAlign w:val="subscript"/>
                      <w:lang w:val="en-US" w:eastAsia="zh-CN"/>
                    </w:rPr>
                    <w:t>3</w:t>
                  </w:r>
                  <w:r>
                    <w:rPr>
                      <w:rFonts w:hint="eastAsia" w:ascii="Times New Roman" w:hAnsi="Times New Roman" w:eastAsia="宋体" w:cs="Times New Roman"/>
                      <w:color w:val="auto"/>
                      <w:kern w:val="0"/>
                      <w:sz w:val="21"/>
                      <w:szCs w:val="21"/>
                      <w:lang w:val="en-US" w:eastAsia="zh-CN"/>
                    </w:rPr>
                    <w:t>-N、BOD</w:t>
                  </w:r>
                  <w:r>
                    <w:rPr>
                      <w:rFonts w:hint="eastAsia" w:ascii="Times New Roman" w:hAnsi="Times New Roman" w:eastAsia="宋体" w:cs="Times New Roman"/>
                      <w:color w:val="auto"/>
                      <w:kern w:val="0"/>
                      <w:sz w:val="21"/>
                      <w:szCs w:val="21"/>
                      <w:vertAlign w:val="subscript"/>
                      <w:lang w:val="en-US" w:eastAsia="zh-CN"/>
                    </w:rPr>
                    <w:t>5</w:t>
                  </w:r>
                  <w:r>
                    <w:rPr>
                      <w:rFonts w:hint="eastAsia" w:ascii="Times New Roman" w:hAnsi="Times New Roman" w:eastAsia="宋体" w:cs="Times New Roman"/>
                      <w:color w:val="auto"/>
                      <w:kern w:val="0"/>
                      <w:sz w:val="21"/>
                      <w:szCs w:val="21"/>
                      <w:lang w:val="en-US" w:eastAsia="zh-CN"/>
                    </w:rPr>
                    <w:t>、SS</w:t>
                  </w:r>
                </w:p>
              </w:tc>
            </w:tr>
          </w:tbl>
          <w:p w14:paraId="4559B293">
            <w:pPr>
              <w:rPr>
                <w:rFonts w:ascii="宋体" w:hAnsi="宋体" w:cs="宋体"/>
                <w:color w:val="auto"/>
                <w:kern w:val="0"/>
                <w:sz w:val="24"/>
              </w:rPr>
            </w:pPr>
          </w:p>
        </w:tc>
      </w:tr>
    </w:tbl>
    <w:p w14:paraId="0A1D28EB">
      <w:pPr>
        <w:pStyle w:val="4"/>
        <w:rPr>
          <w:color w:val="auto"/>
        </w:rPr>
        <w:sectPr>
          <w:pgSz w:w="11906" w:h="16838"/>
          <w:pgMar w:top="1440" w:right="1803" w:bottom="1440" w:left="1803" w:header="851" w:footer="1077" w:gutter="0"/>
          <w:cols w:space="720" w:num="1"/>
          <w:docGrid w:linePitch="312" w:charSpace="0"/>
        </w:sectPr>
      </w:pP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56"/>
        <w:gridCol w:w="8060"/>
      </w:tblGrid>
      <w:tr w14:paraId="15B797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771" w:hRule="atLeast"/>
          <w:jc w:val="center"/>
        </w:trPr>
        <w:tc>
          <w:tcPr>
            <w:tcW w:w="454" w:type="dxa"/>
            <w:tcBorders>
              <w:tl2br w:val="nil"/>
              <w:tr2bl w:val="nil"/>
            </w:tcBorders>
            <w:vAlign w:val="center"/>
          </w:tcPr>
          <w:p w14:paraId="04738A6D">
            <w:pPr>
              <w:pStyle w:val="26"/>
              <w:adjustRightInd w:val="0"/>
              <w:snapToGrid w:val="0"/>
              <w:spacing w:before="0" w:beforeAutospacing="0" w:after="0" w:afterAutospacing="0"/>
              <w:jc w:val="center"/>
              <w:rPr>
                <w:rFonts w:cs="宋体"/>
                <w:color w:val="auto"/>
                <w:szCs w:val="24"/>
              </w:rPr>
            </w:pPr>
            <w:r>
              <w:rPr>
                <w:rFonts w:hint="eastAsia" w:cs="宋体"/>
                <w:color w:val="auto"/>
                <w:szCs w:val="24"/>
              </w:rPr>
              <w:t>与项目有关的原有环境污染问题</w:t>
            </w:r>
          </w:p>
        </w:tc>
        <w:tc>
          <w:tcPr>
            <w:tcW w:w="8062" w:type="dxa"/>
            <w:tcBorders>
              <w:tl2br w:val="nil"/>
              <w:tr2bl w:val="nil"/>
            </w:tcBorders>
            <w:vAlign w:val="center"/>
          </w:tcPr>
          <w:p w14:paraId="09457C39">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ascii="宋体" w:hAnsi="宋体" w:cs="宋体"/>
                <w:color w:val="auto"/>
                <w:sz w:val="24"/>
                <w:szCs w:val="24"/>
              </w:rPr>
            </w:pPr>
            <w:r>
              <w:rPr>
                <w:rFonts w:hint="default" w:ascii="Times New Roman" w:hAnsi="Times New Roman" w:cs="Times New Roman"/>
                <w:color w:val="auto"/>
                <w:sz w:val="24"/>
                <w:szCs w:val="24"/>
                <w:lang w:val="en-US" w:eastAsia="zh-CN"/>
              </w:rPr>
              <w:t>项目为新建项目，位于</w:t>
            </w:r>
            <w:r>
              <w:rPr>
                <w:rFonts w:hint="default" w:ascii="Times New Roman" w:hAnsi="Times New Roman" w:eastAsia="宋体" w:cs="Times New Roman"/>
                <w:sz w:val="24"/>
                <w:szCs w:val="24"/>
                <w:lang w:eastAsia="zh-CN"/>
              </w:rPr>
              <w:t>安徽省宿州市埇桥区</w:t>
            </w:r>
            <w:r>
              <w:rPr>
                <w:rFonts w:hint="default" w:ascii="Times New Roman" w:hAnsi="Times New Roman" w:eastAsia="宋体" w:cs="Times New Roman"/>
                <w:sz w:val="24"/>
                <w:szCs w:val="24"/>
              </w:rPr>
              <w:t>顺河镇魏庄村魏武路北侧17号</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kern w:val="2"/>
                <w:sz w:val="24"/>
                <w:szCs w:val="24"/>
                <w:lang w:val="en-US" w:eastAsia="zh-CN" w:bidi="ar-SA"/>
              </w:rPr>
              <w:t>租赁</w:t>
            </w:r>
            <w:r>
              <w:rPr>
                <w:rFonts w:hint="eastAsia" w:cs="Times New Roman"/>
                <w:color w:val="auto"/>
                <w:kern w:val="2"/>
                <w:sz w:val="24"/>
                <w:szCs w:val="24"/>
                <w:lang w:val="en-US" w:eastAsia="zh-CN" w:bidi="ar-SA"/>
              </w:rPr>
              <w:t>空置厂房进行生产</w:t>
            </w:r>
            <w:r>
              <w:rPr>
                <w:rFonts w:hint="default" w:ascii="Times New Roman" w:hAnsi="Times New Roman" w:cs="Times New Roman"/>
                <w:color w:val="auto"/>
                <w:sz w:val="24"/>
                <w:szCs w:val="24"/>
                <w:lang w:val="en-US" w:eastAsia="zh-CN"/>
              </w:rPr>
              <w:t>。根据现场踏勘，厂区处于空置状态，故不存在与本项目相关的原有污染情况及主要环境问题</w:t>
            </w:r>
            <w:r>
              <w:rPr>
                <w:rFonts w:hint="default" w:ascii="Times New Roman" w:hAnsi="Times New Roman" w:cs="Times New Roman"/>
                <w:color w:val="auto"/>
                <w:sz w:val="24"/>
                <w:szCs w:val="24"/>
                <w:lang w:eastAsia="zh-CN"/>
              </w:rPr>
              <w:t>。</w:t>
            </w:r>
          </w:p>
        </w:tc>
      </w:tr>
    </w:tbl>
    <w:p w14:paraId="5A78C3F7">
      <w:pPr>
        <w:pStyle w:val="17"/>
        <w:ind w:left="0" w:leftChars="0" w:firstLine="0"/>
        <w:rPr>
          <w:color w:val="auto"/>
        </w:rPr>
        <w:sectPr>
          <w:pgSz w:w="11906" w:h="16838"/>
          <w:pgMar w:top="1440" w:right="1803" w:bottom="1440" w:left="1803" w:header="851" w:footer="1077" w:gutter="0"/>
          <w:cols w:space="720" w:num="1"/>
          <w:docGrid w:linePitch="312" w:charSpace="0"/>
        </w:sectPr>
      </w:pPr>
    </w:p>
    <w:p w14:paraId="02FF55F9">
      <w:pPr>
        <w:pStyle w:val="26"/>
        <w:snapToGrid w:val="0"/>
        <w:spacing w:before="0" w:beforeAutospacing="0" w:after="0" w:afterAutospacing="0" w:line="360" w:lineRule="auto"/>
        <w:jc w:val="center"/>
        <w:outlineLvl w:val="0"/>
        <w:rPr>
          <w:rFonts w:ascii="黑体" w:hAnsi="黑体" w:eastAsia="黑体"/>
          <w:color w:val="auto"/>
          <w:sz w:val="30"/>
          <w:szCs w:val="30"/>
        </w:rPr>
      </w:pPr>
      <w:r>
        <w:rPr>
          <w:rFonts w:hint="eastAsia" w:cs="宋体"/>
          <w:b/>
          <w:bCs/>
          <w:color w:val="auto"/>
          <w:sz w:val="30"/>
          <w:szCs w:val="30"/>
        </w:rPr>
        <w:t>三、区域环境质量现状、环境保护目标及评价标准</w:t>
      </w:r>
    </w:p>
    <w:tbl>
      <w:tblPr>
        <w:tblStyle w:val="29"/>
        <w:tblW w:w="89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8465"/>
      </w:tblGrid>
      <w:tr w14:paraId="4D684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2" w:hRule="atLeast"/>
          <w:jc w:val="center"/>
        </w:trPr>
        <w:tc>
          <w:tcPr>
            <w:tcW w:w="567" w:type="dxa"/>
            <w:tcBorders>
              <w:tl2br w:val="nil"/>
              <w:tr2bl w:val="nil"/>
            </w:tcBorders>
            <w:vAlign w:val="center"/>
          </w:tcPr>
          <w:p w14:paraId="595A0851">
            <w:pPr>
              <w:adjustRightInd w:val="0"/>
              <w:snapToGrid w:val="0"/>
              <w:jc w:val="center"/>
              <w:rPr>
                <w:rFonts w:ascii="宋体" w:hAnsi="宋体" w:cs="宋体"/>
                <w:color w:val="auto"/>
                <w:kern w:val="0"/>
                <w:sz w:val="24"/>
              </w:rPr>
            </w:pPr>
            <w:r>
              <w:rPr>
                <w:rFonts w:hint="eastAsia" w:ascii="宋体" w:hAnsi="宋体" w:cs="宋体"/>
                <w:color w:val="auto"/>
                <w:kern w:val="0"/>
                <w:sz w:val="24"/>
              </w:rPr>
              <w:t>区域</w:t>
            </w:r>
          </w:p>
          <w:p w14:paraId="679FB159">
            <w:pPr>
              <w:adjustRightInd w:val="0"/>
              <w:snapToGrid w:val="0"/>
              <w:jc w:val="center"/>
              <w:rPr>
                <w:rFonts w:ascii="宋体" w:hAnsi="宋体" w:cs="宋体"/>
                <w:color w:val="auto"/>
                <w:kern w:val="0"/>
                <w:sz w:val="24"/>
              </w:rPr>
            </w:pPr>
            <w:r>
              <w:rPr>
                <w:rFonts w:hint="eastAsia" w:ascii="宋体" w:hAnsi="宋体" w:cs="宋体"/>
                <w:color w:val="auto"/>
                <w:kern w:val="0"/>
                <w:sz w:val="24"/>
              </w:rPr>
              <w:t>环境</w:t>
            </w:r>
          </w:p>
          <w:p w14:paraId="23189982">
            <w:pPr>
              <w:adjustRightInd w:val="0"/>
              <w:snapToGrid w:val="0"/>
              <w:jc w:val="center"/>
              <w:rPr>
                <w:rFonts w:ascii="宋体" w:hAnsi="宋体" w:cs="宋体"/>
                <w:color w:val="auto"/>
                <w:kern w:val="0"/>
                <w:sz w:val="24"/>
              </w:rPr>
            </w:pPr>
            <w:r>
              <w:rPr>
                <w:rFonts w:hint="eastAsia" w:ascii="宋体" w:hAnsi="宋体" w:cs="宋体"/>
                <w:color w:val="auto"/>
                <w:kern w:val="0"/>
                <w:sz w:val="24"/>
              </w:rPr>
              <w:t>质量</w:t>
            </w:r>
          </w:p>
          <w:p w14:paraId="61CE4829">
            <w:pPr>
              <w:adjustRightInd w:val="0"/>
              <w:snapToGrid w:val="0"/>
              <w:jc w:val="center"/>
              <w:rPr>
                <w:rFonts w:ascii="宋体" w:hAnsi="宋体" w:cs="宋体"/>
                <w:color w:val="auto"/>
                <w:kern w:val="0"/>
                <w:szCs w:val="21"/>
              </w:rPr>
            </w:pPr>
            <w:r>
              <w:rPr>
                <w:rFonts w:hint="eastAsia" w:ascii="宋体" w:hAnsi="宋体" w:cs="宋体"/>
                <w:color w:val="auto"/>
                <w:kern w:val="0"/>
                <w:sz w:val="24"/>
              </w:rPr>
              <w:t>现状</w:t>
            </w:r>
          </w:p>
        </w:tc>
        <w:tc>
          <w:tcPr>
            <w:tcW w:w="8539" w:type="dxa"/>
            <w:tcBorders>
              <w:tl2br w:val="nil"/>
              <w:tr2bl w:val="nil"/>
            </w:tcBorders>
            <w:vAlign w:val="center"/>
          </w:tcPr>
          <w:p w14:paraId="769881A6">
            <w:pPr>
              <w:adjustRightInd w:val="0"/>
              <w:snapToGrid w:val="0"/>
              <w:spacing w:line="360" w:lineRule="auto"/>
              <w:jc w:val="left"/>
              <w:rPr>
                <w:b/>
                <w:bCs/>
                <w:color w:val="auto"/>
                <w:sz w:val="24"/>
              </w:rPr>
            </w:pPr>
            <w:r>
              <w:rPr>
                <w:b/>
                <w:bCs/>
                <w:color w:val="auto"/>
                <w:sz w:val="24"/>
              </w:rPr>
              <w:t>1、大气环境</w:t>
            </w:r>
          </w:p>
          <w:p w14:paraId="2C0061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eastAsia"/>
                <w:b w:val="0"/>
                <w:bCs w:val="0"/>
                <w:color w:val="auto"/>
                <w:sz w:val="24"/>
                <w:lang w:eastAsia="zh-CN"/>
              </w:rPr>
              <w:t>（</w:t>
            </w:r>
            <w:r>
              <w:rPr>
                <w:rFonts w:hint="eastAsia"/>
                <w:b w:val="0"/>
                <w:bCs w:val="0"/>
                <w:color w:val="auto"/>
                <w:sz w:val="24"/>
                <w:lang w:val="en-US" w:eastAsia="zh-CN"/>
              </w:rPr>
              <w:t>1</w:t>
            </w:r>
            <w:r>
              <w:rPr>
                <w:rFonts w:hint="eastAsia"/>
                <w:b w:val="0"/>
                <w:bCs w:val="0"/>
                <w:color w:val="auto"/>
                <w:sz w:val="24"/>
                <w:lang w:eastAsia="zh-CN"/>
              </w:rPr>
              <w:t>）</w:t>
            </w:r>
            <w:r>
              <w:rPr>
                <w:rFonts w:hint="default" w:ascii="Times New Roman" w:hAnsi="Times New Roman" w:eastAsia="宋体" w:cs="Times New Roman"/>
                <w:color w:val="auto"/>
                <w:kern w:val="0"/>
                <w:sz w:val="24"/>
                <w:szCs w:val="24"/>
                <w:lang w:val="en-US" w:eastAsia="zh-CN"/>
              </w:rPr>
              <w:t xml:space="preserve">基本污染物环境质量现状评价 </w:t>
            </w:r>
          </w:p>
          <w:p w14:paraId="1D0586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根据《环境影响评价技术导则  大气环境》（HJ2.2-2018），项目所在区域达标情况判定优先采用国家或地方生态环境主管部门公开发布的环境质量公告或环境质量报告中的数据或结论。</w:t>
            </w:r>
          </w:p>
          <w:p w14:paraId="097864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本次评价选取202</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年作为评价基准年。根据《宿州市202</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年环境质量报告》，宿州市202</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年环境空气质量基础污染物监测浓度项目区域空气质量达标判定见表3.1。</w:t>
            </w:r>
          </w:p>
          <w:p w14:paraId="0325E250">
            <w:pPr>
              <w:adjustRightInd w:val="0"/>
              <w:snapToGrid w:val="0"/>
              <w:spacing w:line="360" w:lineRule="auto"/>
              <w:jc w:val="center"/>
              <w:rPr>
                <w:b/>
                <w:bCs/>
                <w:color w:val="auto"/>
                <w:sz w:val="24"/>
              </w:rPr>
            </w:pPr>
            <w:r>
              <w:rPr>
                <w:b/>
                <w:bCs/>
                <w:color w:val="auto"/>
                <w:sz w:val="24"/>
              </w:rPr>
              <w:t>表3.1  区域空气质量现状评价表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835"/>
              <w:gridCol w:w="1583"/>
              <w:gridCol w:w="1583"/>
              <w:gridCol w:w="1121"/>
              <w:gridCol w:w="1210"/>
            </w:tblGrid>
            <w:tr w14:paraId="3437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Borders>
                    <w:tl2br w:val="nil"/>
                    <w:tr2bl w:val="nil"/>
                  </w:tcBorders>
                  <w:vAlign w:val="center"/>
                </w:tcPr>
                <w:p w14:paraId="3DC4F6DC">
                  <w:pPr>
                    <w:pStyle w:val="38"/>
                    <w:widowControl w:val="0"/>
                    <w:rPr>
                      <w:color w:val="auto"/>
                      <w:lang w:eastAsia="zh-CN"/>
                    </w:rPr>
                  </w:pPr>
                  <w:r>
                    <w:rPr>
                      <w:color w:val="auto"/>
                      <w:lang w:eastAsia="zh-CN"/>
                    </w:rPr>
                    <w:t>污染物</w:t>
                  </w:r>
                </w:p>
              </w:tc>
              <w:tc>
                <w:tcPr>
                  <w:tcW w:w="1212" w:type="pct"/>
                  <w:tcBorders>
                    <w:tl2br w:val="nil"/>
                    <w:tr2bl w:val="nil"/>
                  </w:tcBorders>
                  <w:vAlign w:val="center"/>
                </w:tcPr>
                <w:p w14:paraId="433F4FAE">
                  <w:pPr>
                    <w:pStyle w:val="38"/>
                    <w:widowControl w:val="0"/>
                    <w:rPr>
                      <w:color w:val="auto"/>
                      <w:lang w:eastAsia="zh-CN"/>
                    </w:rPr>
                  </w:pPr>
                  <w:r>
                    <w:rPr>
                      <w:color w:val="auto"/>
                      <w:lang w:eastAsia="zh-CN"/>
                    </w:rPr>
                    <w:t>评价标准</w:t>
                  </w:r>
                </w:p>
              </w:tc>
              <w:tc>
                <w:tcPr>
                  <w:tcW w:w="729" w:type="pct"/>
                  <w:tcBorders>
                    <w:tl2br w:val="nil"/>
                    <w:tr2bl w:val="nil"/>
                  </w:tcBorders>
                  <w:vAlign w:val="center"/>
                </w:tcPr>
                <w:p w14:paraId="3827C4D7">
                  <w:pPr>
                    <w:pStyle w:val="38"/>
                    <w:widowControl w:val="0"/>
                    <w:rPr>
                      <w:color w:val="auto"/>
                      <w:lang w:eastAsia="zh-CN"/>
                    </w:rPr>
                  </w:pPr>
                  <w:r>
                    <w:rPr>
                      <w:color w:val="auto"/>
                      <w:lang w:eastAsia="zh-CN"/>
                    </w:rPr>
                    <w:t>年均浓度（μg/m</w:t>
                  </w:r>
                  <w:r>
                    <w:rPr>
                      <w:color w:val="auto"/>
                      <w:vertAlign w:val="superscript"/>
                      <w:lang w:eastAsia="zh-CN"/>
                    </w:rPr>
                    <w:t>3</w:t>
                  </w:r>
                  <w:r>
                    <w:rPr>
                      <w:color w:val="auto"/>
                      <w:lang w:eastAsia="zh-CN"/>
                    </w:rPr>
                    <w:t>）</w:t>
                  </w:r>
                </w:p>
              </w:tc>
              <w:tc>
                <w:tcPr>
                  <w:tcW w:w="796" w:type="pct"/>
                  <w:tcBorders>
                    <w:tl2br w:val="nil"/>
                    <w:tr2bl w:val="nil"/>
                  </w:tcBorders>
                  <w:vAlign w:val="center"/>
                </w:tcPr>
                <w:p w14:paraId="5699C3BF">
                  <w:pPr>
                    <w:pStyle w:val="38"/>
                    <w:widowControl w:val="0"/>
                    <w:rPr>
                      <w:color w:val="auto"/>
                      <w:lang w:eastAsia="zh-CN"/>
                    </w:rPr>
                  </w:pPr>
                  <w:r>
                    <w:rPr>
                      <w:color w:val="auto"/>
                      <w:lang w:eastAsia="zh-CN"/>
                    </w:rPr>
                    <w:t>标准值（μg/m</w:t>
                  </w:r>
                  <w:r>
                    <w:rPr>
                      <w:color w:val="auto"/>
                      <w:vertAlign w:val="superscript"/>
                      <w:lang w:eastAsia="zh-CN"/>
                    </w:rPr>
                    <w:t>3</w:t>
                  </w:r>
                  <w:r>
                    <w:rPr>
                      <w:color w:val="auto"/>
                      <w:lang w:eastAsia="zh-CN"/>
                    </w:rPr>
                    <w:t>）</w:t>
                  </w:r>
                </w:p>
              </w:tc>
              <w:tc>
                <w:tcPr>
                  <w:tcW w:w="779" w:type="pct"/>
                  <w:tcBorders>
                    <w:tl2br w:val="nil"/>
                    <w:tr2bl w:val="nil"/>
                  </w:tcBorders>
                  <w:vAlign w:val="center"/>
                </w:tcPr>
                <w:p w14:paraId="711DABF6">
                  <w:pPr>
                    <w:pStyle w:val="38"/>
                    <w:widowControl w:val="0"/>
                    <w:rPr>
                      <w:color w:val="auto"/>
                      <w:lang w:eastAsia="zh-CN"/>
                    </w:rPr>
                  </w:pPr>
                  <w:r>
                    <w:rPr>
                      <w:color w:val="auto"/>
                      <w:lang w:eastAsia="zh-CN"/>
                    </w:rPr>
                    <w:t>占标率%</w:t>
                  </w:r>
                </w:p>
              </w:tc>
              <w:tc>
                <w:tcPr>
                  <w:tcW w:w="833" w:type="pct"/>
                  <w:tcBorders>
                    <w:tl2br w:val="nil"/>
                    <w:tr2bl w:val="nil"/>
                  </w:tcBorders>
                  <w:vAlign w:val="center"/>
                </w:tcPr>
                <w:p w14:paraId="20C5E5D0">
                  <w:pPr>
                    <w:pStyle w:val="38"/>
                    <w:widowControl w:val="0"/>
                    <w:rPr>
                      <w:color w:val="auto"/>
                      <w:lang w:eastAsia="zh-CN"/>
                    </w:rPr>
                  </w:pPr>
                  <w:r>
                    <w:rPr>
                      <w:color w:val="auto"/>
                      <w:lang w:eastAsia="zh-CN"/>
                    </w:rPr>
                    <w:t>达标情况</w:t>
                  </w:r>
                </w:p>
              </w:tc>
            </w:tr>
            <w:tr w14:paraId="341C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8" w:type="dxa"/>
                  <w:tcBorders>
                    <w:tl2br w:val="nil"/>
                    <w:tr2bl w:val="nil"/>
                  </w:tcBorders>
                  <w:vAlign w:val="center"/>
                </w:tcPr>
                <w:p w14:paraId="73B7E571">
                  <w:pPr>
                    <w:adjustRightInd w:val="0"/>
                    <w:snapToGrid w:val="0"/>
                    <w:jc w:val="center"/>
                    <w:rPr>
                      <w:color w:val="auto"/>
                      <w:kern w:val="0"/>
                      <w:szCs w:val="21"/>
                    </w:rPr>
                  </w:pPr>
                  <w:r>
                    <w:rPr>
                      <w:color w:val="auto"/>
                      <w:szCs w:val="21"/>
                    </w:rPr>
                    <w:t>PM</w:t>
                  </w:r>
                  <w:r>
                    <w:rPr>
                      <w:rFonts w:hint="eastAsia"/>
                      <w:color w:val="auto"/>
                      <w:szCs w:val="21"/>
                      <w:vertAlign w:val="subscript"/>
                    </w:rPr>
                    <w:t>10</w:t>
                  </w:r>
                </w:p>
              </w:tc>
              <w:tc>
                <w:tcPr>
                  <w:tcW w:w="2252" w:type="dxa"/>
                  <w:tcBorders>
                    <w:tl2br w:val="nil"/>
                    <w:tr2bl w:val="nil"/>
                  </w:tcBorders>
                  <w:vAlign w:val="center"/>
                </w:tcPr>
                <w:p w14:paraId="6C804EEF">
                  <w:pPr>
                    <w:adjustRightInd w:val="0"/>
                    <w:snapToGrid w:val="0"/>
                    <w:jc w:val="center"/>
                    <w:rPr>
                      <w:color w:val="auto"/>
                      <w:kern w:val="0"/>
                      <w:szCs w:val="21"/>
                    </w:rPr>
                  </w:pPr>
                  <w:r>
                    <w:rPr>
                      <w:color w:val="auto"/>
                      <w:szCs w:val="21"/>
                    </w:rPr>
                    <w:t>年平均浓度</w:t>
                  </w:r>
                </w:p>
              </w:tc>
              <w:tc>
                <w:tcPr>
                  <w:tcW w:w="1355" w:type="dxa"/>
                  <w:tcBorders>
                    <w:tl2br w:val="nil"/>
                    <w:tr2bl w:val="nil"/>
                  </w:tcBorders>
                  <w:vAlign w:val="center"/>
                </w:tcPr>
                <w:p w14:paraId="7CE5326B">
                  <w:pPr>
                    <w:adjustRightInd w:val="0"/>
                    <w:snapToGrid w:val="0"/>
                    <w:jc w:val="center"/>
                    <w:rPr>
                      <w:color w:val="auto"/>
                      <w:szCs w:val="21"/>
                    </w:rPr>
                  </w:pPr>
                  <w:r>
                    <w:rPr>
                      <w:rFonts w:hint="eastAsia"/>
                      <w:color w:val="auto"/>
                      <w:kern w:val="0"/>
                      <w:szCs w:val="21"/>
                    </w:rPr>
                    <w:t>71</w:t>
                  </w:r>
                </w:p>
              </w:tc>
              <w:tc>
                <w:tcPr>
                  <w:tcW w:w="1479" w:type="dxa"/>
                  <w:tcBorders>
                    <w:tl2br w:val="nil"/>
                    <w:tr2bl w:val="nil"/>
                  </w:tcBorders>
                  <w:vAlign w:val="center"/>
                </w:tcPr>
                <w:p w14:paraId="5E5ECCB8">
                  <w:pPr>
                    <w:adjustRightInd w:val="0"/>
                    <w:snapToGrid w:val="0"/>
                    <w:jc w:val="center"/>
                    <w:rPr>
                      <w:rFonts w:hint="default" w:eastAsia="宋体"/>
                      <w:color w:val="auto"/>
                      <w:szCs w:val="21"/>
                      <w:lang w:val="en-US" w:eastAsia="zh-CN"/>
                    </w:rPr>
                  </w:pPr>
                  <w:r>
                    <w:rPr>
                      <w:rFonts w:hint="eastAsia"/>
                      <w:color w:val="auto"/>
                      <w:szCs w:val="21"/>
                      <w:lang w:val="en-US" w:eastAsia="zh-CN"/>
                    </w:rPr>
                    <w:t>60</w:t>
                  </w:r>
                </w:p>
              </w:tc>
              <w:tc>
                <w:tcPr>
                  <w:tcW w:w="1447" w:type="dxa"/>
                  <w:tcBorders>
                    <w:tl2br w:val="nil"/>
                    <w:tr2bl w:val="nil"/>
                  </w:tcBorders>
                  <w:vAlign w:val="center"/>
                </w:tcPr>
                <w:p w14:paraId="4303F5B7">
                  <w:pPr>
                    <w:adjustRightInd w:val="0"/>
                    <w:snapToGrid w:val="0"/>
                    <w:jc w:val="center"/>
                    <w:rPr>
                      <w:rFonts w:hint="default" w:eastAsia="宋体"/>
                      <w:color w:val="auto"/>
                      <w:szCs w:val="21"/>
                      <w:lang w:val="en-US" w:eastAsia="zh-CN"/>
                    </w:rPr>
                  </w:pPr>
                  <w:r>
                    <w:rPr>
                      <w:rFonts w:hint="eastAsia"/>
                      <w:color w:val="auto"/>
                      <w:szCs w:val="21"/>
                      <w:lang w:val="en-US" w:eastAsia="zh-CN"/>
                    </w:rPr>
                    <w:t>118.3</w:t>
                  </w:r>
                </w:p>
              </w:tc>
              <w:tc>
                <w:tcPr>
                  <w:tcW w:w="1548" w:type="dxa"/>
                  <w:tcBorders>
                    <w:tl2br w:val="nil"/>
                    <w:tr2bl w:val="nil"/>
                  </w:tcBorders>
                  <w:vAlign w:val="center"/>
                </w:tcPr>
                <w:p w14:paraId="53CFC0D0">
                  <w:pPr>
                    <w:adjustRightInd w:val="0"/>
                    <w:snapToGrid w:val="0"/>
                    <w:jc w:val="center"/>
                    <w:rPr>
                      <w:color w:val="auto"/>
                      <w:szCs w:val="21"/>
                    </w:rPr>
                  </w:pPr>
                  <w:r>
                    <w:rPr>
                      <w:color w:val="auto"/>
                      <w:szCs w:val="21"/>
                    </w:rPr>
                    <w:t>不达标</w:t>
                  </w:r>
                </w:p>
              </w:tc>
            </w:tr>
            <w:tr w14:paraId="7F3C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8" w:type="dxa"/>
                  <w:tcBorders>
                    <w:tl2br w:val="nil"/>
                    <w:tr2bl w:val="nil"/>
                  </w:tcBorders>
                  <w:vAlign w:val="center"/>
                </w:tcPr>
                <w:p w14:paraId="440C1678">
                  <w:pPr>
                    <w:adjustRightInd w:val="0"/>
                    <w:snapToGrid w:val="0"/>
                    <w:jc w:val="center"/>
                    <w:rPr>
                      <w:color w:val="auto"/>
                      <w:kern w:val="0"/>
                      <w:szCs w:val="21"/>
                    </w:rPr>
                  </w:pPr>
                  <w:r>
                    <w:rPr>
                      <w:color w:val="auto"/>
                      <w:szCs w:val="21"/>
                    </w:rPr>
                    <w:t>PM</w:t>
                  </w:r>
                  <w:r>
                    <w:rPr>
                      <w:rFonts w:hint="eastAsia"/>
                      <w:color w:val="auto"/>
                      <w:szCs w:val="21"/>
                      <w:vertAlign w:val="subscript"/>
                    </w:rPr>
                    <w:t>2.5</w:t>
                  </w:r>
                </w:p>
              </w:tc>
              <w:tc>
                <w:tcPr>
                  <w:tcW w:w="2252" w:type="dxa"/>
                  <w:tcBorders>
                    <w:tl2br w:val="nil"/>
                    <w:tr2bl w:val="nil"/>
                  </w:tcBorders>
                  <w:vAlign w:val="center"/>
                </w:tcPr>
                <w:p w14:paraId="7496B7D0">
                  <w:pPr>
                    <w:adjustRightInd w:val="0"/>
                    <w:snapToGrid w:val="0"/>
                    <w:jc w:val="center"/>
                    <w:rPr>
                      <w:color w:val="auto"/>
                      <w:kern w:val="0"/>
                      <w:szCs w:val="21"/>
                    </w:rPr>
                  </w:pPr>
                  <w:r>
                    <w:rPr>
                      <w:color w:val="auto"/>
                      <w:szCs w:val="21"/>
                    </w:rPr>
                    <w:t>年平均浓度</w:t>
                  </w:r>
                </w:p>
              </w:tc>
              <w:tc>
                <w:tcPr>
                  <w:tcW w:w="1355" w:type="dxa"/>
                  <w:tcBorders>
                    <w:tl2br w:val="nil"/>
                    <w:tr2bl w:val="nil"/>
                  </w:tcBorders>
                  <w:vAlign w:val="center"/>
                </w:tcPr>
                <w:p w14:paraId="4F9EBA35">
                  <w:pPr>
                    <w:adjustRightInd w:val="0"/>
                    <w:snapToGrid w:val="0"/>
                    <w:jc w:val="center"/>
                    <w:rPr>
                      <w:color w:val="auto"/>
                      <w:szCs w:val="21"/>
                    </w:rPr>
                  </w:pPr>
                  <w:r>
                    <w:rPr>
                      <w:rFonts w:hint="eastAsia"/>
                      <w:color w:val="auto"/>
                      <w:kern w:val="0"/>
                      <w:szCs w:val="21"/>
                    </w:rPr>
                    <w:t>43</w:t>
                  </w:r>
                </w:p>
              </w:tc>
              <w:tc>
                <w:tcPr>
                  <w:tcW w:w="1479" w:type="dxa"/>
                  <w:tcBorders>
                    <w:tl2br w:val="nil"/>
                    <w:tr2bl w:val="nil"/>
                  </w:tcBorders>
                  <w:vAlign w:val="center"/>
                </w:tcPr>
                <w:p w14:paraId="53EBDB5E">
                  <w:pPr>
                    <w:adjustRightInd w:val="0"/>
                    <w:snapToGrid w:val="0"/>
                    <w:jc w:val="center"/>
                    <w:rPr>
                      <w:rFonts w:hint="default" w:eastAsia="宋体"/>
                      <w:color w:val="auto"/>
                      <w:szCs w:val="21"/>
                      <w:lang w:val="en-US" w:eastAsia="zh-CN"/>
                    </w:rPr>
                  </w:pPr>
                  <w:r>
                    <w:rPr>
                      <w:rFonts w:hint="eastAsia"/>
                      <w:color w:val="auto"/>
                      <w:szCs w:val="21"/>
                      <w:lang w:val="en-US" w:eastAsia="zh-CN"/>
                    </w:rPr>
                    <w:t>30</w:t>
                  </w:r>
                </w:p>
              </w:tc>
              <w:tc>
                <w:tcPr>
                  <w:tcW w:w="1447" w:type="dxa"/>
                  <w:tcBorders>
                    <w:tl2br w:val="nil"/>
                    <w:tr2bl w:val="nil"/>
                  </w:tcBorders>
                  <w:vAlign w:val="center"/>
                </w:tcPr>
                <w:p w14:paraId="7415F1EC">
                  <w:pPr>
                    <w:adjustRightInd w:val="0"/>
                    <w:snapToGrid w:val="0"/>
                    <w:jc w:val="center"/>
                    <w:rPr>
                      <w:rFonts w:hint="default" w:eastAsia="宋体"/>
                      <w:color w:val="auto"/>
                      <w:szCs w:val="21"/>
                      <w:lang w:val="en-US" w:eastAsia="zh-CN"/>
                    </w:rPr>
                  </w:pPr>
                  <w:r>
                    <w:rPr>
                      <w:rFonts w:hint="eastAsia"/>
                      <w:color w:val="auto"/>
                      <w:szCs w:val="21"/>
                      <w:lang w:val="en-US" w:eastAsia="zh-CN"/>
                    </w:rPr>
                    <w:t>143.3</w:t>
                  </w:r>
                </w:p>
              </w:tc>
              <w:tc>
                <w:tcPr>
                  <w:tcW w:w="1548" w:type="dxa"/>
                  <w:tcBorders>
                    <w:tl2br w:val="nil"/>
                    <w:tr2bl w:val="nil"/>
                  </w:tcBorders>
                  <w:vAlign w:val="center"/>
                </w:tcPr>
                <w:p w14:paraId="347A3FDF">
                  <w:pPr>
                    <w:adjustRightInd w:val="0"/>
                    <w:snapToGrid w:val="0"/>
                    <w:jc w:val="center"/>
                    <w:rPr>
                      <w:color w:val="auto"/>
                      <w:szCs w:val="21"/>
                    </w:rPr>
                  </w:pPr>
                  <w:r>
                    <w:rPr>
                      <w:color w:val="auto"/>
                      <w:szCs w:val="21"/>
                    </w:rPr>
                    <w:t>不达标</w:t>
                  </w:r>
                </w:p>
              </w:tc>
            </w:tr>
            <w:tr w14:paraId="2B47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8" w:type="dxa"/>
                  <w:tcBorders>
                    <w:tl2br w:val="nil"/>
                    <w:tr2bl w:val="nil"/>
                  </w:tcBorders>
                  <w:vAlign w:val="center"/>
                </w:tcPr>
                <w:p w14:paraId="70FD142A">
                  <w:pPr>
                    <w:adjustRightInd w:val="0"/>
                    <w:snapToGrid w:val="0"/>
                    <w:jc w:val="center"/>
                    <w:rPr>
                      <w:color w:val="auto"/>
                      <w:kern w:val="0"/>
                      <w:szCs w:val="21"/>
                    </w:rPr>
                  </w:pPr>
                  <w:r>
                    <w:rPr>
                      <w:color w:val="auto"/>
                      <w:szCs w:val="21"/>
                    </w:rPr>
                    <w:t>SO</w:t>
                  </w:r>
                  <w:r>
                    <w:rPr>
                      <w:rFonts w:hint="eastAsia"/>
                      <w:color w:val="auto"/>
                      <w:szCs w:val="21"/>
                      <w:vertAlign w:val="subscript"/>
                    </w:rPr>
                    <w:t>2</w:t>
                  </w:r>
                </w:p>
              </w:tc>
              <w:tc>
                <w:tcPr>
                  <w:tcW w:w="2252" w:type="dxa"/>
                  <w:tcBorders>
                    <w:tl2br w:val="nil"/>
                    <w:tr2bl w:val="nil"/>
                  </w:tcBorders>
                  <w:vAlign w:val="center"/>
                </w:tcPr>
                <w:p w14:paraId="2BA2213F">
                  <w:pPr>
                    <w:adjustRightInd w:val="0"/>
                    <w:snapToGrid w:val="0"/>
                    <w:jc w:val="center"/>
                    <w:rPr>
                      <w:color w:val="auto"/>
                      <w:kern w:val="0"/>
                      <w:szCs w:val="21"/>
                    </w:rPr>
                  </w:pPr>
                  <w:r>
                    <w:rPr>
                      <w:color w:val="auto"/>
                      <w:szCs w:val="21"/>
                    </w:rPr>
                    <w:t>年平均浓度</w:t>
                  </w:r>
                </w:p>
              </w:tc>
              <w:tc>
                <w:tcPr>
                  <w:tcW w:w="1355" w:type="dxa"/>
                  <w:tcBorders>
                    <w:tl2br w:val="nil"/>
                    <w:tr2bl w:val="nil"/>
                  </w:tcBorders>
                  <w:vAlign w:val="center"/>
                </w:tcPr>
                <w:p w14:paraId="1382A3B9">
                  <w:pPr>
                    <w:adjustRightInd w:val="0"/>
                    <w:snapToGrid w:val="0"/>
                    <w:jc w:val="center"/>
                    <w:rPr>
                      <w:color w:val="auto"/>
                      <w:szCs w:val="21"/>
                    </w:rPr>
                  </w:pPr>
                  <w:r>
                    <w:rPr>
                      <w:rFonts w:hint="eastAsia"/>
                      <w:color w:val="auto"/>
                      <w:kern w:val="0"/>
                      <w:szCs w:val="21"/>
                    </w:rPr>
                    <w:t>6</w:t>
                  </w:r>
                </w:p>
              </w:tc>
              <w:tc>
                <w:tcPr>
                  <w:tcW w:w="1479" w:type="dxa"/>
                  <w:tcBorders>
                    <w:tl2br w:val="nil"/>
                    <w:tr2bl w:val="nil"/>
                  </w:tcBorders>
                  <w:vAlign w:val="center"/>
                </w:tcPr>
                <w:p w14:paraId="460D3251">
                  <w:pPr>
                    <w:adjustRightInd w:val="0"/>
                    <w:snapToGrid w:val="0"/>
                    <w:jc w:val="center"/>
                    <w:rPr>
                      <w:color w:val="auto"/>
                      <w:szCs w:val="21"/>
                    </w:rPr>
                  </w:pPr>
                  <w:r>
                    <w:rPr>
                      <w:rFonts w:hint="eastAsia"/>
                      <w:color w:val="auto"/>
                      <w:szCs w:val="21"/>
                    </w:rPr>
                    <w:t>60</w:t>
                  </w:r>
                </w:p>
              </w:tc>
              <w:tc>
                <w:tcPr>
                  <w:tcW w:w="1447" w:type="dxa"/>
                  <w:tcBorders>
                    <w:tl2br w:val="nil"/>
                    <w:tr2bl w:val="nil"/>
                  </w:tcBorders>
                  <w:vAlign w:val="center"/>
                </w:tcPr>
                <w:p w14:paraId="50C22906">
                  <w:pPr>
                    <w:adjustRightInd w:val="0"/>
                    <w:snapToGrid w:val="0"/>
                    <w:jc w:val="center"/>
                    <w:rPr>
                      <w:color w:val="auto"/>
                      <w:szCs w:val="21"/>
                    </w:rPr>
                  </w:pPr>
                  <w:r>
                    <w:rPr>
                      <w:rFonts w:hint="eastAsia"/>
                      <w:color w:val="auto"/>
                      <w:szCs w:val="21"/>
                    </w:rPr>
                    <w:t>10.0</w:t>
                  </w:r>
                </w:p>
              </w:tc>
              <w:tc>
                <w:tcPr>
                  <w:tcW w:w="1548" w:type="dxa"/>
                  <w:tcBorders>
                    <w:tl2br w:val="nil"/>
                    <w:tr2bl w:val="nil"/>
                  </w:tcBorders>
                  <w:vAlign w:val="center"/>
                </w:tcPr>
                <w:p w14:paraId="431D1E07">
                  <w:pPr>
                    <w:adjustRightInd w:val="0"/>
                    <w:snapToGrid w:val="0"/>
                    <w:jc w:val="center"/>
                    <w:rPr>
                      <w:color w:val="auto"/>
                      <w:szCs w:val="21"/>
                    </w:rPr>
                  </w:pPr>
                  <w:r>
                    <w:rPr>
                      <w:color w:val="auto"/>
                      <w:szCs w:val="21"/>
                    </w:rPr>
                    <w:t>达标</w:t>
                  </w:r>
                </w:p>
              </w:tc>
            </w:tr>
            <w:tr w14:paraId="39E3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8" w:type="dxa"/>
                  <w:tcBorders>
                    <w:tl2br w:val="nil"/>
                    <w:tr2bl w:val="nil"/>
                  </w:tcBorders>
                  <w:vAlign w:val="center"/>
                </w:tcPr>
                <w:p w14:paraId="451A42D6">
                  <w:pPr>
                    <w:adjustRightInd w:val="0"/>
                    <w:snapToGrid w:val="0"/>
                    <w:jc w:val="center"/>
                    <w:rPr>
                      <w:color w:val="auto"/>
                      <w:kern w:val="0"/>
                      <w:szCs w:val="21"/>
                    </w:rPr>
                  </w:pPr>
                  <w:r>
                    <w:rPr>
                      <w:color w:val="auto"/>
                      <w:szCs w:val="21"/>
                    </w:rPr>
                    <w:t>NO</w:t>
                  </w:r>
                  <w:r>
                    <w:rPr>
                      <w:rFonts w:hint="eastAsia"/>
                      <w:color w:val="auto"/>
                      <w:szCs w:val="21"/>
                      <w:vertAlign w:val="subscript"/>
                    </w:rPr>
                    <w:t>2</w:t>
                  </w:r>
                </w:p>
              </w:tc>
              <w:tc>
                <w:tcPr>
                  <w:tcW w:w="2252" w:type="dxa"/>
                  <w:tcBorders>
                    <w:tl2br w:val="nil"/>
                    <w:tr2bl w:val="nil"/>
                  </w:tcBorders>
                  <w:vAlign w:val="center"/>
                </w:tcPr>
                <w:p w14:paraId="0624B458">
                  <w:pPr>
                    <w:adjustRightInd w:val="0"/>
                    <w:snapToGrid w:val="0"/>
                    <w:jc w:val="center"/>
                    <w:rPr>
                      <w:color w:val="auto"/>
                      <w:kern w:val="0"/>
                      <w:szCs w:val="21"/>
                    </w:rPr>
                  </w:pPr>
                  <w:r>
                    <w:rPr>
                      <w:color w:val="auto"/>
                      <w:szCs w:val="21"/>
                    </w:rPr>
                    <w:t>年平均浓度</w:t>
                  </w:r>
                </w:p>
              </w:tc>
              <w:tc>
                <w:tcPr>
                  <w:tcW w:w="1355" w:type="dxa"/>
                  <w:tcBorders>
                    <w:tl2br w:val="nil"/>
                    <w:tr2bl w:val="nil"/>
                  </w:tcBorders>
                  <w:vAlign w:val="center"/>
                </w:tcPr>
                <w:p w14:paraId="30459257">
                  <w:pPr>
                    <w:adjustRightInd w:val="0"/>
                    <w:snapToGrid w:val="0"/>
                    <w:jc w:val="center"/>
                    <w:rPr>
                      <w:color w:val="auto"/>
                      <w:szCs w:val="21"/>
                    </w:rPr>
                  </w:pPr>
                  <w:r>
                    <w:rPr>
                      <w:rFonts w:hint="eastAsia"/>
                      <w:color w:val="auto"/>
                      <w:kern w:val="0"/>
                      <w:szCs w:val="21"/>
                    </w:rPr>
                    <w:t>18</w:t>
                  </w:r>
                </w:p>
              </w:tc>
              <w:tc>
                <w:tcPr>
                  <w:tcW w:w="1479" w:type="dxa"/>
                  <w:tcBorders>
                    <w:tl2br w:val="nil"/>
                    <w:tr2bl w:val="nil"/>
                  </w:tcBorders>
                  <w:vAlign w:val="center"/>
                </w:tcPr>
                <w:p w14:paraId="5A6BAF89">
                  <w:pPr>
                    <w:adjustRightInd w:val="0"/>
                    <w:snapToGrid w:val="0"/>
                    <w:jc w:val="center"/>
                    <w:rPr>
                      <w:color w:val="auto"/>
                      <w:szCs w:val="21"/>
                    </w:rPr>
                  </w:pPr>
                  <w:r>
                    <w:rPr>
                      <w:rFonts w:hint="eastAsia"/>
                      <w:color w:val="auto"/>
                      <w:szCs w:val="21"/>
                    </w:rPr>
                    <w:t>40</w:t>
                  </w:r>
                </w:p>
              </w:tc>
              <w:tc>
                <w:tcPr>
                  <w:tcW w:w="1447" w:type="dxa"/>
                  <w:tcBorders>
                    <w:tl2br w:val="nil"/>
                    <w:tr2bl w:val="nil"/>
                  </w:tcBorders>
                  <w:vAlign w:val="center"/>
                </w:tcPr>
                <w:p w14:paraId="7BD7F29F">
                  <w:pPr>
                    <w:adjustRightInd w:val="0"/>
                    <w:snapToGrid w:val="0"/>
                    <w:jc w:val="center"/>
                    <w:rPr>
                      <w:color w:val="auto"/>
                      <w:szCs w:val="21"/>
                    </w:rPr>
                  </w:pPr>
                  <w:r>
                    <w:rPr>
                      <w:rFonts w:hint="eastAsia"/>
                      <w:color w:val="auto"/>
                      <w:szCs w:val="21"/>
                    </w:rPr>
                    <w:t>45.0</w:t>
                  </w:r>
                </w:p>
              </w:tc>
              <w:tc>
                <w:tcPr>
                  <w:tcW w:w="1548" w:type="dxa"/>
                  <w:tcBorders>
                    <w:tl2br w:val="nil"/>
                    <w:tr2bl w:val="nil"/>
                  </w:tcBorders>
                  <w:vAlign w:val="center"/>
                </w:tcPr>
                <w:p w14:paraId="238CEAB1">
                  <w:pPr>
                    <w:adjustRightInd w:val="0"/>
                    <w:snapToGrid w:val="0"/>
                    <w:jc w:val="center"/>
                    <w:rPr>
                      <w:color w:val="auto"/>
                      <w:szCs w:val="21"/>
                    </w:rPr>
                  </w:pPr>
                  <w:r>
                    <w:rPr>
                      <w:color w:val="auto"/>
                      <w:szCs w:val="21"/>
                    </w:rPr>
                    <w:t>达标</w:t>
                  </w:r>
                </w:p>
              </w:tc>
            </w:tr>
            <w:tr w14:paraId="7021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8" w:type="dxa"/>
                  <w:tcBorders>
                    <w:tl2br w:val="nil"/>
                    <w:tr2bl w:val="nil"/>
                  </w:tcBorders>
                  <w:vAlign w:val="center"/>
                </w:tcPr>
                <w:p w14:paraId="2B339C8C">
                  <w:pPr>
                    <w:adjustRightInd w:val="0"/>
                    <w:snapToGrid w:val="0"/>
                    <w:jc w:val="center"/>
                    <w:rPr>
                      <w:color w:val="auto"/>
                      <w:kern w:val="0"/>
                      <w:szCs w:val="21"/>
                    </w:rPr>
                  </w:pPr>
                  <w:r>
                    <w:rPr>
                      <w:color w:val="auto"/>
                      <w:szCs w:val="21"/>
                    </w:rPr>
                    <w:t>CO</w:t>
                  </w:r>
                </w:p>
              </w:tc>
              <w:tc>
                <w:tcPr>
                  <w:tcW w:w="2252" w:type="dxa"/>
                  <w:tcBorders>
                    <w:tl2br w:val="nil"/>
                    <w:tr2bl w:val="nil"/>
                  </w:tcBorders>
                  <w:vAlign w:val="center"/>
                </w:tcPr>
                <w:p w14:paraId="313F5CE9">
                  <w:pPr>
                    <w:adjustRightInd w:val="0"/>
                    <w:snapToGrid w:val="0"/>
                    <w:jc w:val="center"/>
                    <w:rPr>
                      <w:color w:val="auto"/>
                      <w:kern w:val="0"/>
                      <w:szCs w:val="21"/>
                    </w:rPr>
                  </w:pPr>
                  <w:r>
                    <w:rPr>
                      <w:color w:val="auto"/>
                      <w:szCs w:val="21"/>
                    </w:rPr>
                    <w:t>日平均第95百分位质量浓度</w:t>
                  </w:r>
                </w:p>
              </w:tc>
              <w:tc>
                <w:tcPr>
                  <w:tcW w:w="1355" w:type="dxa"/>
                  <w:tcBorders>
                    <w:tl2br w:val="nil"/>
                    <w:tr2bl w:val="nil"/>
                  </w:tcBorders>
                  <w:vAlign w:val="center"/>
                </w:tcPr>
                <w:p w14:paraId="26653DA5">
                  <w:pPr>
                    <w:adjustRightInd w:val="0"/>
                    <w:snapToGrid w:val="0"/>
                    <w:jc w:val="center"/>
                    <w:rPr>
                      <w:color w:val="auto"/>
                      <w:szCs w:val="21"/>
                    </w:rPr>
                  </w:pPr>
                  <w:r>
                    <w:rPr>
                      <w:rFonts w:hint="eastAsia"/>
                      <w:color w:val="auto"/>
                      <w:szCs w:val="21"/>
                    </w:rPr>
                    <w:t>0.9mg/m</w:t>
                  </w:r>
                  <w:r>
                    <w:rPr>
                      <w:rFonts w:hint="eastAsia"/>
                      <w:color w:val="auto"/>
                      <w:szCs w:val="21"/>
                      <w:vertAlign w:val="superscript"/>
                    </w:rPr>
                    <w:t>3</w:t>
                  </w:r>
                </w:p>
              </w:tc>
              <w:tc>
                <w:tcPr>
                  <w:tcW w:w="1479" w:type="dxa"/>
                  <w:tcBorders>
                    <w:tl2br w:val="nil"/>
                    <w:tr2bl w:val="nil"/>
                  </w:tcBorders>
                  <w:vAlign w:val="center"/>
                </w:tcPr>
                <w:p w14:paraId="66ABD9BB">
                  <w:pPr>
                    <w:adjustRightInd w:val="0"/>
                    <w:snapToGrid w:val="0"/>
                    <w:jc w:val="center"/>
                    <w:rPr>
                      <w:color w:val="auto"/>
                      <w:szCs w:val="21"/>
                    </w:rPr>
                  </w:pPr>
                  <w:r>
                    <w:rPr>
                      <w:rFonts w:hint="eastAsia"/>
                      <w:color w:val="auto"/>
                      <w:szCs w:val="21"/>
                    </w:rPr>
                    <w:t>4mg/m</w:t>
                  </w:r>
                  <w:r>
                    <w:rPr>
                      <w:rFonts w:hint="eastAsia"/>
                      <w:color w:val="auto"/>
                      <w:szCs w:val="21"/>
                      <w:vertAlign w:val="superscript"/>
                    </w:rPr>
                    <w:t>3</w:t>
                  </w:r>
                </w:p>
              </w:tc>
              <w:tc>
                <w:tcPr>
                  <w:tcW w:w="1447" w:type="dxa"/>
                  <w:tcBorders>
                    <w:tl2br w:val="nil"/>
                    <w:tr2bl w:val="nil"/>
                  </w:tcBorders>
                  <w:vAlign w:val="center"/>
                </w:tcPr>
                <w:p w14:paraId="656ABEEE">
                  <w:pPr>
                    <w:adjustRightInd w:val="0"/>
                    <w:snapToGrid w:val="0"/>
                    <w:jc w:val="center"/>
                    <w:rPr>
                      <w:color w:val="auto"/>
                      <w:szCs w:val="21"/>
                    </w:rPr>
                  </w:pPr>
                  <w:r>
                    <w:rPr>
                      <w:rFonts w:hint="eastAsia"/>
                      <w:color w:val="auto"/>
                      <w:szCs w:val="21"/>
                    </w:rPr>
                    <w:t>22.5</w:t>
                  </w:r>
                </w:p>
              </w:tc>
              <w:tc>
                <w:tcPr>
                  <w:tcW w:w="1548" w:type="dxa"/>
                  <w:tcBorders>
                    <w:tl2br w:val="nil"/>
                    <w:tr2bl w:val="nil"/>
                  </w:tcBorders>
                  <w:vAlign w:val="center"/>
                </w:tcPr>
                <w:p w14:paraId="5C4D3B3E">
                  <w:pPr>
                    <w:adjustRightInd w:val="0"/>
                    <w:snapToGrid w:val="0"/>
                    <w:jc w:val="center"/>
                    <w:rPr>
                      <w:color w:val="auto"/>
                      <w:szCs w:val="21"/>
                    </w:rPr>
                  </w:pPr>
                  <w:r>
                    <w:rPr>
                      <w:color w:val="auto"/>
                      <w:szCs w:val="21"/>
                    </w:rPr>
                    <w:t>达标</w:t>
                  </w:r>
                </w:p>
              </w:tc>
            </w:tr>
            <w:tr w14:paraId="6195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8" w:type="dxa"/>
                  <w:tcBorders>
                    <w:tl2br w:val="nil"/>
                    <w:tr2bl w:val="nil"/>
                  </w:tcBorders>
                  <w:vAlign w:val="center"/>
                </w:tcPr>
                <w:p w14:paraId="399D754C">
                  <w:pPr>
                    <w:adjustRightInd w:val="0"/>
                    <w:snapToGrid w:val="0"/>
                    <w:jc w:val="center"/>
                    <w:rPr>
                      <w:color w:val="auto"/>
                      <w:kern w:val="0"/>
                      <w:szCs w:val="21"/>
                    </w:rPr>
                  </w:pPr>
                  <w:r>
                    <w:rPr>
                      <w:color w:val="auto"/>
                      <w:szCs w:val="21"/>
                    </w:rPr>
                    <w:t>O</w:t>
                  </w:r>
                  <w:r>
                    <w:rPr>
                      <w:rFonts w:hint="eastAsia"/>
                      <w:color w:val="auto"/>
                      <w:szCs w:val="21"/>
                      <w:vertAlign w:val="subscript"/>
                    </w:rPr>
                    <w:t>3</w:t>
                  </w:r>
                </w:p>
              </w:tc>
              <w:tc>
                <w:tcPr>
                  <w:tcW w:w="2252" w:type="dxa"/>
                  <w:tcBorders>
                    <w:tl2br w:val="nil"/>
                    <w:tr2bl w:val="nil"/>
                  </w:tcBorders>
                  <w:vAlign w:val="center"/>
                </w:tcPr>
                <w:p w14:paraId="30AF6685">
                  <w:pPr>
                    <w:adjustRightInd w:val="0"/>
                    <w:snapToGrid w:val="0"/>
                    <w:jc w:val="center"/>
                    <w:rPr>
                      <w:color w:val="auto"/>
                      <w:kern w:val="0"/>
                      <w:szCs w:val="21"/>
                    </w:rPr>
                  </w:pPr>
                  <w:r>
                    <w:rPr>
                      <w:color w:val="auto"/>
                      <w:szCs w:val="21"/>
                    </w:rPr>
                    <w:t>日最大8小时平均第90百分位质量浓度</w:t>
                  </w:r>
                </w:p>
              </w:tc>
              <w:tc>
                <w:tcPr>
                  <w:tcW w:w="1355" w:type="dxa"/>
                  <w:tcBorders>
                    <w:tl2br w:val="nil"/>
                    <w:tr2bl w:val="nil"/>
                  </w:tcBorders>
                  <w:vAlign w:val="center"/>
                </w:tcPr>
                <w:p w14:paraId="0B896037">
                  <w:pPr>
                    <w:adjustRightInd w:val="0"/>
                    <w:snapToGrid w:val="0"/>
                    <w:jc w:val="center"/>
                    <w:rPr>
                      <w:color w:val="auto"/>
                      <w:szCs w:val="21"/>
                    </w:rPr>
                  </w:pPr>
                  <w:r>
                    <w:rPr>
                      <w:rFonts w:hint="eastAsia"/>
                      <w:color w:val="auto"/>
                      <w:szCs w:val="21"/>
                    </w:rPr>
                    <w:t>170</w:t>
                  </w:r>
                </w:p>
              </w:tc>
              <w:tc>
                <w:tcPr>
                  <w:tcW w:w="1479" w:type="dxa"/>
                  <w:tcBorders>
                    <w:tl2br w:val="nil"/>
                    <w:tr2bl w:val="nil"/>
                  </w:tcBorders>
                  <w:vAlign w:val="center"/>
                </w:tcPr>
                <w:p w14:paraId="63AB97E0">
                  <w:pPr>
                    <w:adjustRightInd w:val="0"/>
                    <w:snapToGrid w:val="0"/>
                    <w:jc w:val="center"/>
                    <w:rPr>
                      <w:color w:val="auto"/>
                      <w:szCs w:val="21"/>
                    </w:rPr>
                  </w:pPr>
                  <w:r>
                    <w:rPr>
                      <w:rFonts w:hint="eastAsia"/>
                      <w:color w:val="auto"/>
                      <w:szCs w:val="21"/>
                    </w:rPr>
                    <w:t>160</w:t>
                  </w:r>
                </w:p>
              </w:tc>
              <w:tc>
                <w:tcPr>
                  <w:tcW w:w="1447" w:type="dxa"/>
                  <w:tcBorders>
                    <w:tl2br w:val="nil"/>
                    <w:tr2bl w:val="nil"/>
                  </w:tcBorders>
                  <w:vAlign w:val="center"/>
                </w:tcPr>
                <w:p w14:paraId="11A4DD40">
                  <w:pPr>
                    <w:adjustRightInd w:val="0"/>
                    <w:snapToGrid w:val="0"/>
                    <w:jc w:val="center"/>
                    <w:rPr>
                      <w:color w:val="auto"/>
                      <w:szCs w:val="21"/>
                    </w:rPr>
                  </w:pPr>
                  <w:r>
                    <w:rPr>
                      <w:rFonts w:hint="eastAsia"/>
                      <w:color w:val="auto"/>
                      <w:szCs w:val="21"/>
                    </w:rPr>
                    <w:t>106.3</w:t>
                  </w:r>
                </w:p>
              </w:tc>
              <w:tc>
                <w:tcPr>
                  <w:tcW w:w="1548" w:type="dxa"/>
                  <w:tcBorders>
                    <w:tl2br w:val="nil"/>
                    <w:tr2bl w:val="nil"/>
                  </w:tcBorders>
                  <w:vAlign w:val="center"/>
                </w:tcPr>
                <w:p w14:paraId="0D1C4042">
                  <w:pPr>
                    <w:adjustRightInd w:val="0"/>
                    <w:snapToGrid w:val="0"/>
                    <w:jc w:val="center"/>
                    <w:rPr>
                      <w:color w:val="auto"/>
                      <w:szCs w:val="21"/>
                    </w:rPr>
                  </w:pPr>
                  <w:r>
                    <w:rPr>
                      <w:rFonts w:hint="eastAsia"/>
                      <w:color w:val="auto"/>
                      <w:szCs w:val="21"/>
                    </w:rPr>
                    <w:t>不</w:t>
                  </w:r>
                  <w:r>
                    <w:rPr>
                      <w:color w:val="auto"/>
                      <w:szCs w:val="21"/>
                    </w:rPr>
                    <w:t>达标</w:t>
                  </w:r>
                </w:p>
              </w:tc>
            </w:tr>
          </w:tbl>
          <w:p w14:paraId="2D9F3AEB">
            <w:pPr>
              <w:widowControl/>
              <w:adjustRightInd w:val="0"/>
              <w:snapToGrid w:val="0"/>
              <w:spacing w:line="360" w:lineRule="auto"/>
              <w:ind w:firstLine="480" w:firstLineChars="200"/>
              <w:jc w:val="left"/>
              <w:rPr>
                <w:color w:val="auto"/>
                <w:kern w:val="0"/>
                <w:sz w:val="24"/>
              </w:rPr>
            </w:pPr>
            <w:r>
              <w:rPr>
                <w:color w:val="auto"/>
                <w:kern w:val="0"/>
                <w:sz w:val="24"/>
              </w:rPr>
              <w:t>宿州市</w:t>
            </w:r>
            <w:r>
              <w:rPr>
                <w:rFonts w:hint="eastAsia"/>
                <w:color w:val="auto"/>
                <w:kern w:val="0"/>
                <w:sz w:val="24"/>
              </w:rPr>
              <w:t>2024</w:t>
            </w:r>
            <w:r>
              <w:rPr>
                <w:color w:val="auto"/>
                <w:kern w:val="0"/>
                <w:sz w:val="24"/>
              </w:rPr>
              <w:t>年PM</w:t>
            </w:r>
            <w:r>
              <w:rPr>
                <w:color w:val="auto"/>
                <w:kern w:val="0"/>
                <w:sz w:val="24"/>
                <w:vertAlign w:val="subscript"/>
              </w:rPr>
              <w:t>10</w:t>
            </w:r>
            <w:r>
              <w:rPr>
                <w:color w:val="auto"/>
                <w:kern w:val="0"/>
                <w:sz w:val="24"/>
              </w:rPr>
              <w:t>、PM</w:t>
            </w:r>
            <w:r>
              <w:rPr>
                <w:color w:val="auto"/>
                <w:kern w:val="0"/>
                <w:sz w:val="24"/>
                <w:vertAlign w:val="subscript"/>
              </w:rPr>
              <w:t>2.5</w:t>
            </w:r>
            <w:r>
              <w:rPr>
                <w:rFonts w:hint="eastAsia"/>
                <w:color w:val="auto"/>
                <w:kern w:val="0"/>
                <w:sz w:val="24"/>
              </w:rPr>
              <w:t>、</w:t>
            </w:r>
            <w:r>
              <w:rPr>
                <w:color w:val="auto"/>
                <w:kern w:val="0"/>
                <w:sz w:val="24"/>
              </w:rPr>
              <w:t>SO</w:t>
            </w:r>
            <w:r>
              <w:rPr>
                <w:color w:val="auto"/>
                <w:kern w:val="0"/>
                <w:sz w:val="24"/>
                <w:vertAlign w:val="subscript"/>
              </w:rPr>
              <w:t>2</w:t>
            </w:r>
            <w:r>
              <w:rPr>
                <w:color w:val="auto"/>
                <w:kern w:val="0"/>
                <w:sz w:val="24"/>
              </w:rPr>
              <w:t>、NO</w:t>
            </w:r>
            <w:r>
              <w:rPr>
                <w:color w:val="auto"/>
                <w:kern w:val="0"/>
                <w:sz w:val="24"/>
                <w:vertAlign w:val="subscript"/>
              </w:rPr>
              <w:t>2</w:t>
            </w:r>
            <w:r>
              <w:rPr>
                <w:color w:val="auto"/>
                <w:kern w:val="0"/>
                <w:sz w:val="24"/>
              </w:rPr>
              <w:t>年均浓度分别为</w:t>
            </w:r>
            <w:r>
              <w:rPr>
                <w:rFonts w:hint="eastAsia"/>
                <w:color w:val="auto"/>
                <w:kern w:val="0"/>
                <w:sz w:val="24"/>
              </w:rPr>
              <w:t>71</w:t>
            </w:r>
            <w:r>
              <w:rPr>
                <w:color w:val="auto"/>
                <w:kern w:val="0"/>
                <w:sz w:val="24"/>
              </w:rPr>
              <w:t>μg/m</w:t>
            </w:r>
            <w:r>
              <w:rPr>
                <w:color w:val="auto"/>
                <w:kern w:val="0"/>
                <w:sz w:val="24"/>
                <w:vertAlign w:val="superscript"/>
              </w:rPr>
              <w:t>3</w:t>
            </w:r>
            <w:r>
              <w:rPr>
                <w:color w:val="auto"/>
                <w:kern w:val="0"/>
                <w:sz w:val="24"/>
              </w:rPr>
              <w:t>、</w:t>
            </w:r>
            <w:r>
              <w:rPr>
                <w:rFonts w:hint="eastAsia"/>
                <w:color w:val="auto"/>
                <w:kern w:val="0"/>
                <w:sz w:val="24"/>
              </w:rPr>
              <w:t>43</w:t>
            </w:r>
            <w:r>
              <w:rPr>
                <w:color w:val="auto"/>
                <w:kern w:val="0"/>
                <w:sz w:val="24"/>
              </w:rPr>
              <w:t>μg/m</w:t>
            </w:r>
            <w:r>
              <w:rPr>
                <w:color w:val="auto"/>
                <w:kern w:val="0"/>
                <w:sz w:val="24"/>
                <w:vertAlign w:val="superscript"/>
              </w:rPr>
              <w:t>3</w:t>
            </w:r>
            <w:r>
              <w:rPr>
                <w:color w:val="auto"/>
                <w:kern w:val="0"/>
                <w:sz w:val="24"/>
              </w:rPr>
              <w:t>、</w:t>
            </w:r>
            <w:r>
              <w:rPr>
                <w:rFonts w:hint="eastAsia"/>
                <w:color w:val="auto"/>
                <w:kern w:val="0"/>
                <w:sz w:val="24"/>
              </w:rPr>
              <w:t>6</w:t>
            </w:r>
            <w:r>
              <w:rPr>
                <w:color w:val="auto"/>
                <w:kern w:val="0"/>
                <w:sz w:val="24"/>
              </w:rPr>
              <w:t>μg/m</w:t>
            </w:r>
            <w:r>
              <w:rPr>
                <w:color w:val="auto"/>
                <w:kern w:val="0"/>
                <w:sz w:val="24"/>
                <w:vertAlign w:val="superscript"/>
              </w:rPr>
              <w:t>3</w:t>
            </w:r>
            <w:r>
              <w:rPr>
                <w:color w:val="auto"/>
                <w:kern w:val="0"/>
                <w:sz w:val="24"/>
              </w:rPr>
              <w:t>、</w:t>
            </w:r>
            <w:r>
              <w:rPr>
                <w:rFonts w:hint="eastAsia"/>
                <w:color w:val="auto"/>
                <w:kern w:val="0"/>
                <w:sz w:val="24"/>
              </w:rPr>
              <w:t>18</w:t>
            </w:r>
            <w:r>
              <w:rPr>
                <w:color w:val="auto"/>
                <w:kern w:val="0"/>
                <w:sz w:val="24"/>
              </w:rPr>
              <w:t>μg/m</w:t>
            </w:r>
            <w:r>
              <w:rPr>
                <w:color w:val="auto"/>
                <w:kern w:val="0"/>
                <w:sz w:val="24"/>
                <w:vertAlign w:val="superscript"/>
              </w:rPr>
              <w:t>3</w:t>
            </w:r>
            <w:r>
              <w:rPr>
                <w:color w:val="auto"/>
                <w:kern w:val="0"/>
                <w:sz w:val="24"/>
              </w:rPr>
              <w:t>；CO24小时平均第95百分位数为</w:t>
            </w:r>
            <w:r>
              <w:rPr>
                <w:rFonts w:hint="eastAsia"/>
                <w:color w:val="auto"/>
                <w:kern w:val="0"/>
                <w:sz w:val="24"/>
              </w:rPr>
              <w:t>0.9</w:t>
            </w:r>
            <w:r>
              <w:rPr>
                <w:color w:val="auto"/>
                <w:kern w:val="0"/>
                <w:sz w:val="24"/>
              </w:rPr>
              <w:t>mg/m</w:t>
            </w:r>
            <w:r>
              <w:rPr>
                <w:color w:val="auto"/>
                <w:kern w:val="0"/>
                <w:sz w:val="24"/>
                <w:vertAlign w:val="superscript"/>
              </w:rPr>
              <w:t>3</w:t>
            </w:r>
            <w:r>
              <w:rPr>
                <w:color w:val="auto"/>
                <w:kern w:val="0"/>
                <w:sz w:val="24"/>
              </w:rPr>
              <w:t>，O</w:t>
            </w:r>
            <w:r>
              <w:rPr>
                <w:color w:val="auto"/>
                <w:kern w:val="0"/>
                <w:sz w:val="24"/>
                <w:vertAlign w:val="subscript"/>
              </w:rPr>
              <w:t>3</w:t>
            </w:r>
            <w:r>
              <w:rPr>
                <w:color w:val="auto"/>
                <w:kern w:val="0"/>
                <w:sz w:val="24"/>
              </w:rPr>
              <w:t>日最大8小时平均第90百分位数为</w:t>
            </w:r>
            <w:r>
              <w:rPr>
                <w:rFonts w:hint="eastAsia"/>
                <w:color w:val="auto"/>
                <w:kern w:val="0"/>
                <w:sz w:val="24"/>
              </w:rPr>
              <w:t>170</w:t>
            </w:r>
            <w:r>
              <w:rPr>
                <w:color w:val="auto"/>
                <w:kern w:val="0"/>
                <w:sz w:val="24"/>
              </w:rPr>
              <w:t>μg/m</w:t>
            </w:r>
            <w:r>
              <w:rPr>
                <w:color w:val="auto"/>
                <w:kern w:val="0"/>
                <w:sz w:val="24"/>
                <w:vertAlign w:val="superscript"/>
              </w:rPr>
              <w:t>3</w:t>
            </w:r>
            <w:r>
              <w:rPr>
                <w:color w:val="auto"/>
                <w:kern w:val="0"/>
                <w:sz w:val="24"/>
              </w:rPr>
              <w:t>；超过《环境空气质量标准》（GB3095-20</w:t>
            </w:r>
            <w:r>
              <w:rPr>
                <w:rFonts w:hint="eastAsia"/>
                <w:color w:val="auto"/>
                <w:kern w:val="0"/>
                <w:sz w:val="24"/>
                <w:lang w:val="en-US" w:eastAsia="zh-CN"/>
              </w:rPr>
              <w:t>26</w:t>
            </w:r>
            <w:r>
              <w:rPr>
                <w:color w:val="auto"/>
                <w:kern w:val="0"/>
                <w:sz w:val="24"/>
              </w:rPr>
              <w:t>）中二级标准限值的污染物为O</w:t>
            </w:r>
            <w:r>
              <w:rPr>
                <w:color w:val="auto"/>
                <w:kern w:val="0"/>
                <w:sz w:val="24"/>
                <w:vertAlign w:val="subscript"/>
              </w:rPr>
              <w:t>3</w:t>
            </w:r>
            <w:r>
              <w:rPr>
                <w:color w:val="auto"/>
                <w:kern w:val="0"/>
                <w:sz w:val="24"/>
              </w:rPr>
              <w:t>、PM</w:t>
            </w:r>
            <w:r>
              <w:rPr>
                <w:color w:val="auto"/>
                <w:kern w:val="0"/>
                <w:sz w:val="24"/>
                <w:vertAlign w:val="subscript"/>
              </w:rPr>
              <w:t>2.5</w:t>
            </w:r>
            <w:r>
              <w:rPr>
                <w:color w:val="auto"/>
                <w:kern w:val="0"/>
                <w:sz w:val="24"/>
              </w:rPr>
              <w:t>、PM</w:t>
            </w:r>
            <w:r>
              <w:rPr>
                <w:rFonts w:hint="eastAsia"/>
                <w:color w:val="auto"/>
                <w:kern w:val="0"/>
                <w:sz w:val="24"/>
                <w:vertAlign w:val="subscript"/>
              </w:rPr>
              <w:t>10</w:t>
            </w:r>
            <w:r>
              <w:rPr>
                <w:rFonts w:hint="eastAsia"/>
                <w:color w:val="auto"/>
                <w:kern w:val="0"/>
                <w:sz w:val="24"/>
              </w:rPr>
              <w:t>。</w:t>
            </w:r>
            <w:r>
              <w:rPr>
                <w:color w:val="auto"/>
                <w:kern w:val="0"/>
                <w:sz w:val="24"/>
              </w:rPr>
              <w:t>所以项目所在地为大气环境空气质量不达标区。</w:t>
            </w:r>
          </w:p>
          <w:p w14:paraId="3B5AAD87">
            <w:pPr>
              <w:adjustRightInd w:val="0"/>
              <w:snapToGrid w:val="0"/>
              <w:spacing w:line="360" w:lineRule="auto"/>
              <w:ind w:firstLine="480" w:firstLineChars="200"/>
              <w:jc w:val="left"/>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lang w:val="en-US" w:eastAsia="zh-CN"/>
              </w:rPr>
              <w:t>特征污染物</w:t>
            </w:r>
          </w:p>
          <w:p w14:paraId="7A8A7742">
            <w:pPr>
              <w:adjustRightInd w:val="0"/>
              <w:snapToGrid w:val="0"/>
              <w:spacing w:line="360" w:lineRule="auto"/>
              <w:ind w:firstLine="480" w:firstLineChars="200"/>
              <w:jc w:val="left"/>
              <w:rPr>
                <w:rFonts w:hint="eastAsia"/>
                <w:color w:val="auto"/>
                <w:sz w:val="24"/>
              </w:rPr>
            </w:pPr>
            <w:r>
              <w:rPr>
                <w:rFonts w:hint="eastAsia"/>
                <w:color w:val="auto"/>
                <w:sz w:val="24"/>
                <w:szCs w:val="24"/>
                <w:lang w:val="en-US" w:eastAsia="zh-CN"/>
              </w:rPr>
              <w:t>本</w:t>
            </w:r>
            <w:r>
              <w:rPr>
                <w:rFonts w:hint="default"/>
                <w:color w:val="auto"/>
                <w:sz w:val="24"/>
                <w:szCs w:val="24"/>
                <w:lang w:val="en-US" w:eastAsia="zh-CN"/>
              </w:rPr>
              <w:t>项目位于</w:t>
            </w:r>
            <w:r>
              <w:rPr>
                <w:rFonts w:hint="default" w:ascii="Times New Roman" w:hAnsi="Times New Roman" w:eastAsia="宋体" w:cs="Times New Roman"/>
                <w:color w:val="auto"/>
                <w:sz w:val="24"/>
                <w:szCs w:val="24"/>
                <w:lang w:eastAsia="zh-CN"/>
              </w:rPr>
              <w:t>安徽省宿州市埇桥区</w:t>
            </w:r>
            <w:r>
              <w:rPr>
                <w:rFonts w:hint="default" w:ascii="Times New Roman" w:hAnsi="Times New Roman" w:eastAsia="宋体" w:cs="Times New Roman"/>
                <w:color w:val="auto"/>
                <w:sz w:val="24"/>
                <w:szCs w:val="24"/>
              </w:rPr>
              <w:t>顺河镇魏庄村魏武路北侧17号</w:t>
            </w:r>
            <w:r>
              <w:rPr>
                <w:rFonts w:hint="default"/>
                <w:color w:val="auto"/>
                <w:sz w:val="24"/>
                <w:szCs w:val="24"/>
                <w:lang w:val="en-US" w:eastAsia="zh-CN"/>
              </w:rPr>
              <w:t>，</w:t>
            </w:r>
            <w:r>
              <w:rPr>
                <w:rFonts w:hint="eastAsia"/>
                <w:color w:val="auto"/>
                <w:sz w:val="24"/>
                <w:lang w:eastAsia="zh-CN" w:bidi="ar"/>
              </w:rPr>
              <w:t>大气环境</w:t>
            </w:r>
            <w:r>
              <w:rPr>
                <w:rFonts w:hint="eastAsia"/>
                <w:color w:val="auto"/>
                <w:sz w:val="24"/>
              </w:rPr>
              <w:t>现状质量引用</w:t>
            </w:r>
            <w:r>
              <w:rPr>
                <w:rFonts w:hint="eastAsia"/>
                <w:b w:val="0"/>
                <w:bCs w:val="0"/>
                <w:color w:val="auto"/>
                <w:sz w:val="24"/>
                <w:szCs w:val="24"/>
                <w:lang w:val="en-US" w:eastAsia="zh-CN"/>
              </w:rPr>
              <w:t>《</w:t>
            </w:r>
            <w:r>
              <w:rPr>
                <w:rFonts w:hint="default"/>
                <w:color w:val="auto"/>
                <w:sz w:val="24"/>
                <w:szCs w:val="24"/>
                <w:lang w:val="en-US" w:eastAsia="zh-CN"/>
              </w:rPr>
              <w:t>宿州市泽润木业有限公司年产2万立方米胶合板、1万立方米再生板生产项目</w:t>
            </w:r>
            <w:r>
              <w:rPr>
                <w:rFonts w:hint="eastAsia"/>
                <w:color w:val="auto"/>
                <w:sz w:val="24"/>
                <w:szCs w:val="24"/>
                <w:lang w:val="en-US" w:eastAsia="zh-CN"/>
              </w:rPr>
              <w:t>环评现状检测报告</w:t>
            </w:r>
            <w:r>
              <w:rPr>
                <w:rFonts w:hint="eastAsia"/>
                <w:b w:val="0"/>
                <w:bCs w:val="0"/>
                <w:color w:val="auto"/>
                <w:sz w:val="24"/>
                <w:szCs w:val="24"/>
                <w:lang w:val="en-US" w:eastAsia="zh-CN"/>
              </w:rPr>
              <w:t>》</w:t>
            </w:r>
            <w:r>
              <w:rPr>
                <w:rFonts w:hint="eastAsia" w:cs="Times New Roman"/>
                <w:color w:val="auto"/>
                <w:kern w:val="0"/>
                <w:sz w:val="24"/>
                <w:szCs w:val="24"/>
                <w:lang w:val="en-US" w:eastAsia="zh-CN"/>
              </w:rPr>
              <w:t>环评现状监测报告</w:t>
            </w:r>
            <w:r>
              <w:rPr>
                <w:rFonts w:hint="eastAsia"/>
                <w:b w:val="0"/>
                <w:bCs w:val="0"/>
                <w:color w:val="auto"/>
                <w:sz w:val="24"/>
                <w:szCs w:val="24"/>
                <w:lang w:val="en-US" w:eastAsia="zh-CN"/>
              </w:rPr>
              <w:t>（中数据</w:t>
            </w:r>
            <w:r>
              <w:rPr>
                <w:rFonts w:hint="eastAsia"/>
                <w:color w:val="auto"/>
                <w:sz w:val="24"/>
              </w:rPr>
              <w:t>进行评价，</w:t>
            </w:r>
            <w:r>
              <w:rPr>
                <w:rFonts w:hint="eastAsia"/>
                <w:color w:val="auto"/>
                <w:sz w:val="24"/>
                <w:szCs w:val="24"/>
                <w:lang w:val="en-US" w:eastAsia="zh-CN"/>
              </w:rPr>
              <w:t>监测点</w:t>
            </w:r>
            <w:r>
              <w:rPr>
                <w:rFonts w:hint="eastAsia"/>
                <w:color w:val="auto"/>
                <w:kern w:val="0"/>
                <w:sz w:val="24"/>
              </w:rPr>
              <w:t>位于项目</w:t>
            </w:r>
            <w:r>
              <w:rPr>
                <w:rFonts w:hint="eastAsia"/>
                <w:color w:val="auto"/>
                <w:kern w:val="0"/>
                <w:sz w:val="24"/>
                <w:lang w:eastAsia="zh-CN"/>
              </w:rPr>
              <w:t>东侧</w:t>
            </w:r>
            <w:r>
              <w:rPr>
                <w:rFonts w:hint="eastAsia"/>
                <w:color w:val="auto"/>
                <w:kern w:val="0"/>
                <w:sz w:val="24"/>
                <w:lang w:val="en-US" w:eastAsia="zh-CN"/>
              </w:rPr>
              <w:t>1100</w:t>
            </w:r>
            <w:r>
              <w:rPr>
                <w:rFonts w:hint="eastAsia"/>
                <w:color w:val="auto"/>
                <w:kern w:val="0"/>
                <w:sz w:val="24"/>
              </w:rPr>
              <w:t>米</w:t>
            </w:r>
            <w:r>
              <w:rPr>
                <w:rFonts w:hint="eastAsia"/>
                <w:color w:val="auto"/>
                <w:sz w:val="24"/>
              </w:rPr>
              <w:t>。符合“引用建设项目周边5千米范围内近3年的现有监测数据”的要求，</w:t>
            </w:r>
            <w:r>
              <w:rPr>
                <w:color w:val="auto"/>
                <w:sz w:val="24"/>
              </w:rPr>
              <w:t>其监测结果</w:t>
            </w:r>
            <w:r>
              <w:rPr>
                <w:rFonts w:hint="eastAsia"/>
                <w:color w:val="auto"/>
                <w:sz w:val="24"/>
              </w:rPr>
              <w:t>如下：</w:t>
            </w:r>
          </w:p>
          <w:p w14:paraId="3833916B">
            <w:pPr>
              <w:adjustRightInd w:val="0"/>
              <w:snapToGrid w:val="0"/>
              <w:spacing w:line="360" w:lineRule="auto"/>
              <w:jc w:val="center"/>
              <w:rPr>
                <w:rFonts w:hint="default"/>
                <w:b/>
                <w:bCs/>
                <w:color w:val="auto"/>
                <w:sz w:val="24"/>
                <w:lang w:val="en-US" w:eastAsia="zh-CN"/>
              </w:rPr>
            </w:pPr>
            <w:r>
              <w:drawing>
                <wp:inline distT="0" distB="0" distL="114300" distR="114300">
                  <wp:extent cx="5158105" cy="4041775"/>
                  <wp:effectExtent l="0" t="0" r="444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158105" cy="4041775"/>
                          </a:xfrm>
                          <a:prstGeom prst="rect">
                            <a:avLst/>
                          </a:prstGeom>
                          <a:noFill/>
                          <a:ln>
                            <a:noFill/>
                          </a:ln>
                        </pic:spPr>
                      </pic:pic>
                    </a:graphicData>
                  </a:graphic>
                </wp:inline>
              </w:drawing>
            </w:r>
            <w:r>
              <w:rPr>
                <w:rFonts w:hint="eastAsia"/>
                <w:b/>
                <w:bCs/>
                <w:color w:val="auto"/>
                <w:sz w:val="24"/>
                <w:lang w:eastAsia="zh-CN"/>
              </w:rPr>
              <w:t>图</w:t>
            </w:r>
            <w:r>
              <w:rPr>
                <w:rFonts w:hint="eastAsia"/>
                <w:b/>
                <w:bCs/>
                <w:color w:val="auto"/>
                <w:sz w:val="24"/>
                <w:lang w:val="en-US" w:eastAsia="zh-CN"/>
              </w:rPr>
              <w:t xml:space="preserve"> 3.1  </w:t>
            </w:r>
            <w:r>
              <w:rPr>
                <w:rFonts w:hint="eastAsia"/>
                <w:b/>
                <w:bCs/>
                <w:color w:val="auto"/>
                <w:sz w:val="24"/>
                <w:lang w:eastAsia="zh-CN"/>
              </w:rPr>
              <w:t>引用数据相对位置图</w:t>
            </w:r>
          </w:p>
          <w:p w14:paraId="04FF840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color w:val="auto"/>
                <w:sz w:val="24"/>
              </w:rPr>
            </w:pPr>
            <w:r>
              <w:rPr>
                <w:b/>
                <w:bCs/>
                <w:color w:val="auto"/>
                <w:sz w:val="24"/>
              </w:rPr>
              <w:t>表3</w:t>
            </w:r>
            <w:r>
              <w:rPr>
                <w:rFonts w:hint="eastAsia"/>
                <w:b/>
                <w:bCs/>
                <w:color w:val="auto"/>
                <w:sz w:val="24"/>
                <w:lang w:val="en-US" w:eastAsia="zh-CN"/>
              </w:rPr>
              <w:t>.2</w:t>
            </w:r>
            <w:r>
              <w:rPr>
                <w:b/>
                <w:bCs/>
                <w:color w:val="auto"/>
                <w:sz w:val="24"/>
              </w:rPr>
              <w:t xml:space="preserve"> </w:t>
            </w:r>
            <w:r>
              <w:rPr>
                <w:rFonts w:hint="eastAsia"/>
                <w:b/>
                <w:bCs/>
                <w:color w:val="auto"/>
                <w:sz w:val="24"/>
              </w:rPr>
              <w:t xml:space="preserve"> </w:t>
            </w:r>
            <w:r>
              <w:rPr>
                <w:b/>
                <w:bCs/>
                <w:color w:val="auto"/>
                <w:sz w:val="24"/>
              </w:rPr>
              <w:t>大气环境质量监测结果一览表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1212"/>
              <w:gridCol w:w="1203"/>
              <w:gridCol w:w="1214"/>
              <w:gridCol w:w="609"/>
              <w:gridCol w:w="704"/>
              <w:gridCol w:w="1111"/>
            </w:tblGrid>
            <w:tr w14:paraId="76F6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tcBorders>
                    <w:tl2br w:val="nil"/>
                    <w:tr2bl w:val="nil"/>
                  </w:tcBorders>
                  <w:noWrap w:val="0"/>
                  <w:vAlign w:val="center"/>
                </w:tcPr>
                <w:p w14:paraId="4CFE7A4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采样日期</w:t>
                  </w:r>
                </w:p>
              </w:tc>
              <w:tc>
                <w:tcPr>
                  <w:tcW w:w="2415" w:type="dxa"/>
                  <w:gridSpan w:val="2"/>
                  <w:tcBorders>
                    <w:tl2br w:val="nil"/>
                    <w:tr2bl w:val="nil"/>
                  </w:tcBorders>
                  <w:noWrap w:val="0"/>
                  <w:vAlign w:val="center"/>
                </w:tcPr>
                <w:p w14:paraId="2EAD8CC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2024年07月12日-07月18日</w:t>
                  </w:r>
                </w:p>
              </w:tc>
              <w:tc>
                <w:tcPr>
                  <w:tcW w:w="1214" w:type="dxa"/>
                  <w:tcBorders>
                    <w:tl2br w:val="nil"/>
                    <w:tr2bl w:val="nil"/>
                  </w:tcBorders>
                  <w:noWrap w:val="0"/>
                  <w:vAlign w:val="center"/>
                </w:tcPr>
                <w:p w14:paraId="22A6BD2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分析</w:t>
                  </w:r>
                  <w:r>
                    <w:rPr>
                      <w:rFonts w:hint="default"/>
                      <w:color w:val="000000" w:themeColor="text1"/>
                      <w14:textFill>
                        <w14:solidFill>
                          <w14:schemeClr w14:val="tx1"/>
                        </w14:solidFill>
                      </w14:textFill>
                    </w:rPr>
                    <w:t>日期</w:t>
                  </w:r>
                </w:p>
              </w:tc>
              <w:tc>
                <w:tcPr>
                  <w:tcW w:w="2424" w:type="dxa"/>
                  <w:gridSpan w:val="3"/>
                  <w:tcBorders>
                    <w:tl2br w:val="nil"/>
                    <w:tr2bl w:val="nil"/>
                  </w:tcBorders>
                  <w:noWrap w:val="0"/>
                  <w:vAlign w:val="center"/>
                </w:tcPr>
                <w:p w14:paraId="4C532A6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2024年07月13日始</w:t>
                  </w:r>
                </w:p>
              </w:tc>
            </w:tr>
            <w:tr w14:paraId="40CA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6" w:type="dxa"/>
                  <w:gridSpan w:val="7"/>
                  <w:tcBorders>
                    <w:tl2br w:val="nil"/>
                    <w:tr2bl w:val="nil"/>
                  </w:tcBorders>
                  <w:noWrap w:val="0"/>
                  <w:vAlign w:val="center"/>
                </w:tcPr>
                <w:p w14:paraId="213E03B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大气检测气象参数</w:t>
                  </w:r>
                </w:p>
              </w:tc>
            </w:tr>
            <w:tr w14:paraId="6F66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183" w:type="dxa"/>
                  <w:tcBorders>
                    <w:tl2br w:val="nil"/>
                    <w:tr2bl w:val="nil"/>
                  </w:tcBorders>
                  <w:noWrap w:val="0"/>
                  <w:vAlign w:val="center"/>
                </w:tcPr>
                <w:p w14:paraId="314A17D0">
                  <w:pPr>
                    <w:spacing w:line="240" w:lineRule="atLeast"/>
                    <w:jc w:val="center"/>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时间</w:t>
                  </w:r>
                </w:p>
              </w:tc>
              <w:tc>
                <w:tcPr>
                  <w:tcW w:w="1212" w:type="dxa"/>
                  <w:tcBorders>
                    <w:tl2br w:val="nil"/>
                    <w:tr2bl w:val="nil"/>
                  </w:tcBorders>
                  <w:noWrap w:val="0"/>
                  <w:vAlign w:val="center"/>
                </w:tcPr>
                <w:p w14:paraId="44917253">
                  <w:pPr>
                    <w:spacing w:line="240" w:lineRule="atLeast"/>
                    <w:jc w:val="center"/>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风速（m/s）</w:t>
                  </w:r>
                </w:p>
              </w:tc>
              <w:tc>
                <w:tcPr>
                  <w:tcW w:w="1203" w:type="dxa"/>
                  <w:tcBorders>
                    <w:tl2br w:val="nil"/>
                    <w:tr2bl w:val="nil"/>
                  </w:tcBorders>
                  <w:noWrap w:val="0"/>
                  <w:vAlign w:val="center"/>
                </w:tcPr>
                <w:p w14:paraId="16C11198">
                  <w:pPr>
                    <w:spacing w:line="240" w:lineRule="atLeast"/>
                    <w:jc w:val="center"/>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风向</w:t>
                  </w:r>
                </w:p>
              </w:tc>
              <w:tc>
                <w:tcPr>
                  <w:tcW w:w="1214" w:type="dxa"/>
                  <w:tcBorders>
                    <w:tl2br w:val="nil"/>
                    <w:tr2bl w:val="nil"/>
                  </w:tcBorders>
                  <w:noWrap w:val="0"/>
                  <w:vAlign w:val="center"/>
                </w:tcPr>
                <w:p w14:paraId="77DA335E">
                  <w:pPr>
                    <w:spacing w:line="240" w:lineRule="atLeast"/>
                    <w:jc w:val="center"/>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气温（℃）</w:t>
                  </w:r>
                </w:p>
              </w:tc>
              <w:tc>
                <w:tcPr>
                  <w:tcW w:w="1313" w:type="dxa"/>
                  <w:gridSpan w:val="2"/>
                  <w:tcBorders>
                    <w:tl2br w:val="nil"/>
                    <w:tr2bl w:val="nil"/>
                  </w:tcBorders>
                  <w:noWrap w:val="0"/>
                  <w:vAlign w:val="center"/>
                </w:tcPr>
                <w:p w14:paraId="7AD54B87">
                  <w:pPr>
                    <w:spacing w:line="240" w:lineRule="atLeast"/>
                    <w:jc w:val="center"/>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气压（</w:t>
                  </w:r>
                  <w:r>
                    <w:rPr>
                      <w:rFonts w:hint="default"/>
                      <w:color w:val="000000" w:themeColor="text1"/>
                      <w:lang w:val="en-US" w:eastAsia="zh-CN"/>
                      <w14:textFill>
                        <w14:solidFill>
                          <w14:schemeClr w14:val="tx1"/>
                        </w14:solidFill>
                      </w14:textFill>
                    </w:rPr>
                    <w:t>Kpa</w:t>
                  </w:r>
                  <w:r>
                    <w:rPr>
                      <w:rFonts w:hint="default"/>
                      <w:color w:val="000000" w:themeColor="text1"/>
                      <w:lang w:eastAsia="zh-CN"/>
                      <w14:textFill>
                        <w14:solidFill>
                          <w14:schemeClr w14:val="tx1"/>
                        </w14:solidFill>
                      </w14:textFill>
                    </w:rPr>
                    <w:t>）</w:t>
                  </w:r>
                </w:p>
              </w:tc>
              <w:tc>
                <w:tcPr>
                  <w:tcW w:w="1111" w:type="dxa"/>
                  <w:tcBorders>
                    <w:tl2br w:val="nil"/>
                    <w:tr2bl w:val="nil"/>
                  </w:tcBorders>
                  <w:noWrap w:val="0"/>
                  <w:vAlign w:val="center"/>
                </w:tcPr>
                <w:p w14:paraId="450F2FA4">
                  <w:pPr>
                    <w:spacing w:line="240" w:lineRule="atLeast"/>
                    <w:jc w:val="center"/>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天气状况</w:t>
                  </w:r>
                </w:p>
              </w:tc>
            </w:tr>
            <w:tr w14:paraId="6524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tcBorders>
                    <w:tl2br w:val="nil"/>
                    <w:tr2bl w:val="nil"/>
                  </w:tcBorders>
                  <w:noWrap w:val="0"/>
                  <w:vAlign w:val="center"/>
                </w:tcPr>
                <w:p w14:paraId="093A6A6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7-12</w:t>
                  </w:r>
                </w:p>
              </w:tc>
              <w:tc>
                <w:tcPr>
                  <w:tcW w:w="1212" w:type="dxa"/>
                  <w:tcBorders>
                    <w:tl2br w:val="nil"/>
                    <w:tr2bl w:val="nil"/>
                  </w:tcBorders>
                  <w:noWrap w:val="0"/>
                  <w:vAlign w:val="center"/>
                </w:tcPr>
                <w:p w14:paraId="2C8810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2.5-3.1</w:t>
                  </w:r>
                </w:p>
              </w:tc>
              <w:tc>
                <w:tcPr>
                  <w:tcW w:w="1203" w:type="dxa"/>
                  <w:tcBorders>
                    <w:tl2br w:val="nil"/>
                    <w:tr2bl w:val="nil"/>
                  </w:tcBorders>
                  <w:noWrap w:val="0"/>
                  <w:vAlign w:val="center"/>
                </w:tcPr>
                <w:p w14:paraId="00431FF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东南</w:t>
                  </w:r>
                </w:p>
              </w:tc>
              <w:tc>
                <w:tcPr>
                  <w:tcW w:w="1214" w:type="dxa"/>
                  <w:tcBorders>
                    <w:tl2br w:val="nil"/>
                    <w:tr2bl w:val="nil"/>
                  </w:tcBorders>
                  <w:noWrap w:val="0"/>
                  <w:vAlign w:val="center"/>
                </w:tcPr>
                <w:p w14:paraId="27FD73E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24.5-30.1</w:t>
                  </w:r>
                </w:p>
              </w:tc>
              <w:tc>
                <w:tcPr>
                  <w:tcW w:w="1313" w:type="dxa"/>
                  <w:gridSpan w:val="2"/>
                  <w:tcBorders>
                    <w:tl2br w:val="nil"/>
                    <w:tr2bl w:val="nil"/>
                  </w:tcBorders>
                  <w:noWrap w:val="0"/>
                  <w:vAlign w:val="center"/>
                </w:tcPr>
                <w:p w14:paraId="308FE8E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100.2-100.6</w:t>
                  </w:r>
                </w:p>
              </w:tc>
              <w:tc>
                <w:tcPr>
                  <w:tcW w:w="1111" w:type="dxa"/>
                  <w:tcBorders>
                    <w:tl2br w:val="nil"/>
                    <w:tr2bl w:val="nil"/>
                  </w:tcBorders>
                  <w:noWrap w:val="0"/>
                  <w:vAlign w:val="center"/>
                </w:tcPr>
                <w:p w14:paraId="08E7E2B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阴</w:t>
                  </w:r>
                </w:p>
              </w:tc>
            </w:tr>
            <w:tr w14:paraId="78DA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tcBorders>
                    <w:tl2br w:val="nil"/>
                    <w:tr2bl w:val="nil"/>
                  </w:tcBorders>
                  <w:noWrap w:val="0"/>
                  <w:vAlign w:val="center"/>
                </w:tcPr>
                <w:p w14:paraId="1339BD8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7-13</w:t>
                  </w:r>
                </w:p>
              </w:tc>
              <w:tc>
                <w:tcPr>
                  <w:tcW w:w="1212" w:type="dxa"/>
                  <w:tcBorders>
                    <w:tl2br w:val="nil"/>
                    <w:tr2bl w:val="nil"/>
                  </w:tcBorders>
                  <w:noWrap w:val="0"/>
                  <w:vAlign w:val="center"/>
                </w:tcPr>
                <w:p w14:paraId="7AE8031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2.6-3.2</w:t>
                  </w:r>
                </w:p>
              </w:tc>
              <w:tc>
                <w:tcPr>
                  <w:tcW w:w="1203" w:type="dxa"/>
                  <w:tcBorders>
                    <w:tl2br w:val="nil"/>
                    <w:tr2bl w:val="nil"/>
                  </w:tcBorders>
                  <w:noWrap w:val="0"/>
                  <w:vAlign w:val="center"/>
                </w:tcPr>
                <w:p w14:paraId="01B4943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东北</w:t>
                  </w:r>
                </w:p>
              </w:tc>
              <w:tc>
                <w:tcPr>
                  <w:tcW w:w="1214" w:type="dxa"/>
                  <w:tcBorders>
                    <w:tl2br w:val="nil"/>
                    <w:tr2bl w:val="nil"/>
                  </w:tcBorders>
                  <w:noWrap w:val="0"/>
                  <w:vAlign w:val="center"/>
                </w:tcPr>
                <w:p w14:paraId="44208F9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23.5-31.0</w:t>
                  </w:r>
                </w:p>
              </w:tc>
              <w:tc>
                <w:tcPr>
                  <w:tcW w:w="1313" w:type="dxa"/>
                  <w:gridSpan w:val="2"/>
                  <w:tcBorders>
                    <w:tl2br w:val="nil"/>
                    <w:tr2bl w:val="nil"/>
                  </w:tcBorders>
                  <w:noWrap w:val="0"/>
                  <w:vAlign w:val="center"/>
                </w:tcPr>
                <w:p w14:paraId="089EE15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100.2-100.5</w:t>
                  </w:r>
                </w:p>
              </w:tc>
              <w:tc>
                <w:tcPr>
                  <w:tcW w:w="1111" w:type="dxa"/>
                  <w:tcBorders>
                    <w:tl2br w:val="nil"/>
                    <w:tr2bl w:val="nil"/>
                  </w:tcBorders>
                  <w:noWrap w:val="0"/>
                  <w:vAlign w:val="center"/>
                </w:tcPr>
                <w:p w14:paraId="16D3429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阴</w:t>
                  </w:r>
                </w:p>
              </w:tc>
            </w:tr>
            <w:tr w14:paraId="49BC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tcBorders>
                    <w:tl2br w:val="nil"/>
                    <w:tr2bl w:val="nil"/>
                  </w:tcBorders>
                  <w:noWrap w:val="0"/>
                  <w:vAlign w:val="center"/>
                </w:tcPr>
                <w:p w14:paraId="4C20C59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7-14</w:t>
                  </w:r>
                </w:p>
              </w:tc>
              <w:tc>
                <w:tcPr>
                  <w:tcW w:w="1212" w:type="dxa"/>
                  <w:tcBorders>
                    <w:tl2br w:val="nil"/>
                    <w:tr2bl w:val="nil"/>
                  </w:tcBorders>
                  <w:noWrap w:val="0"/>
                  <w:vAlign w:val="center"/>
                </w:tcPr>
                <w:p w14:paraId="0F72CC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2.8-3.4</w:t>
                  </w:r>
                </w:p>
              </w:tc>
              <w:tc>
                <w:tcPr>
                  <w:tcW w:w="1203" w:type="dxa"/>
                  <w:tcBorders>
                    <w:tl2br w:val="nil"/>
                    <w:tr2bl w:val="nil"/>
                  </w:tcBorders>
                  <w:noWrap w:val="0"/>
                  <w:vAlign w:val="center"/>
                </w:tcPr>
                <w:p w14:paraId="6F2D048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东</w:t>
                  </w:r>
                </w:p>
              </w:tc>
              <w:tc>
                <w:tcPr>
                  <w:tcW w:w="1214" w:type="dxa"/>
                  <w:tcBorders>
                    <w:tl2br w:val="nil"/>
                    <w:tr2bl w:val="nil"/>
                  </w:tcBorders>
                  <w:noWrap w:val="0"/>
                  <w:vAlign w:val="center"/>
                </w:tcPr>
                <w:p w14:paraId="32C58CD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26.3-29.8</w:t>
                  </w:r>
                </w:p>
              </w:tc>
              <w:tc>
                <w:tcPr>
                  <w:tcW w:w="1313" w:type="dxa"/>
                  <w:gridSpan w:val="2"/>
                  <w:tcBorders>
                    <w:tl2br w:val="nil"/>
                    <w:tr2bl w:val="nil"/>
                  </w:tcBorders>
                  <w:noWrap w:val="0"/>
                  <w:vAlign w:val="center"/>
                </w:tcPr>
                <w:p w14:paraId="45ADCE7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99.9-100.3</w:t>
                  </w:r>
                </w:p>
              </w:tc>
              <w:tc>
                <w:tcPr>
                  <w:tcW w:w="1111" w:type="dxa"/>
                  <w:tcBorders>
                    <w:tl2br w:val="nil"/>
                    <w:tr2bl w:val="nil"/>
                  </w:tcBorders>
                  <w:noWrap w:val="0"/>
                  <w:vAlign w:val="center"/>
                </w:tcPr>
                <w:p w14:paraId="51896EF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阴</w:t>
                  </w:r>
                </w:p>
              </w:tc>
            </w:tr>
            <w:tr w14:paraId="361A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tcBorders>
                    <w:tl2br w:val="nil"/>
                    <w:tr2bl w:val="nil"/>
                  </w:tcBorders>
                  <w:noWrap w:val="0"/>
                  <w:vAlign w:val="center"/>
                </w:tcPr>
                <w:p w14:paraId="364FEF3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7-15</w:t>
                  </w:r>
                </w:p>
              </w:tc>
              <w:tc>
                <w:tcPr>
                  <w:tcW w:w="1212" w:type="dxa"/>
                  <w:tcBorders>
                    <w:tl2br w:val="nil"/>
                    <w:tr2bl w:val="nil"/>
                  </w:tcBorders>
                  <w:noWrap w:val="0"/>
                  <w:vAlign w:val="center"/>
                </w:tcPr>
                <w:p w14:paraId="6C74E01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2.3-2.6</w:t>
                  </w:r>
                </w:p>
              </w:tc>
              <w:tc>
                <w:tcPr>
                  <w:tcW w:w="1203" w:type="dxa"/>
                  <w:tcBorders>
                    <w:tl2br w:val="nil"/>
                    <w:tr2bl w:val="nil"/>
                  </w:tcBorders>
                  <w:noWrap w:val="0"/>
                  <w:vAlign w:val="center"/>
                </w:tcPr>
                <w:p w14:paraId="5FA6B3E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南</w:t>
                  </w:r>
                </w:p>
              </w:tc>
              <w:tc>
                <w:tcPr>
                  <w:tcW w:w="1214" w:type="dxa"/>
                  <w:tcBorders>
                    <w:tl2br w:val="nil"/>
                    <w:tr2bl w:val="nil"/>
                  </w:tcBorders>
                  <w:noWrap w:val="0"/>
                  <w:vAlign w:val="center"/>
                </w:tcPr>
                <w:p w14:paraId="343B605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26.2-27.9</w:t>
                  </w:r>
                </w:p>
              </w:tc>
              <w:tc>
                <w:tcPr>
                  <w:tcW w:w="1313" w:type="dxa"/>
                  <w:gridSpan w:val="2"/>
                  <w:tcBorders>
                    <w:tl2br w:val="nil"/>
                    <w:tr2bl w:val="nil"/>
                  </w:tcBorders>
                  <w:noWrap w:val="0"/>
                  <w:vAlign w:val="center"/>
                </w:tcPr>
                <w:p w14:paraId="262C465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100.3-100.8</w:t>
                  </w:r>
                </w:p>
              </w:tc>
              <w:tc>
                <w:tcPr>
                  <w:tcW w:w="1111" w:type="dxa"/>
                  <w:tcBorders>
                    <w:tl2br w:val="nil"/>
                    <w:tr2bl w:val="nil"/>
                  </w:tcBorders>
                  <w:noWrap w:val="0"/>
                  <w:vAlign w:val="center"/>
                </w:tcPr>
                <w:p w14:paraId="18FC769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阴</w:t>
                  </w:r>
                </w:p>
              </w:tc>
            </w:tr>
            <w:tr w14:paraId="6258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tcBorders>
                    <w:tl2br w:val="nil"/>
                    <w:tr2bl w:val="nil"/>
                  </w:tcBorders>
                  <w:noWrap w:val="0"/>
                  <w:vAlign w:val="center"/>
                </w:tcPr>
                <w:p w14:paraId="4F7A1E0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7-16</w:t>
                  </w:r>
                </w:p>
              </w:tc>
              <w:tc>
                <w:tcPr>
                  <w:tcW w:w="1212" w:type="dxa"/>
                  <w:tcBorders>
                    <w:tl2br w:val="nil"/>
                    <w:tr2bl w:val="nil"/>
                  </w:tcBorders>
                  <w:noWrap w:val="0"/>
                  <w:vAlign w:val="center"/>
                </w:tcPr>
                <w:p w14:paraId="3A8CE89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2.8-3.3</w:t>
                  </w:r>
                </w:p>
              </w:tc>
              <w:tc>
                <w:tcPr>
                  <w:tcW w:w="1203" w:type="dxa"/>
                  <w:tcBorders>
                    <w:tl2br w:val="nil"/>
                    <w:tr2bl w:val="nil"/>
                  </w:tcBorders>
                  <w:noWrap w:val="0"/>
                  <w:vAlign w:val="center"/>
                </w:tcPr>
                <w:p w14:paraId="2077147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东南</w:t>
                  </w:r>
                </w:p>
              </w:tc>
              <w:tc>
                <w:tcPr>
                  <w:tcW w:w="1214" w:type="dxa"/>
                  <w:tcBorders>
                    <w:tl2br w:val="nil"/>
                    <w:tr2bl w:val="nil"/>
                  </w:tcBorders>
                  <w:noWrap w:val="0"/>
                  <w:vAlign w:val="center"/>
                </w:tcPr>
                <w:p w14:paraId="6F5BD8A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25.8-28.8</w:t>
                  </w:r>
                </w:p>
              </w:tc>
              <w:tc>
                <w:tcPr>
                  <w:tcW w:w="1313" w:type="dxa"/>
                  <w:gridSpan w:val="2"/>
                  <w:tcBorders>
                    <w:tl2br w:val="nil"/>
                    <w:tr2bl w:val="nil"/>
                  </w:tcBorders>
                  <w:noWrap w:val="0"/>
                  <w:vAlign w:val="center"/>
                </w:tcPr>
                <w:p w14:paraId="70C0059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100.3-100.6</w:t>
                  </w:r>
                </w:p>
              </w:tc>
              <w:tc>
                <w:tcPr>
                  <w:tcW w:w="1111" w:type="dxa"/>
                  <w:tcBorders>
                    <w:tl2br w:val="nil"/>
                    <w:tr2bl w:val="nil"/>
                  </w:tcBorders>
                  <w:noWrap w:val="0"/>
                  <w:vAlign w:val="center"/>
                </w:tcPr>
                <w:p w14:paraId="6FC0CD2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阴</w:t>
                  </w:r>
                </w:p>
              </w:tc>
            </w:tr>
            <w:tr w14:paraId="7D23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tcBorders>
                    <w:tl2br w:val="nil"/>
                    <w:tr2bl w:val="nil"/>
                  </w:tcBorders>
                  <w:noWrap w:val="0"/>
                  <w:vAlign w:val="center"/>
                </w:tcPr>
                <w:p w14:paraId="2E5AC3A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7-17</w:t>
                  </w:r>
                </w:p>
              </w:tc>
              <w:tc>
                <w:tcPr>
                  <w:tcW w:w="1212" w:type="dxa"/>
                  <w:tcBorders>
                    <w:tl2br w:val="nil"/>
                    <w:tr2bl w:val="nil"/>
                  </w:tcBorders>
                  <w:noWrap w:val="0"/>
                  <w:vAlign w:val="center"/>
                </w:tcPr>
                <w:p w14:paraId="3BCD229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2.4-2.9</w:t>
                  </w:r>
                </w:p>
              </w:tc>
              <w:tc>
                <w:tcPr>
                  <w:tcW w:w="1203" w:type="dxa"/>
                  <w:tcBorders>
                    <w:tl2br w:val="nil"/>
                    <w:tr2bl w:val="nil"/>
                  </w:tcBorders>
                  <w:noWrap w:val="0"/>
                  <w:vAlign w:val="center"/>
                </w:tcPr>
                <w:p w14:paraId="378BAF8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西南</w:t>
                  </w:r>
                </w:p>
              </w:tc>
              <w:tc>
                <w:tcPr>
                  <w:tcW w:w="1214" w:type="dxa"/>
                  <w:tcBorders>
                    <w:tl2br w:val="nil"/>
                    <w:tr2bl w:val="nil"/>
                  </w:tcBorders>
                  <w:noWrap w:val="0"/>
                  <w:vAlign w:val="center"/>
                </w:tcPr>
                <w:p w14:paraId="0E0F5FD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24.5-29.1</w:t>
                  </w:r>
                </w:p>
              </w:tc>
              <w:tc>
                <w:tcPr>
                  <w:tcW w:w="1313" w:type="dxa"/>
                  <w:gridSpan w:val="2"/>
                  <w:tcBorders>
                    <w:tl2br w:val="nil"/>
                    <w:tr2bl w:val="nil"/>
                  </w:tcBorders>
                  <w:noWrap w:val="0"/>
                  <w:vAlign w:val="center"/>
                </w:tcPr>
                <w:p w14:paraId="710714F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100.4-100.7</w:t>
                  </w:r>
                </w:p>
              </w:tc>
              <w:tc>
                <w:tcPr>
                  <w:tcW w:w="1111" w:type="dxa"/>
                  <w:tcBorders>
                    <w:tl2br w:val="nil"/>
                    <w:tr2bl w:val="nil"/>
                  </w:tcBorders>
                  <w:noWrap w:val="0"/>
                  <w:vAlign w:val="center"/>
                </w:tcPr>
                <w:p w14:paraId="7326834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阴</w:t>
                  </w:r>
                </w:p>
              </w:tc>
            </w:tr>
            <w:tr w14:paraId="1455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tcBorders>
                    <w:tl2br w:val="nil"/>
                    <w:tr2bl w:val="nil"/>
                  </w:tcBorders>
                  <w:noWrap w:val="0"/>
                  <w:vAlign w:val="center"/>
                </w:tcPr>
                <w:p w14:paraId="230C2A2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7-18</w:t>
                  </w:r>
                </w:p>
              </w:tc>
              <w:tc>
                <w:tcPr>
                  <w:tcW w:w="1212" w:type="dxa"/>
                  <w:tcBorders>
                    <w:tl2br w:val="nil"/>
                    <w:tr2bl w:val="nil"/>
                  </w:tcBorders>
                  <w:noWrap w:val="0"/>
                  <w:vAlign w:val="center"/>
                </w:tcPr>
                <w:p w14:paraId="7770AEE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2.8-3.3</w:t>
                  </w:r>
                </w:p>
              </w:tc>
              <w:tc>
                <w:tcPr>
                  <w:tcW w:w="1203" w:type="dxa"/>
                  <w:tcBorders>
                    <w:tl2br w:val="nil"/>
                    <w:tr2bl w:val="nil"/>
                  </w:tcBorders>
                  <w:noWrap w:val="0"/>
                  <w:vAlign w:val="center"/>
                </w:tcPr>
                <w:p w14:paraId="5DF84A1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西南</w:t>
                  </w:r>
                </w:p>
              </w:tc>
              <w:tc>
                <w:tcPr>
                  <w:tcW w:w="1214" w:type="dxa"/>
                  <w:tcBorders>
                    <w:tl2br w:val="nil"/>
                    <w:tr2bl w:val="nil"/>
                  </w:tcBorders>
                  <w:noWrap w:val="0"/>
                  <w:vAlign w:val="center"/>
                </w:tcPr>
                <w:p w14:paraId="1174EE4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24.6-27.3</w:t>
                  </w:r>
                </w:p>
              </w:tc>
              <w:tc>
                <w:tcPr>
                  <w:tcW w:w="1313" w:type="dxa"/>
                  <w:gridSpan w:val="2"/>
                  <w:tcBorders>
                    <w:tl2br w:val="nil"/>
                    <w:tr2bl w:val="nil"/>
                  </w:tcBorders>
                  <w:noWrap w:val="0"/>
                  <w:vAlign w:val="center"/>
                </w:tcPr>
                <w:p w14:paraId="374D857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100.1-100.5</w:t>
                  </w:r>
                </w:p>
              </w:tc>
              <w:tc>
                <w:tcPr>
                  <w:tcW w:w="1111" w:type="dxa"/>
                  <w:tcBorders>
                    <w:tl2br w:val="nil"/>
                    <w:tr2bl w:val="nil"/>
                  </w:tcBorders>
                  <w:noWrap w:val="0"/>
                  <w:vAlign w:val="center"/>
                </w:tcPr>
                <w:p w14:paraId="1DC28D9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阴</w:t>
                  </w:r>
                </w:p>
              </w:tc>
            </w:tr>
            <w:tr w14:paraId="532C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6" w:type="dxa"/>
                  <w:gridSpan w:val="7"/>
                  <w:noWrap w:val="0"/>
                  <w:vAlign w:val="center"/>
                </w:tcPr>
                <w:p w14:paraId="31CB00E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TSP测点位置及结果（</w:t>
                  </w:r>
                  <w:r>
                    <w:rPr>
                      <w:rFonts w:hint="default" w:ascii="Times New Roman" w:hAnsi="Times New Roman" w:eastAsia="微软雅黑" w:cs="Times New Roman"/>
                      <w:color w:val="000000" w:themeColor="text1"/>
                      <w:lang w:val="en-US" w:eastAsia="zh-CN"/>
                      <w14:textFill>
                        <w14:solidFill>
                          <w14:schemeClr w14:val="tx1"/>
                        </w14:solidFill>
                      </w14:textFill>
                    </w:rPr>
                    <w:t>μ</w:t>
                  </w:r>
                  <w:r>
                    <w:rPr>
                      <w:rFonts w:hint="default"/>
                      <w:color w:val="000000" w:themeColor="text1"/>
                      <w:lang w:val="en-US" w:eastAsia="zh-CN"/>
                      <w14:textFill>
                        <w14:solidFill>
                          <w14:schemeClr w14:val="tx1"/>
                        </w14:solidFill>
                      </w14:textFill>
                    </w:rPr>
                    <w:t>g/m</w:t>
                  </w:r>
                  <w:r>
                    <w:rPr>
                      <w:rFonts w:hint="default"/>
                      <w:color w:val="000000" w:themeColor="text1"/>
                      <w:vertAlign w:val="super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w:t>
                  </w:r>
                </w:p>
              </w:tc>
            </w:tr>
            <w:tr w14:paraId="7258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noWrap w:val="0"/>
                  <w:vAlign w:val="center"/>
                </w:tcPr>
                <w:p w14:paraId="766DA15D">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12</w:t>
                  </w:r>
                  <w:r>
                    <w:rPr>
                      <w:rFonts w:hint="eastAsia" w:ascii="Times New Roman" w:hAnsi="Times New Roman" w:eastAsia="宋体" w:cs="Times New Roman"/>
                      <w:b w:val="0"/>
                      <w:bCs w:val="0"/>
                      <w:color w:val="auto"/>
                      <w:kern w:val="0"/>
                      <w:sz w:val="21"/>
                      <w:szCs w:val="21"/>
                      <w:lang w:val="en-US" w:eastAsia="zh-CN" w:bidi="ar-SA"/>
                    </w:rPr>
                    <w:t>-0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13</w:t>
                  </w:r>
                </w:p>
              </w:tc>
              <w:tc>
                <w:tcPr>
                  <w:tcW w:w="2415" w:type="dxa"/>
                  <w:gridSpan w:val="2"/>
                  <w:noWrap w:val="0"/>
                  <w:vAlign w:val="center"/>
                </w:tcPr>
                <w:p w14:paraId="57F71C04">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14:00-14:00</w:t>
                  </w:r>
                </w:p>
              </w:tc>
              <w:tc>
                <w:tcPr>
                  <w:tcW w:w="1823" w:type="dxa"/>
                  <w:gridSpan w:val="2"/>
                  <w:noWrap w:val="0"/>
                  <w:vAlign w:val="center"/>
                </w:tcPr>
                <w:p w14:paraId="499F79CF">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223</w:t>
                  </w:r>
                </w:p>
              </w:tc>
              <w:tc>
                <w:tcPr>
                  <w:tcW w:w="1815" w:type="dxa"/>
                  <w:gridSpan w:val="2"/>
                  <w:noWrap w:val="0"/>
                  <w:vAlign w:val="center"/>
                </w:tcPr>
                <w:p w14:paraId="68949617">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188</w:t>
                  </w:r>
                </w:p>
              </w:tc>
            </w:tr>
            <w:tr w14:paraId="329A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noWrap w:val="0"/>
                  <w:vAlign w:val="center"/>
                </w:tcPr>
                <w:p w14:paraId="3CBDFA76">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13</w:t>
                  </w:r>
                  <w:r>
                    <w:rPr>
                      <w:rFonts w:hint="eastAsia" w:ascii="Times New Roman" w:hAnsi="Times New Roman" w:eastAsia="宋体" w:cs="Times New Roman"/>
                      <w:b w:val="0"/>
                      <w:bCs w:val="0"/>
                      <w:color w:val="auto"/>
                      <w:kern w:val="0"/>
                      <w:sz w:val="21"/>
                      <w:szCs w:val="21"/>
                      <w:lang w:val="en-US" w:eastAsia="zh-CN" w:bidi="ar-SA"/>
                    </w:rPr>
                    <w:t>-0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14</w:t>
                  </w:r>
                </w:p>
              </w:tc>
              <w:tc>
                <w:tcPr>
                  <w:tcW w:w="2415" w:type="dxa"/>
                  <w:gridSpan w:val="2"/>
                  <w:noWrap w:val="0"/>
                  <w:vAlign w:val="center"/>
                </w:tcPr>
                <w:p w14:paraId="034F1DED">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14:10-14:10</w:t>
                  </w:r>
                </w:p>
              </w:tc>
              <w:tc>
                <w:tcPr>
                  <w:tcW w:w="1823" w:type="dxa"/>
                  <w:gridSpan w:val="2"/>
                  <w:noWrap w:val="0"/>
                  <w:vAlign w:val="center"/>
                </w:tcPr>
                <w:p w14:paraId="3A5B3BE7">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216</w:t>
                  </w:r>
                </w:p>
              </w:tc>
              <w:tc>
                <w:tcPr>
                  <w:tcW w:w="1815" w:type="dxa"/>
                  <w:gridSpan w:val="2"/>
                  <w:noWrap w:val="0"/>
                  <w:vAlign w:val="center"/>
                </w:tcPr>
                <w:p w14:paraId="203C4BB0">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191</w:t>
                  </w:r>
                </w:p>
              </w:tc>
            </w:tr>
            <w:tr w14:paraId="0F39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noWrap w:val="0"/>
                  <w:vAlign w:val="center"/>
                </w:tcPr>
                <w:p w14:paraId="09664226">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14</w:t>
                  </w:r>
                  <w:r>
                    <w:rPr>
                      <w:rFonts w:hint="eastAsia" w:ascii="Times New Roman" w:hAnsi="Times New Roman" w:eastAsia="宋体" w:cs="Times New Roman"/>
                      <w:b w:val="0"/>
                      <w:bCs w:val="0"/>
                      <w:color w:val="auto"/>
                      <w:kern w:val="0"/>
                      <w:sz w:val="21"/>
                      <w:szCs w:val="21"/>
                      <w:lang w:val="en-US" w:eastAsia="zh-CN" w:bidi="ar-SA"/>
                    </w:rPr>
                    <w:t>-0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15</w:t>
                  </w:r>
                </w:p>
              </w:tc>
              <w:tc>
                <w:tcPr>
                  <w:tcW w:w="2415" w:type="dxa"/>
                  <w:gridSpan w:val="2"/>
                  <w:noWrap w:val="0"/>
                  <w:vAlign w:val="center"/>
                </w:tcPr>
                <w:p w14:paraId="3E7DA21E">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14:20-14:20</w:t>
                  </w:r>
                </w:p>
              </w:tc>
              <w:tc>
                <w:tcPr>
                  <w:tcW w:w="1823" w:type="dxa"/>
                  <w:gridSpan w:val="2"/>
                  <w:noWrap w:val="0"/>
                  <w:vAlign w:val="center"/>
                </w:tcPr>
                <w:p w14:paraId="5B1B523B">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232</w:t>
                  </w:r>
                </w:p>
              </w:tc>
              <w:tc>
                <w:tcPr>
                  <w:tcW w:w="1815" w:type="dxa"/>
                  <w:gridSpan w:val="2"/>
                  <w:noWrap w:val="0"/>
                  <w:vAlign w:val="center"/>
                </w:tcPr>
                <w:p w14:paraId="53C81B91">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195</w:t>
                  </w:r>
                </w:p>
              </w:tc>
            </w:tr>
            <w:tr w14:paraId="7F03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noWrap w:val="0"/>
                  <w:vAlign w:val="center"/>
                </w:tcPr>
                <w:p w14:paraId="48C3D9A2">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15</w:t>
                  </w:r>
                  <w:r>
                    <w:rPr>
                      <w:rFonts w:hint="eastAsia" w:ascii="Times New Roman" w:hAnsi="Times New Roman" w:eastAsia="宋体" w:cs="Times New Roman"/>
                      <w:b w:val="0"/>
                      <w:bCs w:val="0"/>
                      <w:color w:val="auto"/>
                      <w:kern w:val="0"/>
                      <w:sz w:val="21"/>
                      <w:szCs w:val="21"/>
                      <w:lang w:val="en-US" w:eastAsia="zh-CN" w:bidi="ar-SA"/>
                    </w:rPr>
                    <w:t>-0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16</w:t>
                  </w:r>
                </w:p>
              </w:tc>
              <w:tc>
                <w:tcPr>
                  <w:tcW w:w="2415" w:type="dxa"/>
                  <w:gridSpan w:val="2"/>
                  <w:noWrap w:val="0"/>
                  <w:vAlign w:val="center"/>
                </w:tcPr>
                <w:p w14:paraId="76BCA3F4">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14:30-14:30</w:t>
                  </w:r>
                </w:p>
              </w:tc>
              <w:tc>
                <w:tcPr>
                  <w:tcW w:w="1823" w:type="dxa"/>
                  <w:gridSpan w:val="2"/>
                  <w:noWrap w:val="0"/>
                  <w:vAlign w:val="center"/>
                </w:tcPr>
                <w:p w14:paraId="2D6DD8FC">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219</w:t>
                  </w:r>
                </w:p>
              </w:tc>
              <w:tc>
                <w:tcPr>
                  <w:tcW w:w="1815" w:type="dxa"/>
                  <w:gridSpan w:val="2"/>
                  <w:noWrap w:val="0"/>
                  <w:vAlign w:val="center"/>
                </w:tcPr>
                <w:p w14:paraId="39D3F0B4">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193</w:t>
                  </w:r>
                </w:p>
              </w:tc>
            </w:tr>
            <w:tr w14:paraId="0944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noWrap w:val="0"/>
                  <w:vAlign w:val="center"/>
                </w:tcPr>
                <w:p w14:paraId="3E468242">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16</w:t>
                  </w:r>
                  <w:r>
                    <w:rPr>
                      <w:rFonts w:hint="eastAsia" w:ascii="Times New Roman" w:hAnsi="Times New Roman" w:eastAsia="宋体" w:cs="Times New Roman"/>
                      <w:b w:val="0"/>
                      <w:bCs w:val="0"/>
                      <w:color w:val="auto"/>
                      <w:kern w:val="0"/>
                      <w:sz w:val="21"/>
                      <w:szCs w:val="21"/>
                      <w:lang w:val="en-US" w:eastAsia="zh-CN" w:bidi="ar-SA"/>
                    </w:rPr>
                    <w:t>-0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17</w:t>
                  </w:r>
                </w:p>
              </w:tc>
              <w:tc>
                <w:tcPr>
                  <w:tcW w:w="2415" w:type="dxa"/>
                  <w:gridSpan w:val="2"/>
                  <w:noWrap w:val="0"/>
                  <w:vAlign w:val="center"/>
                </w:tcPr>
                <w:p w14:paraId="08130DB2">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14:40-14:40</w:t>
                  </w:r>
                </w:p>
              </w:tc>
              <w:tc>
                <w:tcPr>
                  <w:tcW w:w="1823" w:type="dxa"/>
                  <w:gridSpan w:val="2"/>
                  <w:noWrap w:val="0"/>
                  <w:vAlign w:val="center"/>
                </w:tcPr>
                <w:p w14:paraId="5B6B0184">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224</w:t>
                  </w:r>
                </w:p>
              </w:tc>
              <w:tc>
                <w:tcPr>
                  <w:tcW w:w="1815" w:type="dxa"/>
                  <w:gridSpan w:val="2"/>
                  <w:noWrap w:val="0"/>
                  <w:vAlign w:val="center"/>
                </w:tcPr>
                <w:p w14:paraId="7D70990A">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187</w:t>
                  </w:r>
                </w:p>
              </w:tc>
            </w:tr>
            <w:tr w14:paraId="1A05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noWrap w:val="0"/>
                  <w:vAlign w:val="center"/>
                </w:tcPr>
                <w:p w14:paraId="09C42EF7">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17</w:t>
                  </w:r>
                  <w:r>
                    <w:rPr>
                      <w:rFonts w:hint="eastAsia" w:ascii="Times New Roman" w:hAnsi="Times New Roman" w:eastAsia="宋体" w:cs="Times New Roman"/>
                      <w:b w:val="0"/>
                      <w:bCs w:val="0"/>
                      <w:color w:val="auto"/>
                      <w:kern w:val="0"/>
                      <w:sz w:val="21"/>
                      <w:szCs w:val="21"/>
                      <w:lang w:val="en-US" w:eastAsia="zh-CN" w:bidi="ar-SA"/>
                    </w:rPr>
                    <w:t>-0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18</w:t>
                  </w:r>
                </w:p>
              </w:tc>
              <w:tc>
                <w:tcPr>
                  <w:tcW w:w="2415" w:type="dxa"/>
                  <w:gridSpan w:val="2"/>
                  <w:noWrap w:val="0"/>
                  <w:vAlign w:val="center"/>
                </w:tcPr>
                <w:p w14:paraId="287A1F2C">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14:50-14:50</w:t>
                  </w:r>
                </w:p>
              </w:tc>
              <w:tc>
                <w:tcPr>
                  <w:tcW w:w="1823" w:type="dxa"/>
                  <w:gridSpan w:val="2"/>
                  <w:noWrap w:val="0"/>
                  <w:vAlign w:val="center"/>
                </w:tcPr>
                <w:p w14:paraId="56B40B96">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232</w:t>
                  </w:r>
                </w:p>
              </w:tc>
              <w:tc>
                <w:tcPr>
                  <w:tcW w:w="1815" w:type="dxa"/>
                  <w:gridSpan w:val="2"/>
                  <w:noWrap w:val="0"/>
                  <w:vAlign w:val="center"/>
                </w:tcPr>
                <w:p w14:paraId="4AAECED6">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194</w:t>
                  </w:r>
                </w:p>
              </w:tc>
            </w:tr>
            <w:tr w14:paraId="2F36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noWrap w:val="0"/>
                  <w:vAlign w:val="center"/>
                </w:tcPr>
                <w:p w14:paraId="7339E043">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2024.0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18</w:t>
                  </w:r>
                  <w:r>
                    <w:rPr>
                      <w:rFonts w:hint="eastAsia" w:ascii="Times New Roman" w:hAnsi="Times New Roman" w:eastAsia="宋体" w:cs="Times New Roman"/>
                      <w:b w:val="0"/>
                      <w:bCs w:val="0"/>
                      <w:color w:val="auto"/>
                      <w:kern w:val="0"/>
                      <w:sz w:val="21"/>
                      <w:szCs w:val="21"/>
                      <w:lang w:val="en-US" w:eastAsia="zh-CN" w:bidi="ar-SA"/>
                    </w:rPr>
                    <w:t>-0</w:t>
                  </w:r>
                  <w:r>
                    <w:rPr>
                      <w:rFonts w:hint="eastAsia" w:ascii="Times New Roman" w:hAnsi="Times New Roman" w:cs="Times New Roman"/>
                      <w:b w:val="0"/>
                      <w:bCs w:val="0"/>
                      <w:color w:val="auto"/>
                      <w:kern w:val="0"/>
                      <w:sz w:val="21"/>
                      <w:szCs w:val="21"/>
                      <w:lang w:val="en-US" w:eastAsia="zh-CN" w:bidi="ar-SA"/>
                    </w:rPr>
                    <w:t>7</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 w:val="0"/>
                      <w:bCs w:val="0"/>
                      <w:color w:val="auto"/>
                      <w:kern w:val="0"/>
                      <w:sz w:val="21"/>
                      <w:szCs w:val="21"/>
                      <w:lang w:val="en-US" w:eastAsia="zh-CN" w:bidi="ar-SA"/>
                    </w:rPr>
                    <w:t>19</w:t>
                  </w:r>
                </w:p>
              </w:tc>
              <w:tc>
                <w:tcPr>
                  <w:tcW w:w="2415" w:type="dxa"/>
                  <w:gridSpan w:val="2"/>
                  <w:noWrap w:val="0"/>
                  <w:vAlign w:val="center"/>
                </w:tcPr>
                <w:p w14:paraId="01CFDB08">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auto"/>
                      <w:kern w:val="2"/>
                      <w:sz w:val="21"/>
                      <w:szCs w:val="21"/>
                      <w:lang w:val="en-US" w:eastAsia="zh-CN" w:bidi="ar-SA"/>
                    </w:rPr>
                    <w:t>15:00-15:00</w:t>
                  </w:r>
                </w:p>
              </w:tc>
              <w:tc>
                <w:tcPr>
                  <w:tcW w:w="1823" w:type="dxa"/>
                  <w:gridSpan w:val="2"/>
                  <w:noWrap w:val="0"/>
                  <w:vAlign w:val="center"/>
                </w:tcPr>
                <w:p w14:paraId="6748BD9C">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236</w:t>
                  </w:r>
                </w:p>
              </w:tc>
              <w:tc>
                <w:tcPr>
                  <w:tcW w:w="1815" w:type="dxa"/>
                  <w:gridSpan w:val="2"/>
                  <w:noWrap w:val="0"/>
                  <w:vAlign w:val="center"/>
                </w:tcPr>
                <w:p w14:paraId="53B58A9F">
                  <w:pPr>
                    <w:keepNext w:val="0"/>
                    <w:keepLines w:val="0"/>
                    <w:widowControl/>
                    <w:suppressLineNumbers w:val="0"/>
                    <w:jc w:val="center"/>
                    <w:textAlignment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i w:val="0"/>
                      <w:iCs w:val="0"/>
                      <w:color w:val="auto"/>
                      <w:kern w:val="0"/>
                      <w:sz w:val="21"/>
                      <w:szCs w:val="21"/>
                      <w:u w:val="none"/>
                      <w:lang w:val="en-US" w:eastAsia="zh-CN" w:bidi="ar"/>
                    </w:rPr>
                    <w:t>195</w:t>
                  </w:r>
                </w:p>
              </w:tc>
            </w:tr>
          </w:tbl>
          <w:p w14:paraId="65229F81">
            <w:pPr>
              <w:widowControl/>
              <w:spacing w:line="360" w:lineRule="auto"/>
              <w:ind w:firstLine="480" w:firstLineChars="200"/>
              <w:jc w:val="left"/>
              <w:rPr>
                <w:color w:val="auto"/>
                <w:sz w:val="24"/>
                <w:szCs w:val="24"/>
              </w:rPr>
            </w:pPr>
            <w:r>
              <w:rPr>
                <w:rFonts w:hint="eastAsia"/>
                <w:color w:val="auto"/>
                <w:sz w:val="24"/>
                <w:szCs w:val="24"/>
              </w:rPr>
              <w:t>由表3</w:t>
            </w:r>
            <w:r>
              <w:rPr>
                <w:rFonts w:hint="eastAsia" w:ascii="Times New Roman" w:hAnsi="Times New Roman" w:eastAsia="宋体" w:cs="Times New Roman"/>
                <w:b w:val="0"/>
                <w:bCs w:val="0"/>
                <w:color w:val="auto"/>
                <w:kern w:val="0"/>
                <w:sz w:val="21"/>
                <w:szCs w:val="21"/>
                <w:lang w:val="en-US" w:eastAsia="zh-CN" w:bidi="ar-SA"/>
              </w:rPr>
              <w:t>.</w:t>
            </w:r>
            <w:r>
              <w:rPr>
                <w:rFonts w:hint="eastAsia"/>
                <w:color w:val="auto"/>
                <w:sz w:val="24"/>
                <w:szCs w:val="24"/>
                <w:lang w:val="en-US" w:eastAsia="zh-CN"/>
              </w:rPr>
              <w:t>2</w:t>
            </w:r>
            <w:r>
              <w:rPr>
                <w:rFonts w:hint="eastAsia"/>
                <w:color w:val="auto"/>
                <w:sz w:val="24"/>
                <w:szCs w:val="24"/>
              </w:rPr>
              <w:t>可知，</w:t>
            </w:r>
            <w:r>
              <w:rPr>
                <w:rFonts w:hint="eastAsia"/>
                <w:color w:val="auto"/>
                <w:kern w:val="0"/>
                <w:sz w:val="24"/>
                <w:szCs w:val="24"/>
              </w:rPr>
              <w:t>TSP满足</w:t>
            </w:r>
            <w:r>
              <w:rPr>
                <w:rFonts w:hint="eastAsia"/>
                <w:color w:val="auto"/>
                <w:sz w:val="24"/>
                <w:szCs w:val="24"/>
              </w:rPr>
              <w:t>《</w:t>
            </w:r>
            <w:r>
              <w:rPr>
                <w:color w:val="auto"/>
                <w:sz w:val="24"/>
                <w:szCs w:val="24"/>
              </w:rPr>
              <w:t>环境空气质量标准》</w:t>
            </w:r>
            <w:r>
              <w:rPr>
                <w:rFonts w:hint="eastAsia"/>
                <w:color w:val="auto"/>
                <w:sz w:val="24"/>
                <w:szCs w:val="24"/>
              </w:rPr>
              <w:t>（</w:t>
            </w:r>
            <w:r>
              <w:rPr>
                <w:color w:val="auto"/>
                <w:sz w:val="24"/>
                <w:szCs w:val="24"/>
              </w:rPr>
              <w:t>GB3095-20</w:t>
            </w:r>
            <w:r>
              <w:rPr>
                <w:rFonts w:hint="eastAsia"/>
                <w:color w:val="auto"/>
                <w:sz w:val="24"/>
                <w:szCs w:val="24"/>
                <w:lang w:val="en-US" w:eastAsia="zh-CN"/>
              </w:rPr>
              <w:t>26</w:t>
            </w:r>
            <w:r>
              <w:rPr>
                <w:rFonts w:hint="eastAsia"/>
                <w:color w:val="auto"/>
                <w:sz w:val="24"/>
                <w:szCs w:val="24"/>
              </w:rPr>
              <w:t>）</w:t>
            </w:r>
            <w:r>
              <w:rPr>
                <w:color w:val="auto"/>
                <w:sz w:val="24"/>
                <w:szCs w:val="24"/>
              </w:rPr>
              <w:t>及其修改单中的二级标准</w:t>
            </w:r>
            <w:r>
              <w:rPr>
                <w:rFonts w:hint="eastAsia"/>
                <w:color w:val="auto"/>
                <w:sz w:val="24"/>
                <w:szCs w:val="24"/>
              </w:rPr>
              <w:t>（日均值：0.3</w:t>
            </w:r>
            <w:r>
              <w:rPr>
                <w:color w:val="auto"/>
                <w:sz w:val="24"/>
                <w:szCs w:val="24"/>
              </w:rPr>
              <w:t>mg/m</w:t>
            </w:r>
            <w:r>
              <w:rPr>
                <w:color w:val="auto"/>
                <w:sz w:val="24"/>
                <w:szCs w:val="24"/>
                <w:vertAlign w:val="superscript"/>
              </w:rPr>
              <w:t>3</w:t>
            </w:r>
            <w:r>
              <w:rPr>
                <w:rFonts w:hint="eastAsia"/>
                <w:color w:val="auto"/>
                <w:sz w:val="24"/>
                <w:szCs w:val="24"/>
              </w:rPr>
              <w:t>）</w:t>
            </w:r>
            <w:r>
              <w:rPr>
                <w:rFonts w:hint="eastAsia" w:ascii="宋体" w:hAnsi="宋体" w:cs="宋体"/>
                <w:color w:val="auto"/>
                <w:kern w:val="0"/>
                <w:sz w:val="24"/>
                <w:szCs w:val="24"/>
                <w:lang w:bidi="ar"/>
              </w:rPr>
              <w:t>。</w:t>
            </w:r>
          </w:p>
          <w:p w14:paraId="54D92AB9">
            <w:pPr>
              <w:adjustRightInd w:val="0"/>
              <w:snapToGrid w:val="0"/>
              <w:spacing w:line="360" w:lineRule="auto"/>
              <w:jc w:val="left"/>
              <w:rPr>
                <w:b/>
                <w:bCs/>
                <w:color w:val="auto"/>
                <w:sz w:val="24"/>
              </w:rPr>
            </w:pPr>
            <w:r>
              <w:rPr>
                <w:b/>
                <w:bCs/>
                <w:color w:val="auto"/>
                <w:sz w:val="24"/>
              </w:rPr>
              <w:t>2、</w:t>
            </w:r>
            <w:r>
              <w:rPr>
                <w:rFonts w:hint="eastAsia"/>
                <w:b/>
                <w:bCs/>
                <w:color w:val="auto"/>
                <w:sz w:val="24"/>
              </w:rPr>
              <w:t>地表</w:t>
            </w:r>
            <w:r>
              <w:rPr>
                <w:b/>
                <w:bCs/>
                <w:color w:val="auto"/>
                <w:sz w:val="24"/>
              </w:rPr>
              <w:t>水环境</w:t>
            </w:r>
          </w:p>
          <w:p w14:paraId="3ADAD7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根据宿州市202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年环境质量状况：</w:t>
            </w:r>
            <w:r>
              <w:rPr>
                <w:rFonts w:hint="default" w:ascii="Times New Roman" w:hAnsi="Times New Roman" w:eastAsia="宋体" w:cs="Times New Roman"/>
                <w:color w:val="auto"/>
                <w:kern w:val="0"/>
                <w:sz w:val="24"/>
                <w:szCs w:val="24"/>
                <w:lang w:val="en-US" w:eastAsia="zh-CN"/>
              </w:rPr>
              <w:t>水生态环境质量：202</w:t>
            </w:r>
            <w:r>
              <w:rPr>
                <w:rFonts w:hint="eastAsia"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年，我市水环境质量稳步改善，全市13个地表水国家考核断面中9个水质为Ⅲ类，水质优良比例为69.2%，较上年同比提升15.4个百分点，好于省年度考核目标7.7个百分点；10个地表水省考核断面中，4个断面水质为Ⅲ类，水质优良比例为40%，好于省年度考核目标10个百分点；9个县级及以上集中式饮用水水源地，水质达标率为100%。</w:t>
            </w:r>
          </w:p>
          <w:p w14:paraId="36CEAE39">
            <w:pPr>
              <w:adjustRightInd w:val="0"/>
              <w:snapToGrid w:val="0"/>
              <w:spacing w:line="360" w:lineRule="auto"/>
              <w:jc w:val="left"/>
              <w:rPr>
                <w:b/>
                <w:bCs/>
                <w:color w:val="auto"/>
                <w:sz w:val="24"/>
              </w:rPr>
            </w:pPr>
            <w:r>
              <w:rPr>
                <w:b/>
                <w:bCs/>
                <w:color w:val="auto"/>
                <w:sz w:val="24"/>
              </w:rPr>
              <w:t>3、声环境</w:t>
            </w:r>
          </w:p>
          <w:p w14:paraId="43CF44CE">
            <w:pPr>
              <w:widowControl/>
              <w:adjustRightInd w:val="0"/>
              <w:snapToGrid w:val="0"/>
              <w:spacing w:line="360" w:lineRule="auto"/>
              <w:ind w:firstLine="480" w:firstLineChars="200"/>
              <w:jc w:val="left"/>
              <w:rPr>
                <w:color w:val="auto"/>
                <w:sz w:val="24"/>
              </w:rPr>
            </w:pPr>
            <w:r>
              <w:rPr>
                <w:color w:val="auto"/>
                <w:kern w:val="0"/>
                <w:sz w:val="24"/>
              </w:rPr>
              <w:t>项目50m范围内无声环境保护目标，可不做现状监测。</w:t>
            </w:r>
          </w:p>
          <w:p w14:paraId="4A386A32">
            <w:pPr>
              <w:adjustRightInd w:val="0"/>
              <w:snapToGrid w:val="0"/>
              <w:spacing w:line="360" w:lineRule="auto"/>
              <w:jc w:val="left"/>
              <w:rPr>
                <w:b/>
                <w:bCs/>
                <w:color w:val="auto"/>
                <w:sz w:val="24"/>
              </w:rPr>
            </w:pPr>
            <w:r>
              <w:rPr>
                <w:rFonts w:hint="eastAsia"/>
                <w:b/>
                <w:bCs/>
                <w:color w:val="auto"/>
                <w:sz w:val="24"/>
              </w:rPr>
              <w:t>4、生态环境</w:t>
            </w:r>
          </w:p>
          <w:p w14:paraId="724F2646">
            <w:pPr>
              <w:adjustRightInd w:val="0"/>
              <w:snapToGrid w:val="0"/>
              <w:spacing w:line="360" w:lineRule="auto"/>
              <w:ind w:firstLine="480" w:firstLineChars="200"/>
              <w:jc w:val="left"/>
              <w:rPr>
                <w:color w:val="auto"/>
                <w:sz w:val="24"/>
              </w:rPr>
            </w:pPr>
            <w:r>
              <w:rPr>
                <w:rFonts w:hint="eastAsia"/>
                <w:color w:val="auto"/>
                <w:sz w:val="24"/>
              </w:rPr>
              <w:t>本项目位于</w:t>
            </w:r>
            <w:r>
              <w:rPr>
                <w:rFonts w:hint="eastAsia" w:ascii="宋体" w:hAnsi="宋体" w:eastAsia="宋体" w:cs="宋体"/>
                <w:sz w:val="24"/>
                <w:szCs w:val="24"/>
                <w:lang w:eastAsia="zh-CN"/>
              </w:rPr>
              <w:t>安徽省宿州市埇桥区</w:t>
            </w:r>
            <w:r>
              <w:rPr>
                <w:rFonts w:ascii="宋体" w:hAnsi="宋体" w:eastAsia="宋体" w:cs="宋体"/>
                <w:sz w:val="24"/>
                <w:szCs w:val="24"/>
              </w:rPr>
              <w:t>顺河镇魏庄村魏武路北</w:t>
            </w:r>
            <w:r>
              <w:rPr>
                <w:rFonts w:hint="default" w:ascii="Times New Roman" w:hAnsi="Times New Roman" w:eastAsia="宋体" w:cs="Times New Roman"/>
                <w:sz w:val="24"/>
                <w:szCs w:val="24"/>
              </w:rPr>
              <w:t>侧17号</w:t>
            </w:r>
            <w:r>
              <w:rPr>
                <w:rFonts w:hint="default" w:ascii="Times New Roman" w:hAnsi="Times New Roman" w:cs="Times New Roman"/>
                <w:color w:val="auto"/>
                <w:sz w:val="24"/>
              </w:rPr>
              <w:t>，</w:t>
            </w:r>
            <w:r>
              <w:rPr>
                <w:color w:val="auto"/>
                <w:sz w:val="24"/>
              </w:rPr>
              <w:t>属于工业用地</w:t>
            </w:r>
            <w:r>
              <w:rPr>
                <w:rFonts w:hint="eastAsia"/>
                <w:color w:val="auto"/>
                <w:sz w:val="24"/>
              </w:rPr>
              <w:t>，</w:t>
            </w:r>
            <w:r>
              <w:rPr>
                <w:rFonts w:hint="eastAsia" w:cs="Times New Roman"/>
                <w:color w:val="auto"/>
                <w:kern w:val="0"/>
                <w:sz w:val="24"/>
                <w:lang w:eastAsia="zh-CN"/>
              </w:rPr>
              <w:t>且用地范围内没有生态环境保护目标，因此，无需进行生态现状调查</w:t>
            </w:r>
            <w:r>
              <w:rPr>
                <w:rFonts w:hint="eastAsia"/>
                <w:color w:val="auto"/>
                <w:sz w:val="24"/>
              </w:rPr>
              <w:t>。</w:t>
            </w:r>
          </w:p>
          <w:p w14:paraId="4FF03052">
            <w:pPr>
              <w:adjustRightInd w:val="0"/>
              <w:snapToGrid w:val="0"/>
              <w:spacing w:line="360" w:lineRule="auto"/>
              <w:jc w:val="left"/>
              <w:rPr>
                <w:b/>
                <w:bCs/>
                <w:color w:val="auto"/>
                <w:sz w:val="24"/>
              </w:rPr>
            </w:pPr>
            <w:r>
              <w:rPr>
                <w:rFonts w:hint="eastAsia"/>
                <w:b/>
                <w:bCs/>
                <w:color w:val="auto"/>
                <w:sz w:val="24"/>
              </w:rPr>
              <w:t>5、电磁辐射</w:t>
            </w:r>
          </w:p>
          <w:p w14:paraId="1974EAA2">
            <w:pPr>
              <w:adjustRightInd w:val="0"/>
              <w:snapToGrid w:val="0"/>
              <w:spacing w:line="360" w:lineRule="auto"/>
              <w:ind w:left="420" w:leftChars="200"/>
              <w:jc w:val="left"/>
              <w:rPr>
                <w:color w:val="auto"/>
                <w:sz w:val="24"/>
              </w:rPr>
            </w:pPr>
            <w:r>
              <w:rPr>
                <w:rFonts w:hint="eastAsia"/>
                <w:color w:val="auto"/>
                <w:sz w:val="24"/>
              </w:rPr>
              <w:t>本项目属于</w:t>
            </w:r>
            <w:r>
              <w:rPr>
                <w:rFonts w:hint="eastAsia" w:ascii="Times New Roman" w:hAnsi="Times New Roman" w:eastAsia="宋体" w:cs="Times New Roman"/>
                <w:color w:val="auto"/>
                <w:sz w:val="24"/>
                <w:szCs w:val="24"/>
                <w:u w:val="none" w:color="auto"/>
                <w:lang w:eastAsia="zh-CN"/>
              </w:rPr>
              <w:t>固体废物治理</w:t>
            </w:r>
            <w:r>
              <w:rPr>
                <w:rFonts w:hint="eastAsia"/>
                <w:color w:val="auto"/>
                <w:sz w:val="24"/>
              </w:rPr>
              <w:t>，不涉及电磁辐射类项目。</w:t>
            </w:r>
          </w:p>
          <w:p w14:paraId="67A7FF34">
            <w:pPr>
              <w:adjustRightInd w:val="0"/>
              <w:snapToGrid w:val="0"/>
              <w:spacing w:line="360" w:lineRule="auto"/>
              <w:jc w:val="left"/>
              <w:rPr>
                <w:b/>
                <w:bCs/>
                <w:color w:val="auto"/>
                <w:sz w:val="24"/>
              </w:rPr>
            </w:pPr>
            <w:r>
              <w:rPr>
                <w:rFonts w:hint="eastAsia"/>
                <w:b/>
                <w:bCs/>
                <w:color w:val="auto"/>
                <w:sz w:val="24"/>
              </w:rPr>
              <w:t>6、地下水、土壤环境</w:t>
            </w:r>
          </w:p>
          <w:p w14:paraId="2208F0D6">
            <w:pPr>
              <w:adjustRightInd w:val="0"/>
              <w:snapToGrid w:val="0"/>
              <w:spacing w:line="360" w:lineRule="auto"/>
              <w:ind w:firstLine="480" w:firstLineChars="200"/>
              <w:jc w:val="left"/>
              <w:rPr>
                <w:color w:val="auto"/>
                <w:kern w:val="0"/>
                <w:szCs w:val="21"/>
              </w:rPr>
            </w:pPr>
            <w:r>
              <w:rPr>
                <w:color w:val="auto"/>
                <w:sz w:val="24"/>
              </w:rPr>
              <w:t>项目为</w:t>
            </w:r>
            <w:r>
              <w:rPr>
                <w:rFonts w:hint="eastAsia" w:ascii="Times New Roman" w:hAnsi="Times New Roman" w:eastAsia="宋体" w:cs="Times New Roman"/>
                <w:color w:val="auto"/>
                <w:sz w:val="24"/>
                <w:szCs w:val="24"/>
                <w:u w:val="none" w:color="auto"/>
                <w:lang w:eastAsia="zh-CN"/>
              </w:rPr>
              <w:t>固体废物治理</w:t>
            </w:r>
            <w:r>
              <w:rPr>
                <w:color w:val="auto"/>
                <w:sz w:val="24"/>
              </w:rPr>
              <w:t>，</w:t>
            </w:r>
            <w:r>
              <w:rPr>
                <w:rFonts w:hint="default" w:ascii="Times New Roman" w:hAnsi="Times New Roman" w:eastAsia="宋体" w:cs="Times New Roman"/>
                <w:color w:val="auto"/>
                <w:sz w:val="24"/>
                <w:szCs w:val="24"/>
                <w:lang w:val="en-US" w:eastAsia="zh-CN"/>
              </w:rPr>
              <w:t>厂区经分区防渗后，项目对地下水及土壤环境产生影响较小，根据《建设项目环境影响报告表编制技术指南（污染影响类）（试行）》规定</w:t>
            </w:r>
            <w:r>
              <w:rPr>
                <w:rFonts w:hint="eastAsia" w:ascii="宋体" w:hAnsi="宋体" w:eastAsia="宋体" w:cs="宋体"/>
                <w:color w:val="auto"/>
                <w:sz w:val="24"/>
                <w:szCs w:val="24"/>
                <w:lang w:val="en-US" w:eastAsia="zh-CN"/>
              </w:rPr>
              <w:t>“地下水、土壤环境。原则上不开展环境质量现状调查。”因</w:t>
            </w:r>
            <w:r>
              <w:rPr>
                <w:rFonts w:hint="default" w:ascii="Times New Roman" w:hAnsi="Times New Roman" w:eastAsia="宋体" w:cs="Times New Roman"/>
                <w:color w:val="auto"/>
                <w:sz w:val="24"/>
                <w:szCs w:val="24"/>
                <w:lang w:val="en-US" w:eastAsia="zh-CN"/>
              </w:rPr>
              <w:t>此可不进行地下水、土壤环境质量现状监测</w:t>
            </w:r>
            <w:r>
              <w:rPr>
                <w:rFonts w:hint="default" w:ascii="Times New Roman" w:hAnsi="Times New Roman" w:eastAsia="宋体" w:cs="Times New Roman"/>
                <w:color w:val="auto"/>
                <w:sz w:val="24"/>
                <w:szCs w:val="24"/>
              </w:rPr>
              <w:t>。</w:t>
            </w:r>
          </w:p>
        </w:tc>
      </w:tr>
      <w:tr w14:paraId="5E872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67" w:type="dxa"/>
            <w:tcBorders>
              <w:tl2br w:val="nil"/>
              <w:tr2bl w:val="nil"/>
            </w:tcBorders>
            <w:vAlign w:val="center"/>
          </w:tcPr>
          <w:p w14:paraId="30181AA7">
            <w:pPr>
              <w:adjustRightInd w:val="0"/>
              <w:snapToGrid w:val="0"/>
              <w:jc w:val="center"/>
              <w:rPr>
                <w:color w:val="auto"/>
                <w:kern w:val="0"/>
                <w:sz w:val="24"/>
              </w:rPr>
            </w:pPr>
            <w:r>
              <w:rPr>
                <w:color w:val="auto"/>
                <w:kern w:val="0"/>
                <w:sz w:val="24"/>
              </w:rPr>
              <w:t>环境</w:t>
            </w:r>
          </w:p>
          <w:p w14:paraId="17683472">
            <w:pPr>
              <w:adjustRightInd w:val="0"/>
              <w:snapToGrid w:val="0"/>
              <w:jc w:val="center"/>
              <w:rPr>
                <w:color w:val="auto"/>
                <w:kern w:val="0"/>
                <w:sz w:val="24"/>
              </w:rPr>
            </w:pPr>
            <w:r>
              <w:rPr>
                <w:color w:val="auto"/>
                <w:kern w:val="0"/>
                <w:sz w:val="24"/>
              </w:rPr>
              <w:t>保护</w:t>
            </w:r>
          </w:p>
          <w:p w14:paraId="41080E45">
            <w:pPr>
              <w:adjustRightInd w:val="0"/>
              <w:snapToGrid w:val="0"/>
              <w:jc w:val="center"/>
              <w:rPr>
                <w:color w:val="auto"/>
                <w:kern w:val="0"/>
                <w:szCs w:val="21"/>
              </w:rPr>
            </w:pPr>
            <w:r>
              <w:rPr>
                <w:color w:val="auto"/>
                <w:kern w:val="0"/>
                <w:sz w:val="24"/>
              </w:rPr>
              <w:t>目标</w:t>
            </w:r>
          </w:p>
        </w:tc>
        <w:tc>
          <w:tcPr>
            <w:tcW w:w="8539" w:type="dxa"/>
            <w:tcBorders>
              <w:tl2br w:val="nil"/>
              <w:tr2bl w:val="nil"/>
            </w:tcBorders>
            <w:vAlign w:val="center"/>
          </w:tcPr>
          <w:p w14:paraId="64310F22">
            <w:pPr>
              <w:numPr>
                <w:ilvl w:val="0"/>
                <w:numId w:val="1"/>
              </w:numPr>
              <w:adjustRightInd w:val="0"/>
              <w:snapToGrid w:val="0"/>
              <w:spacing w:before="156" w:beforeLines="50" w:line="360" w:lineRule="auto"/>
              <w:rPr>
                <w:b/>
                <w:bCs/>
                <w:color w:val="auto"/>
                <w:kern w:val="0"/>
                <w:sz w:val="24"/>
              </w:rPr>
            </w:pPr>
            <w:r>
              <w:rPr>
                <w:b/>
                <w:bCs/>
                <w:color w:val="auto"/>
                <w:kern w:val="0"/>
                <w:sz w:val="24"/>
              </w:rPr>
              <w:t>大气环境</w:t>
            </w:r>
          </w:p>
          <w:p w14:paraId="01AA9721">
            <w:pPr>
              <w:keepNext w:val="0"/>
              <w:keepLines w:val="0"/>
              <w:pageBreakBefore w:val="0"/>
              <w:widowControl/>
              <w:kinsoku/>
              <w:wordWrap/>
              <w:overflowPunct/>
              <w:topLinePunct w:val="0"/>
              <w:autoSpaceDE/>
              <w:autoSpaceDN/>
              <w:bidi w:val="0"/>
              <w:snapToGrid w:val="0"/>
              <w:spacing w:line="360" w:lineRule="auto"/>
              <w:ind w:firstLine="0" w:firstLineChars="0"/>
              <w:jc w:val="center"/>
              <w:textAlignment w:val="auto"/>
              <w:rPr>
                <w:b/>
                <w:bCs/>
                <w:color w:val="auto"/>
                <w:sz w:val="24"/>
                <w:szCs w:val="24"/>
              </w:rPr>
            </w:pPr>
            <w:r>
              <w:rPr>
                <w:b/>
                <w:bCs/>
                <w:color w:val="auto"/>
                <w:sz w:val="24"/>
                <w:szCs w:val="24"/>
              </w:rPr>
              <w:t>表3</w:t>
            </w:r>
            <w:r>
              <w:rPr>
                <w:rFonts w:hint="eastAsia"/>
                <w:b/>
                <w:bCs/>
                <w:color w:val="auto"/>
                <w:sz w:val="24"/>
                <w:szCs w:val="24"/>
                <w:lang w:val="en-US" w:eastAsia="zh-CN"/>
              </w:rPr>
              <w:t>.3</w:t>
            </w:r>
            <w:r>
              <w:rPr>
                <w:b/>
                <w:bCs/>
                <w:color w:val="auto"/>
                <w:sz w:val="24"/>
                <w:szCs w:val="24"/>
              </w:rPr>
              <w:t xml:space="preserve">  主要环境保护目标一览表</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99"/>
              <w:gridCol w:w="594"/>
              <w:gridCol w:w="601"/>
              <w:gridCol w:w="860"/>
              <w:gridCol w:w="1077"/>
              <w:gridCol w:w="1838"/>
              <w:gridCol w:w="889"/>
              <w:gridCol w:w="947"/>
            </w:tblGrid>
            <w:tr w14:paraId="5EA5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 w:type="pct"/>
                  <w:vMerge w:val="restart"/>
                  <w:vAlign w:val="center"/>
                </w:tcPr>
                <w:p w14:paraId="3CE2C02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序号</w:t>
                  </w:r>
                </w:p>
              </w:tc>
              <w:tc>
                <w:tcPr>
                  <w:tcW w:w="677" w:type="pct"/>
                  <w:vMerge w:val="restart"/>
                  <w:vAlign w:val="center"/>
                </w:tcPr>
                <w:p w14:paraId="2D5BEF1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名称</w:t>
                  </w:r>
                </w:p>
              </w:tc>
              <w:tc>
                <w:tcPr>
                  <w:tcW w:w="782" w:type="pct"/>
                  <w:gridSpan w:val="2"/>
                  <w:vAlign w:val="center"/>
                </w:tcPr>
                <w:p w14:paraId="1B16A2E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坐标/m</w:t>
                  </w:r>
                </w:p>
              </w:tc>
              <w:tc>
                <w:tcPr>
                  <w:tcW w:w="574" w:type="pct"/>
                  <w:vMerge w:val="restart"/>
                  <w:vAlign w:val="center"/>
                </w:tcPr>
                <w:p w14:paraId="2474014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保护对象</w:t>
                  </w:r>
                </w:p>
              </w:tc>
              <w:tc>
                <w:tcPr>
                  <w:tcW w:w="690" w:type="pct"/>
                  <w:vMerge w:val="restart"/>
                  <w:vAlign w:val="center"/>
                </w:tcPr>
                <w:p w14:paraId="67A60FB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保护内容</w:t>
                  </w:r>
                </w:p>
              </w:tc>
              <w:tc>
                <w:tcPr>
                  <w:tcW w:w="829" w:type="pct"/>
                  <w:vMerge w:val="restart"/>
                  <w:vAlign w:val="center"/>
                </w:tcPr>
                <w:p w14:paraId="5441B5A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FF0000"/>
                      <w:sz w:val="21"/>
                      <w:szCs w:val="21"/>
                    </w:rPr>
                  </w:pPr>
                  <w:r>
                    <w:rPr>
                      <w:color w:val="auto"/>
                      <w:sz w:val="21"/>
                      <w:szCs w:val="21"/>
                    </w:rPr>
                    <w:t>环境功能区</w:t>
                  </w:r>
                </w:p>
              </w:tc>
              <w:tc>
                <w:tcPr>
                  <w:tcW w:w="576" w:type="pct"/>
                  <w:vMerge w:val="restart"/>
                  <w:vAlign w:val="center"/>
                </w:tcPr>
                <w:p w14:paraId="258A851C">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相对厂址方位</w:t>
                  </w:r>
                </w:p>
              </w:tc>
              <w:tc>
                <w:tcPr>
                  <w:tcW w:w="608" w:type="pct"/>
                  <w:vMerge w:val="restart"/>
                  <w:vAlign w:val="center"/>
                </w:tcPr>
                <w:p w14:paraId="572B6E8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相对厂界距离/m</w:t>
                  </w:r>
                </w:p>
              </w:tc>
            </w:tr>
            <w:tr w14:paraId="297A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 w:type="pct"/>
                  <w:vMerge w:val="continue"/>
                  <w:vAlign w:val="center"/>
                </w:tcPr>
                <w:p w14:paraId="7742F27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p>
              </w:tc>
              <w:tc>
                <w:tcPr>
                  <w:tcW w:w="677" w:type="pct"/>
                  <w:vMerge w:val="continue"/>
                  <w:vAlign w:val="center"/>
                </w:tcPr>
                <w:p w14:paraId="10B7266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p>
              </w:tc>
              <w:tc>
                <w:tcPr>
                  <w:tcW w:w="397" w:type="pct"/>
                  <w:vAlign w:val="center"/>
                </w:tcPr>
                <w:p w14:paraId="1DF0BBF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X</w:t>
                  </w:r>
                </w:p>
              </w:tc>
              <w:tc>
                <w:tcPr>
                  <w:tcW w:w="385" w:type="pct"/>
                  <w:vAlign w:val="center"/>
                </w:tcPr>
                <w:p w14:paraId="392CC35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Y</w:t>
                  </w:r>
                </w:p>
              </w:tc>
              <w:tc>
                <w:tcPr>
                  <w:tcW w:w="574" w:type="pct"/>
                  <w:vMerge w:val="continue"/>
                  <w:vAlign w:val="center"/>
                </w:tcPr>
                <w:p w14:paraId="1578F53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p>
              </w:tc>
              <w:tc>
                <w:tcPr>
                  <w:tcW w:w="690" w:type="pct"/>
                  <w:vMerge w:val="continue"/>
                  <w:vAlign w:val="center"/>
                </w:tcPr>
                <w:p w14:paraId="6C1B72B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p>
              </w:tc>
              <w:tc>
                <w:tcPr>
                  <w:tcW w:w="829" w:type="pct"/>
                  <w:vMerge w:val="continue"/>
                  <w:vAlign w:val="center"/>
                </w:tcPr>
                <w:p w14:paraId="1290737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FF0000"/>
                      <w:sz w:val="21"/>
                      <w:szCs w:val="21"/>
                    </w:rPr>
                  </w:pPr>
                </w:p>
              </w:tc>
              <w:tc>
                <w:tcPr>
                  <w:tcW w:w="576" w:type="pct"/>
                  <w:vMerge w:val="continue"/>
                  <w:vAlign w:val="center"/>
                </w:tcPr>
                <w:p w14:paraId="0F9891D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p>
              </w:tc>
              <w:tc>
                <w:tcPr>
                  <w:tcW w:w="608" w:type="pct"/>
                  <w:vMerge w:val="continue"/>
                  <w:vAlign w:val="center"/>
                </w:tcPr>
                <w:p w14:paraId="116E66E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p>
              </w:tc>
            </w:tr>
            <w:tr w14:paraId="6E0F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 w:type="pct"/>
                  <w:vAlign w:val="center"/>
                </w:tcPr>
                <w:p w14:paraId="5BACF9E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1</w:t>
                  </w:r>
                </w:p>
              </w:tc>
              <w:tc>
                <w:tcPr>
                  <w:tcW w:w="677" w:type="pct"/>
                  <w:vAlign w:val="center"/>
                </w:tcPr>
                <w:p w14:paraId="042824B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魏庄</w:t>
                  </w:r>
                </w:p>
              </w:tc>
              <w:tc>
                <w:tcPr>
                  <w:tcW w:w="397" w:type="pct"/>
                  <w:vAlign w:val="center"/>
                </w:tcPr>
                <w:p w14:paraId="715CED0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134</w:t>
                  </w:r>
                </w:p>
              </w:tc>
              <w:tc>
                <w:tcPr>
                  <w:tcW w:w="385" w:type="pct"/>
                  <w:vAlign w:val="center"/>
                </w:tcPr>
                <w:p w14:paraId="33B35E1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180</w:t>
                  </w:r>
                </w:p>
              </w:tc>
              <w:tc>
                <w:tcPr>
                  <w:tcW w:w="574" w:type="pct"/>
                  <w:vMerge w:val="restart"/>
                  <w:vAlign w:val="center"/>
                </w:tcPr>
                <w:p w14:paraId="6C69A1F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居民区</w:t>
                  </w:r>
                </w:p>
              </w:tc>
              <w:tc>
                <w:tcPr>
                  <w:tcW w:w="690" w:type="pct"/>
                  <w:vAlign w:val="center"/>
                </w:tcPr>
                <w:p w14:paraId="323F291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72</w:t>
                  </w:r>
                  <w:r>
                    <w:rPr>
                      <w:color w:val="auto"/>
                      <w:sz w:val="21"/>
                      <w:szCs w:val="21"/>
                    </w:rPr>
                    <w:t>户/</w:t>
                  </w:r>
                  <w:r>
                    <w:rPr>
                      <w:rFonts w:hint="eastAsia"/>
                      <w:color w:val="auto"/>
                      <w:sz w:val="21"/>
                      <w:szCs w:val="21"/>
                      <w:lang w:val="en-US" w:eastAsia="zh-CN"/>
                    </w:rPr>
                    <w:t>233</w:t>
                  </w:r>
                </w:p>
              </w:tc>
              <w:tc>
                <w:tcPr>
                  <w:tcW w:w="829" w:type="pct"/>
                  <w:vMerge w:val="restart"/>
                  <w:vAlign w:val="center"/>
                </w:tcPr>
                <w:p w14:paraId="7D75DC3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color w:val="auto"/>
                      <w:sz w:val="21"/>
                      <w:szCs w:val="21"/>
                    </w:rPr>
                    <w:t>（GB3095-20</w:t>
                  </w:r>
                  <w:r>
                    <w:rPr>
                      <w:rFonts w:hint="eastAsia"/>
                      <w:color w:val="auto"/>
                      <w:sz w:val="21"/>
                      <w:szCs w:val="21"/>
                      <w:lang w:val="en-US" w:eastAsia="zh-CN"/>
                    </w:rPr>
                    <w:t>26</w:t>
                  </w:r>
                  <w:r>
                    <w:rPr>
                      <w:color w:val="auto"/>
                      <w:sz w:val="21"/>
                      <w:szCs w:val="21"/>
                    </w:rPr>
                    <w:t>）及其修改单中二级标准</w:t>
                  </w:r>
                </w:p>
              </w:tc>
              <w:tc>
                <w:tcPr>
                  <w:tcW w:w="576" w:type="pct"/>
                  <w:vAlign w:val="center"/>
                </w:tcPr>
                <w:p w14:paraId="3721EC7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rFonts w:hint="eastAsia"/>
                      <w:color w:val="auto"/>
                      <w:sz w:val="21"/>
                      <w:szCs w:val="21"/>
                    </w:rPr>
                    <w:t>东北</w:t>
                  </w:r>
                </w:p>
              </w:tc>
              <w:tc>
                <w:tcPr>
                  <w:tcW w:w="608" w:type="pct"/>
                  <w:vAlign w:val="center"/>
                </w:tcPr>
                <w:p w14:paraId="649F7D1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160</w:t>
                  </w:r>
                </w:p>
              </w:tc>
            </w:tr>
            <w:tr w14:paraId="4C1B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 w:type="pct"/>
                  <w:vAlign w:val="center"/>
                </w:tcPr>
                <w:p w14:paraId="3334C54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rFonts w:hint="eastAsia"/>
                      <w:color w:val="auto"/>
                      <w:sz w:val="21"/>
                      <w:szCs w:val="21"/>
                    </w:rPr>
                    <w:t>2</w:t>
                  </w:r>
                </w:p>
              </w:tc>
              <w:tc>
                <w:tcPr>
                  <w:tcW w:w="677" w:type="pct"/>
                  <w:vAlign w:val="center"/>
                </w:tcPr>
                <w:p w14:paraId="41B2439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堰上武家</w:t>
                  </w:r>
                </w:p>
              </w:tc>
              <w:tc>
                <w:tcPr>
                  <w:tcW w:w="397" w:type="pct"/>
                  <w:vAlign w:val="center"/>
                </w:tcPr>
                <w:p w14:paraId="723E301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418</w:t>
                  </w:r>
                </w:p>
              </w:tc>
              <w:tc>
                <w:tcPr>
                  <w:tcW w:w="385" w:type="pct"/>
                  <w:vAlign w:val="center"/>
                </w:tcPr>
                <w:p w14:paraId="71B3399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w:t>
                  </w:r>
                  <w:r>
                    <w:rPr>
                      <w:rFonts w:hint="eastAsia"/>
                      <w:color w:val="auto"/>
                      <w:sz w:val="21"/>
                      <w:szCs w:val="21"/>
                    </w:rPr>
                    <w:t>4</w:t>
                  </w:r>
                  <w:r>
                    <w:rPr>
                      <w:rFonts w:hint="eastAsia"/>
                      <w:color w:val="auto"/>
                      <w:sz w:val="21"/>
                      <w:szCs w:val="21"/>
                      <w:lang w:val="en-US" w:eastAsia="zh-CN"/>
                    </w:rPr>
                    <w:t>31</w:t>
                  </w:r>
                </w:p>
              </w:tc>
              <w:tc>
                <w:tcPr>
                  <w:tcW w:w="574" w:type="pct"/>
                  <w:vMerge w:val="continue"/>
                  <w:vAlign w:val="center"/>
                </w:tcPr>
                <w:p w14:paraId="4255A16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FF0000"/>
                      <w:sz w:val="21"/>
                      <w:szCs w:val="21"/>
                    </w:rPr>
                  </w:pPr>
                </w:p>
              </w:tc>
              <w:tc>
                <w:tcPr>
                  <w:tcW w:w="690" w:type="pct"/>
                  <w:vAlign w:val="center"/>
                </w:tcPr>
                <w:p w14:paraId="226FCD6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rFonts w:hint="eastAsia"/>
                      <w:color w:val="auto"/>
                      <w:sz w:val="21"/>
                      <w:szCs w:val="21"/>
                      <w:lang w:val="en-US" w:eastAsia="zh-CN"/>
                    </w:rPr>
                    <w:t>56</w:t>
                  </w:r>
                  <w:r>
                    <w:rPr>
                      <w:rFonts w:hint="eastAsia"/>
                      <w:color w:val="auto"/>
                      <w:sz w:val="21"/>
                      <w:szCs w:val="21"/>
                    </w:rPr>
                    <w:t>户/</w:t>
                  </w:r>
                  <w:r>
                    <w:rPr>
                      <w:rFonts w:hint="eastAsia"/>
                      <w:color w:val="auto"/>
                      <w:sz w:val="21"/>
                      <w:szCs w:val="21"/>
                      <w:lang w:val="en-US" w:eastAsia="zh-CN"/>
                    </w:rPr>
                    <w:t>174</w:t>
                  </w:r>
                  <w:r>
                    <w:rPr>
                      <w:rFonts w:hint="eastAsia"/>
                      <w:color w:val="auto"/>
                      <w:sz w:val="21"/>
                      <w:szCs w:val="21"/>
                    </w:rPr>
                    <w:t>人</w:t>
                  </w:r>
                </w:p>
              </w:tc>
              <w:tc>
                <w:tcPr>
                  <w:tcW w:w="829" w:type="pct"/>
                  <w:vMerge w:val="continue"/>
                  <w:vAlign w:val="center"/>
                </w:tcPr>
                <w:p w14:paraId="0E26880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FF0000"/>
                      <w:sz w:val="21"/>
                      <w:szCs w:val="21"/>
                    </w:rPr>
                  </w:pPr>
                </w:p>
              </w:tc>
              <w:tc>
                <w:tcPr>
                  <w:tcW w:w="576" w:type="pct"/>
                  <w:vAlign w:val="center"/>
                </w:tcPr>
                <w:p w14:paraId="47AD17B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东南</w:t>
                  </w:r>
                </w:p>
              </w:tc>
              <w:tc>
                <w:tcPr>
                  <w:tcW w:w="608" w:type="pct"/>
                  <w:vAlign w:val="center"/>
                </w:tcPr>
                <w:p w14:paraId="47C2FF2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561</w:t>
                  </w:r>
                </w:p>
              </w:tc>
            </w:tr>
            <w:tr w14:paraId="6666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9"/>
                  <w:vAlign w:val="center"/>
                </w:tcPr>
                <w:p w14:paraId="726EDAC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FF0000"/>
                      <w:sz w:val="21"/>
                      <w:szCs w:val="21"/>
                    </w:rPr>
                  </w:pPr>
                  <w:r>
                    <w:rPr>
                      <w:color w:val="auto"/>
                      <w:sz w:val="21"/>
                      <w:szCs w:val="21"/>
                    </w:rPr>
                    <w:t>注：以企业所在区域对角线交点为坐标原点，以东西方向为X坐标轴（东方向为正方向），以南北方向为Y坐标轴（北方向为正方向）</w:t>
                  </w:r>
                </w:p>
              </w:tc>
            </w:tr>
          </w:tbl>
          <w:p w14:paraId="7ADEB4B8">
            <w:pPr>
              <w:adjustRightInd w:val="0"/>
              <w:snapToGrid w:val="0"/>
              <w:spacing w:before="156" w:beforeLines="50" w:line="360" w:lineRule="auto"/>
              <w:rPr>
                <w:b/>
                <w:bCs/>
                <w:color w:val="auto"/>
                <w:kern w:val="0"/>
                <w:sz w:val="24"/>
              </w:rPr>
            </w:pPr>
            <w:r>
              <w:rPr>
                <w:b/>
                <w:bCs/>
                <w:color w:val="auto"/>
                <w:kern w:val="0"/>
                <w:sz w:val="24"/>
              </w:rPr>
              <w:t>2、声环境</w:t>
            </w:r>
          </w:p>
          <w:p w14:paraId="65558EAE">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color w:val="auto"/>
                <w:sz w:val="24"/>
                <w:szCs w:val="24"/>
              </w:rPr>
            </w:pPr>
            <w:r>
              <w:rPr>
                <w:color w:val="auto"/>
                <w:sz w:val="24"/>
                <w:szCs w:val="24"/>
              </w:rPr>
              <w:t>项目50m范围内无声环境保护目标</w:t>
            </w:r>
            <w:r>
              <w:rPr>
                <w:rFonts w:hint="eastAsia"/>
                <w:color w:val="auto"/>
                <w:sz w:val="24"/>
                <w:szCs w:val="24"/>
              </w:rPr>
              <w:t>。</w:t>
            </w:r>
          </w:p>
          <w:p w14:paraId="65827587">
            <w:pPr>
              <w:keepNext w:val="0"/>
              <w:keepLines w:val="0"/>
              <w:pageBreakBefore w:val="0"/>
              <w:kinsoku/>
              <w:wordWrap/>
              <w:overflowPunct/>
              <w:topLinePunct w:val="0"/>
              <w:autoSpaceDE/>
              <w:autoSpaceDN/>
              <w:bidi w:val="0"/>
              <w:adjustRightInd w:val="0"/>
              <w:snapToGrid w:val="0"/>
              <w:spacing w:before="156" w:beforeLines="50" w:line="360" w:lineRule="auto"/>
              <w:ind w:firstLine="0" w:firstLineChars="0"/>
              <w:textAlignment w:val="auto"/>
              <w:rPr>
                <w:b/>
                <w:bCs/>
                <w:color w:val="auto"/>
                <w:sz w:val="24"/>
                <w:szCs w:val="24"/>
              </w:rPr>
            </w:pPr>
            <w:r>
              <w:rPr>
                <w:rFonts w:hint="eastAsia"/>
                <w:b/>
                <w:bCs/>
                <w:color w:val="auto"/>
                <w:sz w:val="24"/>
                <w:szCs w:val="24"/>
                <w:lang w:val="en-US" w:eastAsia="zh-CN"/>
              </w:rPr>
              <w:t>3</w:t>
            </w:r>
            <w:r>
              <w:rPr>
                <w:b/>
                <w:bCs/>
                <w:color w:val="auto"/>
                <w:sz w:val="24"/>
                <w:szCs w:val="24"/>
              </w:rPr>
              <w:t>、地下水环境</w:t>
            </w:r>
          </w:p>
          <w:p w14:paraId="4E59A7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rFonts w:hint="eastAsia"/>
                <w:color w:val="auto"/>
                <w:sz w:val="24"/>
                <w:szCs w:val="24"/>
              </w:rPr>
              <w:t>厂界外500m范围内无地下水集中式</w:t>
            </w:r>
            <w:r>
              <w:rPr>
                <w:rFonts w:hint="eastAsia"/>
                <w:color w:val="auto"/>
                <w:sz w:val="24"/>
                <w:szCs w:val="24"/>
                <w:lang w:eastAsia="zh-CN"/>
              </w:rPr>
              <w:t>饮用水</w:t>
            </w:r>
            <w:r>
              <w:rPr>
                <w:rFonts w:hint="eastAsia"/>
                <w:color w:val="auto"/>
                <w:sz w:val="24"/>
                <w:szCs w:val="24"/>
              </w:rPr>
              <w:t>水源和热水、矿泉水、温泉等特殊地下水资源。</w:t>
            </w:r>
          </w:p>
          <w:p w14:paraId="66938FA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b/>
                <w:bCs/>
                <w:color w:val="auto"/>
                <w:sz w:val="24"/>
                <w:szCs w:val="24"/>
              </w:rPr>
            </w:pPr>
            <w:r>
              <w:rPr>
                <w:rFonts w:hint="eastAsia"/>
                <w:b/>
                <w:bCs/>
                <w:color w:val="auto"/>
                <w:sz w:val="24"/>
                <w:szCs w:val="24"/>
                <w:lang w:val="en-US" w:eastAsia="zh-CN"/>
              </w:rPr>
              <w:t>4</w:t>
            </w:r>
            <w:r>
              <w:rPr>
                <w:rFonts w:hint="eastAsia"/>
                <w:b/>
                <w:bCs/>
                <w:color w:val="auto"/>
                <w:sz w:val="24"/>
                <w:szCs w:val="24"/>
              </w:rPr>
              <w:t>、生态环境</w:t>
            </w:r>
          </w:p>
          <w:p w14:paraId="7689AA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kern w:val="0"/>
                <w:sz w:val="24"/>
                <w:lang w:val="en-US" w:eastAsia="zh-CN"/>
              </w:rPr>
            </w:pPr>
            <w:r>
              <w:rPr>
                <w:rFonts w:hint="eastAsia"/>
                <w:color w:val="auto"/>
                <w:sz w:val="24"/>
                <w:szCs w:val="24"/>
              </w:rPr>
              <w:t>本项目位于</w:t>
            </w:r>
            <w:r>
              <w:rPr>
                <w:rFonts w:hint="eastAsia" w:ascii="宋体" w:hAnsi="宋体" w:eastAsia="宋体" w:cs="宋体"/>
                <w:sz w:val="24"/>
                <w:szCs w:val="24"/>
                <w:lang w:eastAsia="zh-CN"/>
              </w:rPr>
              <w:t>安徽省宿州市埇桥区</w:t>
            </w:r>
            <w:r>
              <w:rPr>
                <w:rFonts w:ascii="宋体" w:hAnsi="宋体" w:eastAsia="宋体" w:cs="宋体"/>
                <w:sz w:val="24"/>
                <w:szCs w:val="24"/>
              </w:rPr>
              <w:t>顺河镇魏庄村魏武路北侧</w:t>
            </w:r>
            <w:r>
              <w:rPr>
                <w:rFonts w:hint="default" w:ascii="Times New Roman" w:hAnsi="Times New Roman" w:eastAsia="宋体" w:cs="Times New Roman"/>
                <w:sz w:val="24"/>
                <w:szCs w:val="24"/>
              </w:rPr>
              <w:t>17</w:t>
            </w:r>
            <w:r>
              <w:rPr>
                <w:rFonts w:ascii="宋体" w:hAnsi="宋体" w:eastAsia="宋体" w:cs="宋体"/>
                <w:sz w:val="24"/>
                <w:szCs w:val="24"/>
              </w:rPr>
              <w:t>号</w:t>
            </w:r>
            <w:r>
              <w:rPr>
                <w:rFonts w:hint="eastAsia"/>
                <w:color w:val="auto"/>
                <w:sz w:val="24"/>
                <w:szCs w:val="24"/>
              </w:rPr>
              <w:t>，</w:t>
            </w:r>
            <w:r>
              <w:rPr>
                <w:rFonts w:hint="eastAsia"/>
                <w:color w:val="auto"/>
                <w:kern w:val="0"/>
                <w:sz w:val="24"/>
              </w:rPr>
              <w:t>属于工业用地，无生态环境保护目标。</w:t>
            </w:r>
          </w:p>
        </w:tc>
      </w:tr>
      <w:tr w14:paraId="445EF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567" w:type="dxa"/>
            <w:tcBorders>
              <w:tl2br w:val="nil"/>
              <w:tr2bl w:val="nil"/>
            </w:tcBorders>
            <w:tcMar>
              <w:left w:w="28" w:type="dxa"/>
              <w:right w:w="28" w:type="dxa"/>
            </w:tcMar>
            <w:vAlign w:val="center"/>
          </w:tcPr>
          <w:p w14:paraId="5BCF74F1">
            <w:pPr>
              <w:adjustRightInd w:val="0"/>
              <w:snapToGrid w:val="0"/>
              <w:jc w:val="center"/>
              <w:rPr>
                <w:color w:val="auto"/>
                <w:kern w:val="0"/>
                <w:sz w:val="24"/>
              </w:rPr>
            </w:pPr>
            <w:r>
              <w:rPr>
                <w:color w:val="auto"/>
                <w:kern w:val="0"/>
                <w:sz w:val="24"/>
              </w:rPr>
              <w:t>污</w:t>
            </w:r>
          </w:p>
          <w:p w14:paraId="6B377360">
            <w:pPr>
              <w:adjustRightInd w:val="0"/>
              <w:snapToGrid w:val="0"/>
              <w:jc w:val="center"/>
              <w:rPr>
                <w:color w:val="auto"/>
                <w:kern w:val="0"/>
                <w:sz w:val="24"/>
              </w:rPr>
            </w:pPr>
            <w:r>
              <w:rPr>
                <w:color w:val="auto"/>
                <w:kern w:val="0"/>
                <w:sz w:val="24"/>
              </w:rPr>
              <w:t>染</w:t>
            </w:r>
          </w:p>
          <w:p w14:paraId="38B5FF4A">
            <w:pPr>
              <w:adjustRightInd w:val="0"/>
              <w:snapToGrid w:val="0"/>
              <w:jc w:val="center"/>
              <w:rPr>
                <w:color w:val="auto"/>
                <w:kern w:val="0"/>
                <w:sz w:val="24"/>
              </w:rPr>
            </w:pPr>
            <w:r>
              <w:rPr>
                <w:color w:val="auto"/>
                <w:kern w:val="0"/>
                <w:sz w:val="24"/>
              </w:rPr>
              <w:t>物</w:t>
            </w:r>
          </w:p>
          <w:p w14:paraId="6BFF3AFF">
            <w:pPr>
              <w:adjustRightInd w:val="0"/>
              <w:snapToGrid w:val="0"/>
              <w:jc w:val="center"/>
              <w:rPr>
                <w:color w:val="auto"/>
                <w:kern w:val="0"/>
                <w:sz w:val="24"/>
              </w:rPr>
            </w:pPr>
            <w:r>
              <w:rPr>
                <w:color w:val="auto"/>
                <w:kern w:val="0"/>
                <w:sz w:val="24"/>
              </w:rPr>
              <w:t>排</w:t>
            </w:r>
          </w:p>
          <w:p w14:paraId="621EE0F1">
            <w:pPr>
              <w:adjustRightInd w:val="0"/>
              <w:snapToGrid w:val="0"/>
              <w:jc w:val="center"/>
              <w:rPr>
                <w:color w:val="auto"/>
                <w:kern w:val="0"/>
                <w:sz w:val="24"/>
              </w:rPr>
            </w:pPr>
            <w:r>
              <w:rPr>
                <w:color w:val="auto"/>
                <w:kern w:val="0"/>
                <w:sz w:val="24"/>
              </w:rPr>
              <w:t>放</w:t>
            </w:r>
          </w:p>
          <w:p w14:paraId="1A10869A">
            <w:pPr>
              <w:adjustRightInd w:val="0"/>
              <w:snapToGrid w:val="0"/>
              <w:jc w:val="center"/>
              <w:rPr>
                <w:color w:val="auto"/>
                <w:kern w:val="0"/>
                <w:sz w:val="24"/>
              </w:rPr>
            </w:pPr>
            <w:r>
              <w:rPr>
                <w:color w:val="auto"/>
                <w:kern w:val="0"/>
                <w:sz w:val="24"/>
              </w:rPr>
              <w:t>控</w:t>
            </w:r>
          </w:p>
          <w:p w14:paraId="0F0AA3A3">
            <w:pPr>
              <w:adjustRightInd w:val="0"/>
              <w:snapToGrid w:val="0"/>
              <w:jc w:val="center"/>
              <w:rPr>
                <w:color w:val="auto"/>
                <w:kern w:val="0"/>
                <w:sz w:val="24"/>
              </w:rPr>
            </w:pPr>
            <w:r>
              <w:rPr>
                <w:color w:val="auto"/>
                <w:kern w:val="0"/>
                <w:sz w:val="24"/>
              </w:rPr>
              <w:t>制</w:t>
            </w:r>
          </w:p>
          <w:p w14:paraId="3C023B0A">
            <w:pPr>
              <w:adjustRightInd w:val="0"/>
              <w:snapToGrid w:val="0"/>
              <w:jc w:val="center"/>
              <w:rPr>
                <w:color w:val="auto"/>
                <w:kern w:val="0"/>
                <w:sz w:val="24"/>
              </w:rPr>
            </w:pPr>
            <w:r>
              <w:rPr>
                <w:color w:val="auto"/>
                <w:kern w:val="0"/>
                <w:sz w:val="24"/>
              </w:rPr>
              <w:t>标</w:t>
            </w:r>
          </w:p>
          <w:p w14:paraId="436D40E8">
            <w:pPr>
              <w:adjustRightInd w:val="0"/>
              <w:snapToGrid w:val="0"/>
              <w:jc w:val="center"/>
              <w:rPr>
                <w:color w:val="auto"/>
                <w:kern w:val="0"/>
                <w:szCs w:val="21"/>
              </w:rPr>
            </w:pPr>
            <w:r>
              <w:rPr>
                <w:color w:val="auto"/>
                <w:kern w:val="0"/>
                <w:sz w:val="24"/>
              </w:rPr>
              <w:t>准</w:t>
            </w:r>
          </w:p>
        </w:tc>
        <w:tc>
          <w:tcPr>
            <w:tcW w:w="8539" w:type="dxa"/>
            <w:tcBorders>
              <w:tl2br w:val="nil"/>
              <w:tr2bl w:val="nil"/>
            </w:tcBorders>
            <w:vAlign w:val="center"/>
          </w:tcPr>
          <w:p w14:paraId="126C1852">
            <w:pPr>
              <w:adjustRightInd w:val="0"/>
              <w:snapToGrid w:val="0"/>
              <w:spacing w:before="156" w:beforeLines="50" w:line="360" w:lineRule="auto"/>
              <w:jc w:val="left"/>
              <w:rPr>
                <w:b/>
                <w:bCs/>
                <w:color w:val="auto"/>
                <w:kern w:val="0"/>
                <w:sz w:val="24"/>
              </w:rPr>
            </w:pPr>
            <w:r>
              <w:rPr>
                <w:b/>
                <w:bCs/>
                <w:color w:val="auto"/>
                <w:kern w:val="0"/>
                <w:sz w:val="24"/>
              </w:rPr>
              <w:t>1、废水排放标准</w:t>
            </w:r>
          </w:p>
          <w:p w14:paraId="0EBCE7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eastAsia="zh-CN"/>
              </w:rPr>
            </w:pPr>
            <w:r>
              <w:rPr>
                <w:color w:val="auto"/>
                <w:sz w:val="24"/>
                <w:szCs w:val="24"/>
              </w:rPr>
              <w:t>项目</w:t>
            </w:r>
            <w:r>
              <w:rPr>
                <w:rFonts w:hint="eastAsia"/>
                <w:color w:val="auto"/>
                <w:sz w:val="24"/>
                <w:szCs w:val="24"/>
                <w:lang w:eastAsia="zh-CN"/>
              </w:rPr>
              <w:t>无生产废水外排；</w:t>
            </w:r>
            <w:r>
              <w:rPr>
                <w:color w:val="auto"/>
                <w:sz w:val="24"/>
                <w:szCs w:val="24"/>
              </w:rPr>
              <w:t>生活污水</w:t>
            </w:r>
            <w:r>
              <w:rPr>
                <w:rFonts w:hint="eastAsia"/>
                <w:color w:val="auto"/>
                <w:sz w:val="24"/>
                <w:szCs w:val="24"/>
              </w:rPr>
              <w:t>经</w:t>
            </w:r>
            <w:r>
              <w:rPr>
                <w:color w:val="auto"/>
                <w:sz w:val="24"/>
                <w:szCs w:val="24"/>
              </w:rPr>
              <w:t>化粪池处理后定期清掏不外排</w:t>
            </w:r>
            <w:r>
              <w:rPr>
                <w:rFonts w:hint="eastAsia"/>
                <w:color w:val="auto"/>
                <w:sz w:val="24"/>
                <w:szCs w:val="24"/>
                <w:lang w:eastAsia="zh-CN"/>
              </w:rPr>
              <w:t>。</w:t>
            </w:r>
          </w:p>
          <w:p w14:paraId="7FB7D3C0">
            <w:pPr>
              <w:adjustRightInd w:val="0"/>
              <w:snapToGrid w:val="0"/>
              <w:spacing w:before="156" w:beforeLines="50" w:line="360" w:lineRule="auto"/>
              <w:jc w:val="left"/>
              <w:rPr>
                <w:b/>
                <w:bCs/>
                <w:color w:val="auto"/>
                <w:kern w:val="0"/>
                <w:sz w:val="24"/>
              </w:rPr>
            </w:pPr>
            <w:r>
              <w:rPr>
                <w:b/>
                <w:bCs/>
                <w:color w:val="auto"/>
                <w:kern w:val="0"/>
                <w:sz w:val="24"/>
              </w:rPr>
              <w:t>2、大气污染物排放标准</w:t>
            </w:r>
          </w:p>
          <w:p w14:paraId="54D1AB44">
            <w:pPr>
              <w:adjustRightInd w:val="0"/>
              <w:snapToGrid w:val="0"/>
              <w:spacing w:line="348" w:lineRule="auto"/>
              <w:ind w:firstLine="480" w:firstLineChars="200"/>
              <w:rPr>
                <w:rFonts w:hint="eastAsia" w:eastAsia="宋体"/>
                <w:b/>
                <w:bCs/>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项目废气主要涉及水泥筒仓呼吸废气、</w:t>
            </w:r>
            <w:r>
              <w:rPr>
                <w:rFonts w:hint="eastAsia"/>
                <w:color w:val="000000" w:themeColor="text1"/>
                <w:sz w:val="24"/>
                <w:lang w:eastAsia="zh-CN"/>
                <w14:textFill>
                  <w14:solidFill>
                    <w14:schemeClr w14:val="tx1"/>
                  </w14:solidFill>
                </w14:textFill>
              </w:rPr>
              <w:t>粉煤灰筒仓呼吸废气、建筑掺和料筒仓呼吸废气、草木灰筒仓呼吸废气、投料废气、</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污</w:t>
            </w:r>
            <w:r>
              <w:rPr>
                <w:rFonts w:hint="eastAsia"/>
                <w:b w:val="0"/>
                <w:bCs w:val="0"/>
                <w:color w:val="000000" w:themeColor="text1"/>
                <w:sz w:val="24"/>
                <w14:textFill>
                  <w14:solidFill>
                    <w14:schemeClr w14:val="tx1"/>
                  </w14:solidFill>
                </w14:textFill>
              </w:rPr>
              <w:t>泥</w:t>
            </w:r>
            <w:r>
              <w:rPr>
                <w:rFonts w:hint="eastAsia"/>
                <w:b w:val="0"/>
                <w:bCs w:val="0"/>
                <w:color w:val="000000" w:themeColor="text1"/>
                <w:sz w:val="24"/>
                <w:lang w:eastAsia="zh-CN"/>
                <w14:textFill>
                  <w14:solidFill>
                    <w14:schemeClr w14:val="tx1"/>
                  </w14:solidFill>
                </w14:textFill>
              </w:rPr>
              <w:t>贮存、矿化、陈化废气，具体排放限值见下表：</w:t>
            </w:r>
          </w:p>
          <w:p w14:paraId="67AC24C2">
            <w:pPr>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eastAsia" w:cs="Times New Roman"/>
                <w:b/>
                <w:bCs/>
                <w:color w:val="auto"/>
                <w:kern w:val="0"/>
                <w:sz w:val="24"/>
                <w:szCs w:val="24"/>
                <w:lang w:val="en-US" w:eastAsia="zh-CN"/>
              </w:rPr>
            </w:pPr>
            <w:r>
              <w:rPr>
                <w:b/>
                <w:bCs/>
                <w:color w:val="auto"/>
                <w:kern w:val="0"/>
                <w:sz w:val="24"/>
              </w:rPr>
              <w:t>表3</w:t>
            </w:r>
            <w:r>
              <w:rPr>
                <w:rFonts w:hint="eastAsia"/>
                <w:b/>
                <w:bCs/>
                <w:color w:val="auto"/>
                <w:kern w:val="0"/>
                <w:sz w:val="24"/>
                <w:lang w:val="en-US" w:eastAsia="zh-CN"/>
              </w:rPr>
              <w:t>.4</w:t>
            </w:r>
            <w:r>
              <w:rPr>
                <w:b/>
                <w:bCs/>
                <w:color w:val="auto"/>
                <w:kern w:val="0"/>
                <w:sz w:val="24"/>
              </w:rPr>
              <w:t xml:space="preserve"> </w:t>
            </w:r>
            <w:r>
              <w:rPr>
                <w:rFonts w:hint="eastAsia"/>
                <w:b/>
                <w:bCs/>
                <w:color w:val="auto"/>
                <w:kern w:val="0"/>
                <w:sz w:val="24"/>
              </w:rPr>
              <w:t xml:space="preserve"> </w:t>
            </w:r>
            <w:r>
              <w:rPr>
                <w:rFonts w:hint="default" w:ascii="Times New Roman" w:hAnsi="Times New Roman" w:eastAsia="宋体" w:cs="Times New Roman"/>
                <w:b/>
                <w:bCs/>
                <w:color w:val="auto"/>
                <w:kern w:val="0"/>
                <w:sz w:val="24"/>
                <w:szCs w:val="24"/>
              </w:rPr>
              <w:t>大气污染物排放标准</w:t>
            </w:r>
            <w:r>
              <w:rPr>
                <w:rFonts w:hint="eastAsia" w:cs="Times New Roman"/>
                <w:b/>
                <w:bCs/>
                <w:color w:val="auto"/>
                <w:kern w:val="0"/>
                <w:sz w:val="24"/>
                <w:szCs w:val="24"/>
                <w:lang w:val="en-US" w:eastAsia="zh-CN"/>
              </w:rPr>
              <w:t>一览表</w:t>
            </w:r>
          </w:p>
          <w:tbl>
            <w:tblPr>
              <w:tblStyle w:val="29"/>
              <w:tblW w:w="494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93"/>
              <w:gridCol w:w="697"/>
              <w:gridCol w:w="1198"/>
              <w:gridCol w:w="1012"/>
              <w:gridCol w:w="800"/>
              <w:gridCol w:w="1198"/>
              <w:gridCol w:w="2347"/>
            </w:tblGrid>
            <w:tr w14:paraId="51346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0"/>
                  <w:vAlign w:val="center"/>
                </w:tcPr>
                <w:p w14:paraId="5D93CC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产污环节</w:t>
                  </w:r>
                </w:p>
              </w:tc>
              <w:tc>
                <w:tcPr>
                  <w:tcW w:w="428" w:type="pct"/>
                  <w:tcBorders>
                    <w:tl2br w:val="nil"/>
                    <w:tr2bl w:val="nil"/>
                  </w:tcBorders>
                  <w:noWrap w:val="0"/>
                  <w:vAlign w:val="center"/>
                </w:tcPr>
                <w:p w14:paraId="7DB3C8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污染物</w:t>
                  </w:r>
                </w:p>
              </w:tc>
              <w:tc>
                <w:tcPr>
                  <w:tcW w:w="735" w:type="pct"/>
                  <w:tcBorders>
                    <w:tl2br w:val="nil"/>
                    <w:tr2bl w:val="nil"/>
                  </w:tcBorders>
                  <w:noWrap w:val="0"/>
                  <w:vAlign w:val="center"/>
                </w:tcPr>
                <w:p w14:paraId="6E81C2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最高允许排放浓度（mg/m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621" w:type="pct"/>
                  <w:tcBorders>
                    <w:tl2br w:val="nil"/>
                    <w:tr2bl w:val="nil"/>
                  </w:tcBorders>
                  <w:noWrap w:val="0"/>
                  <w:vAlign w:val="center"/>
                </w:tcPr>
                <w:p w14:paraId="7CEFCD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最高允许排放速率（kg/h）</w:t>
                  </w:r>
                </w:p>
              </w:tc>
              <w:tc>
                <w:tcPr>
                  <w:tcW w:w="491" w:type="pct"/>
                  <w:tcBorders>
                    <w:tl2br w:val="nil"/>
                    <w:tr2bl w:val="nil"/>
                  </w:tcBorders>
                  <w:noWrap w:val="0"/>
                  <w:vAlign w:val="center"/>
                </w:tcPr>
                <w:p w14:paraId="735780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排气筒高度（m）</w:t>
                  </w:r>
                </w:p>
              </w:tc>
              <w:tc>
                <w:tcPr>
                  <w:tcW w:w="735" w:type="pct"/>
                  <w:tcBorders>
                    <w:tl2br w:val="nil"/>
                    <w:tr2bl w:val="nil"/>
                  </w:tcBorders>
                  <w:noWrap w:val="0"/>
                  <w:vAlign w:val="center"/>
                </w:tcPr>
                <w:p w14:paraId="164892AA">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无组织排放监控浓度限值（mg/m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1440" w:type="pct"/>
                  <w:tcBorders>
                    <w:tl2br w:val="nil"/>
                    <w:tr2bl w:val="nil"/>
                  </w:tcBorders>
                  <w:noWrap w:val="0"/>
                  <w:vAlign w:val="center"/>
                </w:tcPr>
                <w:p w14:paraId="44AF279C">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标准来源</w:t>
                  </w:r>
                </w:p>
              </w:tc>
            </w:tr>
            <w:tr w14:paraId="5BA45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0"/>
                  <w:vAlign w:val="center"/>
                </w:tcPr>
                <w:p w14:paraId="6F3F6B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水泥</w:t>
                  </w:r>
                  <w:r>
                    <w:rPr>
                      <w:rFonts w:hint="eastAsia" w:cs="Times New Roman"/>
                      <w:b w:val="0"/>
                      <w:bCs w:val="0"/>
                      <w:color w:val="auto"/>
                      <w:kern w:val="0"/>
                      <w:sz w:val="21"/>
                      <w:szCs w:val="21"/>
                      <w:highlight w:val="none"/>
                      <w:shd w:val="clear" w:color="auto" w:fill="auto"/>
                      <w:lang w:eastAsia="zh-CN"/>
                    </w:rPr>
                    <w:t>筒仓</w:t>
                  </w:r>
                  <w:r>
                    <w:rPr>
                      <w:rFonts w:hint="eastAsia" w:ascii="Times New Roman" w:hAnsi="Times New Roman" w:eastAsia="宋体" w:cs="Times New Roman"/>
                      <w:b w:val="0"/>
                      <w:bCs w:val="0"/>
                      <w:color w:val="auto"/>
                      <w:kern w:val="0"/>
                      <w:sz w:val="21"/>
                      <w:szCs w:val="21"/>
                      <w:highlight w:val="none"/>
                      <w:shd w:val="clear" w:color="auto" w:fill="auto"/>
                      <w:lang w:eastAsia="zh-CN"/>
                    </w:rPr>
                    <w:t>呼吸废气</w:t>
                  </w:r>
                  <w:r>
                    <w:rPr>
                      <w:rFonts w:hint="eastAsia" w:ascii="Times New Roman" w:hAnsi="Times New Roman" w:eastAsia="宋体" w:cs="Times New Roman"/>
                      <w:b w:val="0"/>
                      <w:bCs w:val="0"/>
                      <w:color w:val="auto"/>
                      <w:kern w:val="0"/>
                      <w:sz w:val="21"/>
                      <w:szCs w:val="21"/>
                      <w:highlight w:val="none"/>
                      <w:shd w:val="clear" w:color="auto" w:fill="auto"/>
                      <w:lang w:val="en-US" w:eastAsia="zh-CN"/>
                    </w:rPr>
                    <w:t>/DA001</w:t>
                  </w:r>
                </w:p>
              </w:tc>
              <w:tc>
                <w:tcPr>
                  <w:tcW w:w="428" w:type="pct"/>
                  <w:tcBorders>
                    <w:tl2br w:val="nil"/>
                    <w:tr2bl w:val="nil"/>
                  </w:tcBorders>
                  <w:noWrap w:val="0"/>
                  <w:vAlign w:val="center"/>
                </w:tcPr>
                <w:p w14:paraId="537C5BA7">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颗粒物</w:t>
                  </w:r>
                </w:p>
              </w:tc>
              <w:tc>
                <w:tcPr>
                  <w:tcW w:w="735" w:type="pct"/>
                  <w:tcBorders>
                    <w:tl2br w:val="nil"/>
                    <w:tr2bl w:val="nil"/>
                  </w:tcBorders>
                  <w:noWrap w:val="0"/>
                  <w:vAlign w:val="center"/>
                </w:tcPr>
                <w:p w14:paraId="28410BC2">
                  <w:pPr>
                    <w:pStyle w:val="13"/>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113"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621" w:type="pct"/>
                  <w:tcBorders>
                    <w:tl2br w:val="nil"/>
                    <w:tr2bl w:val="nil"/>
                  </w:tcBorders>
                  <w:noWrap w:val="0"/>
                  <w:vAlign w:val="center"/>
                </w:tcPr>
                <w:p w14:paraId="021CA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491" w:type="pct"/>
                  <w:tcBorders>
                    <w:tl2br w:val="nil"/>
                    <w:tr2bl w:val="nil"/>
                  </w:tcBorders>
                  <w:noWrap w:val="0"/>
                  <w:vAlign w:val="center"/>
                </w:tcPr>
                <w:p w14:paraId="4532A0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735" w:type="pct"/>
                  <w:tcBorders>
                    <w:tl2br w:val="nil"/>
                    <w:tr2bl w:val="nil"/>
                  </w:tcBorders>
                  <w:noWrap w:val="0"/>
                  <w:vAlign w:val="center"/>
                </w:tcPr>
                <w:p w14:paraId="48C5E7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highlight w:val="none"/>
                      <w:lang w:val="en-US" w:eastAsia="zh-CN"/>
                    </w:rPr>
                  </w:pPr>
                  <w:r>
                    <w:rPr>
                      <w:bCs/>
                      <w:color w:val="auto"/>
                      <w:szCs w:val="21"/>
                    </w:rPr>
                    <w:t>0.5</w:t>
                  </w:r>
                </w:p>
              </w:tc>
              <w:tc>
                <w:tcPr>
                  <w:tcW w:w="1440" w:type="pct"/>
                  <w:tcBorders>
                    <w:tl2br w:val="nil"/>
                    <w:tr2bl w:val="nil"/>
                  </w:tcBorders>
                  <w:noWrap w:val="0"/>
                  <w:vAlign w:val="center"/>
                </w:tcPr>
                <w:p w14:paraId="0CED0C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《水泥工业大气污染物排放标准》（DB34/3576-2020）</w:t>
                  </w:r>
                </w:p>
              </w:tc>
            </w:tr>
            <w:tr w14:paraId="3767C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0"/>
                  <w:vAlign w:val="center"/>
                </w:tcPr>
                <w:p w14:paraId="530ECE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color w:val="auto"/>
                      <w:sz w:val="21"/>
                      <w:szCs w:val="21"/>
                      <w:highlight w:val="none"/>
                      <w:lang w:eastAsia="zh-CN"/>
                    </w:rPr>
                    <w:t>粉煤灰</w:t>
                  </w:r>
                  <w:r>
                    <w:rPr>
                      <w:rFonts w:hint="eastAsia" w:cs="Times New Roman"/>
                      <w:b w:val="0"/>
                      <w:bCs/>
                      <w:color w:val="auto"/>
                      <w:sz w:val="21"/>
                      <w:szCs w:val="21"/>
                      <w:highlight w:val="none"/>
                      <w:lang w:eastAsia="zh-CN"/>
                    </w:rPr>
                    <w:t>筒仓</w:t>
                  </w:r>
                  <w:r>
                    <w:rPr>
                      <w:rFonts w:hint="eastAsia" w:ascii="Times New Roman" w:hAnsi="Times New Roman" w:eastAsia="宋体" w:cs="Times New Roman"/>
                      <w:b w:val="0"/>
                      <w:bCs/>
                      <w:color w:val="auto"/>
                      <w:sz w:val="21"/>
                      <w:szCs w:val="21"/>
                      <w:highlight w:val="none"/>
                      <w:lang w:eastAsia="zh-CN"/>
                    </w:rPr>
                    <w:t>呼吸废气</w:t>
                  </w:r>
                  <w:r>
                    <w:rPr>
                      <w:rFonts w:hint="eastAsia" w:ascii="Times New Roman" w:hAnsi="Times New Roman" w:eastAsia="宋体" w:cs="Times New Roman"/>
                      <w:b w:val="0"/>
                      <w:bCs/>
                      <w:color w:val="auto"/>
                      <w:sz w:val="21"/>
                      <w:szCs w:val="21"/>
                      <w:highlight w:val="none"/>
                      <w:lang w:val="en-US" w:eastAsia="zh-CN"/>
                    </w:rPr>
                    <w:t>/DA002</w:t>
                  </w:r>
                </w:p>
              </w:tc>
              <w:tc>
                <w:tcPr>
                  <w:tcW w:w="428" w:type="pct"/>
                  <w:tcBorders>
                    <w:tl2br w:val="nil"/>
                    <w:tr2bl w:val="nil"/>
                  </w:tcBorders>
                  <w:noWrap w:val="0"/>
                  <w:vAlign w:val="center"/>
                </w:tcPr>
                <w:p w14:paraId="35983C3B">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颗粒物</w:t>
                  </w:r>
                </w:p>
              </w:tc>
              <w:tc>
                <w:tcPr>
                  <w:tcW w:w="735" w:type="pct"/>
                  <w:tcBorders>
                    <w:tl2br w:val="nil"/>
                    <w:tr2bl w:val="nil"/>
                  </w:tcBorders>
                  <w:noWrap w:val="0"/>
                  <w:vAlign w:val="center"/>
                </w:tcPr>
                <w:p w14:paraId="66F9BD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120</w:t>
                  </w:r>
                </w:p>
              </w:tc>
              <w:tc>
                <w:tcPr>
                  <w:tcW w:w="621" w:type="pct"/>
                  <w:tcBorders>
                    <w:tl2br w:val="nil"/>
                    <w:tr2bl w:val="nil"/>
                  </w:tcBorders>
                  <w:noWrap w:val="0"/>
                  <w:vAlign w:val="center"/>
                </w:tcPr>
                <w:p w14:paraId="6D1A13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3.5</w:t>
                  </w:r>
                </w:p>
              </w:tc>
              <w:tc>
                <w:tcPr>
                  <w:tcW w:w="491" w:type="pct"/>
                  <w:tcBorders>
                    <w:tl2br w:val="nil"/>
                    <w:tr2bl w:val="nil"/>
                  </w:tcBorders>
                  <w:noWrap w:val="0"/>
                  <w:vAlign w:val="center"/>
                </w:tcPr>
                <w:p w14:paraId="18280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w:t>
                  </w:r>
                </w:p>
              </w:tc>
              <w:tc>
                <w:tcPr>
                  <w:tcW w:w="735" w:type="pct"/>
                  <w:tcBorders>
                    <w:tl2br w:val="nil"/>
                    <w:tr2bl w:val="nil"/>
                  </w:tcBorders>
                  <w:noWrap w:val="0"/>
                  <w:vAlign w:val="center"/>
                </w:tcPr>
                <w:p w14:paraId="3029FC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 w:val="0"/>
                      <w:bCs/>
                      <w:color w:val="auto"/>
                      <w:sz w:val="21"/>
                      <w:szCs w:val="21"/>
                      <w:highlight w:val="none"/>
                      <w:lang w:val="en-US" w:eastAsia="zh-CN"/>
                    </w:rPr>
                  </w:pPr>
                  <w:r>
                    <w:rPr>
                      <w:rFonts w:hint="eastAsia"/>
                      <w:bCs/>
                      <w:color w:val="auto"/>
                      <w:szCs w:val="21"/>
                      <w:lang w:val="en-US" w:eastAsia="zh-CN"/>
                    </w:rPr>
                    <w:t>1.0</w:t>
                  </w:r>
                </w:p>
              </w:tc>
              <w:tc>
                <w:tcPr>
                  <w:tcW w:w="1440" w:type="pct"/>
                  <w:vMerge w:val="restart"/>
                  <w:tcBorders>
                    <w:tl2br w:val="nil"/>
                    <w:tr2bl w:val="nil"/>
                  </w:tcBorders>
                  <w:noWrap w:val="0"/>
                  <w:vAlign w:val="center"/>
                </w:tcPr>
                <w:p w14:paraId="34798A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w:t>
                  </w:r>
                  <w:r>
                    <w:rPr>
                      <w:rFonts w:hint="eastAsia" w:cs="Times New Roman"/>
                      <w:b w:val="0"/>
                      <w:bCs/>
                      <w:color w:val="auto"/>
                      <w:sz w:val="21"/>
                      <w:szCs w:val="21"/>
                      <w:highlight w:val="none"/>
                      <w:lang w:eastAsia="zh-CN"/>
                    </w:rPr>
                    <w:t>大气污染物综合排放标准</w:t>
                  </w:r>
                  <w:r>
                    <w:rPr>
                      <w:rFonts w:hint="default"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eastAsia="zh-CN"/>
                    </w:rPr>
                    <w:t>（GB 16297-1996）</w:t>
                  </w:r>
                </w:p>
              </w:tc>
            </w:tr>
            <w:tr w14:paraId="3F749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0" w:hRule="atLeast"/>
                <w:jc w:val="center"/>
              </w:trPr>
              <w:tc>
                <w:tcPr>
                  <w:tcW w:w="548" w:type="pct"/>
                  <w:tcBorders>
                    <w:tl2br w:val="nil"/>
                    <w:tr2bl w:val="nil"/>
                  </w:tcBorders>
                  <w:noWrap w:val="0"/>
                  <w:vAlign w:val="center"/>
                </w:tcPr>
                <w:p w14:paraId="6D5EBE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val="0"/>
                      <w:color w:val="auto"/>
                      <w:kern w:val="2"/>
                      <w:sz w:val="21"/>
                      <w:szCs w:val="21"/>
                      <w:lang w:val="en-US" w:eastAsia="zh-CN" w:bidi="ar-SA"/>
                    </w:rPr>
                    <w:t>建筑掺和料筒仓</w:t>
                  </w:r>
                  <w:r>
                    <w:rPr>
                      <w:rFonts w:hint="eastAsia" w:ascii="Times New Roman" w:hAnsi="Times New Roman" w:eastAsia="宋体" w:cs="Times New Roman"/>
                      <w:b w:val="0"/>
                      <w:bCs w:val="0"/>
                      <w:color w:val="auto"/>
                      <w:kern w:val="2"/>
                      <w:sz w:val="21"/>
                      <w:szCs w:val="21"/>
                      <w:lang w:val="en-US" w:eastAsia="zh-CN" w:bidi="ar-SA"/>
                    </w:rPr>
                    <w:t>呼吸废气</w:t>
                  </w:r>
                  <w:r>
                    <w:rPr>
                      <w:rFonts w:hint="eastAsia" w:cs="Times New Roman"/>
                      <w:color w:val="auto"/>
                      <w:kern w:val="2"/>
                      <w:sz w:val="21"/>
                      <w:szCs w:val="21"/>
                      <w:lang w:val="en-US" w:eastAsia="zh-CN" w:bidi="ar-SA"/>
                    </w:rPr>
                    <w:t>/DA003</w:t>
                  </w:r>
                </w:p>
              </w:tc>
              <w:tc>
                <w:tcPr>
                  <w:tcW w:w="428" w:type="pct"/>
                  <w:tcBorders>
                    <w:tl2br w:val="nil"/>
                    <w:tr2bl w:val="nil"/>
                  </w:tcBorders>
                  <w:noWrap w:val="0"/>
                  <w:vAlign w:val="center"/>
                </w:tcPr>
                <w:p w14:paraId="72C2A096">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颗粒物</w:t>
                  </w:r>
                </w:p>
              </w:tc>
              <w:tc>
                <w:tcPr>
                  <w:tcW w:w="735" w:type="pct"/>
                  <w:tcBorders>
                    <w:tl2br w:val="nil"/>
                    <w:tr2bl w:val="nil"/>
                  </w:tcBorders>
                  <w:noWrap w:val="0"/>
                  <w:vAlign w:val="center"/>
                </w:tcPr>
                <w:p w14:paraId="1064A0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sz w:val="21"/>
                      <w:szCs w:val="21"/>
                      <w:vertAlign w:val="baseline"/>
                      <w:lang w:val="en-US" w:eastAsia="zh-CN"/>
                    </w:rPr>
                    <w:t>120</w:t>
                  </w:r>
                </w:p>
              </w:tc>
              <w:tc>
                <w:tcPr>
                  <w:tcW w:w="621" w:type="pct"/>
                  <w:tcBorders>
                    <w:tl2br w:val="nil"/>
                    <w:tr2bl w:val="nil"/>
                  </w:tcBorders>
                  <w:noWrap w:val="0"/>
                  <w:vAlign w:val="center"/>
                </w:tcPr>
                <w:p w14:paraId="4AA2ED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3.5</w:t>
                  </w:r>
                </w:p>
              </w:tc>
              <w:tc>
                <w:tcPr>
                  <w:tcW w:w="491" w:type="pct"/>
                  <w:tcBorders>
                    <w:tl2br w:val="nil"/>
                    <w:tr2bl w:val="nil"/>
                  </w:tcBorders>
                  <w:noWrap w:val="0"/>
                  <w:vAlign w:val="center"/>
                </w:tcPr>
                <w:p w14:paraId="58088D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w:t>
                  </w:r>
                </w:p>
              </w:tc>
              <w:tc>
                <w:tcPr>
                  <w:tcW w:w="735" w:type="pct"/>
                  <w:tcBorders>
                    <w:tl2br w:val="nil"/>
                    <w:tr2bl w:val="nil"/>
                  </w:tcBorders>
                  <w:noWrap w:val="0"/>
                  <w:vAlign w:val="center"/>
                </w:tcPr>
                <w:p w14:paraId="309ACC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bCs/>
                      <w:color w:val="auto"/>
                      <w:szCs w:val="21"/>
                      <w:lang w:val="en-US" w:eastAsia="zh-CN"/>
                    </w:rPr>
                    <w:t>1.0</w:t>
                  </w:r>
                </w:p>
              </w:tc>
              <w:tc>
                <w:tcPr>
                  <w:tcW w:w="1440" w:type="pct"/>
                  <w:vMerge w:val="continue"/>
                  <w:tcBorders>
                    <w:tl2br w:val="nil"/>
                    <w:tr2bl w:val="nil"/>
                  </w:tcBorders>
                  <w:noWrap w:val="0"/>
                  <w:vAlign w:val="center"/>
                </w:tcPr>
                <w:p w14:paraId="1E6842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p>
              </w:tc>
            </w:tr>
            <w:tr w14:paraId="549D2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0"/>
                  <w:vAlign w:val="center"/>
                </w:tcPr>
                <w:p w14:paraId="6CCE8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草木灰</w:t>
                  </w:r>
                  <w:r>
                    <w:rPr>
                      <w:rFonts w:hint="eastAsia" w:cs="Times New Roman"/>
                      <w:b w:val="0"/>
                      <w:bCs w:val="0"/>
                      <w:color w:val="auto"/>
                      <w:kern w:val="2"/>
                      <w:sz w:val="21"/>
                      <w:szCs w:val="21"/>
                      <w:lang w:val="en-US" w:eastAsia="zh-CN" w:bidi="ar-SA"/>
                    </w:rPr>
                    <w:t>筒仓</w:t>
                  </w:r>
                  <w:r>
                    <w:rPr>
                      <w:rFonts w:hint="eastAsia" w:ascii="Times New Roman" w:hAnsi="Times New Roman" w:eastAsia="宋体" w:cs="Times New Roman"/>
                      <w:b w:val="0"/>
                      <w:bCs w:val="0"/>
                      <w:color w:val="auto"/>
                      <w:kern w:val="2"/>
                      <w:sz w:val="21"/>
                      <w:szCs w:val="21"/>
                      <w:lang w:val="en-US" w:eastAsia="zh-CN" w:bidi="ar-SA"/>
                    </w:rPr>
                    <w:t>呼吸废气</w:t>
                  </w:r>
                  <w:r>
                    <w:rPr>
                      <w:rFonts w:hint="eastAsia" w:cs="Times New Roman"/>
                      <w:color w:val="auto"/>
                      <w:kern w:val="2"/>
                      <w:sz w:val="21"/>
                      <w:szCs w:val="21"/>
                      <w:lang w:val="en-US" w:eastAsia="zh-CN" w:bidi="ar-SA"/>
                    </w:rPr>
                    <w:t>/DA004</w:t>
                  </w:r>
                </w:p>
              </w:tc>
              <w:tc>
                <w:tcPr>
                  <w:tcW w:w="428" w:type="pct"/>
                  <w:tcBorders>
                    <w:tl2br w:val="nil"/>
                    <w:tr2bl w:val="nil"/>
                  </w:tcBorders>
                  <w:noWrap w:val="0"/>
                  <w:vAlign w:val="center"/>
                </w:tcPr>
                <w:p w14:paraId="72F28F83">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颗粒物</w:t>
                  </w:r>
                </w:p>
              </w:tc>
              <w:tc>
                <w:tcPr>
                  <w:tcW w:w="735" w:type="pct"/>
                  <w:tcBorders>
                    <w:tl2br w:val="nil"/>
                    <w:tr2bl w:val="nil"/>
                  </w:tcBorders>
                  <w:noWrap w:val="0"/>
                  <w:vAlign w:val="center"/>
                </w:tcPr>
                <w:p w14:paraId="7CE341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sz w:val="21"/>
                      <w:szCs w:val="21"/>
                      <w:vertAlign w:val="baseline"/>
                      <w:lang w:val="en-US" w:eastAsia="zh-CN"/>
                    </w:rPr>
                    <w:t>120</w:t>
                  </w:r>
                </w:p>
              </w:tc>
              <w:tc>
                <w:tcPr>
                  <w:tcW w:w="621" w:type="pct"/>
                  <w:tcBorders>
                    <w:tl2br w:val="nil"/>
                    <w:tr2bl w:val="nil"/>
                  </w:tcBorders>
                  <w:noWrap w:val="0"/>
                  <w:vAlign w:val="center"/>
                </w:tcPr>
                <w:p w14:paraId="202901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3.5</w:t>
                  </w:r>
                </w:p>
              </w:tc>
              <w:tc>
                <w:tcPr>
                  <w:tcW w:w="491" w:type="pct"/>
                  <w:tcBorders>
                    <w:tl2br w:val="nil"/>
                    <w:tr2bl w:val="nil"/>
                  </w:tcBorders>
                  <w:noWrap w:val="0"/>
                  <w:vAlign w:val="center"/>
                </w:tcPr>
                <w:p w14:paraId="7845F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w:t>
                  </w:r>
                </w:p>
              </w:tc>
              <w:tc>
                <w:tcPr>
                  <w:tcW w:w="735" w:type="pct"/>
                  <w:tcBorders>
                    <w:tl2br w:val="nil"/>
                    <w:tr2bl w:val="nil"/>
                  </w:tcBorders>
                  <w:noWrap w:val="0"/>
                  <w:vAlign w:val="center"/>
                </w:tcPr>
                <w:p w14:paraId="5C75DA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bCs/>
                      <w:color w:val="auto"/>
                      <w:szCs w:val="21"/>
                      <w:lang w:val="en-US" w:eastAsia="zh-CN"/>
                    </w:rPr>
                    <w:t>1.0</w:t>
                  </w:r>
                </w:p>
              </w:tc>
              <w:tc>
                <w:tcPr>
                  <w:tcW w:w="1440" w:type="pct"/>
                  <w:vMerge w:val="continue"/>
                  <w:tcBorders>
                    <w:tl2br w:val="nil"/>
                    <w:tr2bl w:val="nil"/>
                  </w:tcBorders>
                  <w:noWrap w:val="0"/>
                  <w:vAlign w:val="center"/>
                </w:tcPr>
                <w:p w14:paraId="31AAD6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p>
              </w:tc>
            </w:tr>
            <w:tr w14:paraId="1F51DB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0"/>
                  <w:vAlign w:val="center"/>
                </w:tcPr>
                <w:p w14:paraId="124C7D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投料废气</w:t>
                  </w:r>
                  <w:r>
                    <w:rPr>
                      <w:rFonts w:hint="eastAsia" w:cs="Times New Roman"/>
                      <w:color w:val="auto"/>
                      <w:kern w:val="2"/>
                      <w:sz w:val="21"/>
                      <w:szCs w:val="21"/>
                      <w:lang w:val="en-US" w:eastAsia="zh-CN" w:bidi="ar-SA"/>
                    </w:rPr>
                    <w:t>/DA005</w:t>
                  </w:r>
                </w:p>
              </w:tc>
              <w:tc>
                <w:tcPr>
                  <w:tcW w:w="428" w:type="pct"/>
                  <w:tcBorders>
                    <w:tl2br w:val="nil"/>
                    <w:tr2bl w:val="nil"/>
                  </w:tcBorders>
                  <w:noWrap w:val="0"/>
                  <w:vAlign w:val="center"/>
                </w:tcPr>
                <w:p w14:paraId="19CF1569">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颗粒物</w:t>
                  </w:r>
                </w:p>
              </w:tc>
              <w:tc>
                <w:tcPr>
                  <w:tcW w:w="735" w:type="pct"/>
                  <w:tcBorders>
                    <w:tl2br w:val="nil"/>
                    <w:tr2bl w:val="nil"/>
                  </w:tcBorders>
                  <w:noWrap w:val="0"/>
                  <w:vAlign w:val="center"/>
                </w:tcPr>
                <w:p w14:paraId="73E64F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sz w:val="21"/>
                      <w:szCs w:val="21"/>
                      <w:vertAlign w:val="baseline"/>
                      <w:lang w:val="en-US" w:eastAsia="zh-CN"/>
                    </w:rPr>
                    <w:t>120</w:t>
                  </w:r>
                </w:p>
              </w:tc>
              <w:tc>
                <w:tcPr>
                  <w:tcW w:w="621" w:type="pct"/>
                  <w:tcBorders>
                    <w:tl2br w:val="nil"/>
                    <w:tr2bl w:val="nil"/>
                  </w:tcBorders>
                  <w:noWrap w:val="0"/>
                  <w:vAlign w:val="center"/>
                </w:tcPr>
                <w:p w14:paraId="666DD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3.5</w:t>
                  </w:r>
                </w:p>
              </w:tc>
              <w:tc>
                <w:tcPr>
                  <w:tcW w:w="491" w:type="pct"/>
                  <w:tcBorders>
                    <w:tl2br w:val="nil"/>
                    <w:tr2bl w:val="nil"/>
                  </w:tcBorders>
                  <w:noWrap w:val="0"/>
                  <w:vAlign w:val="center"/>
                </w:tcPr>
                <w:p w14:paraId="245C9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w:t>
                  </w:r>
                </w:p>
              </w:tc>
              <w:tc>
                <w:tcPr>
                  <w:tcW w:w="735" w:type="pct"/>
                  <w:tcBorders>
                    <w:tl2br w:val="nil"/>
                    <w:tr2bl w:val="nil"/>
                  </w:tcBorders>
                  <w:noWrap w:val="0"/>
                  <w:vAlign w:val="center"/>
                </w:tcPr>
                <w:p w14:paraId="5B7E23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bCs/>
                      <w:color w:val="auto"/>
                      <w:szCs w:val="21"/>
                      <w:lang w:val="en-US" w:eastAsia="zh-CN"/>
                    </w:rPr>
                    <w:t>1.0</w:t>
                  </w:r>
                </w:p>
              </w:tc>
              <w:tc>
                <w:tcPr>
                  <w:tcW w:w="1440" w:type="pct"/>
                  <w:vMerge w:val="continue"/>
                  <w:tcBorders>
                    <w:tl2br w:val="nil"/>
                    <w:tr2bl w:val="nil"/>
                  </w:tcBorders>
                  <w:noWrap w:val="0"/>
                  <w:vAlign w:val="center"/>
                </w:tcPr>
                <w:p w14:paraId="5E5481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p>
              </w:tc>
            </w:tr>
            <w:tr w14:paraId="2B11B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8" w:type="pct"/>
                  <w:vMerge w:val="restart"/>
                  <w:tcBorders>
                    <w:tl2br w:val="nil"/>
                    <w:tr2bl w:val="nil"/>
                  </w:tcBorders>
                  <w:noWrap w:val="0"/>
                  <w:vAlign w:val="center"/>
                </w:tcPr>
                <w:p w14:paraId="7D4299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olor w:val="auto"/>
                      <w:sz w:val="21"/>
                      <w:szCs w:val="21"/>
                      <w:lang w:val="en-US" w:eastAsia="zh-CN"/>
                    </w:rPr>
                    <w:t>污泥贮存废气、发酵废气</w:t>
                  </w:r>
                  <w:r>
                    <w:rPr>
                      <w:rFonts w:hint="eastAsia"/>
                      <w:color w:val="auto"/>
                      <w:sz w:val="21"/>
                      <w:szCs w:val="21"/>
                      <w:lang w:val="en-US" w:eastAsia="zh-CN"/>
                    </w:rPr>
                    <w:t>/DA006</w:t>
                  </w:r>
                </w:p>
              </w:tc>
              <w:tc>
                <w:tcPr>
                  <w:tcW w:w="428" w:type="pct"/>
                  <w:tcBorders>
                    <w:tl2br w:val="nil"/>
                    <w:tr2bl w:val="nil"/>
                  </w:tcBorders>
                  <w:noWrap w:val="0"/>
                  <w:vAlign w:val="center"/>
                </w:tcPr>
                <w:p w14:paraId="16EDBB5A">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olor w:val="auto"/>
                      <w:sz w:val="21"/>
                      <w:szCs w:val="21"/>
                      <w:lang w:val="en-US" w:eastAsia="zh-CN"/>
                    </w:rPr>
                    <w:t>NH</w:t>
                  </w:r>
                  <w:r>
                    <w:rPr>
                      <w:rFonts w:hint="eastAsia"/>
                      <w:color w:val="auto"/>
                      <w:sz w:val="21"/>
                      <w:szCs w:val="21"/>
                      <w:vertAlign w:val="subscript"/>
                      <w:lang w:val="en-US" w:eastAsia="zh-CN"/>
                    </w:rPr>
                    <w:t>3</w:t>
                  </w:r>
                </w:p>
              </w:tc>
              <w:tc>
                <w:tcPr>
                  <w:tcW w:w="735" w:type="pct"/>
                  <w:tcBorders>
                    <w:tl2br w:val="nil"/>
                    <w:tr2bl w:val="nil"/>
                  </w:tcBorders>
                  <w:noWrap w:val="0"/>
                  <w:vAlign w:val="center"/>
                </w:tcPr>
                <w:p w14:paraId="6ADCB5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p>
              </w:tc>
              <w:tc>
                <w:tcPr>
                  <w:tcW w:w="621" w:type="pct"/>
                  <w:tcBorders>
                    <w:tl2br w:val="nil"/>
                    <w:tr2bl w:val="nil"/>
                  </w:tcBorders>
                  <w:noWrap w:val="0"/>
                  <w:vAlign w:val="center"/>
                </w:tcPr>
                <w:p w14:paraId="471A36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4.9</w:t>
                  </w:r>
                </w:p>
              </w:tc>
              <w:tc>
                <w:tcPr>
                  <w:tcW w:w="491" w:type="pct"/>
                  <w:vMerge w:val="restart"/>
                  <w:tcBorders>
                    <w:tl2br w:val="nil"/>
                    <w:tr2bl w:val="nil"/>
                  </w:tcBorders>
                  <w:noWrap w:val="0"/>
                  <w:vAlign w:val="center"/>
                </w:tcPr>
                <w:p w14:paraId="2B7C1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15</w:t>
                  </w:r>
                </w:p>
              </w:tc>
              <w:tc>
                <w:tcPr>
                  <w:tcW w:w="735" w:type="pct"/>
                  <w:tcBorders>
                    <w:tl2br w:val="nil"/>
                    <w:tr2bl w:val="nil"/>
                  </w:tcBorders>
                  <w:noWrap w:val="0"/>
                  <w:vAlign w:val="center"/>
                </w:tcPr>
                <w:p w14:paraId="74E92F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1.5</w:t>
                  </w:r>
                </w:p>
              </w:tc>
              <w:tc>
                <w:tcPr>
                  <w:tcW w:w="1440" w:type="pct"/>
                  <w:vMerge w:val="restart"/>
                  <w:tcBorders>
                    <w:tl2br w:val="nil"/>
                    <w:tr2bl w:val="nil"/>
                  </w:tcBorders>
                  <w:noWrap w:val="0"/>
                  <w:vAlign w:val="center"/>
                </w:tcPr>
                <w:p w14:paraId="46D1C8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eastAsia" w:ascii="宋体" w:hAnsi="宋体" w:cs="宋体"/>
                      <w:color w:val="auto"/>
                      <w:kern w:val="0"/>
                      <w:sz w:val="21"/>
                      <w:szCs w:val="21"/>
                      <w:lang w:bidi="ar"/>
                    </w:rPr>
                    <w:t>《恶臭污染物排放标准》（</w:t>
                  </w:r>
                  <w:r>
                    <w:rPr>
                      <w:color w:val="auto"/>
                      <w:kern w:val="0"/>
                      <w:sz w:val="21"/>
                      <w:szCs w:val="21"/>
                      <w:lang w:bidi="ar"/>
                    </w:rPr>
                    <w:t>GB14554-93</w:t>
                  </w:r>
                  <w:r>
                    <w:rPr>
                      <w:rFonts w:hint="eastAsia" w:ascii="宋体" w:hAnsi="宋体" w:cs="宋体"/>
                      <w:color w:val="auto"/>
                      <w:kern w:val="0"/>
                      <w:sz w:val="21"/>
                      <w:szCs w:val="21"/>
                      <w:lang w:bidi="ar"/>
                    </w:rPr>
                    <w:t>）</w:t>
                  </w:r>
                </w:p>
              </w:tc>
            </w:tr>
            <w:tr w14:paraId="42671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8" w:type="pct"/>
                  <w:vMerge w:val="continue"/>
                  <w:tcBorders>
                    <w:tl2br w:val="nil"/>
                    <w:tr2bl w:val="nil"/>
                  </w:tcBorders>
                  <w:noWrap w:val="0"/>
                  <w:vAlign w:val="center"/>
                </w:tcPr>
                <w:p w14:paraId="2B23DA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lang w:val="en-US" w:eastAsia="zh-CN"/>
                    </w:rPr>
                  </w:pPr>
                </w:p>
              </w:tc>
              <w:tc>
                <w:tcPr>
                  <w:tcW w:w="428" w:type="pct"/>
                  <w:tcBorders>
                    <w:tl2br w:val="nil"/>
                    <w:tr2bl w:val="nil"/>
                  </w:tcBorders>
                  <w:noWrap w:val="0"/>
                  <w:vAlign w:val="center"/>
                </w:tcPr>
                <w:p w14:paraId="2897A508">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735" w:type="pct"/>
                  <w:tcBorders>
                    <w:tl2br w:val="nil"/>
                    <w:tr2bl w:val="nil"/>
                  </w:tcBorders>
                  <w:noWrap w:val="0"/>
                  <w:vAlign w:val="center"/>
                </w:tcPr>
                <w:p w14:paraId="7A2FBF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621" w:type="pct"/>
                  <w:tcBorders>
                    <w:tl2br w:val="nil"/>
                    <w:tr2bl w:val="nil"/>
                  </w:tcBorders>
                  <w:noWrap w:val="0"/>
                  <w:vAlign w:val="center"/>
                </w:tcPr>
                <w:p w14:paraId="0B870C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0.33</w:t>
                  </w:r>
                </w:p>
              </w:tc>
              <w:tc>
                <w:tcPr>
                  <w:tcW w:w="491" w:type="pct"/>
                  <w:vMerge w:val="continue"/>
                  <w:tcBorders>
                    <w:tl2br w:val="nil"/>
                    <w:tr2bl w:val="nil"/>
                  </w:tcBorders>
                  <w:noWrap w:val="0"/>
                  <w:vAlign w:val="center"/>
                </w:tcPr>
                <w:p w14:paraId="17788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735" w:type="pct"/>
                  <w:tcBorders>
                    <w:tl2br w:val="nil"/>
                    <w:tr2bl w:val="nil"/>
                  </w:tcBorders>
                  <w:noWrap w:val="0"/>
                  <w:vAlign w:val="center"/>
                </w:tcPr>
                <w:p w14:paraId="5A5E5C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0.06</w:t>
                  </w:r>
                </w:p>
              </w:tc>
              <w:tc>
                <w:tcPr>
                  <w:tcW w:w="1440" w:type="pct"/>
                  <w:vMerge w:val="continue"/>
                  <w:tcBorders>
                    <w:tl2br w:val="nil"/>
                    <w:tr2bl w:val="nil"/>
                  </w:tcBorders>
                  <w:noWrap w:val="0"/>
                  <w:vAlign w:val="center"/>
                </w:tcPr>
                <w:p w14:paraId="3A5AC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p>
              </w:tc>
            </w:tr>
            <w:tr w14:paraId="0564F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8" w:type="pct"/>
                  <w:vMerge w:val="continue"/>
                  <w:tcBorders>
                    <w:tl2br w:val="nil"/>
                    <w:tr2bl w:val="nil"/>
                  </w:tcBorders>
                  <w:noWrap w:val="0"/>
                  <w:vAlign w:val="center"/>
                </w:tcPr>
                <w:p w14:paraId="2F296B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lang w:val="en-US" w:eastAsia="zh-CN"/>
                    </w:rPr>
                  </w:pPr>
                </w:p>
              </w:tc>
              <w:tc>
                <w:tcPr>
                  <w:tcW w:w="428" w:type="pct"/>
                  <w:tcBorders>
                    <w:tl2br w:val="nil"/>
                    <w:tr2bl w:val="nil"/>
                  </w:tcBorders>
                  <w:noWrap w:val="0"/>
                  <w:vAlign w:val="center"/>
                </w:tcPr>
                <w:p w14:paraId="05979153">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臭气浓度</w:t>
                  </w:r>
                </w:p>
              </w:tc>
              <w:tc>
                <w:tcPr>
                  <w:tcW w:w="735" w:type="pct"/>
                  <w:tcBorders>
                    <w:tl2br w:val="nil"/>
                    <w:tr2bl w:val="nil"/>
                  </w:tcBorders>
                  <w:noWrap w:val="0"/>
                  <w:vAlign w:val="center"/>
                </w:tcPr>
                <w:p w14:paraId="747A40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621" w:type="pct"/>
                  <w:tcBorders>
                    <w:tl2br w:val="nil"/>
                    <w:tr2bl w:val="nil"/>
                  </w:tcBorders>
                  <w:noWrap w:val="0"/>
                  <w:vAlign w:val="center"/>
                </w:tcPr>
                <w:p w14:paraId="069E65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491" w:type="pct"/>
                  <w:vMerge w:val="continue"/>
                  <w:tcBorders>
                    <w:tl2br w:val="nil"/>
                    <w:tr2bl w:val="nil"/>
                  </w:tcBorders>
                  <w:noWrap w:val="0"/>
                  <w:vAlign w:val="center"/>
                </w:tcPr>
                <w:p w14:paraId="6C33FB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735" w:type="pct"/>
                  <w:tcBorders>
                    <w:tl2br w:val="nil"/>
                    <w:tr2bl w:val="nil"/>
                  </w:tcBorders>
                  <w:noWrap w:val="0"/>
                  <w:vAlign w:val="center"/>
                </w:tcPr>
                <w:p w14:paraId="7981FD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20（无量纲）</w:t>
                  </w:r>
                </w:p>
              </w:tc>
              <w:tc>
                <w:tcPr>
                  <w:tcW w:w="1440" w:type="pct"/>
                  <w:vMerge w:val="continue"/>
                  <w:tcBorders>
                    <w:tl2br w:val="nil"/>
                    <w:tr2bl w:val="nil"/>
                  </w:tcBorders>
                  <w:noWrap w:val="0"/>
                  <w:vAlign w:val="center"/>
                </w:tcPr>
                <w:p w14:paraId="09B625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p>
              </w:tc>
            </w:tr>
          </w:tbl>
          <w:p w14:paraId="1CB2FF75">
            <w:pPr>
              <w:adjustRightInd w:val="0"/>
              <w:snapToGrid w:val="0"/>
              <w:spacing w:before="156" w:beforeLines="50" w:line="360" w:lineRule="auto"/>
              <w:jc w:val="left"/>
              <w:rPr>
                <w:b/>
                <w:bCs/>
                <w:color w:val="auto"/>
                <w:kern w:val="0"/>
                <w:sz w:val="24"/>
              </w:rPr>
            </w:pPr>
            <w:r>
              <w:rPr>
                <w:rFonts w:hint="eastAsia"/>
                <w:b/>
                <w:bCs/>
                <w:color w:val="auto"/>
                <w:kern w:val="0"/>
                <w:sz w:val="24"/>
              </w:rPr>
              <w:t>3、</w:t>
            </w:r>
            <w:r>
              <w:rPr>
                <w:b/>
                <w:bCs/>
                <w:color w:val="auto"/>
                <w:kern w:val="0"/>
                <w:sz w:val="24"/>
              </w:rPr>
              <w:t>噪声排放标准</w:t>
            </w:r>
          </w:p>
          <w:p w14:paraId="749D478B">
            <w:pPr>
              <w:snapToGrid w:val="0"/>
              <w:spacing w:line="360" w:lineRule="auto"/>
              <w:ind w:firstLine="480" w:firstLineChars="200"/>
              <w:rPr>
                <w:color w:val="auto"/>
                <w:sz w:val="24"/>
              </w:rPr>
            </w:pPr>
            <w:r>
              <w:rPr>
                <w:rFonts w:hint="eastAsia"/>
                <w:color w:val="auto"/>
                <w:sz w:val="24"/>
              </w:rPr>
              <w:t>评级区域内施工期噪声执行《建筑施工场界环境噪声排放标准》（GB12523-20</w:t>
            </w:r>
            <w:r>
              <w:rPr>
                <w:rFonts w:hint="eastAsia"/>
                <w:color w:val="auto"/>
                <w:sz w:val="24"/>
                <w:lang w:val="en-US" w:eastAsia="zh-CN"/>
              </w:rPr>
              <w:t>25</w:t>
            </w:r>
            <w:r>
              <w:rPr>
                <w:rFonts w:hint="eastAsia"/>
                <w:color w:val="auto"/>
                <w:sz w:val="24"/>
              </w:rPr>
              <w:t>）中标准限值要求；运营</w:t>
            </w:r>
            <w:r>
              <w:rPr>
                <w:color w:val="auto"/>
                <w:sz w:val="24"/>
              </w:rPr>
              <w:t>期噪声执行《工业企业厂界环境噪声排放标准》（GB12348-2008）中</w:t>
            </w:r>
            <w:r>
              <w:rPr>
                <w:rFonts w:hint="eastAsia"/>
                <w:color w:val="auto"/>
                <w:sz w:val="24"/>
                <w:lang w:val="en-US" w:eastAsia="zh-CN"/>
              </w:rPr>
              <w:t>2</w:t>
            </w:r>
            <w:r>
              <w:rPr>
                <w:color w:val="auto"/>
                <w:sz w:val="24"/>
              </w:rPr>
              <w:t>类标准</w:t>
            </w:r>
            <w:r>
              <w:rPr>
                <w:rFonts w:hint="eastAsia"/>
                <w:color w:val="auto"/>
                <w:sz w:val="24"/>
              </w:rPr>
              <w:t>；</w:t>
            </w:r>
            <w:r>
              <w:rPr>
                <w:color w:val="auto"/>
                <w:sz w:val="24"/>
              </w:rPr>
              <w:t>其标准限值见</w:t>
            </w:r>
            <w:r>
              <w:rPr>
                <w:rFonts w:hint="eastAsia"/>
                <w:color w:val="auto"/>
                <w:sz w:val="24"/>
                <w:lang w:eastAsia="zh-CN"/>
              </w:rPr>
              <w:t>下</w:t>
            </w:r>
            <w:r>
              <w:rPr>
                <w:color w:val="auto"/>
                <w:sz w:val="24"/>
              </w:rPr>
              <w:t>表。</w:t>
            </w:r>
          </w:p>
          <w:p w14:paraId="41DFFAB4">
            <w:pPr>
              <w:adjustRightInd w:val="0"/>
              <w:snapToGrid w:val="0"/>
              <w:spacing w:line="360" w:lineRule="auto"/>
              <w:jc w:val="center"/>
              <w:rPr>
                <w:color w:val="auto"/>
              </w:rPr>
            </w:pPr>
            <w:r>
              <w:rPr>
                <w:rFonts w:hint="eastAsia"/>
                <w:b/>
                <w:bCs/>
                <w:color w:val="auto"/>
                <w:sz w:val="24"/>
              </w:rPr>
              <w:t>表3</w:t>
            </w:r>
            <w:r>
              <w:rPr>
                <w:rFonts w:hint="eastAsia"/>
                <w:b/>
                <w:bCs/>
                <w:color w:val="auto"/>
                <w:sz w:val="24"/>
                <w:lang w:val="en-US" w:eastAsia="zh-CN"/>
              </w:rPr>
              <w:t>.5</w:t>
            </w:r>
            <w:r>
              <w:rPr>
                <w:rFonts w:hint="eastAsia"/>
                <w:b/>
                <w:bCs/>
                <w:color w:val="auto"/>
                <w:sz w:val="24"/>
              </w:rPr>
              <w:t xml:space="preserve">  建筑施工场界噪声排放标准单位：dB（A）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0"/>
              <w:gridCol w:w="4119"/>
            </w:tblGrid>
            <w:tr w14:paraId="0359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28" w:type="dxa"/>
                  <w:vAlign w:val="center"/>
                </w:tcPr>
                <w:p w14:paraId="03A803C8">
                  <w:pPr>
                    <w:adjustRightInd w:val="0"/>
                    <w:snapToGrid w:val="0"/>
                    <w:spacing w:before="93" w:beforeLines="30"/>
                    <w:jc w:val="center"/>
                    <w:rPr>
                      <w:color w:val="auto"/>
                      <w:szCs w:val="21"/>
                    </w:rPr>
                  </w:pPr>
                  <w:r>
                    <w:rPr>
                      <w:rFonts w:hint="eastAsia"/>
                      <w:color w:val="auto"/>
                      <w:szCs w:val="21"/>
                    </w:rPr>
                    <w:t>昼间</w:t>
                  </w:r>
                </w:p>
              </w:tc>
              <w:tc>
                <w:tcPr>
                  <w:tcW w:w="4427" w:type="dxa"/>
                  <w:vAlign w:val="center"/>
                </w:tcPr>
                <w:p w14:paraId="37AFCE5C">
                  <w:pPr>
                    <w:adjustRightInd w:val="0"/>
                    <w:snapToGrid w:val="0"/>
                    <w:spacing w:before="93" w:beforeLines="30"/>
                    <w:jc w:val="center"/>
                    <w:rPr>
                      <w:color w:val="auto"/>
                      <w:szCs w:val="21"/>
                    </w:rPr>
                  </w:pPr>
                  <w:r>
                    <w:rPr>
                      <w:rFonts w:hint="eastAsia"/>
                      <w:color w:val="auto"/>
                      <w:szCs w:val="21"/>
                    </w:rPr>
                    <w:t>夜间</w:t>
                  </w:r>
                </w:p>
              </w:tc>
            </w:tr>
            <w:tr w14:paraId="466E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28" w:type="dxa"/>
                  <w:vAlign w:val="center"/>
                </w:tcPr>
                <w:p w14:paraId="2B14CB9C">
                  <w:pPr>
                    <w:adjustRightInd w:val="0"/>
                    <w:snapToGrid w:val="0"/>
                    <w:spacing w:before="93" w:beforeLines="30"/>
                    <w:jc w:val="center"/>
                    <w:rPr>
                      <w:color w:val="auto"/>
                      <w:szCs w:val="21"/>
                    </w:rPr>
                  </w:pPr>
                  <w:r>
                    <w:rPr>
                      <w:rFonts w:hint="eastAsia"/>
                      <w:color w:val="auto"/>
                      <w:szCs w:val="21"/>
                    </w:rPr>
                    <w:t>70</w:t>
                  </w:r>
                </w:p>
              </w:tc>
              <w:tc>
                <w:tcPr>
                  <w:tcW w:w="4427" w:type="dxa"/>
                  <w:vAlign w:val="center"/>
                </w:tcPr>
                <w:p w14:paraId="6B630FD2">
                  <w:pPr>
                    <w:adjustRightInd w:val="0"/>
                    <w:snapToGrid w:val="0"/>
                    <w:spacing w:before="93" w:beforeLines="30"/>
                    <w:jc w:val="center"/>
                    <w:rPr>
                      <w:color w:val="auto"/>
                      <w:szCs w:val="21"/>
                    </w:rPr>
                  </w:pPr>
                  <w:r>
                    <w:rPr>
                      <w:rFonts w:hint="eastAsia"/>
                      <w:color w:val="auto"/>
                      <w:szCs w:val="21"/>
                    </w:rPr>
                    <w:t>55</w:t>
                  </w:r>
                </w:p>
              </w:tc>
            </w:tr>
          </w:tbl>
          <w:p w14:paraId="4EFBF08B">
            <w:pPr>
              <w:adjustRightInd w:val="0"/>
              <w:snapToGrid w:val="0"/>
              <w:spacing w:before="156" w:beforeLines="50" w:line="360" w:lineRule="auto"/>
              <w:jc w:val="center"/>
              <w:rPr>
                <w:b/>
                <w:color w:val="auto"/>
                <w:sz w:val="24"/>
              </w:rPr>
            </w:pPr>
            <w:r>
              <w:rPr>
                <w:rFonts w:hint="eastAsia"/>
                <w:b/>
                <w:color w:val="auto"/>
                <w:sz w:val="24"/>
              </w:rPr>
              <w:t>表3</w:t>
            </w:r>
            <w:r>
              <w:rPr>
                <w:rFonts w:hint="eastAsia"/>
                <w:b/>
                <w:color w:val="auto"/>
                <w:sz w:val="24"/>
                <w:lang w:val="en-US" w:eastAsia="zh-CN"/>
              </w:rPr>
              <w:t>.6</w:t>
            </w:r>
            <w:r>
              <w:rPr>
                <w:rFonts w:hint="eastAsia"/>
                <w:b/>
                <w:color w:val="auto"/>
                <w:sz w:val="24"/>
              </w:rPr>
              <w:t xml:space="preserve">  工业企业厂界环境噪声排放标准单位：dB（A）</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754"/>
              <w:gridCol w:w="2463"/>
              <w:gridCol w:w="2032"/>
            </w:tblGrid>
            <w:tr w14:paraId="009938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737" w:type="dxa"/>
                  <w:tcBorders>
                    <w:top w:val="single" w:color="auto" w:sz="8" w:space="0"/>
                    <w:left w:val="single" w:color="auto" w:sz="8" w:space="0"/>
                    <w:bottom w:val="single" w:color="auto" w:sz="8" w:space="0"/>
                  </w:tcBorders>
                  <w:vAlign w:val="center"/>
                </w:tcPr>
                <w:p w14:paraId="342626F0">
                  <w:pPr>
                    <w:autoSpaceDE w:val="0"/>
                    <w:autoSpaceDN w:val="0"/>
                    <w:adjustRightInd w:val="0"/>
                    <w:snapToGrid w:val="0"/>
                    <w:spacing w:before="93" w:beforeLines="30"/>
                    <w:jc w:val="center"/>
                    <w:rPr>
                      <w:bCs/>
                      <w:color w:val="auto"/>
                      <w:szCs w:val="21"/>
                      <w:lang w:val="zh-CN"/>
                    </w:rPr>
                  </w:pPr>
                  <w:r>
                    <w:rPr>
                      <w:bCs/>
                      <w:color w:val="auto"/>
                      <w:szCs w:val="21"/>
                      <w:lang w:val="zh-CN"/>
                    </w:rPr>
                    <w:t>声环境功能区类别</w:t>
                  </w:r>
                </w:p>
              </w:tc>
              <w:tc>
                <w:tcPr>
                  <w:tcW w:w="2452" w:type="dxa"/>
                  <w:tcBorders>
                    <w:top w:val="single" w:color="auto" w:sz="8" w:space="0"/>
                    <w:bottom w:val="single" w:color="auto" w:sz="8" w:space="0"/>
                  </w:tcBorders>
                  <w:vAlign w:val="center"/>
                </w:tcPr>
                <w:p w14:paraId="22BEE4D3">
                  <w:pPr>
                    <w:autoSpaceDE w:val="0"/>
                    <w:autoSpaceDN w:val="0"/>
                    <w:adjustRightInd w:val="0"/>
                    <w:snapToGrid w:val="0"/>
                    <w:spacing w:before="93" w:beforeLines="30"/>
                    <w:jc w:val="center"/>
                    <w:rPr>
                      <w:bCs/>
                      <w:color w:val="auto"/>
                      <w:szCs w:val="21"/>
                      <w:lang w:val="zh-CN"/>
                    </w:rPr>
                  </w:pPr>
                  <w:r>
                    <w:rPr>
                      <w:bCs/>
                      <w:color w:val="auto"/>
                      <w:szCs w:val="21"/>
                      <w:lang w:val="zh-CN"/>
                    </w:rPr>
                    <w:t>昼间</w:t>
                  </w:r>
                </w:p>
              </w:tc>
              <w:tc>
                <w:tcPr>
                  <w:tcW w:w="2023" w:type="dxa"/>
                  <w:tcBorders>
                    <w:top w:val="single" w:color="auto" w:sz="8" w:space="0"/>
                    <w:bottom w:val="single" w:color="auto" w:sz="8" w:space="0"/>
                    <w:right w:val="single" w:color="auto" w:sz="8" w:space="0"/>
                  </w:tcBorders>
                  <w:vAlign w:val="center"/>
                </w:tcPr>
                <w:p w14:paraId="53BC0A77">
                  <w:pPr>
                    <w:autoSpaceDE w:val="0"/>
                    <w:autoSpaceDN w:val="0"/>
                    <w:adjustRightInd w:val="0"/>
                    <w:snapToGrid w:val="0"/>
                    <w:spacing w:before="93" w:beforeLines="30"/>
                    <w:jc w:val="center"/>
                    <w:rPr>
                      <w:bCs/>
                      <w:color w:val="auto"/>
                      <w:szCs w:val="21"/>
                      <w:lang w:val="zh-CN"/>
                    </w:rPr>
                  </w:pPr>
                  <w:r>
                    <w:rPr>
                      <w:bCs/>
                      <w:color w:val="auto"/>
                      <w:szCs w:val="21"/>
                      <w:lang w:val="zh-CN"/>
                    </w:rPr>
                    <w:t>夜间</w:t>
                  </w:r>
                </w:p>
              </w:tc>
            </w:tr>
            <w:tr w14:paraId="5E6E1A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737" w:type="dxa"/>
                  <w:tcBorders>
                    <w:top w:val="single" w:color="auto" w:sz="8" w:space="0"/>
                    <w:left w:val="single" w:color="auto" w:sz="8" w:space="0"/>
                    <w:bottom w:val="single" w:color="auto" w:sz="8" w:space="0"/>
                  </w:tcBorders>
                  <w:vAlign w:val="center"/>
                </w:tcPr>
                <w:p w14:paraId="6047B865">
                  <w:pPr>
                    <w:autoSpaceDE w:val="0"/>
                    <w:autoSpaceDN w:val="0"/>
                    <w:adjustRightInd w:val="0"/>
                    <w:snapToGrid w:val="0"/>
                    <w:jc w:val="center"/>
                    <w:rPr>
                      <w:bCs/>
                      <w:color w:val="auto"/>
                      <w:szCs w:val="21"/>
                    </w:rPr>
                  </w:pPr>
                  <w:r>
                    <w:rPr>
                      <w:rFonts w:hint="eastAsia"/>
                      <w:bCs/>
                      <w:color w:val="auto"/>
                      <w:szCs w:val="21"/>
                      <w:lang w:val="en-US" w:eastAsia="zh-CN"/>
                    </w:rPr>
                    <w:t>2</w:t>
                  </w:r>
                  <w:r>
                    <w:rPr>
                      <w:bCs/>
                      <w:color w:val="auto"/>
                      <w:szCs w:val="21"/>
                      <w:lang w:val="zh-CN"/>
                    </w:rPr>
                    <w:t>类</w:t>
                  </w:r>
                </w:p>
              </w:tc>
              <w:tc>
                <w:tcPr>
                  <w:tcW w:w="2452" w:type="dxa"/>
                  <w:tcBorders>
                    <w:top w:val="single" w:color="auto" w:sz="8" w:space="0"/>
                    <w:bottom w:val="single" w:color="auto" w:sz="8" w:space="0"/>
                  </w:tcBorders>
                  <w:vAlign w:val="center"/>
                </w:tcPr>
                <w:p w14:paraId="25A4B389">
                  <w:pPr>
                    <w:autoSpaceDE w:val="0"/>
                    <w:autoSpaceDN w:val="0"/>
                    <w:adjustRightInd w:val="0"/>
                    <w:snapToGrid w:val="0"/>
                    <w:jc w:val="center"/>
                    <w:rPr>
                      <w:rFonts w:hint="default" w:eastAsia="宋体"/>
                      <w:bCs/>
                      <w:color w:val="auto"/>
                      <w:szCs w:val="21"/>
                      <w:lang w:val="en-US" w:eastAsia="zh-CN"/>
                    </w:rPr>
                  </w:pPr>
                  <w:r>
                    <w:rPr>
                      <w:rFonts w:hint="eastAsia"/>
                      <w:bCs/>
                      <w:color w:val="auto"/>
                      <w:szCs w:val="21"/>
                      <w:lang w:val="en-US" w:eastAsia="zh-CN"/>
                    </w:rPr>
                    <w:t>60</w:t>
                  </w:r>
                </w:p>
              </w:tc>
              <w:tc>
                <w:tcPr>
                  <w:tcW w:w="2023" w:type="dxa"/>
                  <w:tcBorders>
                    <w:top w:val="single" w:color="auto" w:sz="8" w:space="0"/>
                    <w:bottom w:val="single" w:color="auto" w:sz="8" w:space="0"/>
                    <w:right w:val="single" w:color="auto" w:sz="8" w:space="0"/>
                  </w:tcBorders>
                  <w:vAlign w:val="center"/>
                </w:tcPr>
                <w:p w14:paraId="60956733">
                  <w:pPr>
                    <w:autoSpaceDE w:val="0"/>
                    <w:autoSpaceDN w:val="0"/>
                    <w:adjustRightInd w:val="0"/>
                    <w:snapToGrid w:val="0"/>
                    <w:jc w:val="center"/>
                    <w:rPr>
                      <w:rFonts w:hint="default" w:eastAsia="宋体"/>
                      <w:bCs/>
                      <w:color w:val="auto"/>
                      <w:szCs w:val="21"/>
                      <w:lang w:val="en-US" w:eastAsia="zh-CN"/>
                    </w:rPr>
                  </w:pPr>
                  <w:r>
                    <w:rPr>
                      <w:rFonts w:hint="eastAsia"/>
                      <w:bCs/>
                      <w:color w:val="auto"/>
                      <w:szCs w:val="21"/>
                      <w:lang w:val="en-US" w:eastAsia="zh-CN"/>
                    </w:rPr>
                    <w:t>50</w:t>
                  </w:r>
                </w:p>
              </w:tc>
            </w:tr>
          </w:tbl>
          <w:p w14:paraId="55E70A82">
            <w:pPr>
              <w:adjustRightInd w:val="0"/>
              <w:snapToGrid w:val="0"/>
              <w:spacing w:before="156" w:beforeLines="50" w:line="360" w:lineRule="auto"/>
              <w:jc w:val="left"/>
              <w:rPr>
                <w:b/>
                <w:bCs/>
                <w:color w:val="auto"/>
                <w:kern w:val="0"/>
                <w:sz w:val="24"/>
              </w:rPr>
            </w:pPr>
            <w:r>
              <w:rPr>
                <w:b/>
                <w:bCs/>
                <w:color w:val="auto"/>
                <w:kern w:val="0"/>
                <w:sz w:val="24"/>
              </w:rPr>
              <w:t>4、固废排放标准</w:t>
            </w:r>
          </w:p>
          <w:p w14:paraId="2890F132">
            <w:pPr>
              <w:adjustRightInd w:val="0"/>
              <w:snapToGrid w:val="0"/>
              <w:spacing w:line="360" w:lineRule="auto"/>
              <w:ind w:firstLine="480" w:firstLineChars="200"/>
              <w:jc w:val="left"/>
              <w:rPr>
                <w:color w:val="auto"/>
                <w:kern w:val="0"/>
                <w:sz w:val="24"/>
              </w:rPr>
            </w:pPr>
            <w:r>
              <w:rPr>
                <w:color w:val="auto"/>
                <w:kern w:val="0"/>
                <w:sz w:val="24"/>
              </w:rPr>
              <w:t>一般固废参照执行《一般工业固体废物贮存</w:t>
            </w:r>
            <w:r>
              <w:rPr>
                <w:rFonts w:hint="eastAsia"/>
                <w:color w:val="auto"/>
                <w:kern w:val="0"/>
                <w:sz w:val="24"/>
              </w:rPr>
              <w:t>和填埋污染控制标准</w:t>
            </w:r>
            <w:r>
              <w:rPr>
                <w:color w:val="auto"/>
                <w:kern w:val="0"/>
                <w:sz w:val="24"/>
              </w:rPr>
              <w:t>》（GB18599-20</w:t>
            </w:r>
            <w:r>
              <w:rPr>
                <w:rFonts w:hint="eastAsia"/>
                <w:color w:val="auto"/>
                <w:kern w:val="0"/>
                <w:sz w:val="24"/>
              </w:rPr>
              <w:t>20</w:t>
            </w:r>
            <w:r>
              <w:rPr>
                <w:color w:val="auto"/>
                <w:kern w:val="0"/>
                <w:sz w:val="24"/>
              </w:rPr>
              <w:t>）中的相关规定。危险废物执行《危险废物贮存污染控制标</w:t>
            </w:r>
            <w:r>
              <w:rPr>
                <w:rFonts w:hint="eastAsia"/>
                <w:color w:val="auto"/>
                <w:kern w:val="0"/>
                <w:sz w:val="24"/>
              </w:rPr>
              <w:t>准》</w:t>
            </w:r>
            <w:r>
              <w:rPr>
                <w:color w:val="auto"/>
                <w:kern w:val="0"/>
                <w:sz w:val="24"/>
              </w:rPr>
              <w:t>（GB18597-20</w:t>
            </w:r>
            <w:r>
              <w:rPr>
                <w:rFonts w:hint="eastAsia"/>
                <w:color w:val="auto"/>
                <w:kern w:val="0"/>
                <w:sz w:val="24"/>
              </w:rPr>
              <w:t>23</w:t>
            </w:r>
            <w:r>
              <w:rPr>
                <w:color w:val="auto"/>
                <w:kern w:val="0"/>
                <w:sz w:val="24"/>
              </w:rPr>
              <w:t>）中的相关规定。</w:t>
            </w:r>
          </w:p>
          <w:p w14:paraId="5C36CAF4">
            <w:pPr>
              <w:adjustRightInd w:val="0"/>
              <w:spacing w:line="360" w:lineRule="auto"/>
              <w:ind w:firstLine="480" w:firstLineChars="200"/>
              <w:rPr>
                <w:color w:val="auto"/>
                <w:sz w:val="24"/>
              </w:rPr>
            </w:pPr>
          </w:p>
          <w:p w14:paraId="4E8B9214">
            <w:pPr>
              <w:adjustRightInd w:val="0"/>
              <w:snapToGrid w:val="0"/>
              <w:spacing w:line="360" w:lineRule="auto"/>
              <w:ind w:firstLine="480" w:firstLineChars="200"/>
              <w:jc w:val="left"/>
              <w:rPr>
                <w:rFonts w:hint="eastAsia"/>
                <w:color w:val="auto"/>
                <w:kern w:val="0"/>
                <w:sz w:val="24"/>
                <w:lang w:val="en-US" w:eastAsia="zh-CN"/>
              </w:rPr>
            </w:pPr>
          </w:p>
          <w:p w14:paraId="21765595">
            <w:pPr>
              <w:adjustRightInd w:val="0"/>
              <w:snapToGrid w:val="0"/>
              <w:rPr>
                <w:color w:val="auto"/>
                <w:kern w:val="0"/>
                <w:szCs w:val="21"/>
              </w:rPr>
            </w:pPr>
          </w:p>
        </w:tc>
      </w:tr>
      <w:tr w14:paraId="44C40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14" w:hRule="atLeast"/>
          <w:jc w:val="center"/>
        </w:trPr>
        <w:tc>
          <w:tcPr>
            <w:tcW w:w="567" w:type="dxa"/>
            <w:tcBorders>
              <w:tl2br w:val="nil"/>
              <w:tr2bl w:val="nil"/>
            </w:tcBorders>
            <w:vAlign w:val="center"/>
          </w:tcPr>
          <w:p w14:paraId="2B4490DE">
            <w:pPr>
              <w:adjustRightInd w:val="0"/>
              <w:snapToGrid w:val="0"/>
              <w:jc w:val="center"/>
              <w:rPr>
                <w:color w:val="auto"/>
                <w:kern w:val="0"/>
                <w:sz w:val="24"/>
                <w:highlight w:val="none"/>
              </w:rPr>
            </w:pPr>
            <w:r>
              <w:rPr>
                <w:color w:val="auto"/>
                <w:kern w:val="0"/>
                <w:sz w:val="24"/>
                <w:highlight w:val="none"/>
              </w:rPr>
              <w:t>总量</w:t>
            </w:r>
          </w:p>
          <w:p w14:paraId="16751813">
            <w:pPr>
              <w:adjustRightInd w:val="0"/>
              <w:snapToGrid w:val="0"/>
              <w:jc w:val="center"/>
              <w:rPr>
                <w:color w:val="auto"/>
                <w:kern w:val="0"/>
                <w:sz w:val="24"/>
                <w:highlight w:val="none"/>
              </w:rPr>
            </w:pPr>
            <w:r>
              <w:rPr>
                <w:color w:val="auto"/>
                <w:kern w:val="0"/>
                <w:sz w:val="24"/>
                <w:highlight w:val="none"/>
              </w:rPr>
              <w:t>控制</w:t>
            </w:r>
          </w:p>
          <w:p w14:paraId="4E7910FD">
            <w:pPr>
              <w:adjustRightInd w:val="0"/>
              <w:snapToGrid w:val="0"/>
              <w:jc w:val="center"/>
              <w:rPr>
                <w:color w:val="auto"/>
                <w:kern w:val="0"/>
                <w:sz w:val="24"/>
                <w:highlight w:val="none"/>
              </w:rPr>
            </w:pPr>
            <w:r>
              <w:rPr>
                <w:color w:val="auto"/>
                <w:kern w:val="0"/>
                <w:sz w:val="24"/>
                <w:highlight w:val="none"/>
              </w:rPr>
              <w:t>指标</w:t>
            </w:r>
          </w:p>
        </w:tc>
        <w:tc>
          <w:tcPr>
            <w:tcW w:w="8539" w:type="dxa"/>
            <w:tcBorders>
              <w:tl2br w:val="nil"/>
              <w:tr2bl w:val="nil"/>
            </w:tcBorders>
            <w:vAlign w:val="center"/>
          </w:tcPr>
          <w:p w14:paraId="3C9F04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根据《安徽省“十四五”生态环境保护规划》和《关于进一步加强建设项目新增大气主要污染物总量指标管理工作的通知》（安徽省环保厅（皖环发</w:t>
            </w:r>
            <w:r>
              <w:rPr>
                <w:rFonts w:hint="eastAsia" w:cs="Times New Roman"/>
                <w:color w:val="auto"/>
                <w:sz w:val="24"/>
                <w:szCs w:val="24"/>
                <w:lang w:eastAsia="zh-CN"/>
              </w:rPr>
              <w:t>〔2017〕19号</w:t>
            </w:r>
            <w:r>
              <w:rPr>
                <w:rFonts w:hint="default" w:ascii="Times New Roman" w:hAnsi="Times New Roman" w:eastAsia="宋体" w:cs="Times New Roman"/>
                <w:color w:val="auto"/>
                <w:sz w:val="24"/>
                <w:szCs w:val="24"/>
              </w:rPr>
              <w:t>）），对水污染物化学需氧量（COD）、氨氮（NH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-N）两项指标，大气污染物二氧化硫（SO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）、氮氧化物（NO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）、烟（粉）尘、挥发性有机物（VOC</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）四项指标实施污染物排放总量控制。</w:t>
            </w:r>
          </w:p>
          <w:p w14:paraId="27203A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安徽省排污权有偿使用和交易管理办法（试行）》，实施排污权交易的排污单位为全省列入排污许可重点和简化管理范围内有污染物许可排放量要求的排污单位，实施排污权交易的污染物种类为化学需氧量（COD）、氨氮（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-N）、二氧化硫（SO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）、氮氧化物（NO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）4类。</w:t>
            </w:r>
          </w:p>
          <w:p w14:paraId="54C1BB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项目无生产废水</w:t>
            </w:r>
            <w:r>
              <w:rPr>
                <w:rFonts w:hint="eastAsia"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lang w:val="en-US" w:eastAsia="zh-CN"/>
              </w:rPr>
              <w:t>，</w:t>
            </w:r>
            <w:r>
              <w:rPr>
                <w:rFonts w:hint="eastAsia"/>
                <w:snapToGrid/>
                <w:color w:val="auto"/>
                <w:spacing w:val="0"/>
                <w:kern w:val="0"/>
                <w:position w:val="0"/>
                <w:sz w:val="24"/>
                <w:szCs w:val="24"/>
                <w:lang w:val="en-US" w:eastAsia="zh-CN"/>
              </w:rPr>
              <w:t>项目排水实行雨、污分流，雨水排入雨水管网，生活污水经化粪池预处理后定期清掏不外排。</w:t>
            </w:r>
            <w:r>
              <w:rPr>
                <w:rFonts w:hint="default" w:ascii="Times New Roman" w:hAnsi="Times New Roman" w:cs="Times New Roman"/>
                <w:color w:val="auto"/>
                <w:sz w:val="24"/>
                <w:szCs w:val="24"/>
              </w:rPr>
              <w:t>无需</w:t>
            </w:r>
            <w:r>
              <w:rPr>
                <w:rFonts w:hint="default" w:ascii="Times New Roman" w:hAnsi="Times New Roman" w:cs="Times New Roman"/>
                <w:color w:val="auto"/>
                <w:sz w:val="24"/>
                <w:szCs w:val="24"/>
                <w:lang w:eastAsia="zh-CN"/>
              </w:rPr>
              <w:t>另行</w:t>
            </w:r>
            <w:r>
              <w:rPr>
                <w:rFonts w:hint="default" w:ascii="Times New Roman" w:hAnsi="Times New Roman" w:cs="Times New Roman"/>
                <w:color w:val="auto"/>
                <w:sz w:val="24"/>
                <w:szCs w:val="24"/>
              </w:rPr>
              <w:t>申请总量。</w:t>
            </w:r>
          </w:p>
          <w:p w14:paraId="63C226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根据主要环境影响和保护措施分析计算，本项目运营期排放的废气污染物排放量为：烟（粉）尘：</w:t>
            </w:r>
            <w:r>
              <w:rPr>
                <w:rFonts w:hint="eastAsia" w:cs="Times New Roman"/>
                <w:color w:val="auto"/>
                <w:sz w:val="24"/>
                <w:szCs w:val="24"/>
                <w:lang w:val="en-US" w:eastAsia="zh-CN"/>
              </w:rPr>
              <w:t>0.5198</w:t>
            </w:r>
            <w:r>
              <w:rPr>
                <w:rFonts w:hint="default" w:ascii="Times New Roman" w:hAnsi="Times New Roman" w:eastAsia="宋体" w:cs="Times New Roman"/>
                <w:color w:val="auto"/>
                <w:sz w:val="24"/>
                <w:szCs w:val="24"/>
              </w:rPr>
              <w:t>t/a。</w:t>
            </w:r>
          </w:p>
          <w:p w14:paraId="1915AF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color w:val="auto"/>
                <w:sz w:val="24"/>
              </w:rPr>
              <w:t>项目已于202</w:t>
            </w:r>
            <w:r>
              <w:rPr>
                <w:rFonts w:hint="eastAsia"/>
                <w:color w:val="auto"/>
                <w:sz w:val="24"/>
                <w:lang w:val="en-US" w:eastAsia="zh-CN"/>
              </w:rPr>
              <w:t>6</w:t>
            </w:r>
            <w:r>
              <w:rPr>
                <w:color w:val="auto"/>
                <w:sz w:val="24"/>
              </w:rPr>
              <w:t>年</w:t>
            </w:r>
            <w:r>
              <w:rPr>
                <w:rFonts w:hint="eastAsia"/>
                <w:color w:val="auto"/>
                <w:sz w:val="24"/>
                <w:lang w:val="en-US" w:eastAsia="zh-CN"/>
              </w:rPr>
              <w:t>6</w:t>
            </w:r>
            <w:r>
              <w:rPr>
                <w:color w:val="auto"/>
                <w:sz w:val="24"/>
              </w:rPr>
              <w:t>月</w:t>
            </w:r>
            <w:r>
              <w:rPr>
                <w:rFonts w:hint="eastAsia"/>
                <w:color w:val="auto"/>
                <w:sz w:val="24"/>
                <w:lang w:val="en-US" w:eastAsia="zh-CN"/>
              </w:rPr>
              <w:t>17</w:t>
            </w:r>
            <w:r>
              <w:rPr>
                <w:color w:val="auto"/>
                <w:sz w:val="24"/>
              </w:rPr>
              <w:t>日取得《建设项目主要污染物排放总量指标核定表（试行）》（详见附件</w:t>
            </w:r>
            <w:r>
              <w:rPr>
                <w:rFonts w:hint="eastAsia"/>
                <w:color w:val="auto"/>
                <w:sz w:val="24"/>
                <w:lang w:val="en-US" w:eastAsia="zh-CN"/>
              </w:rPr>
              <w:t>5</w:t>
            </w:r>
            <w:r>
              <w:rPr>
                <w:color w:val="auto"/>
                <w:sz w:val="24"/>
              </w:rPr>
              <w:t>），其中主要污染物排放总量控制目标为：</w:t>
            </w:r>
            <w:r>
              <w:rPr>
                <w:rFonts w:hint="default" w:ascii="Times New Roman" w:hAnsi="Times New Roman" w:eastAsia="宋体" w:cs="Times New Roman"/>
                <w:color w:val="auto"/>
                <w:sz w:val="24"/>
                <w:szCs w:val="24"/>
              </w:rPr>
              <w:t>烟（粉）尘：</w:t>
            </w:r>
            <w:r>
              <w:rPr>
                <w:rFonts w:hint="eastAsia" w:cs="Times New Roman"/>
                <w:color w:val="auto"/>
                <w:sz w:val="24"/>
                <w:szCs w:val="24"/>
                <w:lang w:val="en-US" w:eastAsia="zh-CN"/>
              </w:rPr>
              <w:t>0.5198</w:t>
            </w:r>
            <w:r>
              <w:rPr>
                <w:rFonts w:hint="default" w:ascii="Times New Roman" w:hAnsi="Times New Roman" w:eastAsia="宋体" w:cs="Times New Roman"/>
                <w:color w:val="auto"/>
                <w:sz w:val="24"/>
                <w:szCs w:val="24"/>
              </w:rPr>
              <w:t>t/a。</w:t>
            </w:r>
          </w:p>
          <w:p w14:paraId="20B68FBC">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113" w:firstLine="480" w:firstLineChars="200"/>
              <w:textAlignment w:val="auto"/>
              <w:rPr>
                <w:color w:val="auto"/>
                <w:highlight w:val="none"/>
              </w:rPr>
            </w:pPr>
            <w:r>
              <w:rPr>
                <w:rFonts w:hint="eastAsia"/>
                <w:color w:val="auto"/>
                <w:sz w:val="24"/>
                <w:lang w:val="en-US" w:eastAsia="zh-CN"/>
              </w:rPr>
              <w:t>因此，本项目污染物排放符合总量控制指标。</w:t>
            </w:r>
          </w:p>
        </w:tc>
      </w:tr>
    </w:tbl>
    <w:p w14:paraId="1635FA53">
      <w:pPr>
        <w:pStyle w:val="26"/>
        <w:snapToGrid w:val="0"/>
        <w:spacing w:before="0" w:beforeAutospacing="0" w:after="0" w:afterAutospacing="0" w:line="360" w:lineRule="auto"/>
        <w:jc w:val="center"/>
        <w:outlineLvl w:val="0"/>
        <w:rPr>
          <w:rFonts w:ascii="Times New Roman" w:hAnsi="Times New Roman"/>
          <w:b/>
          <w:bCs/>
          <w:color w:val="auto"/>
          <w:sz w:val="30"/>
          <w:szCs w:val="30"/>
        </w:rPr>
      </w:pPr>
      <w:r>
        <w:rPr>
          <w:rFonts w:ascii="Times New Roman" w:hAnsi="Times New Roman"/>
          <w:color w:val="auto"/>
          <w:sz w:val="36"/>
          <w:szCs w:val="36"/>
        </w:rPr>
        <w:br w:type="page"/>
      </w:r>
      <w:r>
        <w:rPr>
          <w:rFonts w:ascii="Times New Roman" w:hAnsi="Times New Roman"/>
          <w:b/>
          <w:bCs/>
          <w:color w:val="auto"/>
          <w:sz w:val="30"/>
          <w:szCs w:val="30"/>
        </w:rPr>
        <w:t>四、主要环境影响和保护措施</w:t>
      </w:r>
    </w:p>
    <w:tbl>
      <w:tblPr>
        <w:tblStyle w:val="29"/>
        <w:tblW w:w="89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4"/>
        <w:gridCol w:w="8437"/>
      </w:tblGrid>
      <w:tr w14:paraId="7DAD5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47" w:hRule="atLeast"/>
          <w:jc w:val="center"/>
        </w:trPr>
        <w:tc>
          <w:tcPr>
            <w:tcW w:w="554" w:type="dxa"/>
            <w:tcBorders>
              <w:tl2br w:val="nil"/>
              <w:tr2bl w:val="nil"/>
            </w:tcBorders>
            <w:tcMar>
              <w:left w:w="28" w:type="dxa"/>
              <w:right w:w="28" w:type="dxa"/>
            </w:tcMar>
            <w:vAlign w:val="center"/>
          </w:tcPr>
          <w:p w14:paraId="0779F7A0">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施</w:t>
            </w:r>
          </w:p>
          <w:p w14:paraId="28278A3E">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w:t>
            </w:r>
          </w:p>
          <w:p w14:paraId="3CB2C1DE">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期</w:t>
            </w:r>
          </w:p>
          <w:p w14:paraId="206E6625">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环</w:t>
            </w:r>
          </w:p>
          <w:p w14:paraId="35E19F85">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境</w:t>
            </w:r>
          </w:p>
          <w:p w14:paraId="2A9B7CFD">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保</w:t>
            </w:r>
          </w:p>
          <w:p w14:paraId="4BD2A036">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护</w:t>
            </w:r>
          </w:p>
          <w:p w14:paraId="3EC0B117">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措</w:t>
            </w:r>
          </w:p>
          <w:p w14:paraId="34F23513">
            <w:pPr>
              <w:pStyle w:val="26"/>
              <w:adjustRightInd w:val="0"/>
              <w:snapToGrid w:val="0"/>
              <w:spacing w:before="0" w:beforeAutospacing="0" w:after="0" w:afterAutospacing="0"/>
              <w:jc w:val="center"/>
              <w:rPr>
                <w:rFonts w:ascii="Times New Roman" w:hAnsi="Times New Roman"/>
                <w:bCs/>
                <w:color w:val="auto"/>
                <w:sz w:val="21"/>
                <w:szCs w:val="21"/>
              </w:rPr>
            </w:pPr>
            <w:r>
              <w:rPr>
                <w:rFonts w:ascii="Times New Roman" w:hAnsi="Times New Roman"/>
                <w:color w:val="auto"/>
                <w:szCs w:val="24"/>
              </w:rPr>
              <w:t>施</w:t>
            </w:r>
          </w:p>
        </w:tc>
        <w:tc>
          <w:tcPr>
            <w:tcW w:w="8437" w:type="dxa"/>
            <w:tcBorders>
              <w:tl2br w:val="nil"/>
              <w:tr2bl w:val="nil"/>
            </w:tcBorders>
            <w:vAlign w:val="center"/>
          </w:tcPr>
          <w:p w14:paraId="7EC4B96A">
            <w:pPr>
              <w:keepNext w:val="0"/>
              <w:keepLines w:val="0"/>
              <w:pageBreakBefore w:val="0"/>
              <w:widowControl/>
              <w:kinsoku/>
              <w:wordWrap/>
              <w:overflowPunct/>
              <w:topLinePunct w:val="0"/>
              <w:autoSpaceDE/>
              <w:autoSpaceDN/>
              <w:bidi w:val="0"/>
              <w:adjustRightInd/>
              <w:snapToGrid w:val="0"/>
              <w:spacing w:before="157" w:beforeLines="5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color w:val="auto"/>
                <w:sz w:val="24"/>
              </w:rPr>
              <w:t>本项目厂房系租赁，主体工程已结束</w:t>
            </w:r>
            <w:r>
              <w:rPr>
                <w:rFonts w:hint="eastAsia"/>
                <w:color w:val="auto"/>
                <w:sz w:val="24"/>
                <w:lang w:eastAsia="zh-CN"/>
              </w:rPr>
              <w:t>，</w:t>
            </w:r>
            <w:r>
              <w:rPr>
                <w:rFonts w:hint="default" w:ascii="Times New Roman" w:hAnsi="Times New Roman" w:eastAsia="宋体" w:cs="Times New Roman"/>
                <w:color w:val="auto"/>
                <w:sz w:val="24"/>
                <w:szCs w:val="24"/>
                <w:lang w:val="en-US" w:eastAsia="zh-CN"/>
              </w:rPr>
              <w:t>项目施工期不涉及土建施工，仅进行简单的设备安装及各功能区布局，具体施工环境保护措施分析如下：</w:t>
            </w:r>
          </w:p>
          <w:p w14:paraId="0BCFCF8C">
            <w:pPr>
              <w:pStyle w:val="1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1、废气防治措施</w:t>
            </w:r>
          </w:p>
          <w:p w14:paraId="3FAED978">
            <w:pPr>
              <w:pStyle w:val="1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本项目不涉及土建工程，故施工过程中无施工扬尘，仅在施工过程中，施工机械会因为燃料的燃烧而产生一定的施工机械废气。一般施工机械燃料多为柴油，产生的废气中含有CO、NO、SO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等。该部分废气产生量极少，且产生时间有限。通过设备选型，控制燃料类型，选用清洁能源等方面，可有效减少施工机械废气产生。</w:t>
            </w:r>
          </w:p>
          <w:p w14:paraId="3C4AF1A8">
            <w:pPr>
              <w:pStyle w:val="1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2、废水防治措施</w:t>
            </w:r>
          </w:p>
          <w:p w14:paraId="0F768BD3">
            <w:pPr>
              <w:pStyle w:val="1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因涉及设备安装，故在施工期间，会产生施工人员生活污水。本项目施工期间，施工人数最多</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人，根据《建筑施工计算手册》中施工现场生活用水定额为20~60L/人·d，本项目取生活用水定额为40L/人·d，故施工期间生活用水量为0.</w:t>
            </w:r>
            <w:r>
              <w:rPr>
                <w:rFonts w:hint="eastAsia"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/d，根据《给排水设计手册》，生活污水产生量按用水量的80%计，故施工过程中生活污水产生量为</w:t>
            </w:r>
            <w:r>
              <w:rPr>
                <w:rFonts w:hint="eastAsia" w:ascii="Times New Roman" w:hAnsi="Times New Roman" w:eastAsia="宋体" w:cs="Times New Roman"/>
                <w:color w:val="auto"/>
                <w:sz w:val="24"/>
                <w:szCs w:val="24"/>
                <w:highlight w:val="none"/>
                <w:lang w:val="en-US" w:eastAsia="zh-CN"/>
              </w:rPr>
              <w:t>0.256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/d，经化粪池处理后</w:t>
            </w:r>
            <w:r>
              <w:rPr>
                <w:rFonts w:hint="eastAsia" w:ascii="Times New Roman" w:hAnsi="Times New Roman" w:eastAsia="宋体" w:cs="Times New Roman"/>
                <w:color w:val="auto"/>
                <w:sz w:val="24"/>
                <w:szCs w:val="24"/>
                <w:highlight w:val="none"/>
                <w:lang w:val="en-US" w:eastAsia="zh-CN"/>
              </w:rPr>
              <w:t>进入市政管网</w:t>
            </w:r>
            <w:r>
              <w:rPr>
                <w:rFonts w:hint="default" w:ascii="Times New Roman" w:hAnsi="Times New Roman" w:eastAsia="宋体" w:cs="Times New Roman"/>
                <w:color w:val="auto"/>
                <w:sz w:val="24"/>
                <w:szCs w:val="24"/>
                <w:highlight w:val="none"/>
                <w:lang w:val="en-US" w:eastAsia="zh-CN"/>
              </w:rPr>
              <w:t>。</w:t>
            </w:r>
          </w:p>
          <w:p w14:paraId="4F131627">
            <w:pPr>
              <w:pStyle w:val="1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3、噪声防治措施</w:t>
            </w:r>
          </w:p>
          <w:p w14:paraId="6FDDCB96">
            <w:pPr>
              <w:pStyle w:val="1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本项目施工期不涉及基建项目，仅为简单的设备安装，故施工过程中的噪声为点焊接、吊车等，设备噪声源强较小，施工期场界噪声对周边影响较小。</w:t>
            </w:r>
          </w:p>
          <w:p w14:paraId="793595CB">
            <w:pPr>
              <w:pStyle w:val="1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4、固体废物防治措施</w:t>
            </w:r>
          </w:p>
          <w:p w14:paraId="5CCE02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default" w:ascii="Times New Roman" w:hAnsi="Times New Roman" w:eastAsia="宋体" w:cs="Times New Roman"/>
                <w:color w:val="auto"/>
                <w:sz w:val="24"/>
                <w:szCs w:val="24"/>
                <w:lang w:val="en-US" w:eastAsia="zh-CN"/>
              </w:rPr>
              <w:t>施工期产生的固体废物主要是废弃的装修材料、设备安装边角料、材料包装箱、袋和生活垃圾等，上述垃圾由环卫统一清运处置，无随意倾倒现象，故不会对周围环境造成影响。</w:t>
            </w:r>
          </w:p>
          <w:p w14:paraId="3F14F760">
            <w:pPr>
              <w:adjustRightInd w:val="0"/>
              <w:snapToGrid w:val="0"/>
              <w:spacing w:line="360" w:lineRule="auto"/>
              <w:ind w:firstLine="420" w:firstLineChars="200"/>
              <w:jc w:val="left"/>
              <w:rPr>
                <w:bCs/>
                <w:color w:val="auto"/>
                <w:kern w:val="0"/>
                <w:szCs w:val="21"/>
              </w:rPr>
            </w:pPr>
          </w:p>
        </w:tc>
      </w:tr>
      <w:tr w14:paraId="15A35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11" w:hRule="atLeast"/>
          <w:jc w:val="center"/>
        </w:trPr>
        <w:tc>
          <w:tcPr>
            <w:tcW w:w="554" w:type="dxa"/>
            <w:tcBorders>
              <w:tl2br w:val="nil"/>
              <w:tr2bl w:val="nil"/>
            </w:tcBorders>
            <w:tcMar>
              <w:left w:w="28" w:type="dxa"/>
              <w:right w:w="28" w:type="dxa"/>
            </w:tcMar>
            <w:vAlign w:val="center"/>
          </w:tcPr>
          <w:p w14:paraId="75697A64">
            <w:pPr>
              <w:adjustRightInd w:val="0"/>
              <w:snapToGrid w:val="0"/>
              <w:jc w:val="center"/>
              <w:rPr>
                <w:color w:val="auto"/>
                <w:kern w:val="0"/>
                <w:sz w:val="24"/>
              </w:rPr>
            </w:pPr>
            <w:r>
              <w:rPr>
                <w:color w:val="auto"/>
                <w:kern w:val="0"/>
                <w:sz w:val="24"/>
              </w:rPr>
              <w:t>运</w:t>
            </w:r>
          </w:p>
          <w:p w14:paraId="264B2A0C">
            <w:pPr>
              <w:adjustRightInd w:val="0"/>
              <w:snapToGrid w:val="0"/>
              <w:jc w:val="center"/>
              <w:rPr>
                <w:color w:val="auto"/>
                <w:kern w:val="0"/>
                <w:sz w:val="24"/>
              </w:rPr>
            </w:pPr>
            <w:r>
              <w:rPr>
                <w:color w:val="auto"/>
                <w:kern w:val="0"/>
                <w:sz w:val="24"/>
              </w:rPr>
              <w:t>营</w:t>
            </w:r>
          </w:p>
          <w:p w14:paraId="77915AFF">
            <w:pPr>
              <w:adjustRightInd w:val="0"/>
              <w:snapToGrid w:val="0"/>
              <w:jc w:val="center"/>
              <w:rPr>
                <w:color w:val="auto"/>
                <w:kern w:val="0"/>
                <w:sz w:val="24"/>
              </w:rPr>
            </w:pPr>
            <w:r>
              <w:rPr>
                <w:color w:val="auto"/>
                <w:kern w:val="0"/>
                <w:sz w:val="24"/>
              </w:rPr>
              <w:t>期</w:t>
            </w:r>
          </w:p>
          <w:p w14:paraId="25048237">
            <w:pPr>
              <w:adjustRightInd w:val="0"/>
              <w:snapToGrid w:val="0"/>
              <w:jc w:val="center"/>
              <w:rPr>
                <w:color w:val="auto"/>
                <w:kern w:val="0"/>
                <w:sz w:val="24"/>
              </w:rPr>
            </w:pPr>
            <w:r>
              <w:rPr>
                <w:color w:val="auto"/>
                <w:kern w:val="0"/>
                <w:sz w:val="24"/>
              </w:rPr>
              <w:t>环</w:t>
            </w:r>
          </w:p>
          <w:p w14:paraId="5F75FBF3">
            <w:pPr>
              <w:adjustRightInd w:val="0"/>
              <w:snapToGrid w:val="0"/>
              <w:jc w:val="center"/>
              <w:rPr>
                <w:color w:val="auto"/>
                <w:kern w:val="0"/>
                <w:sz w:val="24"/>
              </w:rPr>
            </w:pPr>
            <w:r>
              <w:rPr>
                <w:color w:val="auto"/>
                <w:kern w:val="0"/>
                <w:sz w:val="24"/>
              </w:rPr>
              <w:t>境</w:t>
            </w:r>
          </w:p>
          <w:p w14:paraId="2F38E2F4">
            <w:pPr>
              <w:adjustRightInd w:val="0"/>
              <w:snapToGrid w:val="0"/>
              <w:jc w:val="center"/>
              <w:rPr>
                <w:color w:val="auto"/>
                <w:kern w:val="0"/>
                <w:sz w:val="24"/>
              </w:rPr>
            </w:pPr>
            <w:r>
              <w:rPr>
                <w:color w:val="auto"/>
                <w:kern w:val="0"/>
                <w:sz w:val="24"/>
              </w:rPr>
              <w:t>影</w:t>
            </w:r>
          </w:p>
          <w:p w14:paraId="69F87E23">
            <w:pPr>
              <w:adjustRightInd w:val="0"/>
              <w:snapToGrid w:val="0"/>
              <w:jc w:val="center"/>
              <w:rPr>
                <w:rFonts w:hint="eastAsia" w:eastAsia="宋体"/>
                <w:color w:val="auto"/>
                <w:kern w:val="0"/>
                <w:sz w:val="24"/>
                <w:lang w:val="en-US" w:eastAsia="zh-CN"/>
              </w:rPr>
            </w:pPr>
            <w:r>
              <w:rPr>
                <w:rFonts w:hint="eastAsia"/>
                <w:color w:val="auto"/>
                <w:kern w:val="0"/>
                <w:sz w:val="24"/>
                <w:lang w:val="en-US" w:eastAsia="zh-CN"/>
              </w:rPr>
              <w:t>响</w:t>
            </w:r>
          </w:p>
          <w:p w14:paraId="4C0FD85B">
            <w:pPr>
              <w:adjustRightInd w:val="0"/>
              <w:snapToGrid w:val="0"/>
              <w:jc w:val="center"/>
              <w:rPr>
                <w:color w:val="auto"/>
                <w:kern w:val="0"/>
                <w:sz w:val="24"/>
              </w:rPr>
            </w:pPr>
            <w:r>
              <w:rPr>
                <w:color w:val="auto"/>
                <w:kern w:val="0"/>
                <w:sz w:val="24"/>
              </w:rPr>
              <w:t>和</w:t>
            </w:r>
          </w:p>
          <w:p w14:paraId="4296BB62">
            <w:pPr>
              <w:adjustRightInd w:val="0"/>
              <w:snapToGrid w:val="0"/>
              <w:jc w:val="center"/>
              <w:rPr>
                <w:color w:val="auto"/>
                <w:kern w:val="0"/>
                <w:sz w:val="24"/>
              </w:rPr>
            </w:pPr>
            <w:r>
              <w:rPr>
                <w:color w:val="auto"/>
                <w:kern w:val="0"/>
                <w:sz w:val="24"/>
              </w:rPr>
              <w:t>保</w:t>
            </w:r>
          </w:p>
          <w:p w14:paraId="55521594">
            <w:pPr>
              <w:adjustRightInd w:val="0"/>
              <w:snapToGrid w:val="0"/>
              <w:jc w:val="center"/>
              <w:rPr>
                <w:color w:val="auto"/>
                <w:kern w:val="0"/>
                <w:sz w:val="24"/>
              </w:rPr>
            </w:pPr>
            <w:r>
              <w:rPr>
                <w:color w:val="auto"/>
                <w:kern w:val="0"/>
                <w:sz w:val="24"/>
              </w:rPr>
              <w:t>护</w:t>
            </w:r>
          </w:p>
          <w:p w14:paraId="0F6ADA95">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措</w:t>
            </w:r>
          </w:p>
          <w:p w14:paraId="1E949D77">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施</w:t>
            </w:r>
          </w:p>
        </w:tc>
        <w:tc>
          <w:tcPr>
            <w:tcW w:w="8437" w:type="dxa"/>
            <w:tcBorders>
              <w:tl2br w:val="nil"/>
              <w:tr2bl w:val="nil"/>
            </w:tcBorders>
          </w:tcPr>
          <w:p w14:paraId="52D64060">
            <w:pPr>
              <w:adjustRightInd w:val="0"/>
              <w:snapToGrid w:val="0"/>
              <w:spacing w:before="93" w:beforeLines="30" w:line="360" w:lineRule="auto"/>
              <w:jc w:val="left"/>
              <w:rPr>
                <w:b/>
                <w:bCs/>
                <w:color w:val="auto"/>
                <w:sz w:val="24"/>
              </w:rPr>
            </w:pPr>
            <w:r>
              <w:rPr>
                <w:rFonts w:hint="eastAsia"/>
                <w:b/>
                <w:bCs/>
                <w:color w:val="auto"/>
                <w:sz w:val="24"/>
              </w:rPr>
              <w:t>1、废气</w:t>
            </w:r>
          </w:p>
          <w:p w14:paraId="667CCA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u w:val="none" w:color="auto"/>
              </w:rPr>
            </w:pPr>
            <w:r>
              <w:rPr>
                <w:rFonts w:hint="default" w:ascii="Times New Roman" w:hAnsi="Times New Roman" w:eastAsia="宋体" w:cs="Times New Roman"/>
                <w:b w:val="0"/>
                <w:bCs/>
                <w:color w:val="auto"/>
                <w:sz w:val="24"/>
                <w:u w:val="none" w:color="auto"/>
              </w:rPr>
              <w:t>①</w:t>
            </w:r>
            <w:r>
              <w:rPr>
                <w:rFonts w:hint="eastAsia"/>
                <w:color w:val="auto"/>
                <w:sz w:val="24"/>
                <w:lang w:val="en-US" w:eastAsia="zh-CN"/>
              </w:rPr>
              <w:t>水泥筒仓呼吸废气</w:t>
            </w:r>
          </w:p>
          <w:p w14:paraId="3BF72B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水泥仓水泥储存量1000t/a，</w:t>
            </w:r>
            <w:r>
              <w:rPr>
                <w:rFonts w:hint="eastAsia" w:ascii="Times New Roman" w:hAnsi="Times New Roman" w:eastAsia="宋体" w:cs="Times New Roman"/>
                <w:color w:val="auto"/>
                <w:sz w:val="24"/>
                <w:szCs w:val="24"/>
                <w:lang w:val="en-US" w:eastAsia="zh-CN"/>
              </w:rPr>
              <w:t>参考《排放源统计调查产排污核算方法和系数手册》302水泥制品制造行业系数手册中3021水泥制品制造（含3022砼结构构件、3029其他水泥类似制品制造）行业系数表中物料输送储存</w:t>
            </w:r>
            <w:r>
              <w:rPr>
                <w:rFonts w:hint="eastAsia" w:ascii="Times New Roman" w:hAnsi="Times New Roman" w:cs="Times New Roman"/>
                <w:color w:val="auto"/>
                <w:sz w:val="24"/>
                <w:szCs w:val="24"/>
                <w:lang w:val="en-US" w:eastAsia="zh-CN"/>
              </w:rPr>
              <w:t>颗粒物产生系数为</w:t>
            </w:r>
            <w:r>
              <w:rPr>
                <w:rFonts w:hint="eastAsia" w:ascii="Times New Roman" w:hAnsi="Times New Roman" w:eastAsia="宋体" w:cs="Times New Roman"/>
                <w:color w:val="auto"/>
                <w:sz w:val="24"/>
                <w:szCs w:val="24"/>
                <w:lang w:val="en-US" w:eastAsia="zh-CN"/>
              </w:rPr>
              <w:t>0.19kg/t-产品。则</w:t>
            </w:r>
            <w:r>
              <w:rPr>
                <w:rFonts w:hint="eastAsia"/>
                <w:color w:val="auto"/>
                <w:sz w:val="24"/>
                <w:lang w:val="en-US" w:eastAsia="zh-CN"/>
              </w:rPr>
              <w:t>水泥筒仓呼吸废气产生量为0.19t/a。</w:t>
            </w:r>
          </w:p>
          <w:p w14:paraId="28C9BF23">
            <w:pPr>
              <w:adjustRightInd w:val="0"/>
              <w:snapToGrid w:val="0"/>
              <w:spacing w:line="348"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项目设置</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个</w:t>
            </w:r>
            <w:r>
              <w:rPr>
                <w:rFonts w:hint="eastAsia"/>
                <w:color w:val="000000" w:themeColor="text1"/>
                <w:sz w:val="24"/>
                <w:szCs w:val="24"/>
                <w:lang w:val="en-US" w:eastAsia="zh-CN"/>
                <w14:textFill>
                  <w14:solidFill>
                    <w14:schemeClr w14:val="tx1"/>
                  </w14:solidFill>
                </w14:textFill>
              </w:rPr>
              <w:t>60</w:t>
            </w:r>
            <w:r>
              <w:rPr>
                <w:rFonts w:hint="eastAsia"/>
                <w:color w:val="000000" w:themeColor="text1"/>
                <w:sz w:val="24"/>
                <w:szCs w:val="24"/>
                <w14:textFill>
                  <w14:solidFill>
                    <w14:schemeClr w14:val="tx1"/>
                  </w14:solidFill>
                </w14:textFill>
              </w:rPr>
              <w:t>t水泥仓</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水泥通过槽罐车运输进厂，由槽罐车自带的空压机打入</w:t>
            </w:r>
            <w:r>
              <w:rPr>
                <w:rFonts w:hint="eastAsia"/>
                <w:color w:val="000000" w:themeColor="text1"/>
                <w:sz w:val="24"/>
                <w:szCs w:val="24"/>
                <w:lang w:eastAsia="zh-CN"/>
                <w14:textFill>
                  <w14:solidFill>
                    <w14:schemeClr w14:val="tx1"/>
                  </w14:solidFill>
                </w14:textFill>
              </w:rPr>
              <w:t>粉仓</w:t>
            </w:r>
            <w:r>
              <w:rPr>
                <w:rFonts w:hint="eastAsia"/>
                <w:color w:val="000000" w:themeColor="text1"/>
                <w:sz w:val="24"/>
                <w:szCs w:val="24"/>
                <w14:textFill>
                  <w14:solidFill>
                    <w14:schemeClr w14:val="tx1"/>
                  </w14:solidFill>
                </w14:textFill>
              </w:rPr>
              <w:t>，此时产生的含尘废气由</w:t>
            </w:r>
            <w:r>
              <w:rPr>
                <w:rFonts w:hint="eastAsia"/>
                <w:color w:val="auto"/>
                <w:sz w:val="24"/>
                <w:lang w:val="en-US" w:eastAsia="zh-CN"/>
              </w:rPr>
              <w:t>水泥筒仓</w:t>
            </w:r>
            <w:r>
              <w:rPr>
                <w:rFonts w:hint="eastAsia"/>
                <w:color w:val="000000" w:themeColor="text1"/>
                <w:sz w:val="24"/>
                <w:szCs w:val="24"/>
                <w14:textFill>
                  <w14:solidFill>
                    <w14:schemeClr w14:val="tx1"/>
                  </w14:solidFill>
                </w14:textFill>
              </w:rPr>
              <w:t>自带</w:t>
            </w:r>
            <w:r>
              <w:rPr>
                <w:rFonts w:hint="eastAsia"/>
                <w:color w:val="000000" w:themeColor="text1"/>
                <w:sz w:val="24"/>
                <w:szCs w:val="24"/>
                <w:lang w:val="en-US" w:eastAsia="zh-CN"/>
                <w14:textFill>
                  <w14:solidFill>
                    <w14:schemeClr w14:val="tx1"/>
                  </w14:solidFill>
                </w14:textFill>
              </w:rPr>
              <w:t>脉冲式</w:t>
            </w:r>
            <w:r>
              <w:rPr>
                <w:rFonts w:hint="eastAsia"/>
                <w:color w:val="000000" w:themeColor="text1"/>
                <w:sz w:val="24"/>
                <w:szCs w:val="24"/>
                <w14:textFill>
                  <w14:solidFill>
                    <w14:schemeClr w14:val="tx1"/>
                  </w14:solidFill>
                </w14:textFill>
              </w:rPr>
              <w:t>除尘器净化处理后</w:t>
            </w:r>
            <w:r>
              <w:rPr>
                <w:rFonts w:hint="eastAsia"/>
                <w:color w:val="000000" w:themeColor="text1"/>
                <w:sz w:val="24"/>
                <w:szCs w:val="24"/>
                <w:lang w:eastAsia="zh-CN"/>
                <w14:textFill>
                  <w14:solidFill>
                    <w14:schemeClr w14:val="tx1"/>
                  </w14:solidFill>
                </w14:textFill>
              </w:rPr>
              <w:t>由仓顶（</w:t>
            </w:r>
            <w:r>
              <w:rPr>
                <w:rFonts w:hint="eastAsia"/>
                <w:color w:val="000000" w:themeColor="text1"/>
                <w:sz w:val="24"/>
                <w:szCs w:val="24"/>
                <w:lang w:val="en-US" w:eastAsia="zh-CN"/>
                <w14:textFill>
                  <w14:solidFill>
                    <w14:schemeClr w14:val="tx1"/>
                  </w14:solidFill>
                </w14:textFill>
              </w:rPr>
              <w:t>DA001</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排放</w:t>
            </w:r>
            <w:r>
              <w:rPr>
                <w:rFonts w:hint="eastAsia"/>
                <w:color w:val="000000" w:themeColor="text1"/>
                <w:sz w:val="24"/>
                <w:szCs w:val="24"/>
                <w14:textFill>
                  <w14:solidFill>
                    <w14:schemeClr w14:val="tx1"/>
                  </w14:solidFill>
                </w14:textFill>
              </w:rPr>
              <w:t>，回收的</w:t>
            </w:r>
            <w:r>
              <w:rPr>
                <w:rFonts w:hint="eastAsia"/>
                <w:color w:val="000000" w:themeColor="text1"/>
                <w:sz w:val="24"/>
                <w:szCs w:val="24"/>
                <w:lang w:eastAsia="zh-CN"/>
                <w14:textFill>
                  <w14:solidFill>
                    <w14:schemeClr w14:val="tx1"/>
                  </w14:solidFill>
                </w14:textFill>
              </w:rPr>
              <w:t>颗粒物</w:t>
            </w:r>
            <w:r>
              <w:rPr>
                <w:rFonts w:hint="eastAsia"/>
                <w:color w:val="000000" w:themeColor="text1"/>
                <w:sz w:val="24"/>
                <w:szCs w:val="24"/>
                <w14:textFill>
                  <w14:solidFill>
                    <w14:schemeClr w14:val="tx1"/>
                  </w14:solidFill>
                </w14:textFill>
              </w:rPr>
              <w:t>返回至仓内。项目年用水泥量为</w:t>
            </w:r>
            <w:r>
              <w:rPr>
                <w:rFonts w:hint="eastAsia"/>
                <w:color w:val="000000" w:themeColor="text1"/>
                <w:sz w:val="24"/>
                <w:szCs w:val="24"/>
                <w:lang w:val="en-US" w:eastAsia="zh-CN"/>
                <w14:textFill>
                  <w14:solidFill>
                    <w14:schemeClr w14:val="tx1"/>
                  </w14:solidFill>
                </w14:textFill>
              </w:rPr>
              <w:t>1000</w:t>
            </w:r>
            <w:r>
              <w:rPr>
                <w:rFonts w:hint="eastAsia"/>
                <w:color w:val="000000" w:themeColor="text1"/>
                <w:sz w:val="24"/>
                <w:szCs w:val="24"/>
                <w14:textFill>
                  <w14:solidFill>
                    <w14:schemeClr w14:val="tx1"/>
                  </w14:solidFill>
                </w14:textFill>
              </w:rPr>
              <w:t>吨</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进料</w:t>
            </w:r>
            <w:r>
              <w:rPr>
                <w:rFonts w:hint="eastAsia"/>
                <w:color w:val="000000" w:themeColor="text1"/>
                <w:sz w:val="24"/>
                <w:szCs w:val="24"/>
                <w14:textFill>
                  <w14:solidFill>
                    <w14:schemeClr w14:val="tx1"/>
                  </w14:solidFill>
                </w14:textFill>
              </w:rPr>
              <w:t>时间</w:t>
            </w:r>
            <w:r>
              <w:rPr>
                <w:rFonts w:hint="eastAsia"/>
                <w:color w:val="000000" w:themeColor="text1"/>
                <w:sz w:val="24"/>
                <w:szCs w:val="24"/>
                <w:lang w:val="en-US" w:eastAsia="zh-CN"/>
                <w14:textFill>
                  <w14:solidFill>
                    <w14:schemeClr w14:val="tx1"/>
                  </w14:solidFill>
                </w14:textFill>
              </w:rPr>
              <w:t>取50h/a</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脉冲式</w:t>
            </w:r>
            <w:r>
              <w:rPr>
                <w:rFonts w:hint="eastAsia"/>
                <w:color w:val="000000" w:themeColor="text1"/>
                <w:sz w:val="24"/>
                <w:szCs w:val="24"/>
                <w14:textFill>
                  <w14:solidFill>
                    <w14:schemeClr w14:val="tx1"/>
                  </w14:solidFill>
                </w14:textFill>
              </w:rPr>
              <w:t>除尘器处理效率取99%</w:t>
            </w:r>
            <w:r>
              <w:rPr>
                <w:rFonts w:hint="eastAsia"/>
                <w:color w:val="000000" w:themeColor="text1"/>
                <w:sz w:val="24"/>
                <w:szCs w:val="24"/>
                <w:lang w:eastAsia="zh-CN"/>
                <w14:textFill>
                  <w14:solidFill>
                    <w14:schemeClr w14:val="tx1"/>
                  </w14:solidFill>
                </w14:textFill>
              </w:rPr>
              <w:t>。</w:t>
            </w:r>
            <w:r>
              <w:rPr>
                <w:rFonts w:hint="eastAsia"/>
                <w:color w:val="auto"/>
                <w:sz w:val="24"/>
                <w:lang w:val="en-US" w:eastAsia="zh-CN"/>
              </w:rPr>
              <w:t>水泥筒仓呼吸废气有组织</w:t>
            </w:r>
            <w:r>
              <w:rPr>
                <w:rFonts w:hint="eastAsia"/>
                <w:color w:val="000000" w:themeColor="text1"/>
                <w:sz w:val="24"/>
                <w:szCs w:val="24"/>
                <w:lang w:val="en-US" w:eastAsia="zh-CN"/>
                <w14:textFill>
                  <w14:solidFill>
                    <w14:schemeClr w14:val="tx1"/>
                  </w14:solidFill>
                </w14:textFill>
              </w:rPr>
              <w:t>产生量为0.19</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产生速率为3.8</w:t>
            </w:r>
            <w:r>
              <w:rPr>
                <w:color w:val="000000" w:themeColor="text1"/>
                <w:sz w:val="24"/>
                <w:szCs w:val="24"/>
                <w14:textFill>
                  <w14:solidFill>
                    <w14:schemeClr w14:val="tx1"/>
                  </w14:solidFill>
                </w14:textFill>
              </w:rPr>
              <w:t>kg/h</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经脉冲式除尘器处理后排放量为0.0019</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排放速率为0.038</w:t>
            </w:r>
            <w:r>
              <w:rPr>
                <w:color w:val="000000" w:themeColor="text1"/>
                <w:sz w:val="24"/>
                <w:szCs w:val="24"/>
                <w14:textFill>
                  <w14:solidFill>
                    <w14:schemeClr w14:val="tx1"/>
                  </w14:solidFill>
                </w14:textFill>
              </w:rPr>
              <w:t>kg/h</w:t>
            </w:r>
            <w:r>
              <w:rPr>
                <w:rFonts w:hint="eastAsia"/>
                <w:color w:val="000000" w:themeColor="text1"/>
                <w:sz w:val="24"/>
                <w:szCs w:val="24"/>
                <w:lang w:eastAsia="zh-CN"/>
                <w14:textFill>
                  <w14:solidFill>
                    <w14:schemeClr w14:val="tx1"/>
                  </w14:solidFill>
                </w14:textFill>
              </w:rPr>
              <w:t>。</w:t>
            </w:r>
          </w:p>
          <w:p w14:paraId="009E06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u w:val="none" w:color="auto"/>
              </w:rPr>
            </w:pPr>
            <w:r>
              <w:rPr>
                <w:rFonts w:hint="default" w:ascii="Times New Roman" w:hAnsi="Times New Roman" w:eastAsia="宋体" w:cs="Times New Roman"/>
                <w:b w:val="0"/>
                <w:bCs/>
                <w:color w:val="auto"/>
                <w:sz w:val="24"/>
                <w:u w:val="none" w:color="auto"/>
              </w:rPr>
              <w:t>②</w:t>
            </w:r>
            <w:r>
              <w:rPr>
                <w:rFonts w:hint="eastAsia"/>
                <w:color w:val="auto"/>
                <w:sz w:val="24"/>
                <w:lang w:eastAsia="zh-CN"/>
              </w:rPr>
              <w:t>粉煤灰筒仓呼吸废气</w:t>
            </w:r>
          </w:p>
          <w:p w14:paraId="14CA9C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eastAsia="zh-CN"/>
              </w:rPr>
              <w:t>粉煤灰</w:t>
            </w:r>
            <w:r>
              <w:rPr>
                <w:rFonts w:hint="eastAsia"/>
                <w:color w:val="auto"/>
                <w:sz w:val="24"/>
                <w:lang w:val="en-US" w:eastAsia="zh-CN"/>
              </w:rPr>
              <w:t>使用量为6000t/a，</w:t>
            </w:r>
            <w:r>
              <w:rPr>
                <w:rFonts w:hint="eastAsia" w:ascii="Times New Roman" w:hAnsi="Times New Roman" w:eastAsia="宋体" w:cs="Times New Roman"/>
                <w:color w:val="auto"/>
                <w:sz w:val="24"/>
                <w:szCs w:val="24"/>
                <w:lang w:val="en-US" w:eastAsia="zh-CN"/>
              </w:rPr>
              <w:t>参考《排放源统计调查产排污核算方法和系数手册》302水泥制品制造行业系数手册中3021水泥制品制造（含3022砼结构构件、3029其他水泥类似制品制造）行业系数表中物料输送储存</w:t>
            </w:r>
            <w:r>
              <w:rPr>
                <w:rFonts w:hint="eastAsia" w:ascii="Times New Roman" w:hAnsi="Times New Roman" w:cs="Times New Roman"/>
                <w:color w:val="auto"/>
                <w:sz w:val="24"/>
                <w:szCs w:val="24"/>
                <w:lang w:val="en-US" w:eastAsia="zh-CN"/>
              </w:rPr>
              <w:t>颗粒物产生系数为</w:t>
            </w:r>
            <w:r>
              <w:rPr>
                <w:rFonts w:hint="eastAsia" w:ascii="Times New Roman" w:hAnsi="Times New Roman" w:eastAsia="宋体" w:cs="Times New Roman"/>
                <w:color w:val="auto"/>
                <w:sz w:val="24"/>
                <w:szCs w:val="24"/>
                <w:lang w:val="en-US" w:eastAsia="zh-CN"/>
              </w:rPr>
              <w:t>0.19kg/t-产品。则本项目</w:t>
            </w:r>
            <w:r>
              <w:rPr>
                <w:rFonts w:hint="eastAsia"/>
                <w:color w:val="auto"/>
                <w:sz w:val="24"/>
                <w:lang w:eastAsia="zh-CN"/>
              </w:rPr>
              <w:t>粉煤灰</w:t>
            </w:r>
            <w:r>
              <w:rPr>
                <w:rFonts w:hint="eastAsia"/>
                <w:color w:val="auto"/>
                <w:sz w:val="24"/>
                <w:lang w:val="en-US" w:eastAsia="zh-CN"/>
              </w:rPr>
              <w:t>筒仓呼吸废气新增污染物产生量为1.14t/a。</w:t>
            </w:r>
          </w:p>
          <w:p w14:paraId="34DF100B">
            <w:pPr>
              <w:adjustRightInd w:val="0"/>
              <w:snapToGrid w:val="0"/>
              <w:spacing w:line="348"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项目设置</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个</w:t>
            </w:r>
            <w:r>
              <w:rPr>
                <w:rFonts w:hint="eastAsia"/>
                <w:color w:val="000000" w:themeColor="text1"/>
                <w:sz w:val="24"/>
                <w:szCs w:val="24"/>
                <w:lang w:val="en-US" w:eastAsia="zh-CN"/>
                <w14:textFill>
                  <w14:solidFill>
                    <w14:schemeClr w14:val="tx1"/>
                  </w14:solidFill>
                </w14:textFill>
              </w:rPr>
              <w:t>60</w:t>
            </w:r>
            <w:r>
              <w:rPr>
                <w:rFonts w:hint="eastAsia"/>
                <w:color w:val="000000" w:themeColor="text1"/>
                <w:sz w:val="24"/>
                <w:szCs w:val="24"/>
                <w14:textFill>
                  <w14:solidFill>
                    <w14:schemeClr w14:val="tx1"/>
                  </w14:solidFill>
                </w14:textFill>
              </w:rPr>
              <w:t>t</w:t>
            </w:r>
            <w:r>
              <w:rPr>
                <w:rFonts w:hint="eastAsia"/>
                <w:color w:val="auto"/>
                <w:sz w:val="24"/>
                <w:lang w:eastAsia="zh-CN"/>
              </w:rPr>
              <w:t>粉煤灰筒仓</w:t>
            </w:r>
            <w:r>
              <w:rPr>
                <w:rFonts w:hint="eastAsia"/>
                <w:color w:val="000000" w:themeColor="text1"/>
                <w:sz w:val="24"/>
                <w:szCs w:val="24"/>
                <w:lang w:val="en-US" w:eastAsia="zh-CN"/>
                <w14:textFill>
                  <w14:solidFill>
                    <w14:schemeClr w14:val="tx1"/>
                  </w14:solidFill>
                </w14:textFill>
              </w:rPr>
              <w:t>，</w:t>
            </w:r>
            <w:r>
              <w:rPr>
                <w:rFonts w:hint="eastAsia"/>
                <w:color w:val="auto"/>
                <w:sz w:val="24"/>
                <w:lang w:eastAsia="zh-CN"/>
              </w:rPr>
              <w:t>粉煤灰筒仓</w:t>
            </w:r>
            <w:r>
              <w:rPr>
                <w:rFonts w:hint="eastAsia"/>
                <w:color w:val="000000" w:themeColor="text1"/>
                <w:sz w:val="24"/>
                <w:szCs w:val="24"/>
                <w14:textFill>
                  <w14:solidFill>
                    <w14:schemeClr w14:val="tx1"/>
                  </w14:solidFill>
                </w14:textFill>
              </w:rPr>
              <w:t>通过槽罐车运输进厂，由槽罐车自带的空压机打入</w:t>
            </w:r>
            <w:r>
              <w:rPr>
                <w:rFonts w:hint="eastAsia"/>
                <w:color w:val="auto"/>
                <w:sz w:val="24"/>
                <w:lang w:eastAsia="zh-CN"/>
              </w:rPr>
              <w:t>粉煤灰筒仓</w:t>
            </w:r>
            <w:r>
              <w:rPr>
                <w:rFonts w:hint="eastAsia"/>
                <w:color w:val="000000" w:themeColor="text1"/>
                <w:sz w:val="24"/>
                <w:szCs w:val="24"/>
                <w14:textFill>
                  <w14:solidFill>
                    <w14:schemeClr w14:val="tx1"/>
                  </w14:solidFill>
                </w14:textFill>
              </w:rPr>
              <w:t>，此时产生的含尘废气由</w:t>
            </w:r>
            <w:r>
              <w:rPr>
                <w:rFonts w:hint="eastAsia"/>
                <w:color w:val="auto"/>
                <w:sz w:val="24"/>
                <w:lang w:eastAsia="zh-CN"/>
              </w:rPr>
              <w:t>粉煤灰筒仓</w:t>
            </w:r>
            <w:r>
              <w:rPr>
                <w:rFonts w:hint="eastAsia"/>
                <w:color w:val="000000" w:themeColor="text1"/>
                <w:sz w:val="24"/>
                <w:szCs w:val="24"/>
                <w14:textFill>
                  <w14:solidFill>
                    <w14:schemeClr w14:val="tx1"/>
                  </w14:solidFill>
                </w14:textFill>
              </w:rPr>
              <w:t>自带</w:t>
            </w:r>
            <w:r>
              <w:rPr>
                <w:rFonts w:hint="eastAsia"/>
                <w:color w:val="000000" w:themeColor="text1"/>
                <w:sz w:val="24"/>
                <w:szCs w:val="24"/>
                <w:lang w:val="en-US" w:eastAsia="zh-CN"/>
                <w14:textFill>
                  <w14:solidFill>
                    <w14:schemeClr w14:val="tx1"/>
                  </w14:solidFill>
                </w14:textFill>
              </w:rPr>
              <w:t>脉冲式</w:t>
            </w:r>
            <w:r>
              <w:rPr>
                <w:rFonts w:hint="eastAsia"/>
                <w:color w:val="000000" w:themeColor="text1"/>
                <w:sz w:val="24"/>
                <w:szCs w:val="24"/>
                <w14:textFill>
                  <w14:solidFill>
                    <w14:schemeClr w14:val="tx1"/>
                  </w14:solidFill>
                </w14:textFill>
              </w:rPr>
              <w:t>除尘器净化处理后</w:t>
            </w:r>
            <w:r>
              <w:rPr>
                <w:rFonts w:hint="eastAsia"/>
                <w:color w:val="000000" w:themeColor="text1"/>
                <w:sz w:val="24"/>
                <w:szCs w:val="24"/>
                <w:lang w:eastAsia="zh-CN"/>
                <w14:textFill>
                  <w14:solidFill>
                    <w14:schemeClr w14:val="tx1"/>
                  </w14:solidFill>
                </w14:textFill>
              </w:rPr>
              <w:t>由仓顶（</w:t>
            </w:r>
            <w:r>
              <w:rPr>
                <w:rFonts w:hint="eastAsia"/>
                <w:color w:val="000000" w:themeColor="text1"/>
                <w:sz w:val="24"/>
                <w:szCs w:val="24"/>
                <w:lang w:val="en-US" w:eastAsia="zh-CN"/>
                <w14:textFill>
                  <w14:solidFill>
                    <w14:schemeClr w14:val="tx1"/>
                  </w14:solidFill>
                </w14:textFill>
              </w:rPr>
              <w:t>DA002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排放</w:t>
            </w:r>
            <w:r>
              <w:rPr>
                <w:rFonts w:hint="eastAsia"/>
                <w:color w:val="000000" w:themeColor="text1"/>
                <w:sz w:val="24"/>
                <w:szCs w:val="24"/>
                <w14:textFill>
                  <w14:solidFill>
                    <w14:schemeClr w14:val="tx1"/>
                  </w14:solidFill>
                </w14:textFill>
              </w:rPr>
              <w:t>，回收的</w:t>
            </w:r>
            <w:r>
              <w:rPr>
                <w:rFonts w:hint="eastAsia"/>
                <w:color w:val="000000" w:themeColor="text1"/>
                <w:sz w:val="24"/>
                <w:szCs w:val="24"/>
                <w:lang w:eastAsia="zh-CN"/>
                <w14:textFill>
                  <w14:solidFill>
                    <w14:schemeClr w14:val="tx1"/>
                  </w14:solidFill>
                </w14:textFill>
              </w:rPr>
              <w:t>颗粒物</w:t>
            </w:r>
            <w:r>
              <w:rPr>
                <w:rFonts w:hint="eastAsia"/>
                <w:color w:val="000000" w:themeColor="text1"/>
                <w:sz w:val="24"/>
                <w:szCs w:val="24"/>
                <w14:textFill>
                  <w14:solidFill>
                    <w14:schemeClr w14:val="tx1"/>
                  </w14:solidFill>
                </w14:textFill>
              </w:rPr>
              <w:t>返回至仓内。项目</w:t>
            </w:r>
            <w:r>
              <w:rPr>
                <w:rFonts w:hint="eastAsia"/>
                <w:color w:val="000000" w:themeColor="text1"/>
                <w:sz w:val="24"/>
                <w:szCs w:val="24"/>
                <w:lang w:val="en-US" w:eastAsia="zh-CN"/>
                <w14:textFill>
                  <w14:solidFill>
                    <w14:schemeClr w14:val="tx1"/>
                  </w14:solidFill>
                </w14:textFill>
              </w:rPr>
              <w:t>进料</w:t>
            </w:r>
            <w:r>
              <w:rPr>
                <w:rFonts w:hint="eastAsia"/>
                <w:color w:val="000000" w:themeColor="text1"/>
                <w:sz w:val="24"/>
                <w:szCs w:val="24"/>
                <w14:textFill>
                  <w14:solidFill>
                    <w14:schemeClr w14:val="tx1"/>
                  </w14:solidFill>
                </w14:textFill>
              </w:rPr>
              <w:t>时间</w:t>
            </w:r>
            <w:r>
              <w:rPr>
                <w:rFonts w:hint="eastAsia"/>
                <w:color w:val="000000" w:themeColor="text1"/>
                <w:sz w:val="24"/>
                <w:szCs w:val="24"/>
                <w:lang w:val="en-US" w:eastAsia="zh-CN"/>
                <w14:textFill>
                  <w14:solidFill>
                    <w14:schemeClr w14:val="tx1"/>
                  </w14:solidFill>
                </w14:textFill>
              </w:rPr>
              <w:t>取300h/a</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脉冲式</w:t>
            </w:r>
            <w:r>
              <w:rPr>
                <w:rFonts w:hint="eastAsia"/>
                <w:color w:val="000000" w:themeColor="text1"/>
                <w:sz w:val="24"/>
                <w:szCs w:val="24"/>
                <w14:textFill>
                  <w14:solidFill>
                    <w14:schemeClr w14:val="tx1"/>
                  </w14:solidFill>
                </w14:textFill>
              </w:rPr>
              <w:t>除尘器处理效率取99%</w:t>
            </w:r>
            <w:r>
              <w:rPr>
                <w:rFonts w:hint="eastAsia"/>
                <w:color w:val="000000" w:themeColor="text1"/>
                <w:sz w:val="24"/>
                <w:szCs w:val="24"/>
                <w:lang w:eastAsia="zh-CN"/>
                <w14:textFill>
                  <w14:solidFill>
                    <w14:schemeClr w14:val="tx1"/>
                  </w14:solidFill>
                </w14:textFill>
              </w:rPr>
              <w:t>。</w:t>
            </w:r>
            <w:r>
              <w:rPr>
                <w:rFonts w:hint="eastAsia"/>
                <w:color w:val="auto"/>
                <w:sz w:val="24"/>
                <w:lang w:eastAsia="zh-CN"/>
              </w:rPr>
              <w:t>粉煤灰筒仓</w:t>
            </w:r>
            <w:r>
              <w:rPr>
                <w:rFonts w:hint="eastAsia"/>
                <w:color w:val="auto"/>
                <w:sz w:val="24"/>
                <w:lang w:val="en-US" w:eastAsia="zh-CN"/>
              </w:rPr>
              <w:t>呼吸废气有组织</w:t>
            </w:r>
            <w:r>
              <w:rPr>
                <w:rFonts w:hint="eastAsia"/>
                <w:color w:val="000000" w:themeColor="text1"/>
                <w:sz w:val="24"/>
                <w:szCs w:val="24"/>
                <w:lang w:val="en-US" w:eastAsia="zh-CN"/>
                <w14:textFill>
                  <w14:solidFill>
                    <w14:schemeClr w14:val="tx1"/>
                  </w14:solidFill>
                </w14:textFill>
              </w:rPr>
              <w:t>产生量为</w:t>
            </w:r>
            <w:r>
              <w:rPr>
                <w:rFonts w:hint="eastAsia"/>
                <w:color w:val="auto"/>
                <w:sz w:val="24"/>
                <w:lang w:val="en-US" w:eastAsia="zh-CN"/>
              </w:rPr>
              <w:t>1.14</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产生速率为3.8</w:t>
            </w:r>
            <w:r>
              <w:rPr>
                <w:color w:val="000000" w:themeColor="text1"/>
                <w:sz w:val="24"/>
                <w:szCs w:val="24"/>
                <w14:textFill>
                  <w14:solidFill>
                    <w14:schemeClr w14:val="tx1"/>
                  </w14:solidFill>
                </w14:textFill>
              </w:rPr>
              <w:t>kg/h</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经脉冲式除尘器处理后排放量为0.0114</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排放速率为0.038</w:t>
            </w:r>
            <w:r>
              <w:rPr>
                <w:color w:val="000000" w:themeColor="text1"/>
                <w:sz w:val="24"/>
                <w:szCs w:val="24"/>
                <w14:textFill>
                  <w14:solidFill>
                    <w14:schemeClr w14:val="tx1"/>
                  </w14:solidFill>
                </w14:textFill>
              </w:rPr>
              <w:t>kg/h</w:t>
            </w:r>
            <w:r>
              <w:rPr>
                <w:rFonts w:hint="eastAsia"/>
                <w:color w:val="000000" w:themeColor="text1"/>
                <w:sz w:val="24"/>
                <w:szCs w:val="24"/>
                <w:lang w:eastAsia="zh-CN"/>
                <w14:textFill>
                  <w14:solidFill>
                    <w14:schemeClr w14:val="tx1"/>
                  </w14:solidFill>
                </w14:textFill>
              </w:rPr>
              <w:t>。</w:t>
            </w:r>
          </w:p>
          <w:p w14:paraId="78EF1B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u w:val="none" w:color="auto"/>
              </w:rPr>
            </w:pPr>
            <w:r>
              <w:rPr>
                <w:rFonts w:hint="default" w:ascii="Times New Roman" w:hAnsi="Times New Roman" w:eastAsia="宋体" w:cs="Times New Roman"/>
                <w:b w:val="0"/>
                <w:bCs/>
                <w:color w:val="auto"/>
                <w:sz w:val="24"/>
                <w:u w:val="none" w:color="auto"/>
              </w:rPr>
              <w:t>③</w:t>
            </w:r>
            <w:r>
              <w:rPr>
                <w:rFonts w:hint="eastAsia"/>
                <w:color w:val="auto"/>
                <w:sz w:val="24"/>
                <w:lang w:eastAsia="zh-CN"/>
              </w:rPr>
              <w:t>建筑掺和料筒仓呼吸废气</w:t>
            </w:r>
          </w:p>
          <w:p w14:paraId="23284F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eastAsia="zh-CN"/>
              </w:rPr>
              <w:t>建筑掺和料储存在一个</w:t>
            </w:r>
            <w:r>
              <w:rPr>
                <w:rFonts w:hint="eastAsia"/>
                <w:color w:val="auto"/>
                <w:sz w:val="24"/>
                <w:lang w:val="en-US" w:eastAsia="zh-CN"/>
              </w:rPr>
              <w:t>150t/a的水泥仓中，建筑掺和料年储存量为15500t/a，</w:t>
            </w:r>
            <w:r>
              <w:rPr>
                <w:rFonts w:hint="eastAsia" w:ascii="Times New Roman" w:hAnsi="Times New Roman" w:eastAsia="宋体" w:cs="Times New Roman"/>
                <w:color w:val="auto"/>
                <w:sz w:val="24"/>
                <w:szCs w:val="24"/>
                <w:lang w:val="en-US" w:eastAsia="zh-CN"/>
              </w:rPr>
              <w:t>参考《排放源统计调查产排污核算方法和系数手册》302水泥制品制造行业系数手册中3021水泥制品制造（含3022砼结构构件、3029其他水泥类似制品制造）行业系数表中物料输送储存</w:t>
            </w:r>
            <w:r>
              <w:rPr>
                <w:rFonts w:hint="eastAsia" w:ascii="Times New Roman" w:hAnsi="Times New Roman" w:cs="Times New Roman"/>
                <w:color w:val="auto"/>
                <w:sz w:val="24"/>
                <w:szCs w:val="24"/>
                <w:lang w:val="en-US" w:eastAsia="zh-CN"/>
              </w:rPr>
              <w:t>颗粒物产生系数为</w:t>
            </w:r>
            <w:r>
              <w:rPr>
                <w:rFonts w:hint="eastAsia" w:ascii="Times New Roman" w:hAnsi="Times New Roman" w:eastAsia="宋体" w:cs="Times New Roman"/>
                <w:color w:val="auto"/>
                <w:sz w:val="24"/>
                <w:szCs w:val="24"/>
                <w:lang w:val="en-US" w:eastAsia="zh-CN"/>
              </w:rPr>
              <w:t>0.19kg/t-产品。则本项目</w:t>
            </w:r>
            <w:r>
              <w:rPr>
                <w:rFonts w:hint="eastAsia"/>
                <w:color w:val="auto"/>
                <w:sz w:val="24"/>
                <w:lang w:eastAsia="zh-CN"/>
              </w:rPr>
              <w:t>建筑掺和料筒仓</w:t>
            </w:r>
            <w:r>
              <w:rPr>
                <w:rFonts w:hint="eastAsia"/>
                <w:color w:val="auto"/>
                <w:sz w:val="24"/>
                <w:lang w:val="en-US" w:eastAsia="zh-CN"/>
              </w:rPr>
              <w:t>呼吸废气污染物产生量为2.945t/a。</w:t>
            </w:r>
          </w:p>
          <w:p w14:paraId="630B0501">
            <w:pPr>
              <w:adjustRightInd w:val="0"/>
              <w:snapToGrid w:val="0"/>
              <w:spacing w:line="348"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项目设置</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个</w:t>
            </w:r>
            <w:r>
              <w:rPr>
                <w:rFonts w:hint="eastAsia"/>
                <w:color w:val="000000" w:themeColor="text1"/>
                <w:sz w:val="24"/>
                <w:szCs w:val="24"/>
                <w:lang w:val="en-US" w:eastAsia="zh-CN"/>
                <w14:textFill>
                  <w14:solidFill>
                    <w14:schemeClr w14:val="tx1"/>
                  </w14:solidFill>
                </w14:textFill>
              </w:rPr>
              <w:t>60</w:t>
            </w:r>
            <w:r>
              <w:rPr>
                <w:rFonts w:hint="eastAsia"/>
                <w:color w:val="000000" w:themeColor="text1"/>
                <w:sz w:val="24"/>
                <w:szCs w:val="24"/>
                <w14:textFill>
                  <w14:solidFill>
                    <w14:schemeClr w14:val="tx1"/>
                  </w14:solidFill>
                </w14:textFill>
              </w:rPr>
              <w:t>t</w:t>
            </w:r>
            <w:r>
              <w:rPr>
                <w:rFonts w:hint="eastAsia"/>
                <w:color w:val="auto"/>
                <w:sz w:val="24"/>
                <w:lang w:eastAsia="zh-CN"/>
              </w:rPr>
              <w:t>建筑掺和料筒仓</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空压机打入</w:t>
            </w:r>
            <w:r>
              <w:rPr>
                <w:rFonts w:hint="eastAsia"/>
                <w:color w:val="auto"/>
                <w:sz w:val="24"/>
                <w:lang w:eastAsia="zh-CN"/>
              </w:rPr>
              <w:t>粉煤灰筒仓</w:t>
            </w:r>
            <w:r>
              <w:rPr>
                <w:rFonts w:hint="eastAsia"/>
                <w:color w:val="000000" w:themeColor="text1"/>
                <w:sz w:val="24"/>
                <w:szCs w:val="24"/>
                <w14:textFill>
                  <w14:solidFill>
                    <w14:schemeClr w14:val="tx1"/>
                  </w14:solidFill>
                </w14:textFill>
              </w:rPr>
              <w:t>，此时产生的含尘废气由</w:t>
            </w:r>
            <w:r>
              <w:rPr>
                <w:rFonts w:hint="eastAsia"/>
                <w:color w:val="auto"/>
                <w:sz w:val="24"/>
                <w:lang w:eastAsia="zh-CN"/>
              </w:rPr>
              <w:t>建筑掺和料筒仓</w:t>
            </w:r>
            <w:r>
              <w:rPr>
                <w:rFonts w:hint="eastAsia"/>
                <w:color w:val="000000" w:themeColor="text1"/>
                <w:sz w:val="24"/>
                <w:szCs w:val="24"/>
                <w14:textFill>
                  <w14:solidFill>
                    <w14:schemeClr w14:val="tx1"/>
                  </w14:solidFill>
                </w14:textFill>
              </w:rPr>
              <w:t>自带</w:t>
            </w:r>
            <w:r>
              <w:rPr>
                <w:rFonts w:hint="eastAsia"/>
                <w:color w:val="000000" w:themeColor="text1"/>
                <w:sz w:val="24"/>
                <w:szCs w:val="24"/>
                <w:lang w:val="en-US" w:eastAsia="zh-CN"/>
                <w14:textFill>
                  <w14:solidFill>
                    <w14:schemeClr w14:val="tx1"/>
                  </w14:solidFill>
                </w14:textFill>
              </w:rPr>
              <w:t>脉冲式</w:t>
            </w:r>
            <w:r>
              <w:rPr>
                <w:rFonts w:hint="eastAsia"/>
                <w:color w:val="000000" w:themeColor="text1"/>
                <w:sz w:val="24"/>
                <w:szCs w:val="24"/>
                <w14:textFill>
                  <w14:solidFill>
                    <w14:schemeClr w14:val="tx1"/>
                  </w14:solidFill>
                </w14:textFill>
              </w:rPr>
              <w:t>除尘器净化处理后</w:t>
            </w:r>
            <w:r>
              <w:rPr>
                <w:rFonts w:hint="eastAsia"/>
                <w:color w:val="000000" w:themeColor="text1"/>
                <w:sz w:val="24"/>
                <w:szCs w:val="24"/>
                <w:lang w:eastAsia="zh-CN"/>
                <w14:textFill>
                  <w14:solidFill>
                    <w14:schemeClr w14:val="tx1"/>
                  </w14:solidFill>
                </w14:textFill>
              </w:rPr>
              <w:t>由仓顶（</w:t>
            </w:r>
            <w:r>
              <w:rPr>
                <w:rFonts w:hint="eastAsia"/>
                <w:color w:val="000000" w:themeColor="text1"/>
                <w:sz w:val="24"/>
                <w:szCs w:val="24"/>
                <w:lang w:val="en-US" w:eastAsia="zh-CN"/>
                <w14:textFill>
                  <w14:solidFill>
                    <w14:schemeClr w14:val="tx1"/>
                  </w14:solidFill>
                </w14:textFill>
              </w:rPr>
              <w:t>DA003</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排放</w:t>
            </w:r>
            <w:r>
              <w:rPr>
                <w:rFonts w:hint="eastAsia"/>
                <w:color w:val="000000" w:themeColor="text1"/>
                <w:sz w:val="24"/>
                <w:szCs w:val="24"/>
                <w14:textFill>
                  <w14:solidFill>
                    <w14:schemeClr w14:val="tx1"/>
                  </w14:solidFill>
                </w14:textFill>
              </w:rPr>
              <w:t>，回收的</w:t>
            </w:r>
            <w:r>
              <w:rPr>
                <w:rFonts w:hint="eastAsia"/>
                <w:color w:val="000000" w:themeColor="text1"/>
                <w:sz w:val="24"/>
                <w:szCs w:val="24"/>
                <w:lang w:eastAsia="zh-CN"/>
                <w14:textFill>
                  <w14:solidFill>
                    <w14:schemeClr w14:val="tx1"/>
                  </w14:solidFill>
                </w14:textFill>
              </w:rPr>
              <w:t>颗粒物</w:t>
            </w:r>
            <w:r>
              <w:rPr>
                <w:rFonts w:hint="eastAsia"/>
                <w:color w:val="000000" w:themeColor="text1"/>
                <w:sz w:val="24"/>
                <w:szCs w:val="24"/>
                <w14:textFill>
                  <w14:solidFill>
                    <w14:schemeClr w14:val="tx1"/>
                  </w14:solidFill>
                </w14:textFill>
              </w:rPr>
              <w:t>返回至仓内。项目</w:t>
            </w:r>
            <w:r>
              <w:rPr>
                <w:rFonts w:hint="eastAsia"/>
                <w:color w:val="000000" w:themeColor="text1"/>
                <w:sz w:val="24"/>
                <w:szCs w:val="24"/>
                <w:lang w:val="en-US" w:eastAsia="zh-CN"/>
                <w14:textFill>
                  <w14:solidFill>
                    <w14:schemeClr w14:val="tx1"/>
                  </w14:solidFill>
                </w14:textFill>
              </w:rPr>
              <w:t>进料</w:t>
            </w:r>
            <w:r>
              <w:rPr>
                <w:rFonts w:hint="eastAsia"/>
                <w:color w:val="000000" w:themeColor="text1"/>
                <w:sz w:val="24"/>
                <w:szCs w:val="24"/>
                <w14:textFill>
                  <w14:solidFill>
                    <w14:schemeClr w14:val="tx1"/>
                  </w14:solidFill>
                </w14:textFill>
              </w:rPr>
              <w:t>时间</w:t>
            </w:r>
            <w:r>
              <w:rPr>
                <w:rFonts w:hint="eastAsia"/>
                <w:color w:val="000000" w:themeColor="text1"/>
                <w:sz w:val="24"/>
                <w:szCs w:val="24"/>
                <w:lang w:val="en-US" w:eastAsia="zh-CN"/>
                <w14:textFill>
                  <w14:solidFill>
                    <w14:schemeClr w14:val="tx1"/>
                  </w14:solidFill>
                </w14:textFill>
              </w:rPr>
              <w:t>取600h/a</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脉冲式</w:t>
            </w:r>
            <w:r>
              <w:rPr>
                <w:rFonts w:hint="eastAsia"/>
                <w:color w:val="000000" w:themeColor="text1"/>
                <w:sz w:val="24"/>
                <w:szCs w:val="24"/>
                <w14:textFill>
                  <w14:solidFill>
                    <w14:schemeClr w14:val="tx1"/>
                  </w14:solidFill>
                </w14:textFill>
              </w:rPr>
              <w:t>除尘器处理效率取99%</w:t>
            </w:r>
            <w:r>
              <w:rPr>
                <w:rFonts w:hint="eastAsia"/>
                <w:color w:val="000000" w:themeColor="text1"/>
                <w:sz w:val="24"/>
                <w:szCs w:val="24"/>
                <w:lang w:eastAsia="zh-CN"/>
                <w14:textFill>
                  <w14:solidFill>
                    <w14:schemeClr w14:val="tx1"/>
                  </w14:solidFill>
                </w14:textFill>
              </w:rPr>
              <w:t>。</w:t>
            </w:r>
            <w:r>
              <w:rPr>
                <w:rFonts w:hint="eastAsia"/>
                <w:color w:val="auto"/>
                <w:sz w:val="24"/>
                <w:lang w:eastAsia="zh-CN"/>
              </w:rPr>
              <w:t>粉煤灰筒仓</w:t>
            </w:r>
            <w:r>
              <w:rPr>
                <w:rFonts w:hint="eastAsia"/>
                <w:color w:val="auto"/>
                <w:sz w:val="24"/>
                <w:lang w:val="en-US" w:eastAsia="zh-CN"/>
              </w:rPr>
              <w:t>呼吸废气有组织</w:t>
            </w:r>
            <w:r>
              <w:rPr>
                <w:rFonts w:hint="eastAsia"/>
                <w:color w:val="000000" w:themeColor="text1"/>
                <w:sz w:val="24"/>
                <w:szCs w:val="24"/>
                <w:lang w:val="en-US" w:eastAsia="zh-CN"/>
                <w14:textFill>
                  <w14:solidFill>
                    <w14:schemeClr w14:val="tx1"/>
                  </w14:solidFill>
                </w14:textFill>
              </w:rPr>
              <w:t>产生量为</w:t>
            </w:r>
            <w:r>
              <w:rPr>
                <w:rFonts w:hint="eastAsia"/>
                <w:color w:val="auto"/>
                <w:sz w:val="24"/>
                <w:lang w:val="en-US" w:eastAsia="zh-CN"/>
              </w:rPr>
              <w:t>2.945</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产生速率为4.91</w:t>
            </w:r>
            <w:r>
              <w:rPr>
                <w:color w:val="000000" w:themeColor="text1"/>
                <w:sz w:val="24"/>
                <w:szCs w:val="24"/>
                <w14:textFill>
                  <w14:solidFill>
                    <w14:schemeClr w14:val="tx1"/>
                  </w14:solidFill>
                </w14:textFill>
              </w:rPr>
              <w:t>kg/h</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经脉冲式除尘器处理后排放量为0.029</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排放速率为0.048</w:t>
            </w:r>
            <w:r>
              <w:rPr>
                <w:color w:val="000000" w:themeColor="text1"/>
                <w:sz w:val="24"/>
                <w:szCs w:val="24"/>
                <w14:textFill>
                  <w14:solidFill>
                    <w14:schemeClr w14:val="tx1"/>
                  </w14:solidFill>
                </w14:textFill>
              </w:rPr>
              <w:t>kg/h</w:t>
            </w:r>
            <w:r>
              <w:rPr>
                <w:rFonts w:hint="eastAsia"/>
                <w:color w:val="000000" w:themeColor="text1"/>
                <w:sz w:val="24"/>
                <w:szCs w:val="24"/>
                <w:lang w:eastAsia="zh-CN"/>
                <w14:textFill>
                  <w14:solidFill>
                    <w14:schemeClr w14:val="tx1"/>
                  </w14:solidFill>
                </w14:textFill>
              </w:rPr>
              <w:t>。</w:t>
            </w:r>
          </w:p>
          <w:p w14:paraId="048068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微软雅黑" w:cs="Times New Roman"/>
                <w:color w:val="auto"/>
                <w:sz w:val="24"/>
                <w:lang w:eastAsia="zh-CN"/>
              </w:rPr>
              <w:t>④</w:t>
            </w:r>
            <w:r>
              <w:rPr>
                <w:rFonts w:hint="eastAsia"/>
                <w:color w:val="auto"/>
                <w:sz w:val="24"/>
                <w:lang w:eastAsia="zh-CN"/>
              </w:rPr>
              <w:t>草木灰筒仓呼吸废气</w:t>
            </w:r>
          </w:p>
          <w:p w14:paraId="0D23C0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eastAsia="zh-CN"/>
              </w:rPr>
              <w:t>草木灰储存在一个</w:t>
            </w:r>
            <w:r>
              <w:rPr>
                <w:rFonts w:hint="eastAsia"/>
                <w:color w:val="auto"/>
                <w:sz w:val="24"/>
                <w:lang w:val="en-US" w:eastAsia="zh-CN"/>
              </w:rPr>
              <w:t>60t/a的圆筒仓中，</w:t>
            </w:r>
            <w:r>
              <w:rPr>
                <w:rFonts w:hint="eastAsia"/>
                <w:color w:val="auto"/>
                <w:sz w:val="24"/>
                <w:lang w:eastAsia="zh-CN"/>
              </w:rPr>
              <w:t>草木灰</w:t>
            </w:r>
            <w:r>
              <w:rPr>
                <w:rFonts w:hint="eastAsia"/>
                <w:color w:val="auto"/>
                <w:sz w:val="24"/>
                <w:lang w:val="en-US" w:eastAsia="zh-CN"/>
              </w:rPr>
              <w:t>年储存量为2000t/a，</w:t>
            </w:r>
            <w:r>
              <w:rPr>
                <w:rFonts w:hint="eastAsia" w:ascii="Times New Roman" w:hAnsi="Times New Roman" w:eastAsia="宋体" w:cs="Times New Roman"/>
                <w:color w:val="auto"/>
                <w:sz w:val="24"/>
                <w:szCs w:val="24"/>
                <w:lang w:val="en-US" w:eastAsia="zh-CN"/>
              </w:rPr>
              <w:t>参考《排放源统计调查产排污核算方法和系数手册》302水泥制品制造行业系数手册中3021水泥制品制造（含3022砼结构构件、3029其他水泥类似制品制造）行业系数表中物料输送储存</w:t>
            </w:r>
            <w:r>
              <w:rPr>
                <w:rFonts w:hint="eastAsia" w:ascii="Times New Roman" w:hAnsi="Times New Roman" w:cs="Times New Roman"/>
                <w:color w:val="auto"/>
                <w:sz w:val="24"/>
                <w:szCs w:val="24"/>
                <w:lang w:val="en-US" w:eastAsia="zh-CN"/>
              </w:rPr>
              <w:t>颗粒物产生系数为</w:t>
            </w:r>
            <w:r>
              <w:rPr>
                <w:rFonts w:hint="eastAsia" w:ascii="Times New Roman" w:hAnsi="Times New Roman" w:eastAsia="宋体" w:cs="Times New Roman"/>
                <w:color w:val="auto"/>
                <w:sz w:val="24"/>
                <w:szCs w:val="24"/>
                <w:lang w:val="en-US" w:eastAsia="zh-CN"/>
              </w:rPr>
              <w:t>0.19kg/t-产品。则本项目</w:t>
            </w:r>
            <w:r>
              <w:rPr>
                <w:rFonts w:hint="eastAsia"/>
                <w:color w:val="auto"/>
                <w:sz w:val="24"/>
                <w:lang w:eastAsia="zh-CN"/>
              </w:rPr>
              <w:t>草木灰筒仓</w:t>
            </w:r>
            <w:r>
              <w:rPr>
                <w:rFonts w:hint="eastAsia"/>
                <w:color w:val="auto"/>
                <w:sz w:val="24"/>
                <w:lang w:val="en-US" w:eastAsia="zh-CN"/>
              </w:rPr>
              <w:t>呼吸废气污染物产生量为0.38t/a。</w:t>
            </w:r>
          </w:p>
          <w:p w14:paraId="6F80ED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eastAsia="zh-CN"/>
              </w:rPr>
              <w:t>草木灰筒仓</w:t>
            </w:r>
            <w:r>
              <w:rPr>
                <w:rFonts w:hint="eastAsia"/>
                <w:color w:val="auto"/>
                <w:sz w:val="24"/>
                <w:lang w:val="en-US" w:eastAsia="zh-CN"/>
              </w:rPr>
              <w:t>呼吸废气</w:t>
            </w:r>
            <w:r>
              <w:rPr>
                <w:rFonts w:hint="eastAsia"/>
                <w:color w:val="auto"/>
                <w:sz w:val="24"/>
              </w:rPr>
              <w:t>由</w:t>
            </w:r>
            <w:r>
              <w:rPr>
                <w:rFonts w:hint="eastAsia"/>
                <w:color w:val="auto"/>
                <w:sz w:val="24"/>
                <w:lang w:eastAsia="zh-CN"/>
              </w:rPr>
              <w:t>仓</w:t>
            </w:r>
            <w:r>
              <w:rPr>
                <w:rFonts w:hint="eastAsia"/>
                <w:color w:val="auto"/>
                <w:sz w:val="24"/>
              </w:rPr>
              <w:t>顶部的自带除尘器净化处理后距地面15m高的库顶</w:t>
            </w:r>
            <w:r>
              <w:rPr>
                <w:rFonts w:hint="eastAsia"/>
                <w:color w:val="auto"/>
                <w:sz w:val="24"/>
                <w:lang w:eastAsia="zh-CN"/>
              </w:rPr>
              <w:t>排气筒</w:t>
            </w:r>
            <w:r>
              <w:rPr>
                <w:rFonts w:hint="eastAsia"/>
                <w:color w:val="auto"/>
                <w:sz w:val="24"/>
              </w:rPr>
              <w:t>（DA00</w:t>
            </w:r>
            <w:r>
              <w:rPr>
                <w:rFonts w:hint="eastAsia"/>
                <w:color w:val="auto"/>
                <w:sz w:val="24"/>
                <w:lang w:val="en-US" w:eastAsia="zh-CN"/>
              </w:rPr>
              <w:t>4</w:t>
            </w:r>
            <w:r>
              <w:rPr>
                <w:rFonts w:hint="eastAsia"/>
                <w:color w:val="auto"/>
                <w:sz w:val="24"/>
              </w:rPr>
              <w:t>）</w:t>
            </w:r>
            <w:r>
              <w:rPr>
                <w:rFonts w:hint="eastAsia"/>
                <w:color w:val="auto"/>
                <w:sz w:val="24"/>
                <w:lang w:eastAsia="zh-CN"/>
              </w:rPr>
              <w:t>外排，</w:t>
            </w:r>
            <w:r>
              <w:rPr>
                <w:rFonts w:hint="eastAsia"/>
                <w:color w:val="auto"/>
                <w:sz w:val="24"/>
              </w:rPr>
              <w:t>日平均运行4h，年工作时间为300天，</w:t>
            </w:r>
            <w:r>
              <w:rPr>
                <w:rFonts w:hint="eastAsia"/>
                <w:color w:val="auto"/>
                <w:sz w:val="24"/>
                <w:lang w:eastAsia="zh-CN"/>
              </w:rPr>
              <w:t>除尘器处理效率取</w:t>
            </w:r>
            <w:r>
              <w:rPr>
                <w:rFonts w:hint="eastAsia"/>
                <w:color w:val="auto"/>
                <w:sz w:val="24"/>
                <w:lang w:val="en-US" w:eastAsia="zh-CN"/>
              </w:rPr>
              <w:t>99%，风机风量设置为2000m</w:t>
            </w:r>
            <w:r>
              <w:rPr>
                <w:rFonts w:hint="eastAsia"/>
                <w:color w:val="auto"/>
                <w:sz w:val="24"/>
                <w:vertAlign w:val="superscript"/>
                <w:lang w:val="en-US" w:eastAsia="zh-CN"/>
              </w:rPr>
              <w:t>3</w:t>
            </w:r>
            <w:r>
              <w:rPr>
                <w:rFonts w:hint="eastAsia"/>
                <w:color w:val="auto"/>
                <w:sz w:val="24"/>
                <w:lang w:val="en-US" w:eastAsia="zh-CN"/>
              </w:rPr>
              <w:t>/h，则</w:t>
            </w:r>
            <w:r>
              <w:rPr>
                <w:rFonts w:hint="eastAsia"/>
                <w:color w:val="auto"/>
                <w:sz w:val="24"/>
                <w:lang w:eastAsia="zh-CN"/>
              </w:rPr>
              <w:t>草木灰</w:t>
            </w:r>
            <w:r>
              <w:rPr>
                <w:rFonts w:hint="eastAsia"/>
                <w:color w:val="auto"/>
                <w:sz w:val="24"/>
                <w:lang w:val="en-US" w:eastAsia="zh-CN"/>
              </w:rPr>
              <w:t>筒仓呼吸废气颗粒物有组织产生量为0.38t/a，产生浓度为158.33mg/m</w:t>
            </w:r>
            <w:r>
              <w:rPr>
                <w:rFonts w:hint="eastAsia"/>
                <w:color w:val="auto"/>
                <w:sz w:val="24"/>
                <w:vertAlign w:val="superscript"/>
                <w:lang w:val="en-US" w:eastAsia="zh-CN"/>
              </w:rPr>
              <w:t>3</w:t>
            </w:r>
            <w:r>
              <w:rPr>
                <w:rFonts w:hint="eastAsia"/>
                <w:color w:val="auto"/>
                <w:sz w:val="24"/>
                <w:lang w:val="en-US" w:eastAsia="zh-CN"/>
              </w:rPr>
              <w:t>，经处理后有组织排放量为0.0038t/a，有组织排放速率为0.0032kg/h，排放浓度为1.583mg/m</w:t>
            </w:r>
            <w:r>
              <w:rPr>
                <w:rFonts w:hint="eastAsia"/>
                <w:color w:val="auto"/>
                <w:sz w:val="24"/>
                <w:vertAlign w:val="superscript"/>
                <w:lang w:val="en-US" w:eastAsia="zh-CN"/>
              </w:rPr>
              <w:t>3</w:t>
            </w:r>
            <w:r>
              <w:rPr>
                <w:rFonts w:hint="eastAsia"/>
                <w:color w:val="auto"/>
                <w:sz w:val="24"/>
                <w:lang w:val="en-US" w:eastAsia="zh-CN"/>
              </w:rPr>
              <w:t>。</w:t>
            </w:r>
          </w:p>
          <w:p w14:paraId="0F0AD477">
            <w:pPr>
              <w:adjustRightInd w:val="0"/>
              <w:snapToGrid w:val="0"/>
              <w:spacing w:line="348"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项目设置</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个</w:t>
            </w:r>
            <w:r>
              <w:rPr>
                <w:rFonts w:hint="eastAsia"/>
                <w:color w:val="000000" w:themeColor="text1"/>
                <w:sz w:val="24"/>
                <w:szCs w:val="24"/>
                <w:lang w:val="en-US" w:eastAsia="zh-CN"/>
                <w14:textFill>
                  <w14:solidFill>
                    <w14:schemeClr w14:val="tx1"/>
                  </w14:solidFill>
                </w14:textFill>
              </w:rPr>
              <w:t>60</w:t>
            </w:r>
            <w:r>
              <w:rPr>
                <w:rFonts w:hint="eastAsia"/>
                <w:color w:val="000000" w:themeColor="text1"/>
                <w:sz w:val="24"/>
                <w:szCs w:val="24"/>
                <w14:textFill>
                  <w14:solidFill>
                    <w14:schemeClr w14:val="tx1"/>
                  </w14:solidFill>
                </w14:textFill>
              </w:rPr>
              <w:t>t</w:t>
            </w:r>
            <w:r>
              <w:rPr>
                <w:rFonts w:hint="eastAsia"/>
                <w:color w:val="auto"/>
                <w:sz w:val="24"/>
                <w:lang w:eastAsia="zh-CN"/>
              </w:rPr>
              <w:t>草木灰筒仓</w:t>
            </w:r>
            <w:r>
              <w:rPr>
                <w:rFonts w:hint="eastAsia"/>
                <w:color w:val="000000" w:themeColor="text1"/>
                <w:sz w:val="24"/>
                <w:szCs w:val="24"/>
                <w:lang w:val="en-US" w:eastAsia="zh-CN"/>
                <w14:textFill>
                  <w14:solidFill>
                    <w14:schemeClr w14:val="tx1"/>
                  </w14:solidFill>
                </w14:textFill>
              </w:rPr>
              <w:t>，</w:t>
            </w:r>
            <w:r>
              <w:rPr>
                <w:rFonts w:hint="eastAsia"/>
                <w:color w:val="auto"/>
                <w:sz w:val="24"/>
                <w:lang w:eastAsia="zh-CN"/>
              </w:rPr>
              <w:t>草木灰筒仓</w:t>
            </w:r>
            <w:r>
              <w:rPr>
                <w:rFonts w:hint="eastAsia"/>
                <w:color w:val="000000" w:themeColor="text1"/>
                <w:sz w:val="24"/>
                <w:szCs w:val="24"/>
                <w14:textFill>
                  <w14:solidFill>
                    <w14:schemeClr w14:val="tx1"/>
                  </w14:solidFill>
                </w14:textFill>
              </w:rPr>
              <w:t>通过槽罐车运输进厂，由槽罐车自带的空压机打入</w:t>
            </w:r>
            <w:r>
              <w:rPr>
                <w:rFonts w:hint="eastAsia"/>
                <w:color w:val="auto"/>
                <w:sz w:val="24"/>
                <w:lang w:eastAsia="zh-CN"/>
              </w:rPr>
              <w:t>草木灰筒仓</w:t>
            </w:r>
            <w:r>
              <w:rPr>
                <w:rFonts w:hint="eastAsia"/>
                <w:color w:val="000000" w:themeColor="text1"/>
                <w:sz w:val="24"/>
                <w:szCs w:val="24"/>
                <w14:textFill>
                  <w14:solidFill>
                    <w14:schemeClr w14:val="tx1"/>
                  </w14:solidFill>
                </w14:textFill>
              </w:rPr>
              <w:t>，此时产生的含尘废气由</w:t>
            </w:r>
            <w:r>
              <w:rPr>
                <w:rFonts w:hint="eastAsia"/>
                <w:color w:val="auto"/>
                <w:sz w:val="24"/>
                <w:lang w:eastAsia="zh-CN"/>
              </w:rPr>
              <w:t>草木灰筒仓</w:t>
            </w:r>
            <w:r>
              <w:rPr>
                <w:rFonts w:hint="eastAsia"/>
                <w:color w:val="000000" w:themeColor="text1"/>
                <w:sz w:val="24"/>
                <w:szCs w:val="24"/>
                <w14:textFill>
                  <w14:solidFill>
                    <w14:schemeClr w14:val="tx1"/>
                  </w14:solidFill>
                </w14:textFill>
              </w:rPr>
              <w:t>自带</w:t>
            </w:r>
            <w:r>
              <w:rPr>
                <w:rFonts w:hint="eastAsia"/>
                <w:color w:val="000000" w:themeColor="text1"/>
                <w:sz w:val="24"/>
                <w:szCs w:val="24"/>
                <w:lang w:val="en-US" w:eastAsia="zh-CN"/>
                <w14:textFill>
                  <w14:solidFill>
                    <w14:schemeClr w14:val="tx1"/>
                  </w14:solidFill>
                </w14:textFill>
              </w:rPr>
              <w:t>脉冲式</w:t>
            </w:r>
            <w:r>
              <w:rPr>
                <w:rFonts w:hint="eastAsia"/>
                <w:color w:val="000000" w:themeColor="text1"/>
                <w:sz w:val="24"/>
                <w:szCs w:val="24"/>
                <w14:textFill>
                  <w14:solidFill>
                    <w14:schemeClr w14:val="tx1"/>
                  </w14:solidFill>
                </w14:textFill>
              </w:rPr>
              <w:t>除尘器净化处理后</w:t>
            </w:r>
            <w:r>
              <w:rPr>
                <w:rFonts w:hint="eastAsia"/>
                <w:color w:val="000000" w:themeColor="text1"/>
                <w:sz w:val="24"/>
                <w:szCs w:val="24"/>
                <w:lang w:eastAsia="zh-CN"/>
                <w14:textFill>
                  <w14:solidFill>
                    <w14:schemeClr w14:val="tx1"/>
                  </w14:solidFill>
                </w14:textFill>
              </w:rPr>
              <w:t>由仓顶（</w:t>
            </w:r>
            <w:r>
              <w:rPr>
                <w:rFonts w:hint="eastAsia"/>
                <w:color w:val="000000" w:themeColor="text1"/>
                <w:sz w:val="24"/>
                <w:szCs w:val="24"/>
                <w:lang w:val="en-US" w:eastAsia="zh-CN"/>
                <w14:textFill>
                  <w14:solidFill>
                    <w14:schemeClr w14:val="tx1"/>
                  </w14:solidFill>
                </w14:textFill>
              </w:rPr>
              <w:t>DA004</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排放</w:t>
            </w:r>
            <w:r>
              <w:rPr>
                <w:rFonts w:hint="eastAsia"/>
                <w:color w:val="000000" w:themeColor="text1"/>
                <w:sz w:val="24"/>
                <w:szCs w:val="24"/>
                <w14:textFill>
                  <w14:solidFill>
                    <w14:schemeClr w14:val="tx1"/>
                  </w14:solidFill>
                </w14:textFill>
              </w:rPr>
              <w:t>，回收的</w:t>
            </w:r>
            <w:r>
              <w:rPr>
                <w:rFonts w:hint="eastAsia"/>
                <w:color w:val="000000" w:themeColor="text1"/>
                <w:sz w:val="24"/>
                <w:szCs w:val="24"/>
                <w:lang w:eastAsia="zh-CN"/>
                <w14:textFill>
                  <w14:solidFill>
                    <w14:schemeClr w14:val="tx1"/>
                  </w14:solidFill>
                </w14:textFill>
              </w:rPr>
              <w:t>颗粒物</w:t>
            </w:r>
            <w:r>
              <w:rPr>
                <w:rFonts w:hint="eastAsia"/>
                <w:color w:val="000000" w:themeColor="text1"/>
                <w:sz w:val="24"/>
                <w:szCs w:val="24"/>
                <w14:textFill>
                  <w14:solidFill>
                    <w14:schemeClr w14:val="tx1"/>
                  </w14:solidFill>
                </w14:textFill>
              </w:rPr>
              <w:t>返回至仓内。项目</w:t>
            </w:r>
            <w:r>
              <w:rPr>
                <w:rFonts w:hint="eastAsia"/>
                <w:color w:val="000000" w:themeColor="text1"/>
                <w:sz w:val="24"/>
                <w:szCs w:val="24"/>
                <w:lang w:val="en-US" w:eastAsia="zh-CN"/>
                <w14:textFill>
                  <w14:solidFill>
                    <w14:schemeClr w14:val="tx1"/>
                  </w14:solidFill>
                </w14:textFill>
              </w:rPr>
              <w:t>进料</w:t>
            </w:r>
            <w:r>
              <w:rPr>
                <w:rFonts w:hint="eastAsia"/>
                <w:color w:val="000000" w:themeColor="text1"/>
                <w:sz w:val="24"/>
                <w:szCs w:val="24"/>
                <w14:textFill>
                  <w14:solidFill>
                    <w14:schemeClr w14:val="tx1"/>
                  </w14:solidFill>
                </w14:textFill>
              </w:rPr>
              <w:t>时间</w:t>
            </w:r>
            <w:r>
              <w:rPr>
                <w:rFonts w:hint="eastAsia"/>
                <w:color w:val="000000" w:themeColor="text1"/>
                <w:sz w:val="24"/>
                <w:szCs w:val="24"/>
                <w:lang w:val="en-US" w:eastAsia="zh-CN"/>
                <w14:textFill>
                  <w14:solidFill>
                    <w14:schemeClr w14:val="tx1"/>
                  </w14:solidFill>
                </w14:textFill>
              </w:rPr>
              <w:t>取50h/a</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脉冲式</w:t>
            </w:r>
            <w:r>
              <w:rPr>
                <w:rFonts w:hint="eastAsia"/>
                <w:color w:val="000000" w:themeColor="text1"/>
                <w:sz w:val="24"/>
                <w:szCs w:val="24"/>
                <w14:textFill>
                  <w14:solidFill>
                    <w14:schemeClr w14:val="tx1"/>
                  </w14:solidFill>
                </w14:textFill>
              </w:rPr>
              <w:t>除尘器处理效率取99%</w:t>
            </w:r>
            <w:r>
              <w:rPr>
                <w:rFonts w:hint="eastAsia"/>
                <w:color w:val="000000" w:themeColor="text1"/>
                <w:sz w:val="24"/>
                <w:szCs w:val="24"/>
                <w:lang w:eastAsia="zh-CN"/>
                <w14:textFill>
                  <w14:solidFill>
                    <w14:schemeClr w14:val="tx1"/>
                  </w14:solidFill>
                </w14:textFill>
              </w:rPr>
              <w:t>。</w:t>
            </w:r>
            <w:r>
              <w:rPr>
                <w:rFonts w:hint="eastAsia"/>
                <w:color w:val="auto"/>
                <w:sz w:val="24"/>
                <w:lang w:eastAsia="zh-CN"/>
              </w:rPr>
              <w:t>草木灰筒仓</w:t>
            </w:r>
            <w:r>
              <w:rPr>
                <w:rFonts w:hint="eastAsia"/>
                <w:color w:val="auto"/>
                <w:sz w:val="24"/>
                <w:lang w:val="en-US" w:eastAsia="zh-CN"/>
              </w:rPr>
              <w:t>呼吸废气有组织</w:t>
            </w:r>
            <w:r>
              <w:rPr>
                <w:rFonts w:hint="eastAsia"/>
                <w:color w:val="000000" w:themeColor="text1"/>
                <w:sz w:val="24"/>
                <w:szCs w:val="24"/>
                <w:lang w:val="en-US" w:eastAsia="zh-CN"/>
                <w14:textFill>
                  <w14:solidFill>
                    <w14:schemeClr w14:val="tx1"/>
                  </w14:solidFill>
                </w14:textFill>
              </w:rPr>
              <w:t>产生量为</w:t>
            </w:r>
            <w:r>
              <w:rPr>
                <w:rFonts w:hint="eastAsia"/>
                <w:color w:val="auto"/>
                <w:sz w:val="24"/>
                <w:lang w:val="en-US" w:eastAsia="zh-CN"/>
              </w:rPr>
              <w:t>0.38</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产生速率为0.76</w:t>
            </w:r>
            <w:r>
              <w:rPr>
                <w:color w:val="000000" w:themeColor="text1"/>
                <w:sz w:val="24"/>
                <w:szCs w:val="24"/>
                <w14:textFill>
                  <w14:solidFill>
                    <w14:schemeClr w14:val="tx1"/>
                  </w14:solidFill>
                </w14:textFill>
              </w:rPr>
              <w:t>kg/h</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经脉冲式除尘器处理后排放量为0.0038</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排放速率为0.076</w:t>
            </w:r>
            <w:r>
              <w:rPr>
                <w:color w:val="000000" w:themeColor="text1"/>
                <w:sz w:val="24"/>
                <w:szCs w:val="24"/>
                <w14:textFill>
                  <w14:solidFill>
                    <w14:schemeClr w14:val="tx1"/>
                  </w14:solidFill>
                </w14:textFill>
              </w:rPr>
              <w:t>kg/h</w:t>
            </w:r>
            <w:r>
              <w:rPr>
                <w:rFonts w:hint="eastAsia"/>
                <w:color w:val="000000" w:themeColor="text1"/>
                <w:sz w:val="24"/>
                <w:szCs w:val="24"/>
                <w:lang w:eastAsia="zh-CN"/>
                <w14:textFill>
                  <w14:solidFill>
                    <w14:schemeClr w14:val="tx1"/>
                  </w14:solidFill>
                </w14:textFill>
              </w:rPr>
              <w:t>。</w:t>
            </w:r>
          </w:p>
          <w:p w14:paraId="243F7E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olor w:val="auto"/>
                <w:sz w:val="24"/>
                <w:lang w:eastAsia="zh-CN"/>
              </w:rPr>
              <w:fldChar w:fldCharType="begin"/>
            </w:r>
            <w:r>
              <w:rPr>
                <w:rFonts w:hint="eastAsia"/>
                <w:color w:val="auto"/>
                <w:sz w:val="24"/>
                <w:lang w:eastAsia="zh-CN"/>
              </w:rPr>
              <w:instrText xml:space="preserve"> = 5 \* GB3 \* MERGEFORMAT </w:instrText>
            </w:r>
            <w:r>
              <w:rPr>
                <w:rFonts w:hint="eastAsia"/>
                <w:color w:val="auto"/>
                <w:sz w:val="24"/>
                <w:lang w:eastAsia="zh-CN"/>
              </w:rPr>
              <w:fldChar w:fldCharType="separate"/>
            </w:r>
            <w:r>
              <w:rPr>
                <w:color w:val="auto"/>
              </w:rPr>
              <w:t>⑤</w:t>
            </w:r>
            <w:r>
              <w:rPr>
                <w:rFonts w:hint="eastAsia"/>
                <w:color w:val="auto"/>
                <w:sz w:val="24"/>
                <w:lang w:eastAsia="zh-CN"/>
              </w:rPr>
              <w:fldChar w:fldCharType="end"/>
            </w:r>
            <w:r>
              <w:rPr>
                <w:rFonts w:hint="eastAsia"/>
                <w:color w:val="auto"/>
                <w:sz w:val="24"/>
                <w:lang w:eastAsia="zh-CN"/>
              </w:rPr>
              <w:t>投料废气</w:t>
            </w:r>
          </w:p>
          <w:p w14:paraId="45A449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项目生石灰、炉渣、煤矸石投料采用铲车投料，投料过程中会有颗粒物产生，</w:t>
            </w:r>
            <w:r>
              <w:rPr>
                <w:rFonts w:hint="eastAsia"/>
                <w:color w:val="auto"/>
                <w:sz w:val="24"/>
              </w:rPr>
              <w:t>参照《逸散性工业粉尘控制技术》《中国环境科学出版社》中“粒料加工厂逸散尘的排放因子”0.</w:t>
            </w:r>
            <w:r>
              <w:rPr>
                <w:rFonts w:hint="eastAsia"/>
                <w:color w:val="auto"/>
                <w:sz w:val="24"/>
                <w:lang w:val="en-US" w:eastAsia="zh-CN"/>
              </w:rPr>
              <w:t>7</w:t>
            </w:r>
            <w:r>
              <w:rPr>
                <w:rFonts w:hint="eastAsia"/>
                <w:color w:val="auto"/>
                <w:sz w:val="24"/>
              </w:rPr>
              <w:t>kg/t，</w:t>
            </w:r>
            <w:r>
              <w:rPr>
                <w:rFonts w:hint="eastAsia"/>
                <w:color w:val="auto"/>
                <w:sz w:val="24"/>
                <w:lang w:eastAsia="zh-CN"/>
              </w:rPr>
              <w:t>项目投料量为</w:t>
            </w:r>
            <w:r>
              <w:rPr>
                <w:rFonts w:hint="eastAsia"/>
                <w:color w:val="auto"/>
                <w:sz w:val="24"/>
                <w:lang w:val="en-US" w:eastAsia="zh-CN"/>
              </w:rPr>
              <w:t>14500t/a，则投料废气10.15t/a。</w:t>
            </w:r>
          </w:p>
          <w:p w14:paraId="055C99C8">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color w:val="auto"/>
                <w:sz w:val="24"/>
                <w:lang w:val="en-US" w:eastAsia="zh-CN"/>
              </w:rPr>
            </w:pPr>
            <w:r>
              <w:rPr>
                <w:rFonts w:hint="eastAsia" w:cs="Times New Roman"/>
                <w:b w:val="0"/>
                <w:bCs w:val="0"/>
                <w:color w:val="auto"/>
                <w:sz w:val="24"/>
                <w:szCs w:val="24"/>
                <w:lang w:val="en-US" w:eastAsia="zh-CN"/>
              </w:rPr>
              <w:t>项目分别在生石灰、炉渣、煤矸石投料口设置集气罩对投料废气进行收集，经布袋除尘器处理后通过15m高排气筒DA005排放，投料时间取1200h/a，集气罩收集效率取90%，布袋除尘器处理效率取99%，风机</w:t>
            </w:r>
            <w:r>
              <w:rPr>
                <w:rFonts w:hint="default" w:ascii="Times New Roman" w:hAnsi="Times New Roman" w:cs="Times New Roman"/>
                <w:b w:val="0"/>
                <w:bCs w:val="0"/>
                <w:color w:val="auto"/>
                <w:sz w:val="24"/>
                <w:szCs w:val="24"/>
                <w:lang w:val="en-US" w:eastAsia="zh-CN"/>
              </w:rPr>
              <w:t>风量设置为</w:t>
            </w:r>
            <w:r>
              <w:rPr>
                <w:rFonts w:hint="eastAsia" w:ascii="Times New Roman" w:hAnsi="Times New Roman"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000</w:t>
            </w:r>
            <w:r>
              <w:rPr>
                <w:rFonts w:hint="default" w:ascii="Times New Roman" w:hAnsi="Times New Roman" w:cs="Times New Roman"/>
                <w:b w:val="0"/>
                <w:bCs w:val="0"/>
                <w:color w:val="auto"/>
                <w:sz w:val="24"/>
                <w:lang w:val="en-US" w:eastAsia="zh-CN"/>
              </w:rPr>
              <w:t>m</w:t>
            </w:r>
            <w:r>
              <w:rPr>
                <w:rFonts w:hint="default" w:ascii="Times New Roman" w:hAnsi="Times New Roman" w:cs="Times New Roman"/>
                <w:b w:val="0"/>
                <w:bCs w:val="0"/>
                <w:color w:val="auto"/>
                <w:sz w:val="24"/>
                <w:vertAlign w:val="superscript"/>
                <w:lang w:val="en-US" w:eastAsia="zh-CN"/>
              </w:rPr>
              <w:t>3</w:t>
            </w:r>
            <w:r>
              <w:rPr>
                <w:rFonts w:hint="default" w:ascii="Times New Roman" w:hAnsi="Times New Roman" w:cs="Times New Roman"/>
                <w:b w:val="0"/>
                <w:bCs w:val="0"/>
                <w:color w:val="auto"/>
                <w:sz w:val="24"/>
                <w:lang w:val="en-US" w:eastAsia="zh-CN"/>
              </w:rPr>
              <w:t>/h，</w:t>
            </w:r>
            <w:r>
              <w:rPr>
                <w:rFonts w:hint="eastAsia" w:cs="Times New Roman"/>
                <w:b w:val="0"/>
                <w:bCs w:val="0"/>
                <w:color w:val="auto"/>
                <w:sz w:val="24"/>
                <w:szCs w:val="24"/>
                <w:lang w:val="en-US" w:eastAsia="zh-CN"/>
              </w:rPr>
              <w:t>则投料废气有组织产生量为9.135t/a，产生浓度1522.5</w:t>
            </w:r>
            <w:r>
              <w:rPr>
                <w:rFonts w:hint="eastAsia"/>
                <w:color w:val="auto"/>
                <w:sz w:val="24"/>
                <w:lang w:val="en-US" w:eastAsia="zh-CN"/>
              </w:rPr>
              <w:t>mg/m</w:t>
            </w:r>
            <w:r>
              <w:rPr>
                <w:rFonts w:hint="eastAsia"/>
                <w:color w:val="auto"/>
                <w:sz w:val="24"/>
                <w:vertAlign w:val="superscript"/>
                <w:lang w:val="en-US" w:eastAsia="zh-CN"/>
              </w:rPr>
              <w:t>3</w:t>
            </w:r>
            <w:r>
              <w:rPr>
                <w:rFonts w:hint="eastAsia"/>
                <w:color w:val="auto"/>
                <w:sz w:val="24"/>
                <w:lang w:val="en-US" w:eastAsia="zh-CN"/>
              </w:rPr>
              <w:t>，经处理后有组织排放量为0.091t/a，排放速率0.076t/a，排放浓度为15.225mg/m</w:t>
            </w:r>
            <w:r>
              <w:rPr>
                <w:rFonts w:hint="eastAsia"/>
                <w:color w:val="auto"/>
                <w:sz w:val="24"/>
                <w:vertAlign w:val="superscript"/>
                <w:lang w:val="en-US" w:eastAsia="zh-CN"/>
              </w:rPr>
              <w:t>3</w:t>
            </w:r>
            <w:r>
              <w:rPr>
                <w:rFonts w:hint="eastAsia"/>
                <w:color w:val="auto"/>
                <w:sz w:val="24"/>
                <w:lang w:val="en-US" w:eastAsia="zh-CN"/>
              </w:rPr>
              <w:t>，无组织排放量为1.015t/a。</w:t>
            </w:r>
          </w:p>
          <w:p w14:paraId="60734762">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eastAsia" w:eastAsia="宋体" w:cs="Times New Roman"/>
                <w:color w:val="auto"/>
                <w:sz w:val="24"/>
                <w:szCs w:val="24"/>
                <w:lang w:val="en-US" w:eastAsia="zh-CN"/>
              </w:rPr>
            </w:pPr>
            <w:r>
              <w:rPr>
                <w:rFonts w:hint="eastAsia" w:eastAsia="宋体" w:cs="Times New Roman"/>
                <w:b/>
                <w:bCs/>
                <w:color w:val="auto"/>
                <w:sz w:val="24"/>
                <w:szCs w:val="24"/>
                <w:lang w:val="en-US" w:eastAsia="zh-CN"/>
              </w:rPr>
              <w:t>风量计算：</w:t>
            </w:r>
          </w:p>
          <w:p w14:paraId="4C3A1E9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根据《简明通风设计手册》，单个集气罩集气风量计算公式：</w:t>
            </w:r>
          </w:p>
          <w:p w14:paraId="4AED04E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Q=K（a＋b）×h×V</w:t>
            </w:r>
            <w:r>
              <w:rPr>
                <w:rFonts w:hint="eastAsia" w:eastAsia="宋体" w:cs="Times New Roman"/>
                <w:color w:val="auto"/>
                <w:sz w:val="24"/>
                <w:szCs w:val="24"/>
                <w:vertAlign w:val="subscript"/>
                <w:lang w:val="en-US" w:eastAsia="zh-CN"/>
              </w:rPr>
              <w:t>0</w:t>
            </w:r>
            <w:r>
              <w:rPr>
                <w:rFonts w:hint="eastAsia" w:eastAsia="宋体" w:cs="Times New Roman"/>
                <w:color w:val="auto"/>
                <w:sz w:val="24"/>
                <w:szCs w:val="24"/>
                <w:lang w:val="en-US" w:eastAsia="zh-CN"/>
              </w:rPr>
              <w:t>×3600</w:t>
            </w:r>
          </w:p>
          <w:p w14:paraId="1FBFE103">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式中：Q——为集气罩集气风量，单位为m</w:t>
            </w:r>
            <w:r>
              <w:rPr>
                <w:rFonts w:hint="eastAsia" w:eastAsia="宋体" w:cs="Times New Roman"/>
                <w:color w:val="auto"/>
                <w:sz w:val="24"/>
                <w:szCs w:val="24"/>
                <w:vertAlign w:val="superscript"/>
                <w:lang w:val="en-US" w:eastAsia="zh-CN"/>
              </w:rPr>
              <w:t>3</w:t>
            </w:r>
            <w:r>
              <w:rPr>
                <w:rFonts w:hint="eastAsia" w:eastAsia="宋体" w:cs="Times New Roman"/>
                <w:color w:val="auto"/>
                <w:sz w:val="24"/>
                <w:szCs w:val="24"/>
                <w:lang w:val="en-US" w:eastAsia="zh-CN"/>
              </w:rPr>
              <w:t>/h；</w:t>
            </w:r>
          </w:p>
          <w:p w14:paraId="1D082914">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 xml:space="preserve">      K——为安全系数1.4；</w:t>
            </w:r>
          </w:p>
          <w:p w14:paraId="7A4A2A48">
            <w:pPr>
              <w:keepNext w:val="0"/>
              <w:keepLines w:val="0"/>
              <w:pageBreakBefore w:val="0"/>
              <w:widowControl w:val="0"/>
              <w:kinsoku/>
              <w:wordWrap/>
              <w:overflowPunct/>
              <w:topLinePunct w:val="0"/>
              <w:autoSpaceDE/>
              <w:autoSpaceDN/>
              <w:bidi w:val="0"/>
              <w:adjustRightInd w:val="0"/>
              <w:snapToGrid w:val="0"/>
              <w:spacing w:line="348" w:lineRule="auto"/>
              <w:ind w:firstLine="960" w:firstLineChars="4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（a+b）——为集气罩</w:t>
            </w:r>
            <w:r>
              <w:rPr>
                <w:rFonts w:hint="eastAsia" w:cs="Times New Roman"/>
                <w:color w:val="auto"/>
                <w:sz w:val="24"/>
                <w:szCs w:val="24"/>
                <w:lang w:val="en-US" w:eastAsia="zh-CN"/>
              </w:rPr>
              <w:t>长加宽</w:t>
            </w:r>
            <w:r>
              <w:rPr>
                <w:rFonts w:hint="eastAsia" w:eastAsia="宋体" w:cs="Times New Roman"/>
                <w:color w:val="auto"/>
                <w:sz w:val="24"/>
                <w:szCs w:val="24"/>
                <w:lang w:val="en-US" w:eastAsia="zh-CN"/>
              </w:rPr>
              <w:t>，单位为m；</w:t>
            </w:r>
          </w:p>
          <w:p w14:paraId="094E2860">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 xml:space="preserve">      h——为罩口至污染源的距离，单位为m，本次取1m；</w:t>
            </w:r>
          </w:p>
          <w:p w14:paraId="4EFA27FF">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 xml:space="preserve">      V</w:t>
            </w:r>
            <w:r>
              <w:rPr>
                <w:rFonts w:hint="eastAsia" w:eastAsia="宋体" w:cs="Times New Roman"/>
                <w:color w:val="auto"/>
                <w:sz w:val="24"/>
                <w:szCs w:val="24"/>
                <w:vertAlign w:val="subscript"/>
                <w:lang w:val="en-US" w:eastAsia="zh-CN"/>
              </w:rPr>
              <w:t>0</w:t>
            </w:r>
            <w:r>
              <w:rPr>
                <w:rFonts w:hint="eastAsia" w:cs="Times New Roman"/>
                <w:color w:val="auto"/>
                <w:sz w:val="24"/>
                <w:szCs w:val="24"/>
                <w:vertAlign w:val="baseline"/>
                <w:lang w:val="en-US" w:eastAsia="zh-CN"/>
              </w:rPr>
              <w:t>：</w:t>
            </w:r>
            <w:r>
              <w:rPr>
                <w:rFonts w:hint="eastAsia" w:eastAsia="宋体" w:cs="Times New Roman"/>
                <w:color w:val="auto"/>
                <w:sz w:val="24"/>
                <w:szCs w:val="24"/>
                <w:lang w:val="en-US" w:eastAsia="zh-CN"/>
              </w:rPr>
              <w:t>污染源气体流速，一般在0.5m/s~1.5m/s，本次评价取均值</w:t>
            </w:r>
            <w:r>
              <w:rPr>
                <w:rFonts w:hint="eastAsia" w:cs="Times New Roman"/>
                <w:color w:val="auto"/>
                <w:sz w:val="24"/>
                <w:szCs w:val="24"/>
                <w:lang w:val="en-US" w:eastAsia="zh-CN"/>
              </w:rPr>
              <w:t>1.2</w:t>
            </w:r>
            <w:r>
              <w:rPr>
                <w:rFonts w:hint="eastAsia" w:eastAsia="宋体" w:cs="Times New Roman"/>
                <w:color w:val="auto"/>
                <w:sz w:val="24"/>
                <w:szCs w:val="24"/>
                <w:lang w:val="en-US" w:eastAsia="zh-CN"/>
              </w:rPr>
              <w:t>m/s根据建设单位提供资料</w:t>
            </w:r>
            <w:r>
              <w:rPr>
                <w:rFonts w:hint="eastAsia" w:cs="Times New Roman"/>
                <w:color w:val="auto"/>
                <w:sz w:val="24"/>
                <w:szCs w:val="24"/>
                <w:lang w:val="en-US" w:eastAsia="zh-CN"/>
              </w:rPr>
              <w:t>：</w:t>
            </w:r>
          </w:p>
          <w:p w14:paraId="0EA3429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投料废气需设置1个集气罩</w:t>
            </w:r>
            <w:r>
              <w:rPr>
                <w:rFonts w:hint="eastAsia" w:eastAsia="宋体" w:cs="Times New Roman"/>
                <w:color w:val="auto"/>
                <w:sz w:val="24"/>
                <w:szCs w:val="24"/>
                <w:lang w:val="en-US" w:eastAsia="zh-CN"/>
              </w:rPr>
              <w:t>尺寸</w:t>
            </w:r>
            <w:r>
              <w:rPr>
                <w:rFonts w:hint="eastAsia"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0.4</w:t>
            </w:r>
            <w:r>
              <w:rPr>
                <w:rFonts w:hint="eastAsia" w:eastAsia="宋体" w:cs="Times New Roman"/>
                <w:color w:val="auto"/>
                <w:sz w:val="24"/>
                <w:szCs w:val="24"/>
                <w:highlight w:val="none"/>
                <w:lang w:val="en-US" w:eastAsia="zh-CN"/>
              </w:rPr>
              <w:t>m×0.</w:t>
            </w:r>
            <w:r>
              <w:rPr>
                <w:rFonts w:hint="eastAsia" w:cs="Times New Roman"/>
                <w:color w:val="auto"/>
                <w:sz w:val="24"/>
                <w:szCs w:val="24"/>
                <w:highlight w:val="none"/>
                <w:lang w:val="en-US" w:eastAsia="zh-CN"/>
              </w:rPr>
              <w:t>4</w:t>
            </w:r>
            <w:r>
              <w:rPr>
                <w:rFonts w:hint="eastAsia" w:eastAsia="宋体" w:cs="Times New Roman"/>
                <w:color w:val="auto"/>
                <w:sz w:val="24"/>
                <w:szCs w:val="24"/>
                <w:highlight w:val="none"/>
                <w:lang w:val="en-US" w:eastAsia="zh-CN"/>
              </w:rPr>
              <w:t>m；</w:t>
            </w:r>
            <w:r>
              <w:rPr>
                <w:rFonts w:hint="eastAsia" w:eastAsia="宋体" w:cs="Times New Roman"/>
                <w:color w:val="auto"/>
                <w:sz w:val="24"/>
                <w:szCs w:val="24"/>
                <w:lang w:val="en-US" w:eastAsia="zh-CN"/>
              </w:rPr>
              <w:t>经计算本项目设置的集气罩集气风量最低为</w:t>
            </w:r>
            <w:r>
              <w:rPr>
                <w:rFonts w:hint="eastAsia" w:cs="Times New Roman"/>
                <w:color w:val="auto"/>
                <w:sz w:val="24"/>
                <w:szCs w:val="24"/>
                <w:lang w:val="en-US" w:eastAsia="zh-CN"/>
              </w:rPr>
              <w:t>4838.4</w:t>
            </w:r>
            <w:r>
              <w:rPr>
                <w:rFonts w:hint="eastAsia" w:eastAsia="宋体" w:cs="Times New Roman"/>
                <w:color w:val="auto"/>
                <w:sz w:val="24"/>
                <w:szCs w:val="24"/>
                <w:lang w:val="en-US" w:eastAsia="zh-CN"/>
              </w:rPr>
              <w:t>m</w:t>
            </w:r>
            <w:r>
              <w:rPr>
                <w:rFonts w:hint="eastAsia" w:eastAsia="宋体" w:cs="Times New Roman"/>
                <w:color w:val="auto"/>
                <w:sz w:val="24"/>
                <w:szCs w:val="24"/>
                <w:vertAlign w:val="superscript"/>
                <w:lang w:val="en-US" w:eastAsia="zh-CN"/>
              </w:rPr>
              <w:t>3</w:t>
            </w:r>
            <w:r>
              <w:rPr>
                <w:rFonts w:hint="eastAsia" w:eastAsia="宋体" w:cs="Times New Roman"/>
                <w:color w:val="auto"/>
                <w:sz w:val="24"/>
                <w:szCs w:val="24"/>
                <w:lang w:val="en-US" w:eastAsia="zh-CN"/>
              </w:rPr>
              <w:t>/h，为保证抽风效果，风机设计风量为</w:t>
            </w:r>
            <w:r>
              <w:rPr>
                <w:rFonts w:hint="eastAsia" w:cs="Times New Roman"/>
                <w:color w:val="auto"/>
                <w:sz w:val="24"/>
                <w:szCs w:val="24"/>
                <w:lang w:val="en-US" w:eastAsia="zh-CN"/>
              </w:rPr>
              <w:t>5000</w:t>
            </w:r>
            <w:r>
              <w:rPr>
                <w:rFonts w:hint="default" w:ascii="Times New Roman" w:hAnsi="Times New Roman" w:eastAsia="宋体" w:cs="Times New Roman"/>
                <w:color w:val="auto"/>
                <w:sz w:val="24"/>
                <w:szCs w:val="24"/>
                <w:lang w:val="en-US" w:eastAsia="zh-CN"/>
              </w:rPr>
              <w:t>m</w:t>
            </w:r>
            <w:r>
              <w:rPr>
                <w:rFonts w:hint="eastAsia"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p w14:paraId="287B9E7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val="0"/>
                <w:bCs/>
                <w:color w:val="auto"/>
                <w:sz w:val="24"/>
                <w:u w:val="none" w:color="auto"/>
                <w:lang w:eastAsia="zh-CN"/>
              </w:rPr>
            </w:pPr>
            <w:r>
              <w:rPr>
                <w:rFonts w:hint="eastAsia" w:cs="Times New Roman"/>
                <w:b/>
                <w:bCs w:val="0"/>
                <w:color w:val="auto"/>
                <w:sz w:val="24"/>
                <w:u w:val="none" w:color="auto"/>
                <w:lang w:val="en-US" w:eastAsia="zh-CN"/>
              </w:rPr>
              <w:fldChar w:fldCharType="begin"/>
            </w:r>
            <w:r>
              <w:rPr>
                <w:rFonts w:hint="eastAsia" w:cs="Times New Roman"/>
                <w:b/>
                <w:bCs w:val="0"/>
                <w:color w:val="auto"/>
                <w:sz w:val="24"/>
                <w:u w:val="none" w:color="auto"/>
                <w:lang w:val="en-US" w:eastAsia="zh-CN"/>
              </w:rPr>
              <w:instrText xml:space="preserve"> = 6 \* GB3 \* MERGEFORMAT </w:instrText>
            </w:r>
            <w:r>
              <w:rPr>
                <w:rFonts w:hint="eastAsia" w:cs="Times New Roman"/>
                <w:b/>
                <w:bCs w:val="0"/>
                <w:color w:val="auto"/>
                <w:sz w:val="24"/>
                <w:u w:val="none" w:color="auto"/>
                <w:lang w:val="en-US" w:eastAsia="zh-CN"/>
              </w:rPr>
              <w:fldChar w:fldCharType="separate"/>
            </w:r>
            <w:r>
              <w:rPr>
                <w:color w:val="auto"/>
              </w:rPr>
              <w:t>⑥</w:t>
            </w:r>
            <w:r>
              <w:rPr>
                <w:rFonts w:hint="eastAsia" w:cs="Times New Roman"/>
                <w:b/>
                <w:bCs w:val="0"/>
                <w:color w:val="auto"/>
                <w:sz w:val="24"/>
                <w:u w:val="none" w:color="auto"/>
                <w:lang w:val="en-US" w:eastAsia="zh-CN"/>
              </w:rPr>
              <w:fldChar w:fldCharType="end"/>
            </w:r>
            <w:r>
              <w:rPr>
                <w:rFonts w:hint="eastAsia" w:cs="Times New Roman"/>
                <w:b w:val="0"/>
                <w:bCs/>
                <w:color w:val="auto"/>
                <w:sz w:val="24"/>
                <w:u w:val="none" w:color="auto"/>
                <w:lang w:eastAsia="zh-CN"/>
              </w:rPr>
              <w:t>卸料起尘</w:t>
            </w:r>
          </w:p>
          <w:p w14:paraId="4E7440A3">
            <w:pPr>
              <w:adjustRightInd w:val="0"/>
              <w:snapToGrid w:val="0"/>
              <w:spacing w:line="348" w:lineRule="auto"/>
              <w:ind w:firstLine="480" w:firstLineChars="200"/>
              <w:rPr>
                <w:color w:val="auto"/>
                <w:sz w:val="24"/>
              </w:rPr>
            </w:pPr>
            <w:r>
              <w:rPr>
                <w:rFonts w:hint="eastAsia"/>
                <w:color w:val="auto"/>
                <w:sz w:val="24"/>
              </w:rPr>
              <w:t>项目</w:t>
            </w:r>
            <w:r>
              <w:rPr>
                <w:rFonts w:hint="eastAsia"/>
                <w:color w:val="auto"/>
                <w:sz w:val="24"/>
                <w:lang w:eastAsia="zh-CN"/>
              </w:rPr>
              <w:t>在</w:t>
            </w:r>
            <w:r>
              <w:rPr>
                <w:color w:val="auto"/>
                <w:sz w:val="24"/>
              </w:rPr>
              <w:t>装卸过程中会产生扬尘，本项目</w:t>
            </w:r>
            <w:r>
              <w:rPr>
                <w:rFonts w:hint="eastAsia"/>
                <w:color w:val="auto"/>
                <w:sz w:val="24"/>
              </w:rPr>
              <w:t>煤矸石</w:t>
            </w:r>
            <w:r>
              <w:rPr>
                <w:rFonts w:hint="eastAsia"/>
                <w:color w:val="auto"/>
                <w:sz w:val="24"/>
                <w:lang w:eastAsia="zh-CN"/>
              </w:rPr>
              <w:t>、生石灰、炉渣总计</w:t>
            </w:r>
            <w:r>
              <w:rPr>
                <w:rFonts w:hint="eastAsia"/>
                <w:color w:val="000000" w:themeColor="text1"/>
                <w:sz w:val="24"/>
                <w:lang w:val="en-US" w:eastAsia="zh-CN"/>
                <w14:textFill>
                  <w14:solidFill>
                    <w14:schemeClr w14:val="tx1"/>
                  </w14:solidFill>
                </w14:textFill>
              </w:rPr>
              <w:t>10500吨</w:t>
            </w:r>
            <w:r>
              <w:rPr>
                <w:rFonts w:hint="eastAsia"/>
                <w:color w:val="000000" w:themeColor="text1"/>
                <w:sz w:val="24"/>
                <w:lang w:eastAsia="zh-CN"/>
                <w14:textFill>
                  <w14:solidFill>
                    <w14:schemeClr w14:val="tx1"/>
                  </w14:solidFill>
                </w14:textFill>
              </w:rPr>
              <w:t>堆放于封闭式原料仓库中</w:t>
            </w:r>
            <w:r>
              <w:rPr>
                <w:color w:val="000000" w:themeColor="text1"/>
                <w:sz w:val="24"/>
                <w14:textFill>
                  <w14:solidFill>
                    <w14:schemeClr w14:val="tx1"/>
                  </w14:solidFill>
                </w14:textFill>
              </w:rPr>
              <w:t>，</w:t>
            </w:r>
            <w:r>
              <w:rPr>
                <w:rFonts w:hint="eastAsia"/>
                <w:color w:val="auto"/>
                <w:sz w:val="24"/>
              </w:rPr>
              <w:t>参照《逸散性工业粉尘控制技术》《中国环境科学出版社》中“粒料加工厂逸散尘的排放因子”，原料进场卸料的排放因子为0.02kg/t（卸料），</w:t>
            </w:r>
            <w:r>
              <w:rPr>
                <w:color w:val="auto"/>
                <w:sz w:val="24"/>
              </w:rPr>
              <w:t>计算出卸料起尘量为</w:t>
            </w:r>
            <w:r>
              <w:rPr>
                <w:rFonts w:hint="eastAsia"/>
                <w:color w:val="auto"/>
                <w:sz w:val="24"/>
                <w:lang w:val="en-US" w:eastAsia="zh-CN"/>
              </w:rPr>
              <w:t>0.21t/a，</w:t>
            </w:r>
            <w:r>
              <w:rPr>
                <w:color w:val="auto"/>
                <w:sz w:val="24"/>
              </w:rPr>
              <w:t>平均每天卸料以</w:t>
            </w:r>
            <w:r>
              <w:rPr>
                <w:rFonts w:hint="eastAsia"/>
                <w:color w:val="auto"/>
                <w:sz w:val="24"/>
                <w:lang w:val="en-US" w:eastAsia="zh-CN"/>
              </w:rPr>
              <w:t>2</w:t>
            </w:r>
            <w:r>
              <w:rPr>
                <w:rFonts w:eastAsia="TimesNewRoman"/>
                <w:color w:val="auto"/>
                <w:sz w:val="24"/>
              </w:rPr>
              <w:t>h</w:t>
            </w:r>
            <w:r>
              <w:rPr>
                <w:color w:val="auto"/>
                <w:sz w:val="24"/>
              </w:rPr>
              <w:t>计，卸料扬尘产生速率为</w:t>
            </w:r>
            <w:r>
              <w:rPr>
                <w:rFonts w:hint="eastAsia"/>
                <w:color w:val="auto"/>
                <w:sz w:val="24"/>
                <w:lang w:val="en-US" w:eastAsia="zh-CN"/>
              </w:rPr>
              <w:t>0.35</w:t>
            </w:r>
            <w:r>
              <w:rPr>
                <w:rFonts w:eastAsia="TimesNewRoman"/>
                <w:color w:val="auto"/>
                <w:sz w:val="24"/>
              </w:rPr>
              <w:t>kg/h</w:t>
            </w:r>
            <w:r>
              <w:rPr>
                <w:color w:val="auto"/>
                <w:sz w:val="24"/>
              </w:rPr>
              <w:t>。项目</w:t>
            </w:r>
            <w:r>
              <w:rPr>
                <w:rFonts w:hint="eastAsia"/>
                <w:color w:val="auto"/>
                <w:sz w:val="24"/>
              </w:rPr>
              <w:t>煤矸石</w:t>
            </w:r>
            <w:r>
              <w:rPr>
                <w:rFonts w:hint="eastAsia"/>
                <w:color w:val="auto"/>
                <w:sz w:val="24"/>
                <w:lang w:eastAsia="zh-CN"/>
              </w:rPr>
              <w:t>、生石灰、炉渣</w:t>
            </w:r>
            <w:r>
              <w:rPr>
                <w:color w:val="auto"/>
                <w:sz w:val="24"/>
              </w:rPr>
              <w:t>在</w:t>
            </w:r>
            <w:r>
              <w:rPr>
                <w:rFonts w:hint="eastAsia"/>
                <w:color w:val="auto"/>
                <w:sz w:val="24"/>
                <w:lang w:eastAsia="zh-CN"/>
              </w:rPr>
              <w:t>封闭的</w:t>
            </w:r>
            <w:r>
              <w:rPr>
                <w:color w:val="auto"/>
                <w:sz w:val="24"/>
              </w:rPr>
              <w:t>原料库内进行装卸操作，且装卸过程中开启雾炮进行洒水降尘，装卸时降低物料抛洒高度。</w:t>
            </w:r>
            <w:r>
              <w:rPr>
                <w:rFonts w:hint="eastAsia"/>
                <w:color w:val="auto"/>
                <w:sz w:val="24"/>
              </w:rPr>
              <w:t>煤矸石</w:t>
            </w:r>
            <w:r>
              <w:rPr>
                <w:rFonts w:hint="eastAsia"/>
                <w:color w:val="auto"/>
                <w:sz w:val="24"/>
                <w:lang w:eastAsia="zh-CN"/>
              </w:rPr>
              <w:t>、生石灰、炉渣</w:t>
            </w:r>
            <w:r>
              <w:rPr>
                <w:color w:val="auto"/>
                <w:sz w:val="24"/>
              </w:rPr>
              <w:t>装卸扬尘采取治理措施后，扬尘去除率可达</w:t>
            </w:r>
            <w:r>
              <w:rPr>
                <w:rFonts w:hint="eastAsia" w:eastAsia="TimesNewRoman"/>
                <w:color w:val="auto"/>
                <w:sz w:val="24"/>
              </w:rPr>
              <w:t>80</w:t>
            </w:r>
            <w:r>
              <w:rPr>
                <w:rFonts w:eastAsia="TimesNewRoman"/>
                <w:color w:val="auto"/>
                <w:sz w:val="24"/>
              </w:rPr>
              <w:t>%</w:t>
            </w:r>
            <w:r>
              <w:rPr>
                <w:color w:val="auto"/>
                <w:sz w:val="24"/>
              </w:rPr>
              <w:t>，装卸</w:t>
            </w:r>
            <w:r>
              <w:rPr>
                <w:rFonts w:hint="eastAsia"/>
                <w:color w:val="auto"/>
                <w:sz w:val="24"/>
                <w:lang w:eastAsia="zh-CN"/>
              </w:rPr>
              <w:t>起尘</w:t>
            </w:r>
            <w:r>
              <w:rPr>
                <w:color w:val="auto"/>
                <w:sz w:val="24"/>
              </w:rPr>
              <w:t>最终排放量为0.0</w:t>
            </w:r>
            <w:r>
              <w:rPr>
                <w:rFonts w:hint="eastAsia"/>
                <w:color w:val="auto"/>
                <w:sz w:val="24"/>
                <w:lang w:val="en-US" w:eastAsia="zh-CN"/>
              </w:rPr>
              <w:t>42</w:t>
            </w:r>
            <w:r>
              <w:rPr>
                <w:color w:val="auto"/>
                <w:sz w:val="24"/>
              </w:rPr>
              <w:t>t/a，排放速率</w:t>
            </w:r>
            <w:r>
              <w:rPr>
                <w:rFonts w:hint="eastAsia" w:eastAsia="宋体"/>
                <w:color w:val="auto"/>
                <w:sz w:val="24"/>
                <w:lang w:val="en-US" w:eastAsia="zh-CN"/>
              </w:rPr>
              <w:t>0.00</w:t>
            </w:r>
            <w:r>
              <w:rPr>
                <w:rFonts w:hint="eastAsia"/>
                <w:color w:val="auto"/>
                <w:sz w:val="24"/>
                <w:lang w:val="en-US" w:eastAsia="zh-CN"/>
              </w:rPr>
              <w:t>7</w:t>
            </w:r>
            <w:r>
              <w:rPr>
                <w:rFonts w:eastAsia="TimesNewRoman"/>
                <w:color w:val="auto"/>
                <w:sz w:val="24"/>
              </w:rPr>
              <w:t>kg/h</w:t>
            </w:r>
            <w:r>
              <w:rPr>
                <w:color w:val="auto"/>
                <w:sz w:val="24"/>
              </w:rPr>
              <w:t>，以无组织形式排放</w:t>
            </w:r>
            <w:r>
              <w:rPr>
                <w:bCs/>
                <w:color w:val="auto"/>
                <w:sz w:val="24"/>
              </w:rPr>
              <w:t>。</w:t>
            </w:r>
          </w:p>
          <w:p w14:paraId="7E4ADE8F">
            <w:pPr>
              <w:adjustRightInd w:val="0"/>
              <w:snapToGrid w:val="0"/>
              <w:spacing w:line="348" w:lineRule="auto"/>
              <w:ind w:firstLine="482" w:firstLineChars="200"/>
              <w:rPr>
                <w:rFonts w:hint="eastAsia" w:eastAsia="宋体"/>
                <w:b/>
                <w:bCs/>
                <w:color w:val="auto"/>
                <w:sz w:val="24"/>
                <w:lang w:eastAsia="zh-CN"/>
              </w:rPr>
            </w:pPr>
            <w:r>
              <w:rPr>
                <w:rFonts w:hint="eastAsia" w:ascii="Times New Roman" w:hAnsi="Times New Roman" w:eastAsia="宋体" w:cs="Times New Roman"/>
                <w:b/>
                <w:bCs/>
                <w:color w:val="auto"/>
                <w:sz w:val="24"/>
                <w:u w:val="none" w:color="auto"/>
                <w:lang w:val="en-US" w:eastAsia="zh-CN"/>
              </w:rPr>
              <w:fldChar w:fldCharType="begin"/>
            </w:r>
            <w:r>
              <w:rPr>
                <w:rFonts w:hint="eastAsia" w:ascii="Times New Roman" w:hAnsi="Times New Roman" w:eastAsia="宋体" w:cs="Times New Roman"/>
                <w:b/>
                <w:bCs/>
                <w:color w:val="auto"/>
                <w:sz w:val="24"/>
                <w:u w:val="none" w:color="auto"/>
                <w:lang w:val="en-US" w:eastAsia="zh-CN"/>
              </w:rPr>
              <w:instrText xml:space="preserve"> = 7 \* GB3 \* MERGEFORMAT </w:instrText>
            </w:r>
            <w:r>
              <w:rPr>
                <w:rFonts w:hint="eastAsia" w:ascii="Times New Roman" w:hAnsi="Times New Roman" w:eastAsia="宋体" w:cs="Times New Roman"/>
                <w:b/>
                <w:bCs/>
                <w:color w:val="auto"/>
                <w:sz w:val="24"/>
                <w:u w:val="none" w:color="auto"/>
                <w:lang w:val="en-US" w:eastAsia="zh-CN"/>
              </w:rPr>
              <w:fldChar w:fldCharType="separate"/>
            </w:r>
            <w:r>
              <w:rPr>
                <w:color w:val="auto"/>
              </w:rPr>
              <w:t>⑦</w:t>
            </w:r>
            <w:r>
              <w:rPr>
                <w:rFonts w:hint="eastAsia" w:ascii="Times New Roman" w:hAnsi="Times New Roman" w:eastAsia="宋体" w:cs="Times New Roman"/>
                <w:b/>
                <w:bCs/>
                <w:color w:val="auto"/>
                <w:sz w:val="24"/>
                <w:u w:val="none" w:color="auto"/>
                <w:lang w:val="en-US" w:eastAsia="zh-CN"/>
              </w:rPr>
              <w:fldChar w:fldCharType="end"/>
            </w:r>
            <w:r>
              <w:rPr>
                <w:rFonts w:hint="eastAsia" w:ascii="Times New Roman" w:hAnsi="Times New Roman" w:eastAsia="宋体" w:cs="Times New Roman"/>
                <w:b w:val="0"/>
                <w:bCs w:val="0"/>
                <w:color w:val="auto"/>
                <w:sz w:val="24"/>
                <w:lang w:eastAsia="zh-CN"/>
              </w:rPr>
              <w:t>污</w:t>
            </w:r>
            <w:r>
              <w:rPr>
                <w:rFonts w:hint="eastAsia"/>
                <w:b w:val="0"/>
                <w:bCs w:val="0"/>
                <w:color w:val="auto"/>
                <w:sz w:val="24"/>
              </w:rPr>
              <w:t>泥</w:t>
            </w:r>
            <w:r>
              <w:rPr>
                <w:rFonts w:hint="eastAsia"/>
                <w:b w:val="0"/>
                <w:bCs w:val="0"/>
                <w:color w:val="auto"/>
                <w:sz w:val="24"/>
                <w:lang w:eastAsia="zh-CN"/>
              </w:rPr>
              <w:t>贮存、矿化、陈化废气</w:t>
            </w:r>
          </w:p>
          <w:p w14:paraId="238031CD">
            <w:pPr>
              <w:adjustRightInd w:val="0"/>
              <w:snapToGrid w:val="0"/>
              <w:spacing w:line="348" w:lineRule="auto"/>
              <w:ind w:firstLine="480" w:firstLineChars="200"/>
              <w:rPr>
                <w:rFonts w:hint="eastAsia" w:eastAsia="宋体"/>
                <w:b/>
                <w:bCs/>
                <w:color w:val="auto"/>
                <w:sz w:val="24"/>
                <w:lang w:val="en-US" w:eastAsia="zh-CN"/>
              </w:rPr>
            </w:pPr>
            <w:r>
              <w:rPr>
                <w:rFonts w:hint="eastAsia"/>
                <w:color w:val="auto"/>
                <w:sz w:val="24"/>
              </w:rPr>
              <w:t>项目使用的原辅料污泥在厂区原料</w:t>
            </w:r>
            <w:r>
              <w:rPr>
                <w:rFonts w:hint="eastAsia"/>
                <w:color w:val="auto"/>
                <w:sz w:val="24"/>
                <w:lang w:eastAsia="zh-CN"/>
              </w:rPr>
              <w:t>仓库</w:t>
            </w:r>
            <w:r>
              <w:rPr>
                <w:rFonts w:hint="eastAsia"/>
                <w:color w:val="auto"/>
                <w:sz w:val="24"/>
              </w:rPr>
              <w:t>内贮存，过程中会产生少量恶臭气体挥发形成污泥废气，</w:t>
            </w:r>
            <w:r>
              <w:rPr>
                <w:rFonts w:hint="eastAsia"/>
                <w:color w:val="auto"/>
                <w:sz w:val="24"/>
                <w:lang w:eastAsia="zh-CN"/>
              </w:rPr>
              <w:t>（主要来源于污泥）。恶臭</w:t>
            </w:r>
            <w:r>
              <w:rPr>
                <w:rFonts w:hint="eastAsia"/>
                <w:color w:val="auto"/>
                <w:sz w:val="24"/>
              </w:rPr>
              <w:t>废气来源于污泥中腐烂有机质组分的发酵产生的异味组分，如硫化氢、氨、臭气浓度等。</w:t>
            </w:r>
            <w:r>
              <w:rPr>
                <w:rFonts w:hint="eastAsia"/>
                <w:color w:val="auto"/>
                <w:sz w:val="24"/>
                <w:lang w:eastAsia="zh-CN"/>
              </w:rPr>
              <w:t>项目</w:t>
            </w:r>
            <w:r>
              <w:rPr>
                <w:rFonts w:hint="eastAsia" w:ascii="Times New Roman" w:hAnsi="Times New Roman" w:eastAsia="宋体" w:cs="Times New Roman"/>
                <w:b w:val="0"/>
                <w:bCs w:val="0"/>
                <w:color w:val="auto"/>
                <w:sz w:val="24"/>
                <w:lang w:eastAsia="zh-CN"/>
              </w:rPr>
              <w:t>污</w:t>
            </w:r>
            <w:r>
              <w:rPr>
                <w:rFonts w:hint="eastAsia"/>
                <w:b w:val="0"/>
                <w:bCs w:val="0"/>
                <w:color w:val="auto"/>
                <w:sz w:val="24"/>
              </w:rPr>
              <w:t>泥</w:t>
            </w:r>
            <w:r>
              <w:rPr>
                <w:rFonts w:hint="eastAsia"/>
                <w:b w:val="0"/>
                <w:bCs w:val="0"/>
                <w:color w:val="auto"/>
                <w:sz w:val="24"/>
                <w:lang w:eastAsia="zh-CN"/>
              </w:rPr>
              <w:t>贮存</w:t>
            </w:r>
            <w:r>
              <w:rPr>
                <w:rFonts w:hint="eastAsia"/>
                <w:b w:val="0"/>
                <w:bCs w:val="0"/>
                <w:color w:val="auto"/>
                <w:sz w:val="24"/>
              </w:rPr>
              <w:t>废气</w:t>
            </w:r>
            <w:r>
              <w:rPr>
                <w:rFonts w:hint="eastAsia"/>
                <w:b w:val="0"/>
                <w:bCs w:val="0"/>
                <w:color w:val="auto"/>
                <w:sz w:val="24"/>
                <w:lang w:eastAsia="zh-CN"/>
              </w:rPr>
              <w:t>、发酵废气采用密闭收集，汇合后经生物除臭塔除臭，通过</w:t>
            </w:r>
            <w:r>
              <w:rPr>
                <w:rFonts w:hint="eastAsia"/>
                <w:b w:val="0"/>
                <w:bCs w:val="0"/>
                <w:color w:val="auto"/>
                <w:sz w:val="24"/>
                <w:lang w:val="en-US" w:eastAsia="zh-CN"/>
              </w:rPr>
              <w:t>15m高排气筒DA006排放。</w:t>
            </w:r>
          </w:p>
          <w:p w14:paraId="4468E7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原料堆放过程臭气浓度产生值参照《城市污水处理厂臭气治理措施分析》《资源节约与环保》2019年第4期（邱赟、尹基宇）污泥脱水间气味值420（无纲量）。原料堆放过程臭气产生浓度参考《CTB 污泥处理工艺的臭气控制效果研究》（中国科学院 地理科学与资源研究所环境修复研究中心，陈俊）中表2混料车间内的各测点的H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S和NH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平均均值检测浓度，分别为NH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：1.17mL/m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（氨的相对密度为0.771g/L，约0.9mg/m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S：0.15mL/m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（硫化氢的相对密度为1.189g/L，约0.18mg/m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）。CTB污泥处理工艺即污泥好氧发酵工艺，本项目</w:t>
            </w:r>
            <w:r>
              <w:rPr>
                <w:rFonts w:hint="eastAsia" w:ascii="Times New Roman" w:hAnsi="Times New Roman" w:eastAsia="宋体" w:cs="Times New Roman"/>
                <w:color w:val="auto"/>
                <w:sz w:val="24"/>
                <w:szCs w:val="24"/>
                <w:lang w:eastAsia="zh-CN"/>
              </w:rPr>
              <w:t>产品生产</w:t>
            </w:r>
            <w:r>
              <w:rPr>
                <w:rFonts w:hint="default" w:ascii="Times New Roman" w:hAnsi="Times New Roman" w:eastAsia="宋体" w:cs="Times New Roman"/>
                <w:color w:val="auto"/>
                <w:sz w:val="24"/>
                <w:szCs w:val="24"/>
              </w:rPr>
              <w:t>过程与该研究的原料和工艺相似，因此具有一定可比性。</w:t>
            </w:r>
          </w:p>
          <w:p w14:paraId="2D06E5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eastAsia="zh-CN"/>
              </w:rPr>
            </w:pPr>
            <w:r>
              <w:rPr>
                <w:rFonts w:hint="eastAsia" w:cs="Times New Roman"/>
                <w:color w:val="auto"/>
                <w:sz w:val="24"/>
                <w:szCs w:val="24"/>
                <w:lang w:eastAsia="zh-CN"/>
              </w:rPr>
              <w:t>矿化、陈化</w:t>
            </w:r>
            <w:r>
              <w:rPr>
                <w:rFonts w:hint="default" w:ascii="Times New Roman" w:hAnsi="Times New Roman" w:eastAsia="宋体" w:cs="Times New Roman"/>
                <w:color w:val="auto"/>
                <w:sz w:val="24"/>
                <w:szCs w:val="24"/>
              </w:rPr>
              <w:t>臭气浓度产生值参照《城市污水处理厂臭气治理措施分析》《资源节约与环保》2019年第4期（邱赟、尹基宇）污泥脱水间气味值420（无纲量）。项目臭气污染物产生浓度参考《CTB污泥处理工艺的臭气控制效果研究》（中国科学院地理科学与资源研究所环境修复研究中心，陈俊）中表3的发酵车间过道所有测点的强制换气状态时的平均值分别为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：0.237ml/m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（氨的相对密度为0.771g/L，约0.18mg/m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S：0.13ml/m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（硫化氢的相对密度为1.189g/L，约0.156mg/m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）。CTB污泥处理工艺即污泥好氧发酵工艺，本项目生产营养土过程与该研究的原料和工艺相似，因此具有一定可比性。</w:t>
            </w:r>
          </w:p>
          <w:p w14:paraId="6AE0129D">
            <w:pPr>
              <w:adjustRightInd w:val="0"/>
              <w:snapToGrid w:val="0"/>
              <w:spacing w:line="348" w:lineRule="auto"/>
              <w:ind w:firstLine="480" w:firstLineChars="200"/>
              <w:rPr>
                <w:rFonts w:hint="eastAsia"/>
                <w:color w:val="auto"/>
                <w:sz w:val="24"/>
                <w:lang w:eastAsia="zh-CN"/>
              </w:rPr>
            </w:pPr>
            <w:r>
              <w:rPr>
                <w:rFonts w:hint="eastAsia"/>
                <w:color w:val="auto"/>
                <w:sz w:val="24"/>
                <w:lang w:eastAsia="zh-CN"/>
              </w:rPr>
              <w:t>本项目原料堆放区占地面积</w:t>
            </w:r>
            <w:r>
              <w:rPr>
                <w:rFonts w:hint="eastAsia"/>
                <w:color w:val="auto"/>
                <w:sz w:val="24"/>
                <w:lang w:val="en-US" w:eastAsia="zh-CN"/>
              </w:rPr>
              <w:t>5</w:t>
            </w:r>
            <w:r>
              <w:rPr>
                <w:rFonts w:hint="eastAsia"/>
                <w:color w:val="auto"/>
                <w:sz w:val="24"/>
                <w:lang w:eastAsia="zh-CN"/>
              </w:rPr>
              <w:t>00m</w:t>
            </w:r>
            <w:r>
              <w:rPr>
                <w:rFonts w:hint="eastAsia"/>
                <w:color w:val="auto"/>
                <w:sz w:val="24"/>
                <w:vertAlign w:val="superscript"/>
                <w:lang w:eastAsia="zh-CN"/>
              </w:rPr>
              <w:t>2</w:t>
            </w:r>
            <w:r>
              <w:rPr>
                <w:rFonts w:hint="eastAsia"/>
                <w:color w:val="auto"/>
                <w:sz w:val="24"/>
                <w:lang w:eastAsia="zh-CN"/>
              </w:rPr>
              <w:t>，高度</w:t>
            </w:r>
            <w:r>
              <w:rPr>
                <w:rFonts w:hint="eastAsia"/>
                <w:color w:val="auto"/>
                <w:sz w:val="24"/>
                <w:lang w:val="en-US" w:eastAsia="zh-CN"/>
              </w:rPr>
              <w:t>6m，生物矿化仓</w:t>
            </w:r>
            <w:r>
              <w:rPr>
                <w:rFonts w:hint="eastAsia"/>
                <w:color w:val="auto"/>
                <w:sz w:val="24"/>
                <w:lang w:eastAsia="zh-CN"/>
              </w:rPr>
              <w:t>占地面积</w:t>
            </w:r>
            <w:r>
              <w:rPr>
                <w:rFonts w:hint="eastAsia"/>
                <w:color w:val="auto"/>
                <w:sz w:val="24"/>
                <w:lang w:val="en-US" w:eastAsia="zh-CN"/>
              </w:rPr>
              <w:t>24</w:t>
            </w:r>
            <w:r>
              <w:rPr>
                <w:rFonts w:hint="eastAsia"/>
                <w:color w:val="auto"/>
                <w:sz w:val="24"/>
                <w:lang w:eastAsia="zh-CN"/>
              </w:rPr>
              <w:t>m</w:t>
            </w:r>
            <w:r>
              <w:rPr>
                <w:rFonts w:hint="eastAsia"/>
                <w:color w:val="auto"/>
                <w:sz w:val="24"/>
                <w:vertAlign w:val="superscript"/>
                <w:lang w:eastAsia="zh-CN"/>
              </w:rPr>
              <w:t>2</w:t>
            </w:r>
            <w:r>
              <w:rPr>
                <w:rFonts w:hint="eastAsia"/>
                <w:color w:val="auto"/>
                <w:sz w:val="24"/>
                <w:lang w:eastAsia="zh-CN"/>
              </w:rPr>
              <w:t>，高度约为</w:t>
            </w:r>
            <w:r>
              <w:rPr>
                <w:rFonts w:hint="eastAsia"/>
                <w:color w:val="auto"/>
                <w:sz w:val="24"/>
                <w:lang w:val="en-US" w:eastAsia="zh-CN"/>
              </w:rPr>
              <w:t>5.4</w:t>
            </w:r>
            <w:r>
              <w:rPr>
                <w:rFonts w:hint="eastAsia"/>
                <w:color w:val="auto"/>
                <w:sz w:val="24"/>
                <w:lang w:eastAsia="zh-CN"/>
              </w:rPr>
              <w:t>m，</w:t>
            </w:r>
            <w:r>
              <w:rPr>
                <w:rFonts w:hint="eastAsia" w:cs="Times New Roman"/>
                <w:color w:val="auto"/>
                <w:sz w:val="24"/>
                <w:szCs w:val="24"/>
                <w:vertAlign w:val="baseline"/>
                <w:lang w:eastAsia="zh-CN"/>
              </w:rPr>
              <w:t>高温陈化仓</w:t>
            </w:r>
            <w:r>
              <w:rPr>
                <w:rFonts w:hint="eastAsia"/>
                <w:color w:val="auto"/>
                <w:sz w:val="24"/>
                <w:lang w:eastAsia="zh-CN"/>
              </w:rPr>
              <w:t>占地面积</w:t>
            </w:r>
            <w:r>
              <w:rPr>
                <w:rFonts w:hint="eastAsia"/>
                <w:color w:val="auto"/>
                <w:sz w:val="24"/>
                <w:lang w:val="en-US" w:eastAsia="zh-CN"/>
              </w:rPr>
              <w:t>24</w:t>
            </w:r>
            <w:r>
              <w:rPr>
                <w:rFonts w:hint="eastAsia"/>
                <w:color w:val="auto"/>
                <w:sz w:val="24"/>
                <w:lang w:eastAsia="zh-CN"/>
              </w:rPr>
              <w:t>m</w:t>
            </w:r>
            <w:r>
              <w:rPr>
                <w:rFonts w:hint="eastAsia"/>
                <w:color w:val="auto"/>
                <w:sz w:val="24"/>
                <w:vertAlign w:val="superscript"/>
                <w:lang w:eastAsia="zh-CN"/>
              </w:rPr>
              <w:t>2</w:t>
            </w:r>
            <w:r>
              <w:rPr>
                <w:rFonts w:hint="eastAsia"/>
                <w:color w:val="auto"/>
                <w:sz w:val="24"/>
                <w:lang w:eastAsia="zh-CN"/>
              </w:rPr>
              <w:t>，高度</w:t>
            </w:r>
            <w:r>
              <w:rPr>
                <w:rFonts w:hint="eastAsia"/>
                <w:color w:val="auto"/>
                <w:sz w:val="24"/>
                <w:lang w:val="en-US" w:eastAsia="zh-CN"/>
              </w:rPr>
              <w:t>5.4m，</w:t>
            </w:r>
            <w:r>
              <w:rPr>
                <w:rFonts w:hint="eastAsia"/>
                <w:color w:val="auto"/>
                <w:sz w:val="24"/>
                <w:lang w:eastAsia="zh-CN"/>
              </w:rPr>
              <w:t>密闭区域设置抽风系统，强制通风为6次/h，根据换气风量为车间</w:t>
            </w:r>
            <w:r>
              <w:rPr>
                <w:rFonts w:hint="eastAsia"/>
                <w:color w:val="auto"/>
                <w:sz w:val="24"/>
                <w:lang w:val="en-US" w:eastAsia="zh-CN"/>
              </w:rPr>
              <w:t>体积×换气次数核算所需风量。</w:t>
            </w:r>
          </w:p>
          <w:p w14:paraId="5C1033C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b/>
                <w:bCs/>
                <w:color w:val="auto"/>
                <w:sz w:val="24"/>
                <w:lang w:val="en-US" w:eastAsia="zh-CN"/>
              </w:rPr>
            </w:pPr>
            <w:r>
              <w:rPr>
                <w:rFonts w:hint="eastAsia"/>
                <w:b/>
                <w:bCs/>
                <w:color w:val="auto"/>
                <w:sz w:val="24"/>
                <w:lang w:eastAsia="zh-CN"/>
              </w:rPr>
              <w:t>表</w:t>
            </w:r>
            <w:r>
              <w:rPr>
                <w:rFonts w:hint="eastAsia"/>
                <w:b/>
                <w:bCs/>
                <w:color w:val="auto"/>
                <w:sz w:val="24"/>
                <w:lang w:val="en-US" w:eastAsia="zh-CN"/>
              </w:rPr>
              <w:t>4.1  各区域所需风量一览表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644"/>
              <w:gridCol w:w="1644"/>
              <w:gridCol w:w="1644"/>
              <w:gridCol w:w="1645"/>
            </w:tblGrid>
            <w:tr w14:paraId="643A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14:paraId="4DFA59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区域</w:t>
                  </w:r>
                </w:p>
              </w:tc>
              <w:tc>
                <w:tcPr>
                  <w:tcW w:w="1644" w:type="dxa"/>
                  <w:vAlign w:val="center"/>
                </w:tcPr>
                <w:p w14:paraId="1502C9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占地面积</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44" w:type="dxa"/>
                  <w:vAlign w:val="center"/>
                </w:tcPr>
                <w:p w14:paraId="59EC6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高度</w:t>
                  </w:r>
                  <w:r>
                    <w:rPr>
                      <w:rFonts w:hint="default" w:ascii="Times New Roman" w:hAnsi="Times New Roman" w:cs="Times New Roman"/>
                      <w:color w:val="auto"/>
                      <w:sz w:val="21"/>
                      <w:szCs w:val="21"/>
                      <w:vertAlign w:val="baseline"/>
                      <w:lang w:val="en-US" w:eastAsia="zh-CN"/>
                    </w:rPr>
                    <w:t>/m</w:t>
                  </w:r>
                </w:p>
              </w:tc>
              <w:tc>
                <w:tcPr>
                  <w:tcW w:w="1644" w:type="dxa"/>
                  <w:vAlign w:val="center"/>
                </w:tcPr>
                <w:p w14:paraId="505F22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换气次数</w:t>
                  </w:r>
                  <w:r>
                    <w:rPr>
                      <w:rFonts w:hint="default" w:ascii="Times New Roman" w:hAnsi="Times New Roman" w:cs="Times New Roman"/>
                      <w:color w:val="auto"/>
                      <w:sz w:val="21"/>
                      <w:szCs w:val="21"/>
                      <w:vertAlign w:val="baseline"/>
                      <w:lang w:val="en-US" w:eastAsia="zh-CN"/>
                    </w:rPr>
                    <w:t>/次/h</w:t>
                  </w:r>
                </w:p>
              </w:tc>
              <w:tc>
                <w:tcPr>
                  <w:tcW w:w="1645" w:type="dxa"/>
                  <w:vAlign w:val="center"/>
                </w:tcPr>
                <w:p w14:paraId="7BDB32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所需风量</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/h</w:t>
                  </w:r>
                </w:p>
              </w:tc>
            </w:tr>
            <w:tr w14:paraId="0184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14:paraId="4F5DE2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原料堆放区</w:t>
                  </w:r>
                </w:p>
              </w:tc>
              <w:tc>
                <w:tcPr>
                  <w:tcW w:w="1644" w:type="dxa"/>
                  <w:vAlign w:val="center"/>
                </w:tcPr>
                <w:p w14:paraId="483492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500</w:t>
                  </w:r>
                </w:p>
              </w:tc>
              <w:tc>
                <w:tcPr>
                  <w:tcW w:w="1644" w:type="dxa"/>
                  <w:vAlign w:val="center"/>
                </w:tcPr>
                <w:p w14:paraId="098DA5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1644" w:type="dxa"/>
                  <w:vAlign w:val="center"/>
                </w:tcPr>
                <w:p w14:paraId="24F5A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645" w:type="dxa"/>
                  <w:vAlign w:val="center"/>
                </w:tcPr>
                <w:p w14:paraId="7F819E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18000</w:t>
                  </w:r>
                </w:p>
              </w:tc>
            </w:tr>
            <w:tr w14:paraId="74CF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14:paraId="637227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eastAsia="zh-CN"/>
                    </w:rPr>
                    <w:t>生物矿化仓</w:t>
                  </w:r>
                </w:p>
              </w:tc>
              <w:tc>
                <w:tcPr>
                  <w:tcW w:w="1644" w:type="dxa"/>
                  <w:vAlign w:val="center"/>
                </w:tcPr>
                <w:p w14:paraId="780C4C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24</w:t>
                  </w:r>
                </w:p>
              </w:tc>
              <w:tc>
                <w:tcPr>
                  <w:tcW w:w="1644" w:type="dxa"/>
                  <w:vAlign w:val="center"/>
                </w:tcPr>
                <w:p w14:paraId="75D88D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5.4</w:t>
                  </w:r>
                </w:p>
              </w:tc>
              <w:tc>
                <w:tcPr>
                  <w:tcW w:w="1644" w:type="dxa"/>
                  <w:vAlign w:val="center"/>
                </w:tcPr>
                <w:p w14:paraId="5D8AC1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val="en-US" w:eastAsia="zh-CN"/>
                    </w:rPr>
                    <w:t>6</w:t>
                  </w:r>
                </w:p>
              </w:tc>
              <w:tc>
                <w:tcPr>
                  <w:tcW w:w="1645" w:type="dxa"/>
                  <w:vAlign w:val="center"/>
                </w:tcPr>
                <w:p w14:paraId="6C81C4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777.6</w:t>
                  </w:r>
                </w:p>
              </w:tc>
            </w:tr>
            <w:tr w14:paraId="7665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14:paraId="0392EA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eastAsia="zh-CN"/>
                    </w:rPr>
                    <w:t>高温陈化仓</w:t>
                  </w:r>
                </w:p>
              </w:tc>
              <w:tc>
                <w:tcPr>
                  <w:tcW w:w="1644" w:type="dxa"/>
                  <w:vAlign w:val="center"/>
                </w:tcPr>
                <w:p w14:paraId="1D84AD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24</w:t>
                  </w:r>
                </w:p>
              </w:tc>
              <w:tc>
                <w:tcPr>
                  <w:tcW w:w="1644" w:type="dxa"/>
                  <w:vAlign w:val="center"/>
                </w:tcPr>
                <w:p w14:paraId="247599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5.4</w:t>
                  </w:r>
                </w:p>
              </w:tc>
              <w:tc>
                <w:tcPr>
                  <w:tcW w:w="1644" w:type="dxa"/>
                  <w:vAlign w:val="center"/>
                </w:tcPr>
                <w:p w14:paraId="5975F3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val="en-US" w:eastAsia="zh-CN"/>
                    </w:rPr>
                    <w:t>6</w:t>
                  </w:r>
                </w:p>
              </w:tc>
              <w:tc>
                <w:tcPr>
                  <w:tcW w:w="1645" w:type="dxa"/>
                  <w:vAlign w:val="center"/>
                </w:tcPr>
                <w:p w14:paraId="5739CC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777.6</w:t>
                  </w:r>
                </w:p>
              </w:tc>
            </w:tr>
          </w:tbl>
          <w:p w14:paraId="231E619A">
            <w:pPr>
              <w:adjustRightInd w:val="0"/>
              <w:snapToGrid w:val="0"/>
              <w:spacing w:line="348" w:lineRule="auto"/>
              <w:ind w:firstLine="480" w:firstLineChars="200"/>
              <w:rPr>
                <w:rFonts w:hint="eastAsia" w:eastAsia="宋体"/>
                <w:b/>
                <w:bCs/>
                <w:color w:val="auto"/>
                <w:sz w:val="24"/>
                <w:lang w:eastAsia="zh-CN"/>
              </w:rPr>
            </w:pPr>
            <w:r>
              <w:rPr>
                <w:rFonts w:hint="eastAsia"/>
                <w:color w:val="auto"/>
                <w:sz w:val="24"/>
                <w:szCs w:val="24"/>
                <w:lang w:val="en-US" w:eastAsia="zh-CN"/>
              </w:rPr>
              <w:t>本项目原料堆放区所需风量为</w:t>
            </w:r>
            <w:r>
              <w:rPr>
                <w:rFonts w:hint="eastAsia" w:cs="Times New Roman"/>
                <w:color w:val="auto"/>
                <w:sz w:val="24"/>
                <w:szCs w:val="24"/>
                <w:vertAlign w:val="baseline"/>
                <w:lang w:val="en-US" w:eastAsia="zh-CN"/>
              </w:rPr>
              <w:t>18000</w:t>
            </w:r>
            <w:r>
              <w:rPr>
                <w:rFonts w:hint="eastAsia"/>
                <w:color w:val="auto"/>
                <w:sz w:val="24"/>
                <w:szCs w:val="24"/>
                <w:lang w:val="en-US" w:eastAsia="zh-CN"/>
              </w:rPr>
              <w:t>m</w:t>
            </w:r>
            <w:r>
              <w:rPr>
                <w:rFonts w:hint="eastAsia"/>
                <w:color w:val="auto"/>
                <w:sz w:val="24"/>
                <w:szCs w:val="24"/>
                <w:vertAlign w:val="superscript"/>
                <w:lang w:val="en-US" w:eastAsia="zh-CN"/>
              </w:rPr>
              <w:t>3</w:t>
            </w:r>
            <w:r>
              <w:rPr>
                <w:rFonts w:hint="eastAsia"/>
                <w:color w:val="auto"/>
                <w:sz w:val="24"/>
                <w:szCs w:val="24"/>
                <w:lang w:val="en-US" w:eastAsia="zh-CN"/>
              </w:rPr>
              <w:t>/h，生物矿化仓所需风量为</w:t>
            </w:r>
            <w:r>
              <w:rPr>
                <w:rFonts w:hint="eastAsia" w:cs="Times New Roman"/>
                <w:color w:val="auto"/>
                <w:sz w:val="24"/>
                <w:szCs w:val="24"/>
                <w:vertAlign w:val="baseline"/>
                <w:lang w:val="en-US" w:eastAsia="zh-CN"/>
              </w:rPr>
              <w:t>777.6</w:t>
            </w:r>
            <w:r>
              <w:rPr>
                <w:rFonts w:hint="eastAsia"/>
                <w:color w:val="auto"/>
                <w:sz w:val="24"/>
                <w:szCs w:val="24"/>
                <w:lang w:val="en-US" w:eastAsia="zh-CN"/>
              </w:rPr>
              <w:t>m</w:t>
            </w:r>
            <w:r>
              <w:rPr>
                <w:rFonts w:hint="eastAsia"/>
                <w:color w:val="auto"/>
                <w:sz w:val="24"/>
                <w:szCs w:val="24"/>
                <w:vertAlign w:val="superscript"/>
                <w:lang w:val="en-US" w:eastAsia="zh-CN"/>
              </w:rPr>
              <w:t>3</w:t>
            </w:r>
            <w:r>
              <w:rPr>
                <w:rFonts w:hint="eastAsia"/>
                <w:color w:val="auto"/>
                <w:sz w:val="24"/>
                <w:szCs w:val="24"/>
                <w:lang w:val="en-US" w:eastAsia="zh-CN"/>
              </w:rPr>
              <w:t>/h，高温陈化仓所需风量为</w:t>
            </w:r>
            <w:r>
              <w:rPr>
                <w:rFonts w:hint="eastAsia" w:cs="Times New Roman"/>
                <w:color w:val="auto"/>
                <w:sz w:val="24"/>
                <w:szCs w:val="24"/>
                <w:vertAlign w:val="baseline"/>
                <w:lang w:val="en-US" w:eastAsia="zh-CN"/>
              </w:rPr>
              <w:t>777.6</w:t>
            </w:r>
            <w:r>
              <w:rPr>
                <w:rFonts w:hint="eastAsia"/>
                <w:color w:val="auto"/>
                <w:sz w:val="24"/>
                <w:szCs w:val="24"/>
                <w:lang w:val="en-US" w:eastAsia="zh-CN"/>
              </w:rPr>
              <w:t>m</w:t>
            </w:r>
            <w:r>
              <w:rPr>
                <w:rFonts w:hint="eastAsia"/>
                <w:color w:val="auto"/>
                <w:sz w:val="24"/>
                <w:szCs w:val="24"/>
                <w:vertAlign w:val="superscript"/>
                <w:lang w:val="en-US" w:eastAsia="zh-CN"/>
              </w:rPr>
              <w:t>3</w:t>
            </w:r>
            <w:r>
              <w:rPr>
                <w:rFonts w:hint="eastAsia"/>
                <w:color w:val="auto"/>
                <w:sz w:val="24"/>
                <w:szCs w:val="24"/>
                <w:lang w:val="en-US" w:eastAsia="zh-CN"/>
              </w:rPr>
              <w:t>/hm</w:t>
            </w:r>
            <w:r>
              <w:rPr>
                <w:rFonts w:hint="eastAsia"/>
                <w:color w:val="auto"/>
                <w:sz w:val="24"/>
                <w:szCs w:val="24"/>
                <w:vertAlign w:val="superscript"/>
                <w:lang w:val="en-US" w:eastAsia="zh-CN"/>
              </w:rPr>
              <w:t>3</w:t>
            </w:r>
            <w:r>
              <w:rPr>
                <w:rFonts w:hint="eastAsia"/>
                <w:color w:val="auto"/>
                <w:sz w:val="24"/>
                <w:szCs w:val="24"/>
                <w:lang w:val="en-US" w:eastAsia="zh-CN"/>
              </w:rPr>
              <w:t>/h，为保证抽风效果，原料堆放区风机风量设置为20000m</w:t>
            </w:r>
            <w:r>
              <w:rPr>
                <w:rFonts w:hint="eastAsia"/>
                <w:color w:val="auto"/>
                <w:sz w:val="24"/>
                <w:szCs w:val="24"/>
                <w:vertAlign w:val="superscript"/>
                <w:lang w:val="en-US" w:eastAsia="zh-CN"/>
              </w:rPr>
              <w:t>3</w:t>
            </w:r>
            <w:r>
              <w:rPr>
                <w:rFonts w:hint="eastAsia"/>
                <w:color w:val="auto"/>
                <w:sz w:val="24"/>
                <w:szCs w:val="24"/>
                <w:lang w:val="en-US" w:eastAsia="zh-CN"/>
              </w:rPr>
              <w:t>/h，生物矿化仓风量设置为2000m</w:t>
            </w:r>
            <w:r>
              <w:rPr>
                <w:rFonts w:hint="eastAsia"/>
                <w:color w:val="auto"/>
                <w:sz w:val="24"/>
                <w:szCs w:val="24"/>
                <w:vertAlign w:val="superscript"/>
                <w:lang w:val="en-US" w:eastAsia="zh-CN"/>
              </w:rPr>
              <w:t>3</w:t>
            </w:r>
            <w:r>
              <w:rPr>
                <w:rFonts w:hint="eastAsia"/>
                <w:color w:val="auto"/>
                <w:sz w:val="24"/>
                <w:szCs w:val="24"/>
                <w:lang w:val="en-US" w:eastAsia="zh-CN"/>
              </w:rPr>
              <w:t>/h，高温陈化仓风量设置为2000m</w:t>
            </w:r>
            <w:r>
              <w:rPr>
                <w:rFonts w:hint="eastAsia"/>
                <w:color w:val="auto"/>
                <w:sz w:val="24"/>
                <w:szCs w:val="24"/>
                <w:vertAlign w:val="superscript"/>
                <w:lang w:val="en-US" w:eastAsia="zh-CN"/>
              </w:rPr>
              <w:t>3</w:t>
            </w:r>
            <w:r>
              <w:rPr>
                <w:rFonts w:hint="eastAsia"/>
                <w:color w:val="auto"/>
                <w:sz w:val="24"/>
                <w:szCs w:val="24"/>
                <w:lang w:val="en-US" w:eastAsia="zh-CN"/>
              </w:rPr>
              <w:t>/h，参考《广东省工业源挥发性有机物减排量核算方法（试行）》单层密闭正压抽风收集效率和结合项目实际工程经验，集气效率80%计，处理效率取70%，环保设备工作时间为7200h/a。</w:t>
            </w:r>
            <w:r>
              <w:rPr>
                <w:rFonts w:hint="eastAsia" w:ascii="Times New Roman" w:hAnsi="Times New Roman" w:eastAsia="宋体" w:cs="Times New Roman"/>
                <w:b w:val="0"/>
                <w:bCs w:val="0"/>
                <w:color w:val="auto"/>
                <w:sz w:val="24"/>
                <w:lang w:eastAsia="zh-CN"/>
              </w:rPr>
              <w:t>污</w:t>
            </w:r>
            <w:r>
              <w:rPr>
                <w:rFonts w:hint="eastAsia"/>
                <w:b w:val="0"/>
                <w:bCs w:val="0"/>
                <w:color w:val="auto"/>
                <w:sz w:val="24"/>
              </w:rPr>
              <w:t>泥</w:t>
            </w:r>
            <w:r>
              <w:rPr>
                <w:rFonts w:hint="eastAsia"/>
                <w:b w:val="0"/>
                <w:bCs w:val="0"/>
                <w:color w:val="auto"/>
                <w:sz w:val="24"/>
                <w:lang w:eastAsia="zh-CN"/>
              </w:rPr>
              <w:t>贮存</w:t>
            </w:r>
            <w:r>
              <w:rPr>
                <w:rFonts w:hint="eastAsia"/>
                <w:b w:val="0"/>
                <w:bCs w:val="0"/>
                <w:color w:val="auto"/>
                <w:sz w:val="24"/>
              </w:rPr>
              <w:t>废气</w:t>
            </w:r>
            <w:r>
              <w:rPr>
                <w:rFonts w:hint="eastAsia"/>
                <w:b w:val="0"/>
                <w:bCs w:val="0"/>
                <w:color w:val="auto"/>
                <w:sz w:val="24"/>
                <w:lang w:eastAsia="zh-CN"/>
              </w:rPr>
              <w:t>、发酵废气产排情况见下表：</w:t>
            </w:r>
          </w:p>
          <w:p w14:paraId="3D1BD43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color w:val="auto"/>
                <w:sz w:val="24"/>
                <w:szCs w:val="24"/>
                <w:lang w:val="en-US" w:eastAsia="zh-CN"/>
              </w:rPr>
            </w:pPr>
            <w:r>
              <w:rPr>
                <w:rFonts w:hint="eastAsia"/>
                <w:b/>
                <w:bCs/>
                <w:color w:val="auto"/>
                <w:sz w:val="24"/>
                <w:szCs w:val="24"/>
                <w:lang w:val="en-US" w:eastAsia="zh-CN"/>
              </w:rPr>
              <w:t xml:space="preserve">表4.2  </w:t>
            </w:r>
            <w:r>
              <w:rPr>
                <w:rFonts w:hint="eastAsia" w:ascii="Times New Roman" w:hAnsi="Times New Roman" w:eastAsia="宋体" w:cs="Times New Roman"/>
                <w:b/>
                <w:bCs/>
                <w:color w:val="auto"/>
                <w:sz w:val="24"/>
                <w:lang w:eastAsia="zh-CN"/>
              </w:rPr>
              <w:t>污</w:t>
            </w:r>
            <w:r>
              <w:rPr>
                <w:rFonts w:hint="eastAsia"/>
                <w:b/>
                <w:bCs/>
                <w:color w:val="auto"/>
                <w:sz w:val="24"/>
              </w:rPr>
              <w:t>泥</w:t>
            </w:r>
            <w:r>
              <w:rPr>
                <w:rFonts w:hint="eastAsia"/>
                <w:b/>
                <w:bCs/>
                <w:color w:val="auto"/>
                <w:sz w:val="24"/>
                <w:lang w:eastAsia="zh-CN"/>
              </w:rPr>
              <w:t>贮存</w:t>
            </w:r>
            <w:r>
              <w:rPr>
                <w:rFonts w:hint="eastAsia"/>
                <w:b/>
                <w:bCs/>
                <w:color w:val="auto"/>
                <w:sz w:val="24"/>
              </w:rPr>
              <w:t>废气</w:t>
            </w:r>
            <w:r>
              <w:rPr>
                <w:rFonts w:hint="eastAsia"/>
                <w:b/>
                <w:bCs/>
                <w:color w:val="auto"/>
                <w:sz w:val="24"/>
                <w:lang w:eastAsia="zh-CN"/>
              </w:rPr>
              <w:t>、发酵废气产生情况一览表</w:t>
            </w:r>
          </w:p>
          <w:tbl>
            <w:tblPr>
              <w:tblStyle w:val="30"/>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370"/>
              <w:gridCol w:w="1370"/>
              <w:gridCol w:w="1370"/>
              <w:gridCol w:w="1370"/>
              <w:gridCol w:w="1371"/>
            </w:tblGrid>
            <w:tr w14:paraId="6247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Align w:val="center"/>
                </w:tcPr>
                <w:p w14:paraId="0EA3BB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污染恭喜</w:t>
                  </w:r>
                </w:p>
              </w:tc>
              <w:tc>
                <w:tcPr>
                  <w:tcW w:w="1370" w:type="dxa"/>
                  <w:vAlign w:val="center"/>
                </w:tcPr>
                <w:p w14:paraId="0E7DFB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污染因子</w:t>
                  </w:r>
                </w:p>
              </w:tc>
              <w:tc>
                <w:tcPr>
                  <w:tcW w:w="1370" w:type="dxa"/>
                  <w:vAlign w:val="center"/>
                </w:tcPr>
                <w:p w14:paraId="16C871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风量</w:t>
                  </w:r>
                </w:p>
              </w:tc>
              <w:tc>
                <w:tcPr>
                  <w:tcW w:w="1370" w:type="dxa"/>
                  <w:vAlign w:val="center"/>
                </w:tcPr>
                <w:p w14:paraId="3116C6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产生量</w:t>
                  </w:r>
                </w:p>
              </w:tc>
              <w:tc>
                <w:tcPr>
                  <w:tcW w:w="1370" w:type="dxa"/>
                  <w:vAlign w:val="center"/>
                </w:tcPr>
                <w:p w14:paraId="565B55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产生速率</w:t>
                  </w:r>
                </w:p>
              </w:tc>
              <w:tc>
                <w:tcPr>
                  <w:tcW w:w="1371" w:type="dxa"/>
                  <w:vAlign w:val="center"/>
                </w:tcPr>
                <w:p w14:paraId="6274EB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产生浓度</w:t>
                  </w:r>
                </w:p>
              </w:tc>
            </w:tr>
            <w:tr w14:paraId="2BCC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restart"/>
                  <w:vAlign w:val="center"/>
                </w:tcPr>
                <w:p w14:paraId="679B6C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ascii="Times New Roman" w:hAnsi="Times New Roman" w:eastAsia="宋体" w:cs="Times New Roman"/>
                      <w:b w:val="0"/>
                      <w:bCs w:val="0"/>
                      <w:color w:val="auto"/>
                      <w:sz w:val="21"/>
                      <w:szCs w:val="21"/>
                      <w:lang w:eastAsia="zh-CN"/>
                    </w:rPr>
                    <w:t>污</w:t>
                  </w:r>
                  <w:r>
                    <w:rPr>
                      <w:rFonts w:hint="eastAsia"/>
                      <w:b w:val="0"/>
                      <w:bCs w:val="0"/>
                      <w:color w:val="auto"/>
                      <w:sz w:val="21"/>
                      <w:szCs w:val="21"/>
                    </w:rPr>
                    <w:t>泥</w:t>
                  </w:r>
                  <w:r>
                    <w:rPr>
                      <w:rFonts w:hint="eastAsia"/>
                      <w:b w:val="0"/>
                      <w:bCs w:val="0"/>
                      <w:color w:val="auto"/>
                      <w:sz w:val="21"/>
                      <w:szCs w:val="21"/>
                      <w:lang w:eastAsia="zh-CN"/>
                    </w:rPr>
                    <w:t>贮存</w:t>
                  </w:r>
                </w:p>
              </w:tc>
              <w:tc>
                <w:tcPr>
                  <w:tcW w:w="1370" w:type="dxa"/>
                  <w:vAlign w:val="center"/>
                </w:tcPr>
                <w:p w14:paraId="6FAC97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NH</w:t>
                  </w:r>
                  <w:r>
                    <w:rPr>
                      <w:rFonts w:hint="eastAsia"/>
                      <w:color w:val="auto"/>
                      <w:sz w:val="21"/>
                      <w:szCs w:val="21"/>
                      <w:vertAlign w:val="subscript"/>
                      <w:lang w:val="en-US" w:eastAsia="zh-CN"/>
                    </w:rPr>
                    <w:t>3</w:t>
                  </w:r>
                </w:p>
              </w:tc>
              <w:tc>
                <w:tcPr>
                  <w:tcW w:w="1370" w:type="dxa"/>
                  <w:vMerge w:val="restart"/>
                  <w:vAlign w:val="center"/>
                </w:tcPr>
                <w:p w14:paraId="51032D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s="Times New Roman"/>
                      <w:color w:val="auto"/>
                      <w:sz w:val="21"/>
                      <w:szCs w:val="21"/>
                      <w:vertAlign w:val="baseline"/>
                      <w:lang w:val="en-US" w:eastAsia="zh-CN"/>
                    </w:rPr>
                    <w:t>20000</w:t>
                  </w:r>
                </w:p>
              </w:tc>
              <w:tc>
                <w:tcPr>
                  <w:tcW w:w="1370" w:type="dxa"/>
                  <w:vAlign w:val="center"/>
                </w:tcPr>
                <w:p w14:paraId="7302DA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0.13</w:t>
                  </w:r>
                </w:p>
              </w:tc>
              <w:tc>
                <w:tcPr>
                  <w:tcW w:w="1370" w:type="dxa"/>
                  <w:vAlign w:val="center"/>
                </w:tcPr>
                <w:p w14:paraId="05F3DD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0.018</w:t>
                  </w:r>
                </w:p>
              </w:tc>
              <w:tc>
                <w:tcPr>
                  <w:tcW w:w="1371" w:type="dxa"/>
                  <w:vAlign w:val="center"/>
                </w:tcPr>
                <w:p w14:paraId="3AC5D0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0.9</w:t>
                  </w:r>
                </w:p>
              </w:tc>
            </w:tr>
            <w:tr w14:paraId="5442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14:paraId="6D8DBB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p>
              </w:tc>
              <w:tc>
                <w:tcPr>
                  <w:tcW w:w="1370" w:type="dxa"/>
                  <w:vAlign w:val="center"/>
                </w:tcPr>
                <w:p w14:paraId="243677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H</w:t>
                  </w:r>
                  <w:r>
                    <w:rPr>
                      <w:rFonts w:hint="eastAsia"/>
                      <w:color w:val="auto"/>
                      <w:sz w:val="21"/>
                      <w:szCs w:val="21"/>
                      <w:vertAlign w:val="subscript"/>
                      <w:lang w:val="en-US" w:eastAsia="zh-CN"/>
                    </w:rPr>
                    <w:t>2</w:t>
                  </w:r>
                  <w:r>
                    <w:rPr>
                      <w:rFonts w:hint="eastAsia"/>
                      <w:color w:val="auto"/>
                      <w:sz w:val="21"/>
                      <w:szCs w:val="21"/>
                      <w:vertAlign w:val="baseline"/>
                      <w:lang w:val="en-US" w:eastAsia="zh-CN"/>
                    </w:rPr>
                    <w:t>S</w:t>
                  </w:r>
                </w:p>
              </w:tc>
              <w:tc>
                <w:tcPr>
                  <w:tcW w:w="1370" w:type="dxa"/>
                  <w:vMerge w:val="continue"/>
                  <w:vAlign w:val="center"/>
                </w:tcPr>
                <w:p w14:paraId="42D8D1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p>
              </w:tc>
              <w:tc>
                <w:tcPr>
                  <w:tcW w:w="1370" w:type="dxa"/>
                  <w:vAlign w:val="center"/>
                </w:tcPr>
                <w:p w14:paraId="5287B1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0.026</w:t>
                  </w:r>
                </w:p>
              </w:tc>
              <w:tc>
                <w:tcPr>
                  <w:tcW w:w="1370" w:type="dxa"/>
                  <w:vAlign w:val="center"/>
                </w:tcPr>
                <w:p w14:paraId="1C5ABD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3.6</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10</w:t>
                  </w:r>
                  <w:r>
                    <w:rPr>
                      <w:rFonts w:hint="eastAsia"/>
                      <w:color w:val="auto"/>
                      <w:sz w:val="21"/>
                      <w:szCs w:val="21"/>
                      <w:vertAlign w:val="superscript"/>
                      <w:lang w:val="en-US" w:eastAsia="zh-CN"/>
                    </w:rPr>
                    <w:t>-3</w:t>
                  </w:r>
                </w:p>
              </w:tc>
              <w:tc>
                <w:tcPr>
                  <w:tcW w:w="1371" w:type="dxa"/>
                  <w:vAlign w:val="center"/>
                </w:tcPr>
                <w:p w14:paraId="566C35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0.18</w:t>
                  </w:r>
                </w:p>
              </w:tc>
            </w:tr>
            <w:tr w14:paraId="55BA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14:paraId="4BD896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p>
              </w:tc>
              <w:tc>
                <w:tcPr>
                  <w:tcW w:w="1370" w:type="dxa"/>
                  <w:vAlign w:val="center"/>
                </w:tcPr>
                <w:p w14:paraId="698A47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臭气浓度</w:t>
                  </w:r>
                </w:p>
              </w:tc>
              <w:tc>
                <w:tcPr>
                  <w:tcW w:w="1370" w:type="dxa"/>
                  <w:vMerge w:val="continue"/>
                  <w:vAlign w:val="center"/>
                </w:tcPr>
                <w:p w14:paraId="22CCFF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p>
              </w:tc>
              <w:tc>
                <w:tcPr>
                  <w:tcW w:w="1370" w:type="dxa"/>
                  <w:vAlign w:val="center"/>
                </w:tcPr>
                <w:p w14:paraId="165B5D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1370" w:type="dxa"/>
                  <w:vAlign w:val="center"/>
                </w:tcPr>
                <w:p w14:paraId="67C036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1371" w:type="dxa"/>
                  <w:vAlign w:val="center"/>
                </w:tcPr>
                <w:p w14:paraId="47A811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420（无量纲）</w:t>
                  </w:r>
                </w:p>
              </w:tc>
            </w:tr>
            <w:tr w14:paraId="6030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restart"/>
                  <w:shd w:val="clear" w:color="auto" w:fill="auto"/>
                  <w:vAlign w:val="center"/>
                </w:tcPr>
                <w:p w14:paraId="6B8F26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s="Times New Roman"/>
                      <w:color w:val="auto"/>
                      <w:sz w:val="21"/>
                      <w:szCs w:val="21"/>
                      <w:vertAlign w:val="baseline"/>
                      <w:lang w:eastAsia="zh-CN"/>
                    </w:rPr>
                    <w:t>生物矿化仓</w:t>
                  </w:r>
                </w:p>
              </w:tc>
              <w:tc>
                <w:tcPr>
                  <w:tcW w:w="1370" w:type="dxa"/>
                  <w:vAlign w:val="center"/>
                </w:tcPr>
                <w:p w14:paraId="497D4A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NH</w:t>
                  </w:r>
                  <w:r>
                    <w:rPr>
                      <w:rFonts w:hint="eastAsia"/>
                      <w:color w:val="auto"/>
                      <w:sz w:val="21"/>
                      <w:szCs w:val="21"/>
                      <w:vertAlign w:val="subscript"/>
                      <w:lang w:val="en-US" w:eastAsia="zh-CN"/>
                    </w:rPr>
                    <w:t>3</w:t>
                  </w:r>
                </w:p>
              </w:tc>
              <w:tc>
                <w:tcPr>
                  <w:tcW w:w="1370" w:type="dxa"/>
                  <w:vMerge w:val="restart"/>
                  <w:vAlign w:val="center"/>
                </w:tcPr>
                <w:p w14:paraId="7FACB9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s="Times New Roman"/>
                      <w:color w:val="auto"/>
                      <w:sz w:val="21"/>
                      <w:szCs w:val="21"/>
                      <w:vertAlign w:val="baseline"/>
                      <w:lang w:val="en-US" w:eastAsia="zh-CN"/>
                    </w:rPr>
                    <w:t>2000</w:t>
                  </w:r>
                </w:p>
              </w:tc>
              <w:tc>
                <w:tcPr>
                  <w:tcW w:w="1370" w:type="dxa"/>
                  <w:vAlign w:val="center"/>
                </w:tcPr>
                <w:p w14:paraId="207443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2.59</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10</w:t>
                  </w:r>
                  <w:r>
                    <w:rPr>
                      <w:rFonts w:hint="eastAsia"/>
                      <w:color w:val="auto"/>
                      <w:sz w:val="21"/>
                      <w:szCs w:val="21"/>
                      <w:vertAlign w:val="superscript"/>
                      <w:lang w:val="en-US" w:eastAsia="zh-CN"/>
                    </w:rPr>
                    <w:t>-3</w:t>
                  </w:r>
                </w:p>
              </w:tc>
              <w:tc>
                <w:tcPr>
                  <w:tcW w:w="1370" w:type="dxa"/>
                  <w:vAlign w:val="center"/>
                </w:tcPr>
                <w:p w14:paraId="3E9B18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3.6</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10</w:t>
                  </w:r>
                  <w:r>
                    <w:rPr>
                      <w:rFonts w:hint="eastAsia"/>
                      <w:color w:val="auto"/>
                      <w:sz w:val="21"/>
                      <w:szCs w:val="21"/>
                      <w:vertAlign w:val="superscript"/>
                      <w:lang w:val="en-US" w:eastAsia="zh-CN"/>
                    </w:rPr>
                    <w:t>-4</w:t>
                  </w:r>
                </w:p>
              </w:tc>
              <w:tc>
                <w:tcPr>
                  <w:tcW w:w="1371" w:type="dxa"/>
                  <w:vAlign w:val="center"/>
                </w:tcPr>
                <w:p w14:paraId="0FB1D5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0.18</w:t>
                  </w:r>
                </w:p>
              </w:tc>
            </w:tr>
            <w:tr w14:paraId="409C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shd w:val="clear" w:color="auto" w:fill="auto"/>
                  <w:vAlign w:val="center"/>
                </w:tcPr>
                <w:p w14:paraId="0A9A86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1370" w:type="dxa"/>
                  <w:vAlign w:val="center"/>
                </w:tcPr>
                <w:p w14:paraId="502AD2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H</w:t>
                  </w:r>
                  <w:r>
                    <w:rPr>
                      <w:rFonts w:hint="eastAsia"/>
                      <w:color w:val="auto"/>
                      <w:sz w:val="21"/>
                      <w:szCs w:val="21"/>
                      <w:vertAlign w:val="subscript"/>
                      <w:lang w:val="en-US" w:eastAsia="zh-CN"/>
                    </w:rPr>
                    <w:t>2</w:t>
                  </w:r>
                  <w:r>
                    <w:rPr>
                      <w:rFonts w:hint="eastAsia"/>
                      <w:color w:val="auto"/>
                      <w:sz w:val="21"/>
                      <w:szCs w:val="21"/>
                      <w:vertAlign w:val="baseline"/>
                      <w:lang w:val="en-US" w:eastAsia="zh-CN"/>
                    </w:rPr>
                    <w:t>S</w:t>
                  </w:r>
                </w:p>
              </w:tc>
              <w:tc>
                <w:tcPr>
                  <w:tcW w:w="1370" w:type="dxa"/>
                  <w:vMerge w:val="continue"/>
                  <w:vAlign w:val="center"/>
                </w:tcPr>
                <w:p w14:paraId="5832BA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p>
              </w:tc>
              <w:tc>
                <w:tcPr>
                  <w:tcW w:w="1370" w:type="dxa"/>
                  <w:vAlign w:val="center"/>
                </w:tcPr>
                <w:p w14:paraId="2E1D4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2.25</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10</w:t>
                  </w:r>
                  <w:r>
                    <w:rPr>
                      <w:rFonts w:hint="eastAsia"/>
                      <w:color w:val="auto"/>
                      <w:sz w:val="21"/>
                      <w:szCs w:val="21"/>
                      <w:vertAlign w:val="superscript"/>
                      <w:lang w:val="en-US" w:eastAsia="zh-CN"/>
                    </w:rPr>
                    <w:t>-3</w:t>
                  </w:r>
                </w:p>
              </w:tc>
              <w:tc>
                <w:tcPr>
                  <w:tcW w:w="1370" w:type="dxa"/>
                  <w:vAlign w:val="center"/>
                </w:tcPr>
                <w:p w14:paraId="10A797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3.12</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10</w:t>
                  </w:r>
                  <w:r>
                    <w:rPr>
                      <w:rFonts w:hint="eastAsia"/>
                      <w:color w:val="auto"/>
                      <w:sz w:val="21"/>
                      <w:szCs w:val="21"/>
                      <w:vertAlign w:val="superscript"/>
                      <w:lang w:val="en-US" w:eastAsia="zh-CN"/>
                    </w:rPr>
                    <w:t>-4</w:t>
                  </w:r>
                </w:p>
              </w:tc>
              <w:tc>
                <w:tcPr>
                  <w:tcW w:w="1371" w:type="dxa"/>
                  <w:vAlign w:val="center"/>
                </w:tcPr>
                <w:p w14:paraId="7FCFF8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0.156</w:t>
                  </w:r>
                </w:p>
              </w:tc>
            </w:tr>
            <w:tr w14:paraId="7066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14:paraId="0B4A64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p>
              </w:tc>
              <w:tc>
                <w:tcPr>
                  <w:tcW w:w="1370" w:type="dxa"/>
                  <w:vAlign w:val="center"/>
                </w:tcPr>
                <w:p w14:paraId="5D9253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臭气浓度</w:t>
                  </w:r>
                </w:p>
              </w:tc>
              <w:tc>
                <w:tcPr>
                  <w:tcW w:w="1370" w:type="dxa"/>
                  <w:vMerge w:val="continue"/>
                  <w:vAlign w:val="center"/>
                </w:tcPr>
                <w:p w14:paraId="32A32A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p>
              </w:tc>
              <w:tc>
                <w:tcPr>
                  <w:tcW w:w="1370" w:type="dxa"/>
                  <w:vAlign w:val="center"/>
                </w:tcPr>
                <w:p w14:paraId="4D7261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1370" w:type="dxa"/>
                  <w:vAlign w:val="center"/>
                </w:tcPr>
                <w:p w14:paraId="0EF6BE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1371" w:type="dxa"/>
                  <w:vAlign w:val="center"/>
                </w:tcPr>
                <w:p w14:paraId="7F6D46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420（无量纲）</w:t>
                  </w:r>
                </w:p>
              </w:tc>
            </w:tr>
            <w:tr w14:paraId="401D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restart"/>
                  <w:vAlign w:val="center"/>
                </w:tcPr>
                <w:p w14:paraId="67551B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s="Times New Roman"/>
                      <w:color w:val="auto"/>
                      <w:sz w:val="21"/>
                      <w:szCs w:val="21"/>
                      <w:vertAlign w:val="baseline"/>
                      <w:lang w:eastAsia="zh-CN"/>
                    </w:rPr>
                    <w:t>高温陈化仓</w:t>
                  </w:r>
                </w:p>
              </w:tc>
              <w:tc>
                <w:tcPr>
                  <w:tcW w:w="1370" w:type="dxa"/>
                  <w:vAlign w:val="center"/>
                </w:tcPr>
                <w:p w14:paraId="74716C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NH</w:t>
                  </w:r>
                  <w:r>
                    <w:rPr>
                      <w:rFonts w:hint="eastAsia"/>
                      <w:color w:val="auto"/>
                      <w:sz w:val="21"/>
                      <w:szCs w:val="21"/>
                      <w:vertAlign w:val="subscript"/>
                      <w:lang w:val="en-US" w:eastAsia="zh-CN"/>
                    </w:rPr>
                    <w:t>3</w:t>
                  </w:r>
                </w:p>
              </w:tc>
              <w:tc>
                <w:tcPr>
                  <w:tcW w:w="1370" w:type="dxa"/>
                  <w:vMerge w:val="restart"/>
                  <w:vAlign w:val="center"/>
                </w:tcPr>
                <w:p w14:paraId="6DCA69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s="Times New Roman"/>
                      <w:color w:val="auto"/>
                      <w:sz w:val="21"/>
                      <w:szCs w:val="21"/>
                      <w:vertAlign w:val="baseline"/>
                      <w:lang w:val="en-US" w:eastAsia="zh-CN"/>
                    </w:rPr>
                    <w:t>2000</w:t>
                  </w:r>
                </w:p>
              </w:tc>
              <w:tc>
                <w:tcPr>
                  <w:tcW w:w="1370" w:type="dxa"/>
                  <w:vAlign w:val="center"/>
                </w:tcPr>
                <w:p w14:paraId="3B2C5B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2.59</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10</w:t>
                  </w:r>
                  <w:r>
                    <w:rPr>
                      <w:rFonts w:hint="eastAsia"/>
                      <w:color w:val="auto"/>
                      <w:sz w:val="21"/>
                      <w:szCs w:val="21"/>
                      <w:vertAlign w:val="superscript"/>
                      <w:lang w:val="en-US" w:eastAsia="zh-CN"/>
                    </w:rPr>
                    <w:t>-3</w:t>
                  </w:r>
                </w:p>
              </w:tc>
              <w:tc>
                <w:tcPr>
                  <w:tcW w:w="1370" w:type="dxa"/>
                  <w:vAlign w:val="center"/>
                </w:tcPr>
                <w:p w14:paraId="5B9E9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3.6</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10</w:t>
                  </w:r>
                  <w:r>
                    <w:rPr>
                      <w:rFonts w:hint="eastAsia"/>
                      <w:color w:val="auto"/>
                      <w:sz w:val="21"/>
                      <w:szCs w:val="21"/>
                      <w:vertAlign w:val="superscript"/>
                      <w:lang w:val="en-US" w:eastAsia="zh-CN"/>
                    </w:rPr>
                    <w:t>-4</w:t>
                  </w:r>
                </w:p>
              </w:tc>
              <w:tc>
                <w:tcPr>
                  <w:tcW w:w="1371" w:type="dxa"/>
                  <w:vAlign w:val="center"/>
                </w:tcPr>
                <w:p w14:paraId="3207DA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0.18</w:t>
                  </w:r>
                </w:p>
              </w:tc>
            </w:tr>
            <w:tr w14:paraId="4DBE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14:paraId="5E38A2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p>
              </w:tc>
              <w:tc>
                <w:tcPr>
                  <w:tcW w:w="1370" w:type="dxa"/>
                  <w:vAlign w:val="center"/>
                </w:tcPr>
                <w:p w14:paraId="40B246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H</w:t>
                  </w:r>
                  <w:r>
                    <w:rPr>
                      <w:rFonts w:hint="eastAsia"/>
                      <w:color w:val="auto"/>
                      <w:sz w:val="21"/>
                      <w:szCs w:val="21"/>
                      <w:vertAlign w:val="subscript"/>
                      <w:lang w:val="en-US" w:eastAsia="zh-CN"/>
                    </w:rPr>
                    <w:t>2</w:t>
                  </w:r>
                  <w:r>
                    <w:rPr>
                      <w:rFonts w:hint="eastAsia"/>
                      <w:color w:val="auto"/>
                      <w:sz w:val="21"/>
                      <w:szCs w:val="21"/>
                      <w:vertAlign w:val="baseline"/>
                      <w:lang w:val="en-US" w:eastAsia="zh-CN"/>
                    </w:rPr>
                    <w:t>S</w:t>
                  </w:r>
                </w:p>
              </w:tc>
              <w:tc>
                <w:tcPr>
                  <w:tcW w:w="1370" w:type="dxa"/>
                  <w:vMerge w:val="continue"/>
                  <w:vAlign w:val="center"/>
                </w:tcPr>
                <w:p w14:paraId="49BA94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p>
              </w:tc>
              <w:tc>
                <w:tcPr>
                  <w:tcW w:w="1370" w:type="dxa"/>
                  <w:vAlign w:val="center"/>
                </w:tcPr>
                <w:p w14:paraId="617358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2.25</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10</w:t>
                  </w:r>
                  <w:r>
                    <w:rPr>
                      <w:rFonts w:hint="eastAsia"/>
                      <w:color w:val="auto"/>
                      <w:sz w:val="21"/>
                      <w:szCs w:val="21"/>
                      <w:vertAlign w:val="superscript"/>
                      <w:lang w:val="en-US" w:eastAsia="zh-CN"/>
                    </w:rPr>
                    <w:t>-3</w:t>
                  </w:r>
                </w:p>
              </w:tc>
              <w:tc>
                <w:tcPr>
                  <w:tcW w:w="1370" w:type="dxa"/>
                  <w:vAlign w:val="center"/>
                </w:tcPr>
                <w:p w14:paraId="2E9D92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3.12</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10</w:t>
                  </w:r>
                  <w:r>
                    <w:rPr>
                      <w:rFonts w:hint="eastAsia"/>
                      <w:color w:val="auto"/>
                      <w:sz w:val="21"/>
                      <w:szCs w:val="21"/>
                      <w:vertAlign w:val="superscript"/>
                      <w:lang w:val="en-US" w:eastAsia="zh-CN"/>
                    </w:rPr>
                    <w:t>-4</w:t>
                  </w:r>
                </w:p>
              </w:tc>
              <w:tc>
                <w:tcPr>
                  <w:tcW w:w="1371" w:type="dxa"/>
                  <w:vAlign w:val="center"/>
                </w:tcPr>
                <w:p w14:paraId="621F48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0.156</w:t>
                  </w:r>
                </w:p>
              </w:tc>
            </w:tr>
            <w:tr w14:paraId="220C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14:paraId="54DD84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p>
              </w:tc>
              <w:tc>
                <w:tcPr>
                  <w:tcW w:w="1370" w:type="dxa"/>
                  <w:vAlign w:val="center"/>
                </w:tcPr>
                <w:p w14:paraId="09E78C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臭气浓度</w:t>
                  </w:r>
                </w:p>
              </w:tc>
              <w:tc>
                <w:tcPr>
                  <w:tcW w:w="1370" w:type="dxa"/>
                  <w:vMerge w:val="continue"/>
                  <w:vAlign w:val="center"/>
                </w:tcPr>
                <w:p w14:paraId="715025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p>
              </w:tc>
              <w:tc>
                <w:tcPr>
                  <w:tcW w:w="1370" w:type="dxa"/>
                  <w:vAlign w:val="center"/>
                </w:tcPr>
                <w:p w14:paraId="18D050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1370" w:type="dxa"/>
                  <w:vAlign w:val="center"/>
                </w:tcPr>
                <w:p w14:paraId="17A181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1371" w:type="dxa"/>
                  <w:vAlign w:val="center"/>
                </w:tcPr>
                <w:p w14:paraId="0618B5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420（无量纲）</w:t>
                  </w:r>
                </w:p>
              </w:tc>
            </w:tr>
            <w:tr w14:paraId="09CB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restart"/>
                  <w:vAlign w:val="center"/>
                </w:tcPr>
                <w:p w14:paraId="1DA041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合计</w:t>
                  </w:r>
                </w:p>
              </w:tc>
              <w:tc>
                <w:tcPr>
                  <w:tcW w:w="1370" w:type="dxa"/>
                  <w:vAlign w:val="center"/>
                </w:tcPr>
                <w:p w14:paraId="58462E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NH</w:t>
                  </w:r>
                  <w:r>
                    <w:rPr>
                      <w:rFonts w:hint="eastAsia"/>
                      <w:color w:val="auto"/>
                      <w:sz w:val="21"/>
                      <w:szCs w:val="21"/>
                      <w:vertAlign w:val="subscript"/>
                      <w:lang w:val="en-US" w:eastAsia="zh-CN"/>
                    </w:rPr>
                    <w:t>3</w:t>
                  </w:r>
                </w:p>
              </w:tc>
              <w:tc>
                <w:tcPr>
                  <w:tcW w:w="1370" w:type="dxa"/>
                  <w:vMerge w:val="restart"/>
                  <w:vAlign w:val="center"/>
                </w:tcPr>
                <w:p w14:paraId="6B2DEE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24000</w:t>
                  </w:r>
                </w:p>
              </w:tc>
              <w:tc>
                <w:tcPr>
                  <w:tcW w:w="1370" w:type="dxa"/>
                  <w:vAlign w:val="center"/>
                </w:tcPr>
                <w:p w14:paraId="14454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0.135</w:t>
                  </w:r>
                </w:p>
              </w:tc>
              <w:tc>
                <w:tcPr>
                  <w:tcW w:w="1370" w:type="dxa"/>
                  <w:vAlign w:val="center"/>
                </w:tcPr>
                <w:p w14:paraId="3AC2B5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0.0188</w:t>
                  </w:r>
                </w:p>
              </w:tc>
              <w:tc>
                <w:tcPr>
                  <w:tcW w:w="1371" w:type="dxa"/>
                  <w:vAlign w:val="center"/>
                </w:tcPr>
                <w:p w14:paraId="13411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6652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14:paraId="484882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p>
              </w:tc>
              <w:tc>
                <w:tcPr>
                  <w:tcW w:w="1370" w:type="dxa"/>
                  <w:vAlign w:val="center"/>
                </w:tcPr>
                <w:p w14:paraId="1981BB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H</w:t>
                  </w:r>
                  <w:r>
                    <w:rPr>
                      <w:rFonts w:hint="eastAsia"/>
                      <w:color w:val="auto"/>
                      <w:sz w:val="21"/>
                      <w:szCs w:val="21"/>
                      <w:vertAlign w:val="subscript"/>
                      <w:lang w:val="en-US" w:eastAsia="zh-CN"/>
                    </w:rPr>
                    <w:t>2</w:t>
                  </w:r>
                  <w:r>
                    <w:rPr>
                      <w:rFonts w:hint="eastAsia"/>
                      <w:color w:val="auto"/>
                      <w:sz w:val="21"/>
                      <w:szCs w:val="21"/>
                      <w:vertAlign w:val="baseline"/>
                      <w:lang w:val="en-US" w:eastAsia="zh-CN"/>
                    </w:rPr>
                    <w:t>S</w:t>
                  </w:r>
                </w:p>
              </w:tc>
              <w:tc>
                <w:tcPr>
                  <w:tcW w:w="1370" w:type="dxa"/>
                  <w:vMerge w:val="continue"/>
                  <w:vAlign w:val="center"/>
                </w:tcPr>
                <w:p w14:paraId="1ADCB9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p>
              </w:tc>
              <w:tc>
                <w:tcPr>
                  <w:tcW w:w="1370" w:type="dxa"/>
                  <w:vAlign w:val="center"/>
                </w:tcPr>
                <w:p w14:paraId="6BCDFF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0.0305</w:t>
                  </w:r>
                </w:p>
              </w:tc>
              <w:tc>
                <w:tcPr>
                  <w:tcW w:w="1370" w:type="dxa"/>
                  <w:vAlign w:val="center"/>
                </w:tcPr>
                <w:p w14:paraId="559970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4.24</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10</w:t>
                  </w:r>
                  <w:r>
                    <w:rPr>
                      <w:rFonts w:hint="eastAsia"/>
                      <w:color w:val="auto"/>
                      <w:sz w:val="21"/>
                      <w:szCs w:val="21"/>
                      <w:vertAlign w:val="superscript"/>
                      <w:lang w:val="en-US" w:eastAsia="zh-CN"/>
                    </w:rPr>
                    <w:t>-3</w:t>
                  </w:r>
                </w:p>
              </w:tc>
              <w:tc>
                <w:tcPr>
                  <w:tcW w:w="1371" w:type="dxa"/>
                  <w:vAlign w:val="center"/>
                </w:tcPr>
                <w:p w14:paraId="4425A3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34D2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14:paraId="1B8281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p>
              </w:tc>
              <w:tc>
                <w:tcPr>
                  <w:tcW w:w="1370" w:type="dxa"/>
                  <w:vAlign w:val="center"/>
                </w:tcPr>
                <w:p w14:paraId="3E2FB9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臭气浓度</w:t>
                  </w:r>
                </w:p>
              </w:tc>
              <w:tc>
                <w:tcPr>
                  <w:tcW w:w="1370" w:type="dxa"/>
                  <w:vMerge w:val="continue"/>
                  <w:vAlign w:val="center"/>
                </w:tcPr>
                <w:p w14:paraId="1EE41F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p>
              </w:tc>
              <w:tc>
                <w:tcPr>
                  <w:tcW w:w="1370" w:type="dxa"/>
                  <w:vAlign w:val="center"/>
                </w:tcPr>
                <w:p w14:paraId="0491FE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1370" w:type="dxa"/>
                  <w:vAlign w:val="center"/>
                </w:tcPr>
                <w:p w14:paraId="332BDF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1371" w:type="dxa"/>
                  <w:vAlign w:val="center"/>
                </w:tcPr>
                <w:p w14:paraId="432AE9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420（无量纲）</w:t>
                  </w:r>
                </w:p>
              </w:tc>
            </w:tr>
          </w:tbl>
          <w:p w14:paraId="6C73EF43">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b/>
                <w:bCs/>
                <w:color w:val="auto"/>
                <w:sz w:val="24"/>
                <w:szCs w:val="24"/>
                <w:lang w:val="en-US" w:eastAsia="zh-CN"/>
              </w:rPr>
            </w:pPr>
            <w:r>
              <w:rPr>
                <w:rFonts w:hint="eastAsia"/>
                <w:b/>
                <w:bCs/>
                <w:color w:val="auto"/>
                <w:sz w:val="24"/>
                <w:szCs w:val="24"/>
                <w:lang w:val="en-US" w:eastAsia="zh-CN"/>
              </w:rPr>
              <w:t xml:space="preserve">表4.3  </w:t>
            </w:r>
            <w:r>
              <w:rPr>
                <w:rFonts w:hint="eastAsia" w:ascii="Times New Roman" w:hAnsi="Times New Roman" w:eastAsia="宋体" w:cs="Times New Roman"/>
                <w:b/>
                <w:bCs/>
                <w:color w:val="auto"/>
                <w:sz w:val="24"/>
                <w:lang w:eastAsia="zh-CN"/>
              </w:rPr>
              <w:t>污</w:t>
            </w:r>
            <w:r>
              <w:rPr>
                <w:rFonts w:hint="eastAsia"/>
                <w:b/>
                <w:bCs/>
                <w:color w:val="auto"/>
                <w:sz w:val="24"/>
              </w:rPr>
              <w:t>泥</w:t>
            </w:r>
            <w:r>
              <w:rPr>
                <w:rFonts w:hint="eastAsia"/>
                <w:b/>
                <w:bCs/>
                <w:color w:val="auto"/>
                <w:sz w:val="24"/>
                <w:lang w:eastAsia="zh-CN"/>
              </w:rPr>
              <w:t>贮存</w:t>
            </w:r>
            <w:r>
              <w:rPr>
                <w:rFonts w:hint="eastAsia"/>
                <w:b/>
                <w:bCs/>
                <w:color w:val="auto"/>
                <w:sz w:val="24"/>
              </w:rPr>
              <w:t>废气</w:t>
            </w:r>
            <w:r>
              <w:rPr>
                <w:rFonts w:hint="eastAsia"/>
                <w:b/>
                <w:bCs/>
                <w:color w:val="auto"/>
                <w:sz w:val="24"/>
                <w:lang w:eastAsia="zh-CN"/>
              </w:rPr>
              <w:t>、发酵废气排放情况</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172"/>
              <w:gridCol w:w="1173"/>
              <w:gridCol w:w="1173"/>
              <w:gridCol w:w="1173"/>
              <w:gridCol w:w="1173"/>
              <w:gridCol w:w="1173"/>
            </w:tblGrid>
            <w:tr w14:paraId="23A4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Align w:val="center"/>
                </w:tcPr>
                <w:p w14:paraId="5F9EEA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产污工序</w:t>
                  </w:r>
                </w:p>
              </w:tc>
              <w:tc>
                <w:tcPr>
                  <w:tcW w:w="713" w:type="pct"/>
                  <w:vAlign w:val="center"/>
                </w:tcPr>
                <w:p w14:paraId="5022C9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污染因子</w:t>
                  </w:r>
                </w:p>
              </w:tc>
              <w:tc>
                <w:tcPr>
                  <w:tcW w:w="714" w:type="pct"/>
                  <w:vAlign w:val="center"/>
                </w:tcPr>
                <w:p w14:paraId="638325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有组织产生量</w:t>
                  </w:r>
                </w:p>
              </w:tc>
              <w:tc>
                <w:tcPr>
                  <w:tcW w:w="714" w:type="pct"/>
                  <w:vAlign w:val="center"/>
                </w:tcPr>
                <w:p w14:paraId="5EFB7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有组织产生浓度</w:t>
                  </w:r>
                </w:p>
              </w:tc>
              <w:tc>
                <w:tcPr>
                  <w:tcW w:w="714" w:type="pct"/>
                  <w:vAlign w:val="center"/>
                </w:tcPr>
                <w:p w14:paraId="17066F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有组织排放量</w:t>
                  </w:r>
                </w:p>
              </w:tc>
              <w:tc>
                <w:tcPr>
                  <w:tcW w:w="714" w:type="pct"/>
                  <w:vAlign w:val="center"/>
                </w:tcPr>
                <w:p w14:paraId="04A67C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有组织排放速率</w:t>
                  </w:r>
                </w:p>
              </w:tc>
              <w:tc>
                <w:tcPr>
                  <w:tcW w:w="714" w:type="pct"/>
                  <w:vAlign w:val="center"/>
                </w:tcPr>
                <w:p w14:paraId="1D6DC9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有组织排放浓度</w:t>
                  </w:r>
                </w:p>
              </w:tc>
            </w:tr>
            <w:tr w14:paraId="5C2E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restart"/>
                  <w:vAlign w:val="center"/>
                </w:tcPr>
                <w:p w14:paraId="51FCF9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lang w:eastAsia="zh-CN"/>
                    </w:rPr>
                    <w:t>污</w:t>
                  </w:r>
                  <w:r>
                    <w:rPr>
                      <w:rFonts w:hint="eastAsia"/>
                      <w:b w:val="0"/>
                      <w:bCs w:val="0"/>
                      <w:color w:val="auto"/>
                      <w:sz w:val="21"/>
                      <w:szCs w:val="21"/>
                    </w:rPr>
                    <w:t>泥</w:t>
                  </w:r>
                  <w:r>
                    <w:rPr>
                      <w:rFonts w:hint="eastAsia"/>
                      <w:b w:val="0"/>
                      <w:bCs w:val="0"/>
                      <w:color w:val="auto"/>
                      <w:sz w:val="21"/>
                      <w:szCs w:val="21"/>
                      <w:lang w:eastAsia="zh-CN"/>
                    </w:rPr>
                    <w:t>贮存、</w:t>
                  </w:r>
                  <w:r>
                    <w:rPr>
                      <w:rFonts w:hint="eastAsia" w:cs="Times New Roman"/>
                      <w:color w:val="auto"/>
                      <w:sz w:val="21"/>
                      <w:szCs w:val="21"/>
                      <w:vertAlign w:val="baseline"/>
                      <w:lang w:eastAsia="zh-CN"/>
                    </w:rPr>
                    <w:t>生物矿化仓</w:t>
                  </w:r>
                  <w:r>
                    <w:rPr>
                      <w:rFonts w:hint="eastAsia"/>
                      <w:b w:val="0"/>
                      <w:bCs w:val="0"/>
                      <w:color w:val="auto"/>
                      <w:sz w:val="21"/>
                      <w:szCs w:val="21"/>
                      <w:vertAlign w:val="baseline"/>
                      <w:lang w:val="en-US" w:eastAsia="zh-CN"/>
                    </w:rPr>
                    <w:t>、</w:t>
                  </w:r>
                  <w:r>
                    <w:rPr>
                      <w:rFonts w:hint="eastAsia" w:cs="Times New Roman"/>
                      <w:color w:val="auto"/>
                      <w:sz w:val="21"/>
                      <w:szCs w:val="21"/>
                      <w:vertAlign w:val="baseline"/>
                      <w:lang w:eastAsia="zh-CN"/>
                    </w:rPr>
                    <w:t>高温陈化仓</w:t>
                  </w:r>
                </w:p>
              </w:tc>
              <w:tc>
                <w:tcPr>
                  <w:tcW w:w="713" w:type="pct"/>
                  <w:vAlign w:val="center"/>
                </w:tcPr>
                <w:p w14:paraId="2A7EA7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NH</w:t>
                  </w:r>
                  <w:r>
                    <w:rPr>
                      <w:rFonts w:hint="eastAsia"/>
                      <w:b w:val="0"/>
                      <w:bCs w:val="0"/>
                      <w:color w:val="auto"/>
                      <w:sz w:val="21"/>
                      <w:szCs w:val="21"/>
                      <w:vertAlign w:val="subscript"/>
                      <w:lang w:val="en-US" w:eastAsia="zh-CN"/>
                    </w:rPr>
                    <w:t>3</w:t>
                  </w:r>
                </w:p>
              </w:tc>
              <w:tc>
                <w:tcPr>
                  <w:tcW w:w="1173" w:type="dxa"/>
                  <w:vAlign w:val="center"/>
                </w:tcPr>
                <w:p w14:paraId="479D0B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color w:val="auto"/>
                      <w:sz w:val="21"/>
                      <w:szCs w:val="21"/>
                      <w:vertAlign w:val="baseline"/>
                      <w:lang w:val="en-US" w:eastAsia="zh-CN"/>
                    </w:rPr>
                    <w:t>0.108</w:t>
                  </w:r>
                </w:p>
              </w:tc>
              <w:tc>
                <w:tcPr>
                  <w:tcW w:w="714" w:type="pct"/>
                  <w:vAlign w:val="center"/>
                </w:tcPr>
                <w:p w14:paraId="07216A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0.625</w:t>
                  </w:r>
                </w:p>
              </w:tc>
              <w:tc>
                <w:tcPr>
                  <w:tcW w:w="714" w:type="pct"/>
                  <w:vAlign w:val="center"/>
                </w:tcPr>
                <w:p w14:paraId="36D4D1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0.032</w:t>
                  </w:r>
                </w:p>
              </w:tc>
              <w:tc>
                <w:tcPr>
                  <w:tcW w:w="714" w:type="pct"/>
                  <w:vAlign w:val="center"/>
                </w:tcPr>
                <w:p w14:paraId="0D1EFF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0.0045</w:t>
                  </w:r>
                </w:p>
              </w:tc>
              <w:tc>
                <w:tcPr>
                  <w:tcW w:w="714" w:type="pct"/>
                  <w:vAlign w:val="center"/>
                </w:tcPr>
                <w:p w14:paraId="0C4E00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0.188</w:t>
                  </w:r>
                </w:p>
              </w:tc>
            </w:tr>
            <w:tr w14:paraId="149E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vAlign w:val="center"/>
                </w:tcPr>
                <w:p w14:paraId="2DE87D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13" w:type="pct"/>
                  <w:vAlign w:val="center"/>
                </w:tcPr>
                <w:p w14:paraId="7E9E42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t>
                  </w:r>
                  <w:r>
                    <w:rPr>
                      <w:rFonts w:hint="eastAsia"/>
                      <w:b w:val="0"/>
                      <w:bCs w:val="0"/>
                      <w:color w:val="auto"/>
                      <w:sz w:val="21"/>
                      <w:szCs w:val="21"/>
                      <w:vertAlign w:val="subscript"/>
                      <w:lang w:val="en-US" w:eastAsia="zh-CN"/>
                    </w:rPr>
                    <w:t>2</w:t>
                  </w:r>
                  <w:r>
                    <w:rPr>
                      <w:rFonts w:hint="eastAsia"/>
                      <w:b w:val="0"/>
                      <w:bCs w:val="0"/>
                      <w:color w:val="auto"/>
                      <w:sz w:val="21"/>
                      <w:szCs w:val="21"/>
                      <w:vertAlign w:val="baseline"/>
                      <w:lang w:val="en-US" w:eastAsia="zh-CN"/>
                    </w:rPr>
                    <w:t>S</w:t>
                  </w:r>
                </w:p>
              </w:tc>
              <w:tc>
                <w:tcPr>
                  <w:tcW w:w="1173" w:type="dxa"/>
                  <w:vAlign w:val="center"/>
                </w:tcPr>
                <w:p w14:paraId="4E8EB2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color w:val="auto"/>
                      <w:sz w:val="21"/>
                      <w:szCs w:val="21"/>
                      <w:vertAlign w:val="baseline"/>
                      <w:lang w:val="en-US" w:eastAsia="zh-CN"/>
                    </w:rPr>
                    <w:t>0.0244</w:t>
                  </w:r>
                </w:p>
              </w:tc>
              <w:tc>
                <w:tcPr>
                  <w:tcW w:w="714" w:type="pct"/>
                  <w:vAlign w:val="center"/>
                </w:tcPr>
                <w:p w14:paraId="715C81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0.141</w:t>
                  </w:r>
                </w:p>
              </w:tc>
              <w:tc>
                <w:tcPr>
                  <w:tcW w:w="714" w:type="pct"/>
                  <w:vAlign w:val="center"/>
                </w:tcPr>
                <w:p w14:paraId="110BB0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0.007</w:t>
                  </w:r>
                </w:p>
              </w:tc>
              <w:tc>
                <w:tcPr>
                  <w:tcW w:w="714" w:type="pct"/>
                  <w:vAlign w:val="center"/>
                </w:tcPr>
                <w:p w14:paraId="758888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0.001</w:t>
                  </w:r>
                </w:p>
              </w:tc>
              <w:tc>
                <w:tcPr>
                  <w:tcW w:w="714" w:type="pct"/>
                  <w:vAlign w:val="center"/>
                </w:tcPr>
                <w:p w14:paraId="413AA3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0.042</w:t>
                  </w:r>
                </w:p>
              </w:tc>
            </w:tr>
          </w:tbl>
          <w:p w14:paraId="4CD51496">
            <w:pPr>
              <w:spacing w:line="360" w:lineRule="auto"/>
              <w:ind w:firstLine="482" w:firstLineChars="200"/>
              <w:rPr>
                <w:rFonts w:hint="default" w:ascii="Times New Roman" w:hAnsi="Times New Roman" w:eastAsia="宋体" w:cs="Times New Roman"/>
                <w:b/>
                <w:bCs/>
                <w:color w:val="auto"/>
                <w:sz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fldChar w:fldCharType="begin"/>
            </w:r>
            <w:r>
              <w:rPr>
                <w:rFonts w:hint="eastAsia" w:ascii="Times New Roman" w:hAnsi="Times New Roman" w:eastAsia="宋体" w:cs="Times New Roman"/>
                <w:b/>
                <w:bCs/>
                <w:color w:val="auto"/>
                <w:sz w:val="24"/>
                <w:szCs w:val="24"/>
                <w:u w:val="none" w:color="auto"/>
                <w:lang w:val="en-US" w:eastAsia="zh-CN"/>
              </w:rPr>
              <w:instrText xml:space="preserve"> = 8 \* GB3 \* MERGEFORMAT </w:instrText>
            </w:r>
            <w:r>
              <w:rPr>
                <w:rFonts w:hint="eastAsia" w:ascii="Times New Roman" w:hAnsi="Times New Roman" w:eastAsia="宋体" w:cs="Times New Roman"/>
                <w:b/>
                <w:bCs/>
                <w:color w:val="auto"/>
                <w:sz w:val="24"/>
                <w:szCs w:val="24"/>
                <w:u w:val="none" w:color="auto"/>
                <w:lang w:val="en-US" w:eastAsia="zh-CN"/>
              </w:rPr>
              <w:fldChar w:fldCharType="separate"/>
            </w:r>
            <w:r>
              <w:rPr>
                <w:color w:val="auto"/>
                <w:sz w:val="24"/>
                <w:szCs w:val="24"/>
              </w:rPr>
              <w:t>⑧</w:t>
            </w:r>
            <w:r>
              <w:rPr>
                <w:rFonts w:hint="eastAsia" w:ascii="Times New Roman" w:hAnsi="Times New Roman" w:eastAsia="宋体" w:cs="Times New Roman"/>
                <w:b/>
                <w:bCs/>
                <w:color w:val="auto"/>
                <w:sz w:val="24"/>
                <w:szCs w:val="24"/>
                <w:u w:val="none" w:color="auto"/>
                <w:lang w:val="en-US" w:eastAsia="zh-CN"/>
              </w:rPr>
              <w:fldChar w:fldCharType="end"/>
            </w:r>
            <w:r>
              <w:rPr>
                <w:rFonts w:hint="default" w:ascii="Times New Roman" w:hAnsi="Times New Roman" w:eastAsia="宋体" w:cs="Times New Roman"/>
                <w:b w:val="0"/>
                <w:bCs w:val="0"/>
                <w:color w:val="auto"/>
                <w:sz w:val="24"/>
                <w:u w:val="none" w:color="auto"/>
                <w:lang w:val="en-US" w:eastAsia="zh-CN"/>
              </w:rPr>
              <w:t>运输扬尘</w:t>
            </w:r>
          </w:p>
          <w:p w14:paraId="279F3587">
            <w:pPr>
              <w:adjustRightInd w:val="0"/>
              <w:snapToGrid w:val="0"/>
              <w:spacing w:line="348" w:lineRule="auto"/>
              <w:ind w:firstLine="480" w:firstLineChars="200"/>
              <w:rPr>
                <w:rFonts w:hint="eastAsia" w:eastAsia="宋体"/>
                <w:color w:val="auto"/>
                <w:sz w:val="24"/>
                <w:lang w:eastAsia="zh-CN"/>
              </w:rPr>
            </w:pPr>
            <w:r>
              <w:rPr>
                <w:rFonts w:hint="eastAsia"/>
                <w:color w:val="auto"/>
                <w:sz w:val="24"/>
              </w:rPr>
              <w:t>汽车进出场区还会产生一定量的扬尘，</w:t>
            </w:r>
            <w:r>
              <w:rPr>
                <w:rFonts w:hint="eastAsia"/>
                <w:color w:val="auto"/>
                <w:sz w:val="24"/>
                <w:lang w:val="en-US" w:eastAsia="zh-CN"/>
              </w:rPr>
              <w:t>运输扬尘采取运输车辆篷布覆盖，运输过程限速按规定线路行驶等措施</w:t>
            </w:r>
            <w:r>
              <w:rPr>
                <w:rFonts w:hint="eastAsia"/>
                <w:color w:val="auto"/>
                <w:sz w:val="24"/>
              </w:rPr>
              <w:t>后</w:t>
            </w:r>
            <w:r>
              <w:rPr>
                <w:rFonts w:hint="eastAsia"/>
                <w:color w:val="auto"/>
                <w:sz w:val="24"/>
                <w:lang w:eastAsia="zh-CN"/>
              </w:rPr>
              <w:t>无组织排放</w:t>
            </w:r>
            <w:r>
              <w:rPr>
                <w:rFonts w:hint="eastAsia"/>
                <w:color w:val="auto"/>
                <w:sz w:val="24"/>
              </w:rPr>
              <w:t>。</w:t>
            </w:r>
            <w:r>
              <w:rPr>
                <w:rFonts w:hint="eastAsia"/>
                <w:color w:val="auto"/>
                <w:sz w:val="24"/>
                <w:lang w:eastAsia="zh-CN"/>
              </w:rPr>
              <w:t>此处不做定量分析。</w:t>
            </w:r>
          </w:p>
          <w:p w14:paraId="7CBC25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eastAsia="zh-CN"/>
              </w:rPr>
            </w:pPr>
          </w:p>
          <w:p w14:paraId="2163FB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eastAsia="zh-CN"/>
              </w:rPr>
            </w:pPr>
          </w:p>
          <w:p w14:paraId="0B2E1D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eastAsia="zh-CN"/>
              </w:rPr>
            </w:pPr>
          </w:p>
          <w:p w14:paraId="71ACD7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eastAsia="zh-CN"/>
              </w:rPr>
            </w:pPr>
          </w:p>
          <w:p w14:paraId="76AB74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eastAsia="zh-CN"/>
              </w:rPr>
            </w:pPr>
          </w:p>
          <w:p w14:paraId="5535CF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eastAsia="zh-CN"/>
              </w:rPr>
            </w:pPr>
          </w:p>
          <w:p w14:paraId="0A797A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eastAsia="zh-CN"/>
              </w:rPr>
            </w:pPr>
          </w:p>
          <w:p w14:paraId="303FA5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eastAsia="zh-CN"/>
              </w:rPr>
            </w:pPr>
          </w:p>
          <w:p w14:paraId="72771C65">
            <w:pPr>
              <w:adjustRightInd w:val="0"/>
              <w:snapToGrid w:val="0"/>
              <w:spacing w:line="360" w:lineRule="auto"/>
              <w:rPr>
                <w:color w:val="auto"/>
                <w:sz w:val="24"/>
              </w:rPr>
            </w:pPr>
          </w:p>
        </w:tc>
      </w:tr>
    </w:tbl>
    <w:p w14:paraId="206FD655">
      <w:pPr>
        <w:rPr>
          <w:color w:val="auto"/>
          <w:kern w:val="0"/>
        </w:rPr>
        <w:sectPr>
          <w:pgSz w:w="11906" w:h="16838"/>
          <w:pgMar w:top="1440" w:right="1800" w:bottom="1440" w:left="1800" w:header="851" w:footer="992" w:gutter="0"/>
          <w:cols w:space="425" w:num="1"/>
          <w:docGrid w:type="lines" w:linePitch="312" w:charSpace="0"/>
        </w:sectPr>
      </w:pP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3579"/>
      </w:tblGrid>
      <w:tr w14:paraId="5610D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7" w:type="dxa"/>
            <w:tcBorders>
              <w:tl2br w:val="nil"/>
              <w:tr2bl w:val="nil"/>
            </w:tcBorders>
            <w:vAlign w:val="center"/>
          </w:tcPr>
          <w:p w14:paraId="359B4B91">
            <w:pPr>
              <w:adjustRightInd w:val="0"/>
              <w:snapToGrid w:val="0"/>
              <w:jc w:val="center"/>
              <w:rPr>
                <w:color w:val="auto"/>
              </w:rPr>
            </w:pPr>
            <w:r>
              <w:rPr>
                <w:color w:val="auto"/>
              </w:rPr>
              <w:t>运营</w:t>
            </w:r>
          </w:p>
          <w:p w14:paraId="5E98D5C9">
            <w:pPr>
              <w:adjustRightInd w:val="0"/>
              <w:snapToGrid w:val="0"/>
              <w:jc w:val="center"/>
              <w:rPr>
                <w:color w:val="auto"/>
              </w:rPr>
            </w:pPr>
            <w:r>
              <w:rPr>
                <w:color w:val="auto"/>
              </w:rPr>
              <w:t>期环</w:t>
            </w:r>
          </w:p>
          <w:p w14:paraId="509E9283">
            <w:pPr>
              <w:adjustRightInd w:val="0"/>
              <w:snapToGrid w:val="0"/>
              <w:jc w:val="center"/>
              <w:rPr>
                <w:color w:val="auto"/>
              </w:rPr>
            </w:pPr>
            <w:r>
              <w:rPr>
                <w:color w:val="auto"/>
              </w:rPr>
              <w:t>境影</w:t>
            </w:r>
          </w:p>
          <w:p w14:paraId="2439F6AB">
            <w:pPr>
              <w:adjustRightInd w:val="0"/>
              <w:snapToGrid w:val="0"/>
              <w:jc w:val="center"/>
              <w:rPr>
                <w:color w:val="auto"/>
              </w:rPr>
            </w:pPr>
            <w:r>
              <w:rPr>
                <w:color w:val="auto"/>
              </w:rPr>
              <w:t>和</w:t>
            </w:r>
          </w:p>
          <w:p w14:paraId="06E8104E">
            <w:pPr>
              <w:adjustRightInd w:val="0"/>
              <w:snapToGrid w:val="0"/>
              <w:jc w:val="center"/>
              <w:rPr>
                <w:color w:val="auto"/>
              </w:rPr>
            </w:pPr>
            <w:r>
              <w:rPr>
                <w:color w:val="auto"/>
              </w:rPr>
              <w:t>保护</w:t>
            </w:r>
          </w:p>
          <w:p w14:paraId="04205741">
            <w:pPr>
              <w:pStyle w:val="2"/>
              <w:snapToGrid w:val="0"/>
              <w:jc w:val="center"/>
              <w:rPr>
                <w:color w:val="auto"/>
              </w:rPr>
            </w:pPr>
            <w:r>
              <w:rPr>
                <w:color w:val="auto"/>
              </w:rPr>
              <w:t>措施</w:t>
            </w:r>
          </w:p>
          <w:p w14:paraId="5D34042A">
            <w:pPr>
              <w:pStyle w:val="4"/>
              <w:rPr>
                <w:color w:val="auto"/>
              </w:rPr>
            </w:pPr>
          </w:p>
          <w:p w14:paraId="1313CE68">
            <w:pPr>
              <w:pStyle w:val="4"/>
              <w:rPr>
                <w:color w:val="auto"/>
              </w:rPr>
            </w:pPr>
          </w:p>
        </w:tc>
        <w:tc>
          <w:tcPr>
            <w:tcW w:w="12931" w:type="dxa"/>
            <w:tcBorders>
              <w:tl2br w:val="nil"/>
              <w:tr2bl w:val="nil"/>
            </w:tcBorders>
          </w:tcPr>
          <w:p w14:paraId="5CC636D1">
            <w:pPr>
              <w:adjustRightInd w:val="0"/>
              <w:snapToGrid w:val="0"/>
              <w:spacing w:before="156" w:beforeLines="50" w:line="360" w:lineRule="auto"/>
              <w:jc w:val="center"/>
              <w:rPr>
                <w:b/>
                <w:bCs/>
                <w:color w:val="auto"/>
                <w:kern w:val="0"/>
                <w:sz w:val="24"/>
              </w:rPr>
            </w:pPr>
            <w:r>
              <w:rPr>
                <w:b/>
                <w:bCs/>
                <w:color w:val="auto"/>
                <w:kern w:val="0"/>
                <w:sz w:val="24"/>
              </w:rPr>
              <w:t>表4</w:t>
            </w:r>
            <w:r>
              <w:rPr>
                <w:rFonts w:hint="eastAsia"/>
                <w:b/>
                <w:bCs/>
                <w:color w:val="auto"/>
                <w:kern w:val="0"/>
                <w:sz w:val="24"/>
                <w:lang w:val="en-US" w:eastAsia="zh-CN"/>
              </w:rPr>
              <w:t>.4</w:t>
            </w:r>
            <w:r>
              <w:rPr>
                <w:rFonts w:hint="eastAsia"/>
                <w:b/>
                <w:bCs/>
                <w:color w:val="auto"/>
                <w:kern w:val="0"/>
                <w:sz w:val="24"/>
              </w:rPr>
              <w:t xml:space="preserve"> </w:t>
            </w:r>
            <w:r>
              <w:rPr>
                <w:b/>
                <w:bCs/>
                <w:color w:val="auto"/>
                <w:kern w:val="0"/>
                <w:sz w:val="24"/>
              </w:rPr>
              <w:t xml:space="preserve"> 废气产</w:t>
            </w:r>
            <w:r>
              <w:rPr>
                <w:rFonts w:hint="eastAsia"/>
                <w:b/>
                <w:bCs/>
                <w:color w:val="auto"/>
                <w:kern w:val="0"/>
                <w:sz w:val="24"/>
              </w:rPr>
              <w:t>排</w:t>
            </w:r>
            <w:r>
              <w:rPr>
                <w:b/>
                <w:bCs/>
                <w:color w:val="auto"/>
                <w:kern w:val="0"/>
                <w:sz w:val="24"/>
              </w:rPr>
              <w:t>污情况一览表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640"/>
              <w:gridCol w:w="817"/>
              <w:gridCol w:w="839"/>
              <w:gridCol w:w="698"/>
              <w:gridCol w:w="1741"/>
              <w:gridCol w:w="780"/>
              <w:gridCol w:w="761"/>
              <w:gridCol w:w="900"/>
              <w:gridCol w:w="900"/>
              <w:gridCol w:w="1242"/>
              <w:gridCol w:w="800"/>
              <w:gridCol w:w="825"/>
              <w:gridCol w:w="1152"/>
            </w:tblGrid>
            <w:tr w14:paraId="7916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69" w:type="pct"/>
                  <w:vMerge w:val="restart"/>
                  <w:vAlign w:val="center"/>
                </w:tcPr>
                <w:p w14:paraId="57919A1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产排污环节</w:t>
                  </w:r>
                </w:p>
              </w:tc>
              <w:tc>
                <w:tcPr>
                  <w:tcW w:w="239" w:type="pct"/>
                  <w:vMerge w:val="restart"/>
                  <w:vAlign w:val="center"/>
                </w:tcPr>
                <w:p w14:paraId="356F710F">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污染物种类</w:t>
                  </w:r>
                </w:p>
              </w:tc>
              <w:tc>
                <w:tcPr>
                  <w:tcW w:w="620" w:type="pct"/>
                  <w:gridSpan w:val="2"/>
                  <w:vAlign w:val="center"/>
                </w:tcPr>
                <w:p w14:paraId="2526D153">
                  <w:pPr>
                    <w:pStyle w:val="2"/>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污染物产生情况</w:t>
                  </w:r>
                </w:p>
              </w:tc>
              <w:tc>
                <w:tcPr>
                  <w:tcW w:w="261" w:type="pct"/>
                  <w:vMerge w:val="restart"/>
                  <w:vAlign w:val="center"/>
                </w:tcPr>
                <w:p w14:paraId="752F4C30">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w:t>
                  </w:r>
                </w:p>
                <w:p w14:paraId="66CEC5A0">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形式</w:t>
                  </w:r>
                </w:p>
              </w:tc>
              <w:tc>
                <w:tcPr>
                  <w:tcW w:w="1903" w:type="pct"/>
                  <w:gridSpan w:val="5"/>
                  <w:vAlign w:val="center"/>
                </w:tcPr>
                <w:p w14:paraId="723AD401">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主要污染治理设施</w:t>
                  </w:r>
                </w:p>
              </w:tc>
              <w:tc>
                <w:tcPr>
                  <w:tcW w:w="1073" w:type="pct"/>
                  <w:gridSpan w:val="3"/>
                  <w:vAlign w:val="center"/>
                </w:tcPr>
                <w:p w14:paraId="39CB0F0E">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污染物排放情况</w:t>
                  </w:r>
                </w:p>
              </w:tc>
              <w:tc>
                <w:tcPr>
                  <w:tcW w:w="431" w:type="pct"/>
                  <w:vAlign w:val="center"/>
                </w:tcPr>
                <w:p w14:paraId="5D2A89FD">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排放标准</w:t>
                  </w:r>
                </w:p>
              </w:tc>
            </w:tr>
            <w:tr w14:paraId="5753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Merge w:val="continue"/>
                  <w:vAlign w:val="center"/>
                </w:tcPr>
                <w:p w14:paraId="0A2511A4">
                  <w:pPr>
                    <w:adjustRightInd w:val="0"/>
                    <w:snapToGrid w:val="0"/>
                    <w:jc w:val="center"/>
                    <w:rPr>
                      <w:color w:val="000000" w:themeColor="text1"/>
                      <w:sz w:val="21"/>
                      <w:szCs w:val="21"/>
                      <w14:textFill>
                        <w14:solidFill>
                          <w14:schemeClr w14:val="tx1"/>
                        </w14:solidFill>
                      </w14:textFill>
                    </w:rPr>
                  </w:pPr>
                </w:p>
              </w:tc>
              <w:tc>
                <w:tcPr>
                  <w:tcW w:w="239" w:type="pct"/>
                  <w:vMerge w:val="continue"/>
                  <w:vAlign w:val="center"/>
                </w:tcPr>
                <w:p w14:paraId="5BC6B09A">
                  <w:pPr>
                    <w:adjustRightInd w:val="0"/>
                    <w:snapToGrid w:val="0"/>
                    <w:jc w:val="center"/>
                    <w:rPr>
                      <w:color w:val="000000" w:themeColor="text1"/>
                      <w:sz w:val="21"/>
                      <w:szCs w:val="21"/>
                      <w14:textFill>
                        <w14:solidFill>
                          <w14:schemeClr w14:val="tx1"/>
                        </w14:solidFill>
                      </w14:textFill>
                    </w:rPr>
                  </w:pPr>
                </w:p>
              </w:tc>
              <w:tc>
                <w:tcPr>
                  <w:tcW w:w="306" w:type="pct"/>
                  <w:vAlign w:val="center"/>
                </w:tcPr>
                <w:p w14:paraId="120AD8D4">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产生量t/a</w:t>
                  </w:r>
                </w:p>
              </w:tc>
              <w:tc>
                <w:tcPr>
                  <w:tcW w:w="314" w:type="pct"/>
                  <w:vAlign w:val="center"/>
                </w:tcPr>
                <w:p w14:paraId="260B3B47">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w:t>
                  </w:r>
                </w:p>
                <w:p w14:paraId="5CCD81F4">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浓度mg/m</w:t>
                  </w:r>
                  <w:r>
                    <w:rPr>
                      <w:color w:val="000000" w:themeColor="text1"/>
                      <w:sz w:val="21"/>
                      <w:szCs w:val="21"/>
                      <w:vertAlign w:val="superscript"/>
                      <w14:textFill>
                        <w14:solidFill>
                          <w14:schemeClr w14:val="tx1"/>
                        </w14:solidFill>
                      </w14:textFill>
                    </w:rPr>
                    <w:t>3</w:t>
                  </w:r>
                </w:p>
              </w:tc>
              <w:tc>
                <w:tcPr>
                  <w:tcW w:w="261" w:type="pct"/>
                  <w:vMerge w:val="continue"/>
                  <w:vAlign w:val="center"/>
                </w:tcPr>
                <w:p w14:paraId="16A4F598">
                  <w:pPr>
                    <w:adjustRightInd w:val="0"/>
                    <w:snapToGrid w:val="0"/>
                    <w:jc w:val="center"/>
                    <w:rPr>
                      <w:color w:val="000000" w:themeColor="text1"/>
                      <w:sz w:val="21"/>
                      <w:szCs w:val="21"/>
                      <w14:textFill>
                        <w14:solidFill>
                          <w14:schemeClr w14:val="tx1"/>
                        </w14:solidFill>
                      </w14:textFill>
                    </w:rPr>
                  </w:pPr>
                </w:p>
              </w:tc>
              <w:tc>
                <w:tcPr>
                  <w:tcW w:w="652" w:type="pct"/>
                  <w:vAlign w:val="center"/>
                </w:tcPr>
                <w:p w14:paraId="5CBCE13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治理措施</w:t>
                  </w:r>
                </w:p>
              </w:tc>
              <w:tc>
                <w:tcPr>
                  <w:tcW w:w="292" w:type="pct"/>
                  <w:vAlign w:val="center"/>
                </w:tcPr>
                <w:p w14:paraId="31A26142">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处理</w:t>
                  </w:r>
                </w:p>
                <w:p w14:paraId="0260289D">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能力</w:t>
                  </w:r>
                </w:p>
              </w:tc>
              <w:tc>
                <w:tcPr>
                  <w:tcW w:w="285" w:type="pct"/>
                  <w:vAlign w:val="center"/>
                </w:tcPr>
                <w:p w14:paraId="477B1B17">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收集效率</w:t>
                  </w:r>
                </w:p>
              </w:tc>
              <w:tc>
                <w:tcPr>
                  <w:tcW w:w="337" w:type="pct"/>
                  <w:vAlign w:val="center"/>
                </w:tcPr>
                <w:p w14:paraId="6B97C9A9">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去除效率</w:t>
                  </w:r>
                </w:p>
              </w:tc>
              <w:tc>
                <w:tcPr>
                  <w:tcW w:w="337" w:type="pct"/>
                  <w:vAlign w:val="center"/>
                </w:tcPr>
                <w:p w14:paraId="6D544BD3">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是否为可行技术</w:t>
                  </w:r>
                </w:p>
              </w:tc>
              <w:tc>
                <w:tcPr>
                  <w:tcW w:w="465" w:type="pct"/>
                  <w:vAlign w:val="center"/>
                </w:tcPr>
                <w:p w14:paraId="7030817C">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排放量t/a</w:t>
                  </w:r>
                </w:p>
              </w:tc>
              <w:tc>
                <w:tcPr>
                  <w:tcW w:w="299" w:type="pct"/>
                  <w:vAlign w:val="center"/>
                </w:tcPr>
                <w:p w14:paraId="295E595F">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排放速率kg/h</w:t>
                  </w:r>
                </w:p>
              </w:tc>
              <w:tc>
                <w:tcPr>
                  <w:tcW w:w="309" w:type="pct"/>
                  <w:vAlign w:val="center"/>
                </w:tcPr>
                <w:p w14:paraId="0278B880">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排放浓度mg/m</w:t>
                  </w:r>
                  <w:r>
                    <w:rPr>
                      <w:color w:val="000000" w:themeColor="text1"/>
                      <w:sz w:val="21"/>
                      <w:szCs w:val="21"/>
                      <w:vertAlign w:val="superscript"/>
                      <w14:textFill>
                        <w14:solidFill>
                          <w14:schemeClr w14:val="tx1"/>
                        </w14:solidFill>
                      </w14:textFill>
                    </w:rPr>
                    <w:t>3</w:t>
                  </w:r>
                </w:p>
              </w:tc>
              <w:tc>
                <w:tcPr>
                  <w:tcW w:w="431" w:type="pct"/>
                  <w:vAlign w:val="center"/>
                </w:tcPr>
                <w:p w14:paraId="2485367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浓度限值mg/m</w:t>
                  </w:r>
                  <w:r>
                    <w:rPr>
                      <w:color w:val="000000" w:themeColor="text1"/>
                      <w:sz w:val="21"/>
                      <w:szCs w:val="21"/>
                      <w:vertAlign w:val="superscript"/>
                      <w14:textFill>
                        <w14:solidFill>
                          <w14:schemeClr w14:val="tx1"/>
                        </w14:solidFill>
                      </w14:textFill>
                    </w:rPr>
                    <w:t>3</w:t>
                  </w:r>
                </w:p>
              </w:tc>
            </w:tr>
            <w:tr w14:paraId="196B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Align w:val="center"/>
                </w:tcPr>
                <w:p w14:paraId="1261E1DD">
                  <w:pPr>
                    <w:pStyle w:val="22"/>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水泥</w:t>
                  </w:r>
                  <w:r>
                    <w:rPr>
                      <w:rFonts w:hint="eastAsia" w:ascii="Times New Roman" w:cs="Times New Roman"/>
                      <w:b w:val="0"/>
                      <w:bCs w:val="0"/>
                      <w:color w:val="auto"/>
                      <w:kern w:val="2"/>
                      <w:sz w:val="21"/>
                      <w:szCs w:val="21"/>
                      <w:lang w:val="en-US" w:eastAsia="zh-CN" w:bidi="ar-SA"/>
                    </w:rPr>
                    <w:t>筒仓</w:t>
                  </w:r>
                  <w:r>
                    <w:rPr>
                      <w:rFonts w:hint="eastAsia" w:ascii="Times New Roman" w:hAnsi="Times New Roman" w:eastAsia="宋体" w:cs="Times New Roman"/>
                      <w:b w:val="0"/>
                      <w:bCs w:val="0"/>
                      <w:color w:val="auto"/>
                      <w:kern w:val="2"/>
                      <w:sz w:val="21"/>
                      <w:szCs w:val="21"/>
                      <w:lang w:val="en-US" w:eastAsia="zh-CN" w:bidi="ar-SA"/>
                    </w:rPr>
                    <w:t>呼吸废气</w:t>
                  </w:r>
                </w:p>
              </w:tc>
              <w:tc>
                <w:tcPr>
                  <w:tcW w:w="239" w:type="pct"/>
                  <w:vAlign w:val="center"/>
                </w:tcPr>
                <w:p w14:paraId="7B7824AD">
                  <w:pPr>
                    <w:pStyle w:val="22"/>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颗粒物</w:t>
                  </w:r>
                </w:p>
              </w:tc>
              <w:tc>
                <w:tcPr>
                  <w:tcW w:w="306" w:type="pct"/>
                  <w:vAlign w:val="center"/>
                </w:tcPr>
                <w:p w14:paraId="77AF4659">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0.19</w:t>
                  </w:r>
                </w:p>
              </w:tc>
              <w:tc>
                <w:tcPr>
                  <w:tcW w:w="314" w:type="pct"/>
                  <w:vAlign w:val="center"/>
                </w:tcPr>
                <w:p w14:paraId="38AE510C">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w:t>
                  </w:r>
                </w:p>
              </w:tc>
              <w:tc>
                <w:tcPr>
                  <w:tcW w:w="261" w:type="pct"/>
                  <w:vAlign w:val="center"/>
                </w:tcPr>
                <w:p w14:paraId="37BBD4EA">
                  <w:pPr>
                    <w:adjustRightInd w:val="0"/>
                    <w:snapToGrid w:val="0"/>
                    <w:jc w:val="center"/>
                    <w:rPr>
                      <w:rFonts w:hint="eastAsia" w:eastAsia="宋体"/>
                      <w:color w:val="auto"/>
                      <w:sz w:val="21"/>
                      <w:szCs w:val="21"/>
                      <w:lang w:eastAsia="zh-CN"/>
                    </w:rPr>
                  </w:pPr>
                  <w:r>
                    <w:rPr>
                      <w:rFonts w:hint="eastAsia"/>
                      <w:color w:val="auto"/>
                      <w:sz w:val="21"/>
                      <w:szCs w:val="21"/>
                      <w:lang w:eastAsia="zh-CN"/>
                    </w:rPr>
                    <w:t>有组织</w:t>
                  </w:r>
                </w:p>
              </w:tc>
              <w:tc>
                <w:tcPr>
                  <w:tcW w:w="652" w:type="pct"/>
                  <w:vAlign w:val="center"/>
                </w:tcPr>
                <w:p w14:paraId="2F15D395">
                  <w:pPr>
                    <w:adjustRightInd w:val="0"/>
                    <w:snapToGrid w:val="0"/>
                    <w:jc w:val="center"/>
                    <w:rPr>
                      <w:color w:val="auto"/>
                      <w:sz w:val="21"/>
                      <w:szCs w:val="21"/>
                    </w:rPr>
                  </w:pPr>
                  <w:r>
                    <w:rPr>
                      <w:rFonts w:hint="eastAsia" w:cs="Times New Roman"/>
                      <w:color w:val="auto"/>
                      <w:sz w:val="21"/>
                      <w:szCs w:val="21"/>
                      <w:lang w:eastAsia="zh-CN"/>
                    </w:rPr>
                    <w:t>脉冲式除尘器</w:t>
                  </w:r>
                  <w:r>
                    <w:rPr>
                      <w:rFonts w:hint="eastAsia" w:cs="Times New Roman"/>
                      <w:color w:val="auto"/>
                      <w:sz w:val="21"/>
                      <w:szCs w:val="21"/>
                      <w:lang w:val="en-US" w:eastAsia="zh-CN"/>
                    </w:rPr>
                    <w:t>+</w:t>
                  </w:r>
                  <w:r>
                    <w:rPr>
                      <w:rFonts w:hint="eastAsia"/>
                      <w:color w:val="auto"/>
                      <w:sz w:val="21"/>
                      <w:szCs w:val="21"/>
                    </w:rPr>
                    <w:t>15</w:t>
                  </w:r>
                  <w:r>
                    <w:rPr>
                      <w:rFonts w:hint="eastAsia"/>
                      <w:color w:val="auto"/>
                      <w:sz w:val="21"/>
                      <w:szCs w:val="21"/>
                      <w:lang w:val="en-US" w:eastAsia="zh-CN"/>
                    </w:rPr>
                    <w:t>m</w:t>
                  </w:r>
                  <w:r>
                    <w:rPr>
                      <w:rFonts w:hint="eastAsia"/>
                      <w:color w:val="auto"/>
                      <w:sz w:val="21"/>
                      <w:szCs w:val="21"/>
                    </w:rPr>
                    <w:t>高排气筒（DA00</w:t>
                  </w:r>
                  <w:r>
                    <w:rPr>
                      <w:rFonts w:hint="eastAsia"/>
                      <w:color w:val="auto"/>
                      <w:sz w:val="21"/>
                      <w:szCs w:val="21"/>
                      <w:lang w:val="en-US" w:eastAsia="zh-CN"/>
                    </w:rPr>
                    <w:t>1</w:t>
                  </w:r>
                  <w:r>
                    <w:rPr>
                      <w:rFonts w:hint="eastAsia"/>
                      <w:color w:val="auto"/>
                      <w:sz w:val="21"/>
                      <w:szCs w:val="21"/>
                    </w:rPr>
                    <w:t>）</w:t>
                  </w:r>
                </w:p>
              </w:tc>
              <w:tc>
                <w:tcPr>
                  <w:tcW w:w="292" w:type="pct"/>
                  <w:vAlign w:val="center"/>
                </w:tcPr>
                <w:p w14:paraId="545F82E2">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w:t>
                  </w:r>
                </w:p>
              </w:tc>
              <w:tc>
                <w:tcPr>
                  <w:tcW w:w="285" w:type="pct"/>
                  <w:vAlign w:val="center"/>
                </w:tcPr>
                <w:p w14:paraId="7183E3CB">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100%</w:t>
                  </w:r>
                </w:p>
              </w:tc>
              <w:tc>
                <w:tcPr>
                  <w:tcW w:w="337" w:type="pct"/>
                  <w:vAlign w:val="center"/>
                </w:tcPr>
                <w:p w14:paraId="2B8D0D72">
                  <w:pPr>
                    <w:adjustRightInd w:val="0"/>
                    <w:snapToGrid w:val="0"/>
                    <w:jc w:val="center"/>
                    <w:rPr>
                      <w:color w:val="auto"/>
                      <w:sz w:val="21"/>
                      <w:szCs w:val="21"/>
                    </w:rPr>
                  </w:pPr>
                  <w:r>
                    <w:rPr>
                      <w:rFonts w:hint="eastAsia"/>
                      <w:color w:val="auto"/>
                      <w:sz w:val="21"/>
                      <w:szCs w:val="21"/>
                      <w:lang w:val="en-US" w:eastAsia="zh-CN"/>
                    </w:rPr>
                    <w:t>99</w:t>
                  </w:r>
                  <w:r>
                    <w:rPr>
                      <w:color w:val="auto"/>
                      <w:sz w:val="21"/>
                      <w:szCs w:val="21"/>
                    </w:rPr>
                    <w:t>%</w:t>
                  </w:r>
                </w:p>
              </w:tc>
              <w:tc>
                <w:tcPr>
                  <w:tcW w:w="337" w:type="pct"/>
                  <w:vAlign w:val="center"/>
                </w:tcPr>
                <w:p w14:paraId="200BE95A">
                  <w:pPr>
                    <w:adjustRightInd w:val="0"/>
                    <w:snapToGrid w:val="0"/>
                    <w:jc w:val="center"/>
                    <w:rPr>
                      <w:color w:val="auto"/>
                      <w:sz w:val="21"/>
                      <w:szCs w:val="21"/>
                    </w:rPr>
                  </w:pPr>
                  <w:r>
                    <w:rPr>
                      <w:rFonts w:hint="eastAsia"/>
                      <w:color w:val="auto"/>
                      <w:sz w:val="21"/>
                      <w:szCs w:val="21"/>
                    </w:rPr>
                    <w:t>是</w:t>
                  </w:r>
                </w:p>
              </w:tc>
              <w:tc>
                <w:tcPr>
                  <w:tcW w:w="465" w:type="pct"/>
                  <w:vAlign w:val="center"/>
                </w:tcPr>
                <w:p w14:paraId="254E5301">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0.0019</w:t>
                  </w:r>
                </w:p>
              </w:tc>
              <w:tc>
                <w:tcPr>
                  <w:tcW w:w="299" w:type="pct"/>
                  <w:vAlign w:val="center"/>
                </w:tcPr>
                <w:p w14:paraId="50D4CB4E">
                  <w:pPr>
                    <w:adjustRightInd w:val="0"/>
                    <w:snapToGrid w:val="0"/>
                    <w:jc w:val="center"/>
                    <w:rPr>
                      <w:rFonts w:hint="default" w:eastAsia="宋体"/>
                      <w:color w:val="auto"/>
                      <w:sz w:val="21"/>
                      <w:szCs w:val="21"/>
                      <w:lang w:val="en-US" w:eastAsia="zh-CN"/>
                    </w:rPr>
                  </w:pPr>
                  <w:r>
                    <w:rPr>
                      <w:rFonts w:hint="default" w:eastAsia="宋体"/>
                      <w:color w:val="auto"/>
                      <w:sz w:val="21"/>
                      <w:szCs w:val="21"/>
                      <w:lang w:val="en-US" w:eastAsia="zh-CN"/>
                    </w:rPr>
                    <w:t>0.038</w:t>
                  </w:r>
                </w:p>
              </w:tc>
              <w:tc>
                <w:tcPr>
                  <w:tcW w:w="309" w:type="pct"/>
                  <w:vAlign w:val="center"/>
                </w:tcPr>
                <w:p w14:paraId="7B316194">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w:t>
                  </w:r>
                </w:p>
              </w:tc>
              <w:tc>
                <w:tcPr>
                  <w:tcW w:w="431" w:type="pct"/>
                  <w:vAlign w:val="center"/>
                </w:tcPr>
                <w:p w14:paraId="0896E859">
                  <w:pPr>
                    <w:adjustRightInd w:val="0"/>
                    <w:snapToGrid w:val="0"/>
                    <w:jc w:val="center"/>
                    <w:rPr>
                      <w:rFonts w:hint="default" w:eastAsia="宋体"/>
                      <w:color w:val="auto"/>
                      <w:sz w:val="21"/>
                      <w:szCs w:val="21"/>
                      <w:lang w:val="en-US" w:eastAsia="zh-CN"/>
                    </w:rPr>
                  </w:pPr>
                  <w:r>
                    <w:rPr>
                      <w:rFonts w:hint="eastAsia"/>
                      <w:color w:val="auto"/>
                      <w:sz w:val="21"/>
                      <w:szCs w:val="21"/>
                      <w:vertAlign w:val="baseline"/>
                      <w:lang w:val="en-US" w:eastAsia="zh-CN"/>
                    </w:rPr>
                    <w:t>10</w:t>
                  </w:r>
                </w:p>
              </w:tc>
            </w:tr>
            <w:tr w14:paraId="15AD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Align w:val="center"/>
                </w:tcPr>
                <w:p w14:paraId="64881EDC">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粉煤灰</w:t>
                  </w:r>
                  <w:r>
                    <w:rPr>
                      <w:rFonts w:hint="eastAsia" w:ascii="Times New Roman" w:cs="Times New Roman"/>
                      <w:b w:val="0"/>
                      <w:bCs w:val="0"/>
                      <w:color w:val="auto"/>
                      <w:kern w:val="2"/>
                      <w:sz w:val="21"/>
                      <w:szCs w:val="21"/>
                      <w:lang w:val="en-US" w:eastAsia="zh-CN" w:bidi="ar-SA"/>
                    </w:rPr>
                    <w:t>筒仓</w:t>
                  </w:r>
                  <w:r>
                    <w:rPr>
                      <w:rFonts w:hint="eastAsia" w:ascii="Times New Roman" w:hAnsi="Times New Roman" w:eastAsia="宋体" w:cs="Times New Roman"/>
                      <w:b w:val="0"/>
                      <w:bCs w:val="0"/>
                      <w:color w:val="auto"/>
                      <w:kern w:val="2"/>
                      <w:sz w:val="21"/>
                      <w:szCs w:val="21"/>
                      <w:lang w:val="en-US" w:eastAsia="zh-CN" w:bidi="ar-SA"/>
                    </w:rPr>
                    <w:t>呼吸废气</w:t>
                  </w:r>
                </w:p>
              </w:tc>
              <w:tc>
                <w:tcPr>
                  <w:tcW w:w="239" w:type="pct"/>
                  <w:vAlign w:val="center"/>
                </w:tcPr>
                <w:p w14:paraId="48FC3A7F">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颗粒物</w:t>
                  </w:r>
                </w:p>
              </w:tc>
              <w:tc>
                <w:tcPr>
                  <w:tcW w:w="306" w:type="pct"/>
                  <w:vAlign w:val="center"/>
                </w:tcPr>
                <w:p w14:paraId="1EFB9F51">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1.14</w:t>
                  </w:r>
                </w:p>
              </w:tc>
              <w:tc>
                <w:tcPr>
                  <w:tcW w:w="314" w:type="pct"/>
                  <w:vAlign w:val="center"/>
                </w:tcPr>
                <w:p w14:paraId="2F6B9E80">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w:t>
                  </w:r>
                </w:p>
              </w:tc>
              <w:tc>
                <w:tcPr>
                  <w:tcW w:w="261" w:type="pct"/>
                  <w:vAlign w:val="center"/>
                </w:tcPr>
                <w:p w14:paraId="7CDA6545">
                  <w:pPr>
                    <w:adjustRightInd w:val="0"/>
                    <w:snapToGrid w:val="0"/>
                    <w:jc w:val="center"/>
                    <w:rPr>
                      <w:rFonts w:hint="eastAsia" w:eastAsia="宋体"/>
                      <w:color w:val="auto"/>
                      <w:sz w:val="21"/>
                      <w:szCs w:val="21"/>
                      <w:lang w:eastAsia="zh-CN"/>
                    </w:rPr>
                  </w:pPr>
                  <w:r>
                    <w:rPr>
                      <w:rFonts w:hint="eastAsia"/>
                      <w:color w:val="auto"/>
                      <w:sz w:val="21"/>
                      <w:szCs w:val="21"/>
                      <w:lang w:eastAsia="zh-CN"/>
                    </w:rPr>
                    <w:t>有组织</w:t>
                  </w:r>
                </w:p>
              </w:tc>
              <w:tc>
                <w:tcPr>
                  <w:tcW w:w="652" w:type="pct"/>
                  <w:vAlign w:val="center"/>
                </w:tcPr>
                <w:p w14:paraId="611C4F02">
                  <w:pPr>
                    <w:adjustRightInd w:val="0"/>
                    <w:snapToGrid w:val="0"/>
                    <w:jc w:val="center"/>
                    <w:rPr>
                      <w:rFonts w:hint="eastAsia"/>
                      <w:color w:val="auto"/>
                      <w:sz w:val="21"/>
                      <w:szCs w:val="21"/>
                    </w:rPr>
                  </w:pPr>
                  <w:r>
                    <w:rPr>
                      <w:rFonts w:hint="eastAsia" w:cs="Times New Roman"/>
                      <w:color w:val="auto"/>
                      <w:sz w:val="21"/>
                      <w:szCs w:val="21"/>
                      <w:lang w:eastAsia="zh-CN"/>
                    </w:rPr>
                    <w:t>脉冲式布袋除尘器</w:t>
                  </w:r>
                  <w:r>
                    <w:rPr>
                      <w:rFonts w:hint="eastAsia" w:cs="Times New Roman"/>
                      <w:color w:val="auto"/>
                      <w:sz w:val="21"/>
                      <w:szCs w:val="21"/>
                      <w:lang w:val="en-US" w:eastAsia="zh-CN"/>
                    </w:rPr>
                    <w:t>+</w:t>
                  </w:r>
                  <w:r>
                    <w:rPr>
                      <w:rFonts w:hint="eastAsia"/>
                      <w:color w:val="auto"/>
                      <w:sz w:val="21"/>
                      <w:szCs w:val="21"/>
                    </w:rPr>
                    <w:t>15</w:t>
                  </w:r>
                  <w:r>
                    <w:rPr>
                      <w:rFonts w:hint="eastAsia"/>
                      <w:color w:val="auto"/>
                      <w:sz w:val="21"/>
                      <w:szCs w:val="21"/>
                      <w:lang w:val="en-US" w:eastAsia="zh-CN"/>
                    </w:rPr>
                    <w:t>m</w:t>
                  </w:r>
                  <w:r>
                    <w:rPr>
                      <w:rFonts w:hint="eastAsia"/>
                      <w:color w:val="auto"/>
                      <w:sz w:val="21"/>
                      <w:szCs w:val="21"/>
                    </w:rPr>
                    <w:t>高排气筒（DA00</w:t>
                  </w:r>
                  <w:r>
                    <w:rPr>
                      <w:rFonts w:hint="eastAsia"/>
                      <w:color w:val="auto"/>
                      <w:sz w:val="21"/>
                      <w:szCs w:val="21"/>
                      <w:lang w:val="en-US" w:eastAsia="zh-CN"/>
                    </w:rPr>
                    <w:t>2</w:t>
                  </w:r>
                  <w:r>
                    <w:rPr>
                      <w:rFonts w:hint="eastAsia"/>
                      <w:color w:val="auto"/>
                      <w:sz w:val="21"/>
                      <w:szCs w:val="21"/>
                    </w:rPr>
                    <w:t>）</w:t>
                  </w:r>
                </w:p>
              </w:tc>
              <w:tc>
                <w:tcPr>
                  <w:tcW w:w="292" w:type="pct"/>
                  <w:vAlign w:val="center"/>
                </w:tcPr>
                <w:p w14:paraId="3330F957">
                  <w:pPr>
                    <w:adjustRightInd w:val="0"/>
                    <w:snapToGrid w:val="0"/>
                    <w:jc w:val="center"/>
                    <w:rPr>
                      <w:rFonts w:hint="eastAsia" w:eastAsia="宋体"/>
                      <w:bCs/>
                      <w:color w:val="auto"/>
                      <w:kern w:val="24"/>
                      <w:sz w:val="21"/>
                      <w:szCs w:val="21"/>
                      <w:lang w:val="en-US" w:eastAsia="zh-CN"/>
                    </w:rPr>
                  </w:pPr>
                  <w:r>
                    <w:rPr>
                      <w:rFonts w:hint="eastAsia"/>
                      <w:color w:val="auto"/>
                      <w:sz w:val="21"/>
                      <w:szCs w:val="21"/>
                      <w:lang w:val="en-US" w:eastAsia="zh-CN"/>
                    </w:rPr>
                    <w:t>/</w:t>
                  </w:r>
                </w:p>
              </w:tc>
              <w:tc>
                <w:tcPr>
                  <w:tcW w:w="285" w:type="pct"/>
                  <w:vAlign w:val="center"/>
                </w:tcPr>
                <w:p w14:paraId="5452D162">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100%</w:t>
                  </w:r>
                </w:p>
              </w:tc>
              <w:tc>
                <w:tcPr>
                  <w:tcW w:w="337" w:type="pct"/>
                  <w:vAlign w:val="center"/>
                </w:tcPr>
                <w:p w14:paraId="430F22FA">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99</w:t>
                  </w:r>
                  <w:r>
                    <w:rPr>
                      <w:color w:val="auto"/>
                      <w:sz w:val="21"/>
                      <w:szCs w:val="21"/>
                    </w:rPr>
                    <w:t>%</w:t>
                  </w:r>
                </w:p>
              </w:tc>
              <w:tc>
                <w:tcPr>
                  <w:tcW w:w="337" w:type="pct"/>
                  <w:vAlign w:val="center"/>
                </w:tcPr>
                <w:p w14:paraId="47D6E50A">
                  <w:pPr>
                    <w:adjustRightInd w:val="0"/>
                    <w:snapToGrid w:val="0"/>
                    <w:jc w:val="center"/>
                    <w:rPr>
                      <w:rFonts w:hint="eastAsia" w:eastAsia="宋体"/>
                      <w:color w:val="auto"/>
                      <w:sz w:val="21"/>
                      <w:szCs w:val="21"/>
                      <w:lang w:eastAsia="zh-CN"/>
                    </w:rPr>
                  </w:pPr>
                  <w:r>
                    <w:rPr>
                      <w:rFonts w:hint="eastAsia"/>
                      <w:color w:val="auto"/>
                      <w:sz w:val="21"/>
                      <w:szCs w:val="21"/>
                      <w:lang w:eastAsia="zh-CN"/>
                    </w:rPr>
                    <w:t>是</w:t>
                  </w:r>
                </w:p>
              </w:tc>
              <w:tc>
                <w:tcPr>
                  <w:tcW w:w="465" w:type="pct"/>
                  <w:vAlign w:val="center"/>
                </w:tcPr>
                <w:p w14:paraId="4B0B3F87">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0.0114</w:t>
                  </w:r>
                </w:p>
              </w:tc>
              <w:tc>
                <w:tcPr>
                  <w:tcW w:w="299" w:type="pct"/>
                  <w:vAlign w:val="center"/>
                </w:tcPr>
                <w:p w14:paraId="06953CBE">
                  <w:pPr>
                    <w:adjustRightInd w:val="0"/>
                    <w:snapToGrid w:val="0"/>
                    <w:jc w:val="center"/>
                    <w:rPr>
                      <w:rFonts w:hint="default" w:eastAsia="宋体"/>
                      <w:color w:val="auto"/>
                      <w:sz w:val="21"/>
                      <w:szCs w:val="21"/>
                      <w:lang w:val="en-US" w:eastAsia="zh-CN"/>
                    </w:rPr>
                  </w:pPr>
                  <w:r>
                    <w:rPr>
                      <w:rFonts w:hint="default" w:eastAsia="宋体"/>
                      <w:color w:val="auto"/>
                      <w:sz w:val="21"/>
                      <w:szCs w:val="21"/>
                      <w:lang w:val="en-US" w:eastAsia="zh-CN"/>
                    </w:rPr>
                    <w:t>0.038</w:t>
                  </w:r>
                </w:p>
              </w:tc>
              <w:tc>
                <w:tcPr>
                  <w:tcW w:w="309" w:type="pct"/>
                  <w:vAlign w:val="center"/>
                </w:tcPr>
                <w:p w14:paraId="12F3EAAA">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w:t>
                  </w:r>
                </w:p>
              </w:tc>
              <w:tc>
                <w:tcPr>
                  <w:tcW w:w="431" w:type="pct"/>
                  <w:vAlign w:val="center"/>
                </w:tcPr>
                <w:p w14:paraId="087F650D">
                  <w:pPr>
                    <w:adjustRightInd w:val="0"/>
                    <w:snapToGrid w:val="0"/>
                    <w:jc w:val="center"/>
                    <w:rPr>
                      <w:rFonts w:hint="default" w:eastAsia="宋体"/>
                      <w:color w:val="auto"/>
                      <w:sz w:val="21"/>
                      <w:szCs w:val="21"/>
                      <w:lang w:val="en-US" w:eastAsia="zh-CN"/>
                    </w:rPr>
                  </w:pPr>
                  <w:r>
                    <w:rPr>
                      <w:rFonts w:hint="eastAsia"/>
                      <w:color w:val="auto"/>
                      <w:sz w:val="21"/>
                      <w:szCs w:val="21"/>
                      <w:vertAlign w:val="baseline"/>
                      <w:lang w:val="en-US" w:eastAsia="zh-CN"/>
                    </w:rPr>
                    <w:t>120</w:t>
                  </w:r>
                </w:p>
              </w:tc>
            </w:tr>
            <w:tr w14:paraId="1345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Align w:val="center"/>
                </w:tcPr>
                <w:p w14:paraId="07A46761">
                  <w:pPr>
                    <w:pStyle w:val="22"/>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cs="Times New Roman"/>
                      <w:b w:val="0"/>
                      <w:bCs w:val="0"/>
                      <w:color w:val="auto"/>
                      <w:kern w:val="2"/>
                      <w:sz w:val="21"/>
                      <w:szCs w:val="21"/>
                      <w:lang w:val="en-US" w:eastAsia="zh-CN" w:bidi="ar-SA"/>
                    </w:rPr>
                    <w:t>建筑掺和料筒仓</w:t>
                  </w:r>
                  <w:r>
                    <w:rPr>
                      <w:rFonts w:hint="eastAsia" w:ascii="Times New Roman" w:hAnsi="Times New Roman" w:eastAsia="宋体" w:cs="Times New Roman"/>
                      <w:b w:val="0"/>
                      <w:bCs w:val="0"/>
                      <w:color w:val="auto"/>
                      <w:kern w:val="2"/>
                      <w:sz w:val="21"/>
                      <w:szCs w:val="21"/>
                      <w:lang w:val="en-US" w:eastAsia="zh-CN" w:bidi="ar-SA"/>
                    </w:rPr>
                    <w:t>呼吸废气</w:t>
                  </w:r>
                </w:p>
              </w:tc>
              <w:tc>
                <w:tcPr>
                  <w:tcW w:w="239" w:type="pct"/>
                  <w:vAlign w:val="center"/>
                </w:tcPr>
                <w:p w14:paraId="61AB3E59">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颗粒物</w:t>
                  </w:r>
                </w:p>
              </w:tc>
              <w:tc>
                <w:tcPr>
                  <w:tcW w:w="306" w:type="pct"/>
                  <w:vAlign w:val="center"/>
                </w:tcPr>
                <w:p w14:paraId="563007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2.945</w:t>
                  </w:r>
                </w:p>
              </w:tc>
              <w:tc>
                <w:tcPr>
                  <w:tcW w:w="314" w:type="pct"/>
                  <w:vAlign w:val="center"/>
                </w:tcPr>
                <w:p w14:paraId="3FCFF5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261" w:type="pct"/>
                  <w:vAlign w:val="center"/>
                </w:tcPr>
                <w:p w14:paraId="74C04B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eastAsia="zh-CN"/>
                    </w:rPr>
                  </w:pPr>
                  <w:r>
                    <w:rPr>
                      <w:rFonts w:hint="eastAsia"/>
                      <w:color w:val="auto"/>
                      <w:sz w:val="21"/>
                      <w:szCs w:val="21"/>
                      <w:lang w:eastAsia="zh-CN"/>
                    </w:rPr>
                    <w:t>有组织</w:t>
                  </w:r>
                </w:p>
              </w:tc>
              <w:tc>
                <w:tcPr>
                  <w:tcW w:w="652" w:type="pct"/>
                  <w:vAlign w:val="center"/>
                </w:tcPr>
                <w:p w14:paraId="661E4E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eastAsia="zh-CN"/>
                    </w:rPr>
                  </w:pPr>
                  <w:r>
                    <w:rPr>
                      <w:rFonts w:hint="eastAsia" w:cs="Times New Roman"/>
                      <w:color w:val="auto"/>
                      <w:sz w:val="21"/>
                      <w:szCs w:val="21"/>
                      <w:lang w:eastAsia="zh-CN"/>
                    </w:rPr>
                    <w:t>脉冲式布袋除尘器</w:t>
                  </w:r>
                  <w:r>
                    <w:rPr>
                      <w:rFonts w:hint="eastAsia" w:cs="Times New Roman"/>
                      <w:color w:val="auto"/>
                      <w:sz w:val="21"/>
                      <w:szCs w:val="21"/>
                      <w:lang w:val="en-US" w:eastAsia="zh-CN"/>
                    </w:rPr>
                    <w:t>+</w:t>
                  </w:r>
                  <w:r>
                    <w:rPr>
                      <w:rFonts w:hint="eastAsia"/>
                      <w:color w:val="auto"/>
                      <w:sz w:val="21"/>
                      <w:szCs w:val="21"/>
                    </w:rPr>
                    <w:t>15</w:t>
                  </w:r>
                  <w:r>
                    <w:rPr>
                      <w:rFonts w:hint="eastAsia"/>
                      <w:color w:val="auto"/>
                      <w:sz w:val="21"/>
                      <w:szCs w:val="21"/>
                      <w:lang w:val="en-US" w:eastAsia="zh-CN"/>
                    </w:rPr>
                    <w:t>m</w:t>
                  </w:r>
                  <w:r>
                    <w:rPr>
                      <w:rFonts w:hint="eastAsia"/>
                      <w:color w:val="auto"/>
                      <w:sz w:val="21"/>
                      <w:szCs w:val="21"/>
                    </w:rPr>
                    <w:t>高排气筒（DA00</w:t>
                  </w:r>
                  <w:r>
                    <w:rPr>
                      <w:rFonts w:hint="eastAsia"/>
                      <w:color w:val="auto"/>
                      <w:sz w:val="21"/>
                      <w:szCs w:val="21"/>
                      <w:lang w:val="en-US" w:eastAsia="zh-CN"/>
                    </w:rPr>
                    <w:t>4</w:t>
                  </w:r>
                  <w:r>
                    <w:rPr>
                      <w:rFonts w:hint="eastAsia"/>
                      <w:color w:val="auto"/>
                      <w:sz w:val="21"/>
                      <w:szCs w:val="21"/>
                    </w:rPr>
                    <w:t>）</w:t>
                  </w:r>
                </w:p>
              </w:tc>
              <w:tc>
                <w:tcPr>
                  <w:tcW w:w="292" w:type="pct"/>
                  <w:vAlign w:val="center"/>
                </w:tcPr>
                <w:p w14:paraId="69F9E2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auto"/>
                      <w:kern w:val="24"/>
                      <w:sz w:val="21"/>
                      <w:szCs w:val="21"/>
                      <w:lang w:val="en-US" w:eastAsia="zh-CN"/>
                    </w:rPr>
                  </w:pPr>
                  <w:r>
                    <w:rPr>
                      <w:rFonts w:hint="eastAsia"/>
                      <w:color w:val="auto"/>
                      <w:sz w:val="21"/>
                      <w:szCs w:val="21"/>
                      <w:lang w:val="en-US" w:eastAsia="zh-CN"/>
                    </w:rPr>
                    <w:t>/</w:t>
                  </w:r>
                </w:p>
              </w:tc>
              <w:tc>
                <w:tcPr>
                  <w:tcW w:w="285" w:type="pct"/>
                  <w:vAlign w:val="center"/>
                </w:tcPr>
                <w:p w14:paraId="72B6F55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100%</w:t>
                  </w:r>
                </w:p>
              </w:tc>
              <w:tc>
                <w:tcPr>
                  <w:tcW w:w="337" w:type="pct"/>
                  <w:vAlign w:val="center"/>
                </w:tcPr>
                <w:p w14:paraId="2A6ED8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99</w:t>
                  </w:r>
                  <w:r>
                    <w:rPr>
                      <w:color w:val="auto"/>
                      <w:sz w:val="21"/>
                      <w:szCs w:val="21"/>
                    </w:rPr>
                    <w:t>%</w:t>
                  </w:r>
                </w:p>
              </w:tc>
              <w:tc>
                <w:tcPr>
                  <w:tcW w:w="337" w:type="pct"/>
                  <w:vAlign w:val="center"/>
                </w:tcPr>
                <w:p w14:paraId="5420A3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eastAsia="zh-CN"/>
                    </w:rPr>
                  </w:pPr>
                  <w:r>
                    <w:rPr>
                      <w:rFonts w:hint="eastAsia"/>
                      <w:color w:val="auto"/>
                      <w:sz w:val="21"/>
                      <w:szCs w:val="21"/>
                      <w:lang w:eastAsia="zh-CN"/>
                    </w:rPr>
                    <w:t>是</w:t>
                  </w:r>
                </w:p>
              </w:tc>
              <w:tc>
                <w:tcPr>
                  <w:tcW w:w="465" w:type="pct"/>
                  <w:vAlign w:val="center"/>
                </w:tcPr>
                <w:p w14:paraId="2F6CE089">
                  <w:pPr>
                    <w:adjustRightInd w:val="0"/>
                    <w:snapToGrid w:val="0"/>
                    <w:jc w:val="center"/>
                    <w:rPr>
                      <w:rFonts w:hint="default"/>
                      <w:color w:val="auto"/>
                      <w:sz w:val="21"/>
                      <w:szCs w:val="21"/>
                      <w:lang w:val="en-US" w:eastAsia="zh-CN"/>
                    </w:rPr>
                  </w:pPr>
                  <w:r>
                    <w:rPr>
                      <w:rFonts w:hint="default"/>
                      <w:color w:val="auto"/>
                      <w:sz w:val="21"/>
                      <w:szCs w:val="21"/>
                      <w:lang w:val="en-US" w:eastAsia="zh-CN"/>
                    </w:rPr>
                    <w:t>0.029</w:t>
                  </w:r>
                </w:p>
              </w:tc>
              <w:tc>
                <w:tcPr>
                  <w:tcW w:w="299" w:type="pct"/>
                  <w:vAlign w:val="center"/>
                </w:tcPr>
                <w:p w14:paraId="5FE03AA6">
                  <w:pPr>
                    <w:adjustRightInd w:val="0"/>
                    <w:snapToGrid w:val="0"/>
                    <w:jc w:val="center"/>
                    <w:rPr>
                      <w:rFonts w:hint="default"/>
                      <w:color w:val="auto"/>
                      <w:sz w:val="21"/>
                      <w:szCs w:val="21"/>
                      <w:lang w:val="en-US" w:eastAsia="zh-CN"/>
                    </w:rPr>
                  </w:pPr>
                  <w:r>
                    <w:rPr>
                      <w:rFonts w:hint="eastAsia"/>
                      <w:color w:val="auto"/>
                      <w:sz w:val="21"/>
                      <w:szCs w:val="21"/>
                      <w:lang w:val="en-US" w:eastAsia="zh-CN"/>
                    </w:rPr>
                    <w:t>0.048</w:t>
                  </w:r>
                </w:p>
              </w:tc>
              <w:tc>
                <w:tcPr>
                  <w:tcW w:w="309" w:type="pct"/>
                  <w:vAlign w:val="center"/>
                </w:tcPr>
                <w:p w14:paraId="165ACAD7">
                  <w:pPr>
                    <w:adjustRightInd w:val="0"/>
                    <w:snapToGrid w:val="0"/>
                    <w:jc w:val="center"/>
                    <w:rPr>
                      <w:rFonts w:hint="default"/>
                      <w:color w:val="auto"/>
                      <w:sz w:val="21"/>
                      <w:szCs w:val="21"/>
                      <w:lang w:val="en-US" w:eastAsia="zh-CN"/>
                    </w:rPr>
                  </w:pPr>
                  <w:r>
                    <w:rPr>
                      <w:rFonts w:hint="eastAsia"/>
                      <w:color w:val="auto"/>
                      <w:sz w:val="21"/>
                      <w:szCs w:val="21"/>
                      <w:lang w:val="en-US" w:eastAsia="zh-CN"/>
                    </w:rPr>
                    <w:t>/</w:t>
                  </w:r>
                </w:p>
              </w:tc>
              <w:tc>
                <w:tcPr>
                  <w:tcW w:w="431" w:type="pct"/>
                  <w:vAlign w:val="center"/>
                </w:tcPr>
                <w:p w14:paraId="10CAC24F">
                  <w:pPr>
                    <w:adjustRightInd w:val="0"/>
                    <w:snapToGrid w:val="0"/>
                    <w:jc w:val="center"/>
                    <w:rPr>
                      <w:rFonts w:hint="eastAsia"/>
                      <w:color w:val="auto"/>
                      <w:sz w:val="21"/>
                      <w:szCs w:val="21"/>
                      <w:lang w:val="en-US" w:eastAsia="zh-CN"/>
                    </w:rPr>
                  </w:pPr>
                  <w:r>
                    <w:rPr>
                      <w:rFonts w:hint="eastAsia"/>
                      <w:color w:val="auto"/>
                      <w:sz w:val="21"/>
                      <w:szCs w:val="21"/>
                      <w:vertAlign w:val="baseline"/>
                      <w:lang w:val="en-US" w:eastAsia="zh-CN"/>
                    </w:rPr>
                    <w:t>120</w:t>
                  </w:r>
                </w:p>
              </w:tc>
            </w:tr>
            <w:tr w14:paraId="3F25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Align w:val="center"/>
                </w:tcPr>
                <w:p w14:paraId="33E2474D">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草木灰</w:t>
                  </w:r>
                  <w:r>
                    <w:rPr>
                      <w:rFonts w:hint="eastAsia" w:ascii="Times New Roman" w:cs="Times New Roman"/>
                      <w:b w:val="0"/>
                      <w:bCs w:val="0"/>
                      <w:color w:val="auto"/>
                      <w:kern w:val="2"/>
                      <w:sz w:val="21"/>
                      <w:szCs w:val="21"/>
                      <w:lang w:val="en-US" w:eastAsia="zh-CN" w:bidi="ar-SA"/>
                    </w:rPr>
                    <w:t>筒仓</w:t>
                  </w:r>
                  <w:r>
                    <w:rPr>
                      <w:rFonts w:hint="eastAsia" w:ascii="Times New Roman" w:hAnsi="Times New Roman" w:eastAsia="宋体" w:cs="Times New Roman"/>
                      <w:b w:val="0"/>
                      <w:bCs w:val="0"/>
                      <w:color w:val="auto"/>
                      <w:kern w:val="2"/>
                      <w:sz w:val="21"/>
                      <w:szCs w:val="21"/>
                      <w:lang w:val="en-US" w:eastAsia="zh-CN" w:bidi="ar-SA"/>
                    </w:rPr>
                    <w:t>呼吸废气</w:t>
                  </w:r>
                </w:p>
              </w:tc>
              <w:tc>
                <w:tcPr>
                  <w:tcW w:w="239" w:type="pct"/>
                  <w:vAlign w:val="center"/>
                </w:tcPr>
                <w:p w14:paraId="43D27558">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颗粒物</w:t>
                  </w:r>
                </w:p>
              </w:tc>
              <w:tc>
                <w:tcPr>
                  <w:tcW w:w="306" w:type="pct"/>
                  <w:vAlign w:val="center"/>
                </w:tcPr>
                <w:p w14:paraId="5898CA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0.38</w:t>
                  </w:r>
                </w:p>
              </w:tc>
              <w:tc>
                <w:tcPr>
                  <w:tcW w:w="314" w:type="pct"/>
                  <w:vAlign w:val="center"/>
                </w:tcPr>
                <w:p w14:paraId="2682D4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261" w:type="pct"/>
                  <w:vAlign w:val="center"/>
                </w:tcPr>
                <w:p w14:paraId="048FE2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eastAsia="zh-CN"/>
                    </w:rPr>
                  </w:pPr>
                  <w:r>
                    <w:rPr>
                      <w:rFonts w:hint="eastAsia"/>
                      <w:color w:val="auto"/>
                      <w:sz w:val="21"/>
                      <w:szCs w:val="21"/>
                      <w:lang w:eastAsia="zh-CN"/>
                    </w:rPr>
                    <w:t>有组织</w:t>
                  </w:r>
                </w:p>
              </w:tc>
              <w:tc>
                <w:tcPr>
                  <w:tcW w:w="652" w:type="pct"/>
                  <w:vAlign w:val="center"/>
                </w:tcPr>
                <w:p w14:paraId="101664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eastAsia="zh-CN"/>
                    </w:rPr>
                  </w:pPr>
                  <w:r>
                    <w:rPr>
                      <w:rFonts w:hint="eastAsia" w:cs="Times New Roman"/>
                      <w:color w:val="auto"/>
                      <w:sz w:val="21"/>
                      <w:szCs w:val="21"/>
                      <w:lang w:eastAsia="zh-CN"/>
                    </w:rPr>
                    <w:t>除尘器</w:t>
                  </w:r>
                  <w:r>
                    <w:rPr>
                      <w:rFonts w:hint="eastAsia" w:cs="Times New Roman"/>
                      <w:color w:val="auto"/>
                      <w:sz w:val="21"/>
                      <w:szCs w:val="21"/>
                      <w:lang w:val="en-US" w:eastAsia="zh-CN"/>
                    </w:rPr>
                    <w:t>+</w:t>
                  </w:r>
                  <w:r>
                    <w:rPr>
                      <w:rFonts w:hint="eastAsia"/>
                      <w:color w:val="auto"/>
                      <w:sz w:val="21"/>
                      <w:szCs w:val="21"/>
                    </w:rPr>
                    <w:t>15</w:t>
                  </w:r>
                  <w:r>
                    <w:rPr>
                      <w:rFonts w:hint="eastAsia"/>
                      <w:color w:val="auto"/>
                      <w:sz w:val="21"/>
                      <w:szCs w:val="21"/>
                      <w:lang w:val="en-US" w:eastAsia="zh-CN"/>
                    </w:rPr>
                    <w:t>m</w:t>
                  </w:r>
                  <w:r>
                    <w:rPr>
                      <w:rFonts w:hint="eastAsia"/>
                      <w:color w:val="auto"/>
                      <w:sz w:val="21"/>
                      <w:szCs w:val="21"/>
                    </w:rPr>
                    <w:t>高排气筒（DA00</w:t>
                  </w:r>
                  <w:r>
                    <w:rPr>
                      <w:rFonts w:hint="eastAsia"/>
                      <w:color w:val="auto"/>
                      <w:sz w:val="21"/>
                      <w:szCs w:val="21"/>
                      <w:lang w:val="en-US" w:eastAsia="zh-CN"/>
                    </w:rPr>
                    <w:t>5</w:t>
                  </w:r>
                  <w:r>
                    <w:rPr>
                      <w:rFonts w:hint="eastAsia"/>
                      <w:color w:val="auto"/>
                      <w:sz w:val="21"/>
                      <w:szCs w:val="21"/>
                    </w:rPr>
                    <w:t>）</w:t>
                  </w:r>
                </w:p>
              </w:tc>
              <w:tc>
                <w:tcPr>
                  <w:tcW w:w="292" w:type="pct"/>
                  <w:vAlign w:val="center"/>
                </w:tcPr>
                <w:p w14:paraId="0723DA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auto"/>
                      <w:kern w:val="24"/>
                      <w:sz w:val="21"/>
                      <w:szCs w:val="21"/>
                      <w:lang w:val="en-US" w:eastAsia="zh-CN"/>
                    </w:rPr>
                  </w:pPr>
                  <w:r>
                    <w:rPr>
                      <w:rFonts w:hint="eastAsia"/>
                      <w:color w:val="auto"/>
                      <w:sz w:val="21"/>
                      <w:szCs w:val="21"/>
                      <w:lang w:val="en-US" w:eastAsia="zh-CN"/>
                    </w:rPr>
                    <w:t>/</w:t>
                  </w:r>
                </w:p>
              </w:tc>
              <w:tc>
                <w:tcPr>
                  <w:tcW w:w="285" w:type="pct"/>
                  <w:vAlign w:val="center"/>
                </w:tcPr>
                <w:p w14:paraId="46E38D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100%</w:t>
                  </w:r>
                </w:p>
              </w:tc>
              <w:tc>
                <w:tcPr>
                  <w:tcW w:w="337" w:type="pct"/>
                  <w:vAlign w:val="center"/>
                </w:tcPr>
                <w:p w14:paraId="709400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99</w:t>
                  </w:r>
                  <w:r>
                    <w:rPr>
                      <w:color w:val="auto"/>
                      <w:sz w:val="21"/>
                      <w:szCs w:val="21"/>
                    </w:rPr>
                    <w:t>%</w:t>
                  </w:r>
                </w:p>
              </w:tc>
              <w:tc>
                <w:tcPr>
                  <w:tcW w:w="337" w:type="pct"/>
                  <w:vAlign w:val="center"/>
                </w:tcPr>
                <w:p w14:paraId="339769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eastAsia="zh-CN"/>
                    </w:rPr>
                  </w:pPr>
                  <w:r>
                    <w:rPr>
                      <w:rFonts w:hint="eastAsia"/>
                      <w:color w:val="auto"/>
                      <w:sz w:val="21"/>
                      <w:szCs w:val="21"/>
                      <w:lang w:eastAsia="zh-CN"/>
                    </w:rPr>
                    <w:t>是</w:t>
                  </w:r>
                </w:p>
              </w:tc>
              <w:tc>
                <w:tcPr>
                  <w:tcW w:w="465" w:type="pct"/>
                  <w:vAlign w:val="center"/>
                </w:tcPr>
                <w:p w14:paraId="149F069E">
                  <w:pPr>
                    <w:adjustRightInd w:val="0"/>
                    <w:snapToGrid w:val="0"/>
                    <w:jc w:val="center"/>
                    <w:rPr>
                      <w:rFonts w:hint="default"/>
                      <w:color w:val="auto"/>
                      <w:sz w:val="21"/>
                      <w:szCs w:val="21"/>
                      <w:lang w:val="en-US" w:eastAsia="zh-CN"/>
                    </w:rPr>
                  </w:pPr>
                  <w:r>
                    <w:rPr>
                      <w:rFonts w:hint="eastAsia"/>
                      <w:color w:val="auto"/>
                      <w:sz w:val="21"/>
                      <w:szCs w:val="21"/>
                      <w:lang w:val="en-US" w:eastAsia="zh-CN"/>
                    </w:rPr>
                    <w:t>0.0038</w:t>
                  </w:r>
                </w:p>
              </w:tc>
              <w:tc>
                <w:tcPr>
                  <w:tcW w:w="299" w:type="pct"/>
                  <w:vAlign w:val="center"/>
                </w:tcPr>
                <w:p w14:paraId="01011DCB">
                  <w:pPr>
                    <w:adjustRightInd w:val="0"/>
                    <w:snapToGrid w:val="0"/>
                    <w:jc w:val="center"/>
                    <w:rPr>
                      <w:rFonts w:hint="default"/>
                      <w:color w:val="auto"/>
                      <w:sz w:val="21"/>
                      <w:szCs w:val="21"/>
                      <w:lang w:val="en-US" w:eastAsia="zh-CN"/>
                    </w:rPr>
                  </w:pPr>
                  <w:r>
                    <w:rPr>
                      <w:rFonts w:hint="eastAsia"/>
                      <w:color w:val="auto"/>
                      <w:sz w:val="21"/>
                      <w:szCs w:val="21"/>
                      <w:lang w:val="en-US" w:eastAsia="zh-CN"/>
                    </w:rPr>
                    <w:t>0.076</w:t>
                  </w:r>
                </w:p>
              </w:tc>
              <w:tc>
                <w:tcPr>
                  <w:tcW w:w="309" w:type="pct"/>
                  <w:vAlign w:val="center"/>
                </w:tcPr>
                <w:p w14:paraId="377994AF">
                  <w:pPr>
                    <w:adjustRightInd w:val="0"/>
                    <w:snapToGrid w:val="0"/>
                    <w:jc w:val="center"/>
                    <w:rPr>
                      <w:rFonts w:hint="default"/>
                      <w:color w:val="auto"/>
                      <w:sz w:val="21"/>
                      <w:szCs w:val="21"/>
                      <w:lang w:val="en-US" w:eastAsia="zh-CN"/>
                    </w:rPr>
                  </w:pPr>
                  <w:r>
                    <w:rPr>
                      <w:rFonts w:hint="eastAsia"/>
                      <w:color w:val="auto"/>
                      <w:sz w:val="21"/>
                      <w:szCs w:val="21"/>
                      <w:lang w:val="en-US" w:eastAsia="zh-CN"/>
                    </w:rPr>
                    <w:t>/</w:t>
                  </w:r>
                </w:p>
              </w:tc>
              <w:tc>
                <w:tcPr>
                  <w:tcW w:w="431" w:type="pct"/>
                  <w:vAlign w:val="center"/>
                </w:tcPr>
                <w:p w14:paraId="017C1A01">
                  <w:pPr>
                    <w:adjustRightInd w:val="0"/>
                    <w:snapToGrid w:val="0"/>
                    <w:jc w:val="center"/>
                    <w:rPr>
                      <w:rFonts w:hint="eastAsia"/>
                      <w:color w:val="auto"/>
                      <w:sz w:val="21"/>
                      <w:szCs w:val="21"/>
                      <w:lang w:val="en-US" w:eastAsia="zh-CN"/>
                    </w:rPr>
                  </w:pPr>
                  <w:r>
                    <w:rPr>
                      <w:rFonts w:hint="eastAsia"/>
                      <w:color w:val="auto"/>
                      <w:sz w:val="21"/>
                      <w:szCs w:val="21"/>
                      <w:vertAlign w:val="baseline"/>
                      <w:lang w:val="en-US" w:eastAsia="zh-CN"/>
                    </w:rPr>
                    <w:t>120</w:t>
                  </w:r>
                </w:p>
              </w:tc>
            </w:tr>
            <w:tr w14:paraId="5506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Merge w:val="restart"/>
                  <w:shd w:val="clear" w:color="auto" w:fill="auto"/>
                  <w:vAlign w:val="center"/>
                </w:tcPr>
                <w:p w14:paraId="03F178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投料废气</w:t>
                  </w:r>
                </w:p>
              </w:tc>
              <w:tc>
                <w:tcPr>
                  <w:tcW w:w="239" w:type="pct"/>
                  <w:vMerge w:val="restart"/>
                  <w:shd w:val="clear" w:color="auto" w:fill="auto"/>
                  <w:vAlign w:val="center"/>
                </w:tcPr>
                <w:p w14:paraId="4D978DD5">
                  <w:pPr>
                    <w:keepNext w:val="0"/>
                    <w:keepLines w:val="0"/>
                    <w:pageBreakBefore w:val="0"/>
                    <w:widowControl w:val="0"/>
                    <w:kinsoku/>
                    <w:wordWrap/>
                    <w:overflowPunct/>
                    <w:topLinePunct w:val="0"/>
                    <w:autoSpaceDE/>
                    <w:autoSpaceDN/>
                    <w:bidi w:val="0"/>
                    <w:adjustRightInd w:val="0"/>
                    <w:snapToGrid w:val="0"/>
                    <w:spacing w:before="62" w:beforeLines="2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颗粒物</w:t>
                  </w:r>
                </w:p>
              </w:tc>
              <w:tc>
                <w:tcPr>
                  <w:tcW w:w="306" w:type="pct"/>
                  <w:shd w:val="clear" w:color="auto" w:fill="auto"/>
                  <w:vAlign w:val="center"/>
                </w:tcPr>
                <w:p w14:paraId="47A03BA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9.135</w:t>
                  </w:r>
                </w:p>
              </w:tc>
              <w:tc>
                <w:tcPr>
                  <w:tcW w:w="314" w:type="pct"/>
                  <w:shd w:val="clear" w:color="auto" w:fill="auto"/>
                  <w:vAlign w:val="center"/>
                </w:tcPr>
                <w:p w14:paraId="044C95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1522.5</w:t>
                  </w:r>
                </w:p>
              </w:tc>
              <w:tc>
                <w:tcPr>
                  <w:tcW w:w="261" w:type="pct"/>
                  <w:shd w:val="clear" w:color="auto" w:fill="auto"/>
                  <w:vAlign w:val="center"/>
                </w:tcPr>
                <w:p w14:paraId="48884A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有组织</w:t>
                  </w:r>
                </w:p>
              </w:tc>
              <w:tc>
                <w:tcPr>
                  <w:tcW w:w="652" w:type="pct"/>
                  <w:vMerge w:val="restart"/>
                  <w:shd w:val="clear" w:color="auto" w:fill="auto"/>
                  <w:vAlign w:val="center"/>
                </w:tcPr>
                <w:p w14:paraId="043C7F1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脉冲式布袋布袋除尘器</w:t>
                  </w:r>
                  <w:r>
                    <w:rPr>
                      <w:rFonts w:hint="eastAsia" w:cs="Times New Roman"/>
                      <w:color w:val="auto"/>
                      <w:sz w:val="21"/>
                      <w:szCs w:val="21"/>
                      <w:lang w:val="en-US" w:eastAsia="zh-CN"/>
                    </w:rPr>
                    <w:t>+</w:t>
                  </w:r>
                  <w:r>
                    <w:rPr>
                      <w:rFonts w:hint="eastAsia"/>
                      <w:color w:val="auto"/>
                      <w:sz w:val="21"/>
                      <w:szCs w:val="21"/>
                    </w:rPr>
                    <w:t>15</w:t>
                  </w:r>
                  <w:r>
                    <w:rPr>
                      <w:rFonts w:hint="eastAsia"/>
                      <w:color w:val="auto"/>
                      <w:sz w:val="21"/>
                      <w:szCs w:val="21"/>
                      <w:lang w:val="en-US" w:eastAsia="zh-CN"/>
                    </w:rPr>
                    <w:t>m</w:t>
                  </w:r>
                  <w:r>
                    <w:rPr>
                      <w:rFonts w:hint="eastAsia"/>
                      <w:color w:val="auto"/>
                      <w:sz w:val="21"/>
                      <w:szCs w:val="21"/>
                    </w:rPr>
                    <w:t>高排气筒（DA00</w:t>
                  </w:r>
                  <w:r>
                    <w:rPr>
                      <w:rFonts w:hint="eastAsia"/>
                      <w:color w:val="auto"/>
                      <w:sz w:val="21"/>
                      <w:szCs w:val="21"/>
                      <w:lang w:val="en-US" w:eastAsia="zh-CN"/>
                    </w:rPr>
                    <w:t>6</w:t>
                  </w:r>
                  <w:r>
                    <w:rPr>
                      <w:rFonts w:hint="eastAsia"/>
                      <w:color w:val="auto"/>
                      <w:sz w:val="21"/>
                      <w:szCs w:val="21"/>
                    </w:rPr>
                    <w:t>）</w:t>
                  </w:r>
                </w:p>
              </w:tc>
              <w:tc>
                <w:tcPr>
                  <w:tcW w:w="292" w:type="pct"/>
                  <w:vMerge w:val="restart"/>
                  <w:shd w:val="clear" w:color="auto" w:fill="auto"/>
                  <w:vAlign w:val="center"/>
                </w:tcPr>
                <w:p w14:paraId="0AA98E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bCs/>
                      <w:color w:val="auto"/>
                      <w:kern w:val="24"/>
                      <w:sz w:val="21"/>
                      <w:szCs w:val="21"/>
                      <w:lang w:val="en-US" w:eastAsia="zh-CN"/>
                    </w:rPr>
                    <w:t>5000m</w:t>
                  </w:r>
                  <w:r>
                    <w:rPr>
                      <w:rFonts w:hint="eastAsia"/>
                      <w:bCs/>
                      <w:color w:val="auto"/>
                      <w:kern w:val="24"/>
                      <w:sz w:val="21"/>
                      <w:szCs w:val="21"/>
                      <w:vertAlign w:val="superscript"/>
                      <w:lang w:val="en-US" w:eastAsia="zh-CN"/>
                    </w:rPr>
                    <w:t>3</w:t>
                  </w:r>
                  <w:r>
                    <w:rPr>
                      <w:rFonts w:hint="eastAsia"/>
                      <w:bCs/>
                      <w:color w:val="auto"/>
                      <w:kern w:val="24"/>
                      <w:sz w:val="21"/>
                      <w:szCs w:val="21"/>
                      <w:lang w:val="en-US" w:eastAsia="zh-CN"/>
                    </w:rPr>
                    <w:t>/h</w:t>
                  </w:r>
                </w:p>
              </w:tc>
              <w:tc>
                <w:tcPr>
                  <w:tcW w:w="285" w:type="pct"/>
                  <w:vMerge w:val="restart"/>
                  <w:shd w:val="clear" w:color="auto" w:fill="auto"/>
                  <w:vAlign w:val="center"/>
                </w:tcPr>
                <w:p w14:paraId="4F8F78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color w:val="auto"/>
                      <w:sz w:val="21"/>
                      <w:szCs w:val="21"/>
                    </w:rPr>
                    <w:t>90%</w:t>
                  </w:r>
                </w:p>
              </w:tc>
              <w:tc>
                <w:tcPr>
                  <w:tcW w:w="337" w:type="pct"/>
                  <w:vMerge w:val="restart"/>
                  <w:shd w:val="clear" w:color="auto" w:fill="auto"/>
                  <w:vAlign w:val="center"/>
                </w:tcPr>
                <w:p w14:paraId="25D5D2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99</w:t>
                  </w:r>
                  <w:r>
                    <w:rPr>
                      <w:color w:val="auto"/>
                      <w:sz w:val="21"/>
                      <w:szCs w:val="21"/>
                    </w:rPr>
                    <w:t>%</w:t>
                  </w:r>
                </w:p>
              </w:tc>
              <w:tc>
                <w:tcPr>
                  <w:tcW w:w="337" w:type="pct"/>
                  <w:shd w:val="clear" w:color="auto" w:fill="auto"/>
                  <w:vAlign w:val="center"/>
                </w:tcPr>
                <w:p w14:paraId="3F233C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是</w:t>
                  </w:r>
                </w:p>
              </w:tc>
              <w:tc>
                <w:tcPr>
                  <w:tcW w:w="465" w:type="pct"/>
                  <w:shd w:val="clear" w:color="auto" w:fill="auto"/>
                  <w:vAlign w:val="center"/>
                </w:tcPr>
                <w:p w14:paraId="2590C79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0.091</w:t>
                  </w:r>
                </w:p>
              </w:tc>
              <w:tc>
                <w:tcPr>
                  <w:tcW w:w="299" w:type="pct"/>
                  <w:shd w:val="clear" w:color="auto" w:fill="auto"/>
                  <w:vAlign w:val="center"/>
                </w:tcPr>
                <w:p w14:paraId="4C6133F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0.076</w:t>
                  </w:r>
                </w:p>
              </w:tc>
              <w:tc>
                <w:tcPr>
                  <w:tcW w:w="309" w:type="pct"/>
                  <w:shd w:val="clear" w:color="auto" w:fill="auto"/>
                  <w:vAlign w:val="center"/>
                </w:tcPr>
                <w:p w14:paraId="05BE3CF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15.225</w:t>
                  </w:r>
                </w:p>
              </w:tc>
              <w:tc>
                <w:tcPr>
                  <w:tcW w:w="431" w:type="pct"/>
                  <w:shd w:val="clear" w:color="auto" w:fill="auto"/>
                  <w:vAlign w:val="center"/>
                </w:tcPr>
                <w:p w14:paraId="34E1E99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val="en-US" w:eastAsia="zh-CN"/>
                    </w:rPr>
                    <w:t>120</w:t>
                  </w:r>
                </w:p>
              </w:tc>
            </w:tr>
            <w:tr w14:paraId="25A1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Merge w:val="continue"/>
                  <w:shd w:val="clear" w:color="auto" w:fill="auto"/>
                  <w:vAlign w:val="center"/>
                </w:tcPr>
                <w:p w14:paraId="5FAFC4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p>
              </w:tc>
              <w:tc>
                <w:tcPr>
                  <w:tcW w:w="239" w:type="pct"/>
                  <w:vMerge w:val="continue"/>
                  <w:shd w:val="clear" w:color="auto" w:fill="auto"/>
                  <w:vAlign w:val="center"/>
                </w:tcPr>
                <w:p w14:paraId="475F2ED5">
                  <w:pPr>
                    <w:keepNext w:val="0"/>
                    <w:keepLines w:val="0"/>
                    <w:pageBreakBefore w:val="0"/>
                    <w:widowControl w:val="0"/>
                    <w:kinsoku/>
                    <w:wordWrap/>
                    <w:overflowPunct/>
                    <w:topLinePunct w:val="0"/>
                    <w:autoSpaceDE/>
                    <w:autoSpaceDN/>
                    <w:bidi w:val="0"/>
                    <w:adjustRightInd w:val="0"/>
                    <w:snapToGrid w:val="0"/>
                    <w:spacing w:before="62" w:beforeLines="20"/>
                    <w:jc w:val="center"/>
                    <w:textAlignment w:val="auto"/>
                    <w:rPr>
                      <w:rFonts w:hint="eastAsia"/>
                      <w:color w:val="auto"/>
                      <w:sz w:val="21"/>
                      <w:szCs w:val="21"/>
                      <w:lang w:eastAsia="zh-CN"/>
                    </w:rPr>
                  </w:pPr>
                </w:p>
              </w:tc>
              <w:tc>
                <w:tcPr>
                  <w:tcW w:w="306" w:type="pct"/>
                  <w:shd w:val="clear" w:color="auto" w:fill="auto"/>
                  <w:vAlign w:val="center"/>
                </w:tcPr>
                <w:p w14:paraId="4B5556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1.015</w:t>
                  </w:r>
                </w:p>
              </w:tc>
              <w:tc>
                <w:tcPr>
                  <w:tcW w:w="314" w:type="pct"/>
                  <w:shd w:val="clear" w:color="auto" w:fill="auto"/>
                  <w:vAlign w:val="center"/>
                </w:tcPr>
                <w:p w14:paraId="628335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261" w:type="pct"/>
                  <w:shd w:val="clear" w:color="auto" w:fill="auto"/>
                  <w:vAlign w:val="center"/>
                </w:tcPr>
                <w:p w14:paraId="5358F2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eastAsia="zh-CN"/>
                    </w:rPr>
                  </w:pPr>
                  <w:r>
                    <w:rPr>
                      <w:color w:val="auto"/>
                      <w:sz w:val="21"/>
                      <w:szCs w:val="21"/>
                    </w:rPr>
                    <w:t>无组织</w:t>
                  </w:r>
                </w:p>
              </w:tc>
              <w:tc>
                <w:tcPr>
                  <w:tcW w:w="652" w:type="pct"/>
                  <w:vMerge w:val="continue"/>
                  <w:shd w:val="clear" w:color="auto" w:fill="auto"/>
                  <w:vAlign w:val="center"/>
                </w:tcPr>
                <w:p w14:paraId="1A2551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Times New Roman" w:cs="Times New Roman"/>
                      <w:color w:val="auto"/>
                      <w:sz w:val="21"/>
                      <w:szCs w:val="21"/>
                      <w:lang w:val="en-US" w:eastAsia="zh-CN"/>
                    </w:rPr>
                  </w:pPr>
                </w:p>
              </w:tc>
              <w:tc>
                <w:tcPr>
                  <w:tcW w:w="292" w:type="pct"/>
                  <w:vMerge w:val="continue"/>
                  <w:shd w:val="clear" w:color="auto" w:fill="auto"/>
                  <w:vAlign w:val="center"/>
                </w:tcPr>
                <w:p w14:paraId="5047A5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p>
              </w:tc>
              <w:tc>
                <w:tcPr>
                  <w:tcW w:w="285" w:type="pct"/>
                  <w:vMerge w:val="continue"/>
                  <w:shd w:val="clear" w:color="auto" w:fill="auto"/>
                  <w:vAlign w:val="center"/>
                </w:tcPr>
                <w:p w14:paraId="18CB2B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p>
              </w:tc>
              <w:tc>
                <w:tcPr>
                  <w:tcW w:w="337" w:type="pct"/>
                  <w:vMerge w:val="continue"/>
                  <w:shd w:val="clear" w:color="auto" w:fill="auto"/>
                  <w:vAlign w:val="center"/>
                </w:tcPr>
                <w:p w14:paraId="0D3467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p>
              </w:tc>
              <w:tc>
                <w:tcPr>
                  <w:tcW w:w="337" w:type="pct"/>
                  <w:shd w:val="clear" w:color="auto" w:fill="auto"/>
                  <w:vAlign w:val="center"/>
                </w:tcPr>
                <w:p w14:paraId="3D0E31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eastAsia="zh-CN"/>
                    </w:rPr>
                  </w:pPr>
                  <w:r>
                    <w:rPr>
                      <w:rFonts w:hint="eastAsia"/>
                      <w:color w:val="auto"/>
                      <w:sz w:val="21"/>
                      <w:szCs w:val="21"/>
                      <w:lang w:eastAsia="zh-CN"/>
                    </w:rPr>
                    <w:t>是</w:t>
                  </w:r>
                </w:p>
              </w:tc>
              <w:tc>
                <w:tcPr>
                  <w:tcW w:w="465" w:type="pct"/>
                  <w:shd w:val="clear" w:color="auto" w:fill="auto"/>
                  <w:vAlign w:val="center"/>
                </w:tcPr>
                <w:p w14:paraId="2CE8322B">
                  <w:pPr>
                    <w:adjustRightInd w:val="0"/>
                    <w:snapToGrid w:val="0"/>
                    <w:jc w:val="center"/>
                    <w:rPr>
                      <w:rFonts w:hint="default"/>
                      <w:color w:val="auto"/>
                      <w:sz w:val="21"/>
                      <w:szCs w:val="21"/>
                      <w:lang w:val="en-US" w:eastAsia="zh-CN"/>
                    </w:rPr>
                  </w:pPr>
                  <w:r>
                    <w:rPr>
                      <w:rFonts w:hint="eastAsia"/>
                      <w:color w:val="auto"/>
                      <w:sz w:val="21"/>
                      <w:szCs w:val="21"/>
                      <w:lang w:val="en-US" w:eastAsia="zh-CN"/>
                    </w:rPr>
                    <w:t>1.015</w:t>
                  </w:r>
                </w:p>
              </w:tc>
              <w:tc>
                <w:tcPr>
                  <w:tcW w:w="299" w:type="pct"/>
                  <w:shd w:val="clear" w:color="auto" w:fill="auto"/>
                  <w:vAlign w:val="center"/>
                </w:tcPr>
                <w:p w14:paraId="0689EBD3">
                  <w:pPr>
                    <w:adjustRightInd w:val="0"/>
                    <w:snapToGrid w:val="0"/>
                    <w:jc w:val="center"/>
                    <w:rPr>
                      <w:rFonts w:hint="default"/>
                      <w:color w:val="auto"/>
                      <w:sz w:val="21"/>
                      <w:szCs w:val="21"/>
                      <w:lang w:val="en-US" w:eastAsia="zh-CN"/>
                    </w:rPr>
                  </w:pPr>
                  <w:r>
                    <w:rPr>
                      <w:rFonts w:hint="eastAsia"/>
                      <w:color w:val="auto"/>
                      <w:sz w:val="21"/>
                      <w:szCs w:val="21"/>
                      <w:lang w:val="en-US" w:eastAsia="zh-CN"/>
                    </w:rPr>
                    <w:t>/</w:t>
                  </w:r>
                </w:p>
              </w:tc>
              <w:tc>
                <w:tcPr>
                  <w:tcW w:w="309" w:type="pct"/>
                  <w:shd w:val="clear" w:color="auto" w:fill="auto"/>
                  <w:vAlign w:val="center"/>
                </w:tcPr>
                <w:p w14:paraId="456EA69E">
                  <w:pPr>
                    <w:adjustRightInd w:val="0"/>
                    <w:snapToGrid w:val="0"/>
                    <w:jc w:val="center"/>
                    <w:rPr>
                      <w:rFonts w:hint="default"/>
                      <w:color w:val="auto"/>
                      <w:sz w:val="21"/>
                      <w:szCs w:val="21"/>
                      <w:lang w:val="en-US" w:eastAsia="zh-CN"/>
                    </w:rPr>
                  </w:pPr>
                  <w:r>
                    <w:rPr>
                      <w:rFonts w:hint="eastAsia"/>
                      <w:color w:val="auto"/>
                      <w:sz w:val="21"/>
                      <w:szCs w:val="21"/>
                      <w:lang w:val="en-US" w:eastAsia="zh-CN"/>
                    </w:rPr>
                    <w:t>/</w:t>
                  </w:r>
                </w:p>
              </w:tc>
              <w:tc>
                <w:tcPr>
                  <w:tcW w:w="431" w:type="pct"/>
                  <w:shd w:val="clear" w:color="auto" w:fill="auto"/>
                  <w:vAlign w:val="center"/>
                </w:tcPr>
                <w:p w14:paraId="1067D770">
                  <w:pPr>
                    <w:adjustRightInd w:val="0"/>
                    <w:snapToGrid w:val="0"/>
                    <w:jc w:val="center"/>
                    <w:rPr>
                      <w:rFonts w:hint="default"/>
                      <w:color w:val="auto"/>
                      <w:sz w:val="21"/>
                      <w:szCs w:val="21"/>
                      <w:lang w:val="en-US" w:eastAsia="zh-CN"/>
                    </w:rPr>
                  </w:pPr>
                  <w:r>
                    <w:rPr>
                      <w:rFonts w:hint="eastAsia"/>
                      <w:color w:val="auto"/>
                      <w:sz w:val="21"/>
                      <w:szCs w:val="21"/>
                      <w:lang w:val="en-US" w:eastAsia="zh-CN"/>
                    </w:rPr>
                    <w:t>1.0</w:t>
                  </w:r>
                </w:p>
              </w:tc>
            </w:tr>
            <w:tr w14:paraId="2FF2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Merge w:val="restart"/>
                  <w:vAlign w:val="center"/>
                </w:tcPr>
                <w:p w14:paraId="6C7D9C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default" w:eastAsia="宋体"/>
                      <w:color w:val="auto"/>
                      <w:sz w:val="21"/>
                      <w:szCs w:val="21"/>
                      <w:lang w:val="en-US" w:eastAsia="zh-CN"/>
                    </w:rPr>
                    <w:t>污泥贮存、矿化、陈化废气</w:t>
                  </w:r>
                </w:p>
              </w:tc>
              <w:tc>
                <w:tcPr>
                  <w:tcW w:w="239" w:type="pct"/>
                  <w:vMerge w:val="restart"/>
                  <w:vAlign w:val="center"/>
                </w:tcPr>
                <w:p w14:paraId="612AEB4A">
                  <w:pPr>
                    <w:keepNext w:val="0"/>
                    <w:keepLines w:val="0"/>
                    <w:pageBreakBefore w:val="0"/>
                    <w:widowControl w:val="0"/>
                    <w:kinsoku/>
                    <w:wordWrap/>
                    <w:overflowPunct/>
                    <w:topLinePunct w:val="0"/>
                    <w:autoSpaceDE/>
                    <w:autoSpaceDN/>
                    <w:bidi w:val="0"/>
                    <w:adjustRightInd w:val="0"/>
                    <w:snapToGrid w:val="0"/>
                    <w:spacing w:before="62" w:beforeLines="20"/>
                    <w:jc w:val="center"/>
                    <w:textAlignment w:val="auto"/>
                    <w:rPr>
                      <w:rFonts w:hint="default" w:eastAsia="宋体"/>
                      <w:color w:val="auto"/>
                      <w:sz w:val="21"/>
                      <w:szCs w:val="21"/>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p>
              </w:tc>
              <w:tc>
                <w:tcPr>
                  <w:tcW w:w="306" w:type="pct"/>
                  <w:vAlign w:val="center"/>
                </w:tcPr>
                <w:p w14:paraId="6BF9B1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vertAlign w:val="baseline"/>
                      <w:lang w:val="en-US" w:eastAsia="zh-CN"/>
                    </w:rPr>
                    <w:t>0.108</w:t>
                  </w:r>
                </w:p>
              </w:tc>
              <w:tc>
                <w:tcPr>
                  <w:tcW w:w="314" w:type="pct"/>
                  <w:vAlign w:val="center"/>
                </w:tcPr>
                <w:p w14:paraId="1DEF00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b w:val="0"/>
                      <w:bCs w:val="0"/>
                      <w:color w:val="auto"/>
                      <w:sz w:val="21"/>
                      <w:szCs w:val="21"/>
                      <w:vertAlign w:val="baseline"/>
                      <w:lang w:val="en-US" w:eastAsia="zh-CN"/>
                    </w:rPr>
                    <w:t>0.625</w:t>
                  </w:r>
                </w:p>
              </w:tc>
              <w:tc>
                <w:tcPr>
                  <w:tcW w:w="261" w:type="pct"/>
                  <w:vAlign w:val="center"/>
                </w:tcPr>
                <w:p w14:paraId="3CB3AEF8">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有组织</w:t>
                  </w:r>
                </w:p>
              </w:tc>
              <w:tc>
                <w:tcPr>
                  <w:tcW w:w="652" w:type="pct"/>
                  <w:vMerge w:val="restart"/>
                  <w:vAlign w:val="center"/>
                </w:tcPr>
                <w:p w14:paraId="43A752BE">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eastAsia="zh-CN"/>
                    </w:rPr>
                    <w:t>生物除臭塔</w:t>
                  </w:r>
                  <w:r>
                    <w:rPr>
                      <w:rFonts w:hint="eastAsia"/>
                      <w:color w:val="auto"/>
                      <w:sz w:val="21"/>
                      <w:szCs w:val="21"/>
                    </w:rPr>
                    <w:t>+15</w:t>
                  </w:r>
                  <w:r>
                    <w:rPr>
                      <w:rFonts w:hint="eastAsia"/>
                      <w:color w:val="auto"/>
                      <w:sz w:val="21"/>
                      <w:szCs w:val="21"/>
                      <w:lang w:val="en-US" w:eastAsia="zh-CN"/>
                    </w:rPr>
                    <w:t>m</w:t>
                  </w:r>
                  <w:r>
                    <w:rPr>
                      <w:rFonts w:hint="eastAsia"/>
                      <w:color w:val="auto"/>
                      <w:sz w:val="21"/>
                      <w:szCs w:val="21"/>
                    </w:rPr>
                    <w:t>高排气筒（DA00</w:t>
                  </w:r>
                  <w:r>
                    <w:rPr>
                      <w:rFonts w:hint="eastAsia"/>
                      <w:color w:val="auto"/>
                      <w:sz w:val="21"/>
                      <w:szCs w:val="21"/>
                      <w:lang w:val="en-US" w:eastAsia="zh-CN"/>
                    </w:rPr>
                    <w:t>7</w:t>
                  </w:r>
                  <w:r>
                    <w:rPr>
                      <w:rFonts w:hint="eastAsia"/>
                      <w:color w:val="auto"/>
                      <w:sz w:val="21"/>
                      <w:szCs w:val="21"/>
                    </w:rPr>
                    <w:t>）</w:t>
                  </w:r>
                </w:p>
              </w:tc>
              <w:tc>
                <w:tcPr>
                  <w:tcW w:w="292" w:type="pct"/>
                  <w:vMerge w:val="restart"/>
                  <w:vAlign w:val="center"/>
                </w:tcPr>
                <w:p w14:paraId="1634EA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24000</w:t>
                  </w:r>
                  <w:r>
                    <w:rPr>
                      <w:rFonts w:hint="eastAsia"/>
                      <w:bCs/>
                      <w:color w:val="auto"/>
                      <w:kern w:val="24"/>
                      <w:sz w:val="21"/>
                      <w:szCs w:val="21"/>
                      <w:lang w:val="en-US" w:eastAsia="zh-CN"/>
                    </w:rPr>
                    <w:t>m</w:t>
                  </w:r>
                  <w:r>
                    <w:rPr>
                      <w:rFonts w:hint="eastAsia"/>
                      <w:bCs/>
                      <w:color w:val="auto"/>
                      <w:kern w:val="24"/>
                      <w:sz w:val="21"/>
                      <w:szCs w:val="21"/>
                      <w:vertAlign w:val="superscript"/>
                      <w:lang w:val="en-US" w:eastAsia="zh-CN"/>
                    </w:rPr>
                    <w:t>3</w:t>
                  </w:r>
                  <w:r>
                    <w:rPr>
                      <w:rFonts w:hint="eastAsia"/>
                      <w:bCs/>
                      <w:color w:val="auto"/>
                      <w:kern w:val="24"/>
                      <w:sz w:val="21"/>
                      <w:szCs w:val="21"/>
                      <w:lang w:val="en-US" w:eastAsia="zh-CN"/>
                    </w:rPr>
                    <w:t>/h</w:t>
                  </w:r>
                </w:p>
              </w:tc>
              <w:tc>
                <w:tcPr>
                  <w:tcW w:w="285" w:type="pct"/>
                  <w:vMerge w:val="restart"/>
                  <w:vAlign w:val="center"/>
                </w:tcPr>
                <w:p w14:paraId="11676F88">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8</w:t>
                  </w:r>
                  <w:r>
                    <w:rPr>
                      <w:color w:val="auto"/>
                      <w:sz w:val="21"/>
                      <w:szCs w:val="21"/>
                    </w:rPr>
                    <w:t>0%</w:t>
                  </w:r>
                </w:p>
              </w:tc>
              <w:tc>
                <w:tcPr>
                  <w:tcW w:w="337" w:type="pct"/>
                  <w:vMerge w:val="restart"/>
                  <w:vAlign w:val="center"/>
                </w:tcPr>
                <w:p w14:paraId="4FF94A5C">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70</w:t>
                  </w:r>
                  <w:r>
                    <w:rPr>
                      <w:color w:val="auto"/>
                      <w:sz w:val="21"/>
                      <w:szCs w:val="21"/>
                    </w:rPr>
                    <w:t>%</w:t>
                  </w:r>
                </w:p>
              </w:tc>
              <w:tc>
                <w:tcPr>
                  <w:tcW w:w="337" w:type="pct"/>
                  <w:vMerge w:val="restart"/>
                  <w:vAlign w:val="center"/>
                </w:tcPr>
                <w:p w14:paraId="2E221D99">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是</w:t>
                  </w:r>
                </w:p>
              </w:tc>
              <w:tc>
                <w:tcPr>
                  <w:tcW w:w="465" w:type="pct"/>
                  <w:vAlign w:val="center"/>
                </w:tcPr>
                <w:p w14:paraId="640F5044">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0.032</w:t>
                  </w:r>
                </w:p>
              </w:tc>
              <w:tc>
                <w:tcPr>
                  <w:tcW w:w="299" w:type="pct"/>
                  <w:vAlign w:val="center"/>
                </w:tcPr>
                <w:p w14:paraId="5053D32A">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0.0045</w:t>
                  </w:r>
                </w:p>
              </w:tc>
              <w:tc>
                <w:tcPr>
                  <w:tcW w:w="309" w:type="pct"/>
                  <w:vAlign w:val="center"/>
                </w:tcPr>
                <w:p w14:paraId="39F4643C">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0.188</w:t>
                  </w:r>
                </w:p>
              </w:tc>
              <w:tc>
                <w:tcPr>
                  <w:tcW w:w="431" w:type="pct"/>
                  <w:vAlign w:val="center"/>
                </w:tcPr>
                <w:p w14:paraId="4A0B7BCE">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4.9kg/h</w:t>
                  </w:r>
                </w:p>
              </w:tc>
            </w:tr>
            <w:tr w14:paraId="6B1C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Merge w:val="continue"/>
                  <w:vAlign w:val="center"/>
                </w:tcPr>
                <w:p w14:paraId="7FA92872">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p>
              </w:tc>
              <w:tc>
                <w:tcPr>
                  <w:tcW w:w="239" w:type="pct"/>
                  <w:vMerge w:val="continue"/>
                  <w:vAlign w:val="center"/>
                </w:tcPr>
                <w:p w14:paraId="2582D5A5">
                  <w:pPr>
                    <w:keepNext w:val="0"/>
                    <w:keepLines w:val="0"/>
                    <w:pageBreakBefore w:val="0"/>
                    <w:widowControl w:val="0"/>
                    <w:kinsoku/>
                    <w:wordWrap/>
                    <w:overflowPunct/>
                    <w:topLinePunct w:val="0"/>
                    <w:autoSpaceDE/>
                    <w:autoSpaceDN/>
                    <w:bidi w:val="0"/>
                    <w:adjustRightInd w:val="0"/>
                    <w:snapToGrid w:val="0"/>
                    <w:spacing w:before="62" w:beforeLines="20"/>
                    <w:jc w:val="center"/>
                    <w:textAlignment w:val="auto"/>
                    <w:rPr>
                      <w:color w:val="auto"/>
                      <w:sz w:val="21"/>
                      <w:szCs w:val="21"/>
                    </w:rPr>
                  </w:pPr>
                </w:p>
              </w:tc>
              <w:tc>
                <w:tcPr>
                  <w:tcW w:w="306" w:type="pct"/>
                  <w:vAlign w:val="center"/>
                </w:tcPr>
                <w:p w14:paraId="146D33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0.027</w:t>
                  </w:r>
                </w:p>
              </w:tc>
              <w:tc>
                <w:tcPr>
                  <w:tcW w:w="314" w:type="pct"/>
                  <w:vAlign w:val="center"/>
                </w:tcPr>
                <w:p w14:paraId="515988CB">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w:t>
                  </w:r>
                </w:p>
              </w:tc>
              <w:tc>
                <w:tcPr>
                  <w:tcW w:w="261" w:type="pct"/>
                  <w:vAlign w:val="center"/>
                </w:tcPr>
                <w:p w14:paraId="5CB5F6CD">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无组织</w:t>
                  </w:r>
                </w:p>
              </w:tc>
              <w:tc>
                <w:tcPr>
                  <w:tcW w:w="652" w:type="pct"/>
                  <w:vMerge w:val="continue"/>
                  <w:vAlign w:val="center"/>
                </w:tcPr>
                <w:p w14:paraId="70B646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p>
              </w:tc>
              <w:tc>
                <w:tcPr>
                  <w:tcW w:w="292" w:type="pct"/>
                  <w:vMerge w:val="continue"/>
                  <w:vAlign w:val="center"/>
                </w:tcPr>
                <w:p w14:paraId="2195B8F4">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p>
              </w:tc>
              <w:tc>
                <w:tcPr>
                  <w:tcW w:w="285" w:type="pct"/>
                  <w:vMerge w:val="continue"/>
                  <w:vAlign w:val="center"/>
                </w:tcPr>
                <w:p w14:paraId="29F323C3">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p>
              </w:tc>
              <w:tc>
                <w:tcPr>
                  <w:tcW w:w="337" w:type="pct"/>
                  <w:vMerge w:val="continue"/>
                  <w:vAlign w:val="center"/>
                </w:tcPr>
                <w:p w14:paraId="7EA33529">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p>
              </w:tc>
              <w:tc>
                <w:tcPr>
                  <w:tcW w:w="337" w:type="pct"/>
                  <w:vMerge w:val="continue"/>
                  <w:vAlign w:val="center"/>
                </w:tcPr>
                <w:p w14:paraId="7C292093">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p>
              </w:tc>
              <w:tc>
                <w:tcPr>
                  <w:tcW w:w="465" w:type="pct"/>
                  <w:vAlign w:val="center"/>
                </w:tcPr>
                <w:p w14:paraId="6A68FAC9">
                  <w:pPr>
                    <w:adjustRightInd w:val="0"/>
                    <w:snapToGrid w:val="0"/>
                    <w:jc w:val="center"/>
                    <w:rPr>
                      <w:rFonts w:hint="default"/>
                      <w:color w:val="auto"/>
                      <w:sz w:val="21"/>
                      <w:szCs w:val="21"/>
                      <w:lang w:val="en-US" w:eastAsia="zh-CN"/>
                    </w:rPr>
                  </w:pPr>
                  <w:r>
                    <w:rPr>
                      <w:rFonts w:hint="eastAsia"/>
                      <w:color w:val="auto"/>
                      <w:sz w:val="21"/>
                      <w:szCs w:val="21"/>
                      <w:lang w:val="en-US" w:eastAsia="zh-CN"/>
                    </w:rPr>
                    <w:t>0.027</w:t>
                  </w:r>
                </w:p>
              </w:tc>
              <w:tc>
                <w:tcPr>
                  <w:tcW w:w="299" w:type="pct"/>
                  <w:vAlign w:val="center"/>
                </w:tcPr>
                <w:p w14:paraId="552678F5">
                  <w:pPr>
                    <w:adjustRightInd w:val="0"/>
                    <w:snapToGrid w:val="0"/>
                    <w:jc w:val="center"/>
                    <w:rPr>
                      <w:rFonts w:hint="default" w:eastAsia="宋体"/>
                      <w:color w:val="auto"/>
                      <w:sz w:val="21"/>
                      <w:szCs w:val="21"/>
                      <w:lang w:val="en-US" w:eastAsia="zh-CN"/>
                    </w:rPr>
                  </w:pPr>
                  <w:r>
                    <w:rPr>
                      <w:rFonts w:hint="eastAsia"/>
                      <w:color w:val="auto"/>
                      <w:sz w:val="21"/>
                      <w:szCs w:val="21"/>
                    </w:rPr>
                    <w:t>/</w:t>
                  </w:r>
                </w:p>
              </w:tc>
              <w:tc>
                <w:tcPr>
                  <w:tcW w:w="309" w:type="pct"/>
                  <w:vAlign w:val="center"/>
                </w:tcPr>
                <w:p w14:paraId="2CD5BE94">
                  <w:pPr>
                    <w:adjustRightInd w:val="0"/>
                    <w:snapToGrid w:val="0"/>
                    <w:jc w:val="center"/>
                    <w:rPr>
                      <w:color w:val="auto"/>
                      <w:sz w:val="21"/>
                      <w:szCs w:val="21"/>
                    </w:rPr>
                  </w:pPr>
                  <w:r>
                    <w:rPr>
                      <w:rFonts w:hint="eastAsia"/>
                      <w:color w:val="auto"/>
                      <w:sz w:val="21"/>
                      <w:szCs w:val="21"/>
                    </w:rPr>
                    <w:t>/</w:t>
                  </w:r>
                </w:p>
              </w:tc>
              <w:tc>
                <w:tcPr>
                  <w:tcW w:w="431" w:type="pct"/>
                  <w:vAlign w:val="center"/>
                </w:tcPr>
                <w:p w14:paraId="588CDD4D">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1.5</w:t>
                  </w:r>
                </w:p>
              </w:tc>
            </w:tr>
            <w:tr w14:paraId="2224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Merge w:val="continue"/>
                  <w:vAlign w:val="center"/>
                </w:tcPr>
                <w:p w14:paraId="77CD689C">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p>
              </w:tc>
              <w:tc>
                <w:tcPr>
                  <w:tcW w:w="239" w:type="pct"/>
                  <w:vMerge w:val="restart"/>
                  <w:vAlign w:val="center"/>
                </w:tcPr>
                <w:p w14:paraId="485A16E2">
                  <w:pPr>
                    <w:keepNext w:val="0"/>
                    <w:keepLines w:val="0"/>
                    <w:pageBreakBefore w:val="0"/>
                    <w:widowControl w:val="0"/>
                    <w:kinsoku/>
                    <w:wordWrap/>
                    <w:overflowPunct/>
                    <w:topLinePunct w:val="0"/>
                    <w:autoSpaceDE/>
                    <w:autoSpaceDN/>
                    <w:bidi w:val="0"/>
                    <w:adjustRightInd w:val="0"/>
                    <w:snapToGrid w:val="0"/>
                    <w:spacing w:before="62" w:beforeLines="20"/>
                    <w:jc w:val="center"/>
                    <w:textAlignment w:val="auto"/>
                    <w:rPr>
                      <w:rFonts w:hint="default" w:eastAsia="宋体"/>
                      <w:color w:val="auto"/>
                      <w:sz w:val="21"/>
                      <w:szCs w:val="21"/>
                      <w:lang w:val="en-US" w:eastAsia="zh-CN"/>
                    </w:rPr>
                  </w:pP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306" w:type="pct"/>
                  <w:vAlign w:val="center"/>
                </w:tcPr>
                <w:p w14:paraId="7D5415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vertAlign w:val="baseline"/>
                      <w:lang w:val="en-US" w:eastAsia="zh-CN"/>
                    </w:rPr>
                    <w:t>0.0244</w:t>
                  </w:r>
                </w:p>
              </w:tc>
              <w:tc>
                <w:tcPr>
                  <w:tcW w:w="314" w:type="pct"/>
                  <w:vAlign w:val="center"/>
                </w:tcPr>
                <w:p w14:paraId="6817C7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b w:val="0"/>
                      <w:bCs w:val="0"/>
                      <w:color w:val="auto"/>
                      <w:sz w:val="21"/>
                      <w:szCs w:val="21"/>
                      <w:vertAlign w:val="baseline"/>
                      <w:lang w:val="en-US" w:eastAsia="zh-CN"/>
                    </w:rPr>
                    <w:t>0.141</w:t>
                  </w:r>
                </w:p>
              </w:tc>
              <w:tc>
                <w:tcPr>
                  <w:tcW w:w="261" w:type="pct"/>
                  <w:vAlign w:val="center"/>
                </w:tcPr>
                <w:p w14:paraId="6840A43A">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有组织</w:t>
                  </w:r>
                </w:p>
              </w:tc>
              <w:tc>
                <w:tcPr>
                  <w:tcW w:w="652" w:type="pct"/>
                  <w:vMerge w:val="continue"/>
                  <w:vAlign w:val="center"/>
                </w:tcPr>
                <w:p w14:paraId="2692A7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p>
              </w:tc>
              <w:tc>
                <w:tcPr>
                  <w:tcW w:w="292" w:type="pct"/>
                  <w:vMerge w:val="continue"/>
                  <w:vAlign w:val="center"/>
                </w:tcPr>
                <w:p w14:paraId="47165D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p>
              </w:tc>
              <w:tc>
                <w:tcPr>
                  <w:tcW w:w="285" w:type="pct"/>
                  <w:vMerge w:val="restart"/>
                  <w:vAlign w:val="center"/>
                </w:tcPr>
                <w:p w14:paraId="4B6050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8</w:t>
                  </w:r>
                  <w:r>
                    <w:rPr>
                      <w:color w:val="auto"/>
                      <w:sz w:val="21"/>
                      <w:szCs w:val="21"/>
                    </w:rPr>
                    <w:t>0%</w:t>
                  </w:r>
                </w:p>
              </w:tc>
              <w:tc>
                <w:tcPr>
                  <w:tcW w:w="337" w:type="pct"/>
                  <w:vMerge w:val="restart"/>
                  <w:vAlign w:val="center"/>
                </w:tcPr>
                <w:p w14:paraId="1518C9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70</w:t>
                  </w:r>
                  <w:r>
                    <w:rPr>
                      <w:color w:val="auto"/>
                      <w:sz w:val="21"/>
                      <w:szCs w:val="21"/>
                    </w:rPr>
                    <w:t>%</w:t>
                  </w:r>
                </w:p>
              </w:tc>
              <w:tc>
                <w:tcPr>
                  <w:tcW w:w="337" w:type="pct"/>
                  <w:vMerge w:val="restart"/>
                  <w:vAlign w:val="center"/>
                </w:tcPr>
                <w:p w14:paraId="3EE60C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是</w:t>
                  </w:r>
                </w:p>
              </w:tc>
              <w:tc>
                <w:tcPr>
                  <w:tcW w:w="465" w:type="pct"/>
                  <w:vAlign w:val="center"/>
                </w:tcPr>
                <w:p w14:paraId="03D8C3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b w:val="0"/>
                      <w:bCs w:val="0"/>
                      <w:color w:val="auto"/>
                      <w:sz w:val="21"/>
                      <w:szCs w:val="21"/>
                      <w:vertAlign w:val="baseline"/>
                      <w:lang w:val="en-US" w:eastAsia="zh-CN"/>
                    </w:rPr>
                    <w:t>0.007</w:t>
                  </w:r>
                </w:p>
              </w:tc>
              <w:tc>
                <w:tcPr>
                  <w:tcW w:w="299" w:type="pct"/>
                  <w:vAlign w:val="center"/>
                </w:tcPr>
                <w:p w14:paraId="448C20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b w:val="0"/>
                      <w:bCs w:val="0"/>
                      <w:color w:val="auto"/>
                      <w:sz w:val="21"/>
                      <w:szCs w:val="21"/>
                      <w:vertAlign w:val="baseline"/>
                      <w:lang w:val="en-US" w:eastAsia="zh-CN"/>
                    </w:rPr>
                    <w:t>0.001</w:t>
                  </w:r>
                </w:p>
              </w:tc>
              <w:tc>
                <w:tcPr>
                  <w:tcW w:w="309" w:type="pct"/>
                  <w:vAlign w:val="center"/>
                </w:tcPr>
                <w:p w14:paraId="7F1DA3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rPr>
                  </w:pPr>
                  <w:r>
                    <w:rPr>
                      <w:rFonts w:hint="eastAsia"/>
                      <w:b w:val="0"/>
                      <w:bCs w:val="0"/>
                      <w:color w:val="auto"/>
                      <w:sz w:val="21"/>
                      <w:szCs w:val="21"/>
                      <w:vertAlign w:val="baseline"/>
                      <w:lang w:val="en-US" w:eastAsia="zh-CN"/>
                    </w:rPr>
                    <w:t>0.042</w:t>
                  </w:r>
                </w:p>
              </w:tc>
              <w:tc>
                <w:tcPr>
                  <w:tcW w:w="431" w:type="pct"/>
                  <w:vAlign w:val="center"/>
                </w:tcPr>
                <w:p w14:paraId="3A451975">
                  <w:pPr>
                    <w:adjustRightInd w:val="0"/>
                    <w:snapToGrid w:val="0"/>
                    <w:jc w:val="center"/>
                    <w:rPr>
                      <w:rFonts w:hint="eastAsia"/>
                      <w:color w:val="auto"/>
                      <w:sz w:val="21"/>
                      <w:szCs w:val="21"/>
                      <w:lang w:val="en-US" w:eastAsia="zh-CN"/>
                    </w:rPr>
                  </w:pPr>
                  <w:r>
                    <w:rPr>
                      <w:rFonts w:hint="eastAsia"/>
                      <w:color w:val="auto"/>
                      <w:sz w:val="21"/>
                      <w:szCs w:val="21"/>
                      <w:lang w:val="en-US" w:eastAsia="zh-CN"/>
                    </w:rPr>
                    <w:t>0.33kg/h</w:t>
                  </w:r>
                </w:p>
              </w:tc>
            </w:tr>
            <w:tr w14:paraId="5330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9" w:type="pct"/>
                  <w:vMerge w:val="continue"/>
                  <w:vAlign w:val="center"/>
                </w:tcPr>
                <w:p w14:paraId="67E43842">
                  <w:pPr>
                    <w:adjustRightInd w:val="0"/>
                    <w:snapToGrid w:val="0"/>
                    <w:jc w:val="center"/>
                    <w:rPr>
                      <w:color w:val="auto"/>
                      <w:sz w:val="21"/>
                      <w:szCs w:val="21"/>
                    </w:rPr>
                  </w:pPr>
                </w:p>
              </w:tc>
              <w:tc>
                <w:tcPr>
                  <w:tcW w:w="239" w:type="pct"/>
                  <w:vMerge w:val="continue"/>
                  <w:vAlign w:val="center"/>
                </w:tcPr>
                <w:p w14:paraId="72F4CCBC">
                  <w:pPr>
                    <w:adjustRightInd w:val="0"/>
                    <w:snapToGrid w:val="0"/>
                    <w:spacing w:before="62" w:beforeLines="20"/>
                    <w:jc w:val="center"/>
                    <w:rPr>
                      <w:color w:val="auto"/>
                      <w:sz w:val="21"/>
                      <w:szCs w:val="21"/>
                    </w:rPr>
                  </w:pPr>
                </w:p>
              </w:tc>
              <w:tc>
                <w:tcPr>
                  <w:tcW w:w="306" w:type="pct"/>
                  <w:vAlign w:val="center"/>
                </w:tcPr>
                <w:p w14:paraId="3D1B854A">
                  <w:pPr>
                    <w:adjustRightInd w:val="0"/>
                    <w:snapToGrid w:val="0"/>
                    <w:jc w:val="center"/>
                    <w:rPr>
                      <w:rFonts w:hint="default"/>
                      <w:color w:val="auto"/>
                      <w:sz w:val="21"/>
                      <w:szCs w:val="21"/>
                      <w:lang w:val="en-US" w:eastAsia="zh-CN"/>
                    </w:rPr>
                  </w:pPr>
                  <w:r>
                    <w:rPr>
                      <w:rFonts w:hint="eastAsia"/>
                      <w:color w:val="auto"/>
                      <w:sz w:val="21"/>
                      <w:szCs w:val="21"/>
                      <w:lang w:val="en-US" w:eastAsia="zh-CN"/>
                    </w:rPr>
                    <w:t>0.0061</w:t>
                  </w:r>
                </w:p>
              </w:tc>
              <w:tc>
                <w:tcPr>
                  <w:tcW w:w="314" w:type="pct"/>
                  <w:vAlign w:val="center"/>
                </w:tcPr>
                <w:p w14:paraId="4D5D6D95">
                  <w:pPr>
                    <w:adjustRightInd w:val="0"/>
                    <w:snapToGrid w:val="0"/>
                    <w:jc w:val="center"/>
                    <w:rPr>
                      <w:rFonts w:hint="eastAsia"/>
                      <w:color w:val="auto"/>
                      <w:sz w:val="21"/>
                      <w:szCs w:val="21"/>
                    </w:rPr>
                  </w:pPr>
                  <w:r>
                    <w:rPr>
                      <w:rFonts w:hint="eastAsia"/>
                      <w:color w:val="auto"/>
                      <w:sz w:val="21"/>
                      <w:szCs w:val="21"/>
                    </w:rPr>
                    <w:t>/</w:t>
                  </w:r>
                </w:p>
              </w:tc>
              <w:tc>
                <w:tcPr>
                  <w:tcW w:w="261" w:type="pct"/>
                  <w:vAlign w:val="center"/>
                </w:tcPr>
                <w:p w14:paraId="5282F75B">
                  <w:pPr>
                    <w:adjustRightInd w:val="0"/>
                    <w:snapToGrid w:val="0"/>
                    <w:jc w:val="center"/>
                    <w:rPr>
                      <w:color w:val="auto"/>
                      <w:sz w:val="21"/>
                      <w:szCs w:val="21"/>
                    </w:rPr>
                  </w:pPr>
                  <w:r>
                    <w:rPr>
                      <w:color w:val="auto"/>
                      <w:sz w:val="21"/>
                      <w:szCs w:val="21"/>
                    </w:rPr>
                    <w:t>无组织</w:t>
                  </w:r>
                </w:p>
              </w:tc>
              <w:tc>
                <w:tcPr>
                  <w:tcW w:w="652" w:type="pct"/>
                  <w:vMerge w:val="continue"/>
                  <w:vAlign w:val="center"/>
                </w:tcPr>
                <w:p w14:paraId="2E848441">
                  <w:pPr>
                    <w:adjustRightInd w:val="0"/>
                    <w:snapToGrid w:val="0"/>
                    <w:jc w:val="center"/>
                    <w:rPr>
                      <w:rFonts w:hint="eastAsia"/>
                      <w:color w:val="auto"/>
                      <w:sz w:val="21"/>
                      <w:szCs w:val="21"/>
                      <w:lang w:val="en-US" w:eastAsia="zh-CN"/>
                    </w:rPr>
                  </w:pPr>
                </w:p>
              </w:tc>
              <w:tc>
                <w:tcPr>
                  <w:tcW w:w="292" w:type="pct"/>
                  <w:vMerge w:val="continue"/>
                  <w:vAlign w:val="center"/>
                </w:tcPr>
                <w:p w14:paraId="2DC39B1C">
                  <w:pPr>
                    <w:adjustRightInd w:val="0"/>
                    <w:snapToGrid w:val="0"/>
                    <w:jc w:val="center"/>
                    <w:rPr>
                      <w:rFonts w:hint="eastAsia"/>
                      <w:color w:val="auto"/>
                      <w:sz w:val="21"/>
                      <w:szCs w:val="21"/>
                    </w:rPr>
                  </w:pPr>
                </w:p>
              </w:tc>
              <w:tc>
                <w:tcPr>
                  <w:tcW w:w="285" w:type="pct"/>
                  <w:vMerge w:val="continue"/>
                  <w:vAlign w:val="center"/>
                </w:tcPr>
                <w:p w14:paraId="54BFACD5">
                  <w:pPr>
                    <w:adjustRightInd w:val="0"/>
                    <w:snapToGrid w:val="0"/>
                    <w:jc w:val="center"/>
                    <w:rPr>
                      <w:rFonts w:hint="eastAsia"/>
                      <w:color w:val="auto"/>
                      <w:sz w:val="21"/>
                      <w:szCs w:val="21"/>
                    </w:rPr>
                  </w:pPr>
                </w:p>
              </w:tc>
              <w:tc>
                <w:tcPr>
                  <w:tcW w:w="337" w:type="pct"/>
                  <w:vMerge w:val="continue"/>
                  <w:vAlign w:val="center"/>
                </w:tcPr>
                <w:p w14:paraId="3F71DD6A">
                  <w:pPr>
                    <w:adjustRightInd w:val="0"/>
                    <w:snapToGrid w:val="0"/>
                    <w:jc w:val="center"/>
                    <w:rPr>
                      <w:rFonts w:hint="eastAsia"/>
                      <w:color w:val="auto"/>
                      <w:sz w:val="21"/>
                      <w:szCs w:val="21"/>
                    </w:rPr>
                  </w:pPr>
                </w:p>
              </w:tc>
              <w:tc>
                <w:tcPr>
                  <w:tcW w:w="337" w:type="pct"/>
                  <w:vMerge w:val="continue"/>
                  <w:vAlign w:val="center"/>
                </w:tcPr>
                <w:p w14:paraId="2958C352">
                  <w:pPr>
                    <w:adjustRightInd w:val="0"/>
                    <w:snapToGrid w:val="0"/>
                    <w:jc w:val="center"/>
                    <w:rPr>
                      <w:rFonts w:hint="eastAsia"/>
                      <w:color w:val="auto"/>
                      <w:sz w:val="21"/>
                      <w:szCs w:val="21"/>
                    </w:rPr>
                  </w:pPr>
                </w:p>
              </w:tc>
              <w:tc>
                <w:tcPr>
                  <w:tcW w:w="465" w:type="pct"/>
                  <w:vAlign w:val="center"/>
                </w:tcPr>
                <w:p w14:paraId="433E4696">
                  <w:pPr>
                    <w:adjustRightInd w:val="0"/>
                    <w:snapToGrid w:val="0"/>
                    <w:jc w:val="center"/>
                    <w:rPr>
                      <w:rFonts w:hint="default"/>
                      <w:color w:val="auto"/>
                      <w:sz w:val="21"/>
                      <w:szCs w:val="21"/>
                      <w:lang w:val="en-US" w:eastAsia="zh-CN"/>
                    </w:rPr>
                  </w:pPr>
                  <w:r>
                    <w:rPr>
                      <w:rFonts w:hint="eastAsia"/>
                      <w:color w:val="auto"/>
                      <w:sz w:val="21"/>
                      <w:szCs w:val="21"/>
                      <w:lang w:val="en-US" w:eastAsia="zh-CN"/>
                    </w:rPr>
                    <w:t>0.0061</w:t>
                  </w:r>
                </w:p>
              </w:tc>
              <w:tc>
                <w:tcPr>
                  <w:tcW w:w="299" w:type="pct"/>
                  <w:vAlign w:val="center"/>
                </w:tcPr>
                <w:p w14:paraId="33A9E41E">
                  <w:pPr>
                    <w:adjustRightInd w:val="0"/>
                    <w:snapToGrid w:val="0"/>
                    <w:jc w:val="center"/>
                    <w:rPr>
                      <w:rFonts w:hint="eastAsia"/>
                      <w:color w:val="auto"/>
                      <w:sz w:val="21"/>
                      <w:szCs w:val="21"/>
                      <w:lang w:val="en-US" w:eastAsia="zh-CN"/>
                    </w:rPr>
                  </w:pPr>
                  <w:r>
                    <w:rPr>
                      <w:rFonts w:hint="eastAsia"/>
                      <w:color w:val="auto"/>
                      <w:sz w:val="21"/>
                      <w:szCs w:val="21"/>
                    </w:rPr>
                    <w:t>/</w:t>
                  </w:r>
                </w:p>
              </w:tc>
              <w:tc>
                <w:tcPr>
                  <w:tcW w:w="309" w:type="pct"/>
                  <w:vAlign w:val="center"/>
                </w:tcPr>
                <w:p w14:paraId="1B536EC3">
                  <w:pPr>
                    <w:adjustRightInd w:val="0"/>
                    <w:snapToGrid w:val="0"/>
                    <w:jc w:val="center"/>
                    <w:rPr>
                      <w:rFonts w:hint="eastAsia"/>
                      <w:color w:val="auto"/>
                      <w:sz w:val="21"/>
                      <w:szCs w:val="21"/>
                    </w:rPr>
                  </w:pPr>
                  <w:r>
                    <w:rPr>
                      <w:rFonts w:hint="eastAsia"/>
                      <w:color w:val="auto"/>
                      <w:sz w:val="21"/>
                      <w:szCs w:val="21"/>
                    </w:rPr>
                    <w:t>/</w:t>
                  </w:r>
                </w:p>
              </w:tc>
              <w:tc>
                <w:tcPr>
                  <w:tcW w:w="431" w:type="pct"/>
                  <w:vAlign w:val="center"/>
                </w:tcPr>
                <w:p w14:paraId="4485FD1E">
                  <w:pPr>
                    <w:adjustRightInd w:val="0"/>
                    <w:snapToGrid w:val="0"/>
                    <w:jc w:val="center"/>
                    <w:rPr>
                      <w:rFonts w:hint="default"/>
                      <w:color w:val="auto"/>
                      <w:sz w:val="21"/>
                      <w:szCs w:val="21"/>
                      <w:lang w:val="en-US" w:eastAsia="zh-CN"/>
                    </w:rPr>
                  </w:pPr>
                  <w:r>
                    <w:rPr>
                      <w:rFonts w:hint="eastAsia"/>
                      <w:color w:val="auto"/>
                      <w:sz w:val="21"/>
                      <w:szCs w:val="21"/>
                      <w:lang w:val="en-US" w:eastAsia="zh-CN"/>
                    </w:rPr>
                    <w:t>0.06</w:t>
                  </w:r>
                </w:p>
              </w:tc>
            </w:tr>
          </w:tbl>
          <w:p w14:paraId="0C0D1B17">
            <w:pPr>
              <w:adjustRightInd w:val="0"/>
              <w:snapToGrid w:val="0"/>
              <w:spacing w:before="156" w:beforeLines="50" w:line="360" w:lineRule="auto"/>
              <w:ind w:firstLine="482" w:firstLineChars="200"/>
              <w:rPr>
                <w:rFonts w:hint="eastAsia"/>
                <w:b/>
                <w:bCs/>
                <w:color w:val="auto"/>
                <w:kern w:val="0"/>
                <w:sz w:val="24"/>
              </w:rPr>
            </w:pPr>
          </w:p>
          <w:p w14:paraId="55684ACA">
            <w:pPr>
              <w:pStyle w:val="13"/>
              <w:rPr>
                <w:rFonts w:hint="eastAsia"/>
              </w:rPr>
            </w:pPr>
          </w:p>
          <w:p w14:paraId="677D9B86">
            <w:pPr>
              <w:adjustRightInd w:val="0"/>
              <w:snapToGrid w:val="0"/>
              <w:spacing w:before="156" w:beforeLines="50" w:line="360" w:lineRule="auto"/>
              <w:ind w:firstLine="482" w:firstLineChars="200"/>
              <w:rPr>
                <w:rFonts w:hint="eastAsia"/>
                <w:b/>
                <w:bCs/>
                <w:color w:val="auto"/>
                <w:kern w:val="0"/>
                <w:sz w:val="24"/>
              </w:rPr>
            </w:pPr>
          </w:p>
          <w:p w14:paraId="471AE72E">
            <w:pPr>
              <w:adjustRightInd w:val="0"/>
              <w:snapToGrid w:val="0"/>
              <w:spacing w:before="156" w:beforeLines="50" w:line="360" w:lineRule="auto"/>
              <w:ind w:firstLine="482" w:firstLineChars="200"/>
              <w:rPr>
                <w:rFonts w:hint="eastAsia"/>
                <w:b/>
                <w:bCs/>
                <w:color w:val="auto"/>
                <w:kern w:val="0"/>
                <w:sz w:val="24"/>
              </w:rPr>
            </w:pPr>
          </w:p>
          <w:p w14:paraId="7168D775">
            <w:pPr>
              <w:adjustRightInd w:val="0"/>
              <w:snapToGrid w:val="0"/>
              <w:spacing w:before="156" w:beforeLines="50" w:line="360" w:lineRule="auto"/>
              <w:ind w:firstLine="482" w:firstLineChars="200"/>
              <w:rPr>
                <w:rFonts w:hint="eastAsia"/>
                <w:b/>
                <w:bCs/>
                <w:color w:val="auto"/>
                <w:kern w:val="0"/>
                <w:sz w:val="24"/>
              </w:rPr>
            </w:pPr>
          </w:p>
          <w:p w14:paraId="4B448829">
            <w:pPr>
              <w:adjustRightInd w:val="0"/>
              <w:snapToGrid w:val="0"/>
              <w:spacing w:before="156" w:beforeLines="50" w:line="360" w:lineRule="auto"/>
              <w:ind w:firstLine="482" w:firstLineChars="200"/>
              <w:rPr>
                <w:rFonts w:hint="eastAsia"/>
                <w:b/>
                <w:bCs/>
                <w:color w:val="auto"/>
                <w:kern w:val="0"/>
                <w:sz w:val="24"/>
              </w:rPr>
            </w:pPr>
          </w:p>
          <w:p w14:paraId="010B12B0">
            <w:pPr>
              <w:adjustRightInd w:val="0"/>
              <w:snapToGrid w:val="0"/>
              <w:spacing w:before="156" w:beforeLines="50" w:line="360" w:lineRule="auto"/>
              <w:ind w:firstLine="482" w:firstLineChars="200"/>
              <w:rPr>
                <w:rFonts w:hint="eastAsia"/>
                <w:b/>
                <w:bCs/>
                <w:color w:val="auto"/>
                <w:kern w:val="0"/>
                <w:sz w:val="24"/>
              </w:rPr>
            </w:pPr>
          </w:p>
          <w:p w14:paraId="0E97051A">
            <w:pPr>
              <w:adjustRightInd w:val="0"/>
              <w:snapToGrid w:val="0"/>
              <w:spacing w:before="156" w:beforeLines="50" w:line="360" w:lineRule="auto"/>
              <w:ind w:firstLine="482" w:firstLineChars="200"/>
              <w:rPr>
                <w:rFonts w:hint="eastAsia"/>
                <w:b/>
                <w:bCs/>
                <w:color w:val="auto"/>
                <w:kern w:val="0"/>
                <w:sz w:val="24"/>
              </w:rPr>
            </w:pPr>
          </w:p>
          <w:p w14:paraId="7A3FF004">
            <w:pPr>
              <w:adjustRightInd w:val="0"/>
              <w:snapToGrid w:val="0"/>
              <w:spacing w:before="156" w:beforeLines="50" w:line="360" w:lineRule="auto"/>
              <w:ind w:firstLine="482" w:firstLineChars="200"/>
              <w:rPr>
                <w:rFonts w:hint="eastAsia"/>
                <w:b/>
                <w:bCs/>
                <w:color w:val="auto"/>
                <w:kern w:val="0"/>
                <w:sz w:val="24"/>
              </w:rPr>
            </w:pPr>
          </w:p>
          <w:p w14:paraId="657E52F1">
            <w:pPr>
              <w:adjustRightInd w:val="0"/>
              <w:snapToGrid w:val="0"/>
              <w:spacing w:before="156" w:beforeLines="50" w:line="360" w:lineRule="auto"/>
              <w:ind w:firstLine="482" w:firstLineChars="200"/>
              <w:rPr>
                <w:rFonts w:hint="eastAsia"/>
                <w:b/>
                <w:bCs/>
                <w:color w:val="auto"/>
                <w:kern w:val="0"/>
                <w:sz w:val="24"/>
              </w:rPr>
            </w:pPr>
          </w:p>
          <w:p w14:paraId="22C4F324">
            <w:pPr>
              <w:adjustRightInd w:val="0"/>
              <w:snapToGrid w:val="0"/>
              <w:spacing w:before="156" w:beforeLines="50" w:line="360" w:lineRule="auto"/>
              <w:ind w:firstLine="482" w:firstLineChars="200"/>
              <w:rPr>
                <w:rFonts w:hint="eastAsia"/>
                <w:b/>
                <w:bCs/>
                <w:color w:val="auto"/>
                <w:kern w:val="0"/>
                <w:sz w:val="24"/>
              </w:rPr>
            </w:pPr>
          </w:p>
          <w:p w14:paraId="680DF817">
            <w:pPr>
              <w:adjustRightInd w:val="0"/>
              <w:snapToGrid w:val="0"/>
              <w:spacing w:before="156" w:beforeLines="50" w:line="360" w:lineRule="auto"/>
              <w:ind w:firstLine="482" w:firstLineChars="200"/>
              <w:rPr>
                <w:rFonts w:hint="eastAsia"/>
                <w:b/>
                <w:bCs/>
                <w:color w:val="auto"/>
                <w:kern w:val="0"/>
                <w:sz w:val="24"/>
              </w:rPr>
            </w:pPr>
          </w:p>
          <w:p w14:paraId="495AC0DA">
            <w:pPr>
              <w:adjustRightInd w:val="0"/>
              <w:snapToGrid w:val="0"/>
              <w:spacing w:before="156" w:beforeLines="50" w:line="360" w:lineRule="auto"/>
              <w:ind w:firstLine="482" w:firstLineChars="200"/>
              <w:rPr>
                <w:rFonts w:hint="eastAsia"/>
                <w:b/>
                <w:bCs/>
                <w:color w:val="auto"/>
                <w:kern w:val="0"/>
                <w:sz w:val="24"/>
              </w:rPr>
            </w:pPr>
          </w:p>
          <w:p w14:paraId="13131F0F">
            <w:pPr>
              <w:adjustRightInd w:val="0"/>
              <w:snapToGrid w:val="0"/>
              <w:spacing w:before="156" w:beforeLines="50" w:line="360" w:lineRule="auto"/>
              <w:ind w:firstLine="482" w:firstLineChars="200"/>
              <w:rPr>
                <w:rFonts w:hint="eastAsia"/>
                <w:b/>
                <w:bCs/>
                <w:color w:val="auto"/>
                <w:kern w:val="0"/>
                <w:sz w:val="24"/>
              </w:rPr>
            </w:pPr>
            <w:r>
              <w:rPr>
                <w:rFonts w:hint="eastAsia"/>
                <w:b/>
                <w:bCs/>
                <w:color w:val="auto"/>
                <w:kern w:val="0"/>
                <w:sz w:val="24"/>
              </w:rPr>
              <w:t>排气口设置及监测计划</w:t>
            </w:r>
          </w:p>
          <w:p w14:paraId="4C9D1B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rPr>
            </w:pPr>
            <w:r>
              <w:rPr>
                <w:rFonts w:hint="default" w:ascii="Times New Roman" w:hAnsi="Times New Roman" w:cs="Times New Roman"/>
                <w:color w:val="000000" w:themeColor="text1"/>
                <w:kern w:val="0"/>
                <w:sz w:val="24"/>
                <w:lang w:bidi="ar"/>
                <w14:textFill>
                  <w14:solidFill>
                    <w14:schemeClr w14:val="tx1"/>
                  </w14:solidFill>
                </w14:textFill>
              </w:rPr>
              <w:t>本项目自行监测计划</w:t>
            </w:r>
            <w:r>
              <w:rPr>
                <w:rFonts w:hint="eastAsia" w:cs="Times New Roman"/>
                <w:color w:val="000000" w:themeColor="text1"/>
                <w:kern w:val="0"/>
                <w:sz w:val="24"/>
                <w:lang w:eastAsia="zh-CN" w:bidi="ar"/>
                <w14:textFill>
                  <w14:solidFill>
                    <w14:schemeClr w14:val="tx1"/>
                  </w14:solidFill>
                </w14:textFill>
              </w:rPr>
              <w:t>参考</w:t>
            </w:r>
            <w:r>
              <w:rPr>
                <w:rFonts w:hint="eastAsia" w:cs="Times New Roman"/>
                <w:color w:val="000000" w:themeColor="text1"/>
                <w:kern w:val="0"/>
                <w:sz w:val="24"/>
                <w:lang w:val="en-US" w:eastAsia="zh-CN" w:bidi="ar"/>
                <w14:textFill>
                  <w14:solidFill>
                    <w14:schemeClr w14:val="tx1"/>
                  </w14:solidFill>
                </w14:textFill>
              </w:rPr>
              <w:t>《排</w:t>
            </w:r>
            <w:r>
              <w:rPr>
                <w:rFonts w:hint="eastAsia" w:cs="Times New Roman"/>
                <w:color w:val="auto"/>
                <w:kern w:val="0"/>
                <w:sz w:val="24"/>
                <w:lang w:val="en-US" w:eastAsia="zh-CN" w:bidi="ar"/>
              </w:rPr>
              <w:t>污单位自行监测技术指南-总则》（HJ 819-2017）</w:t>
            </w:r>
            <w:r>
              <w:rPr>
                <w:rFonts w:hint="eastAsia" w:cs="Times New Roman"/>
                <w:color w:val="auto"/>
                <w:kern w:val="0"/>
                <w:sz w:val="24"/>
                <w:lang w:eastAsia="zh-CN" w:bidi="ar"/>
              </w:rPr>
              <w:t>及</w:t>
            </w:r>
            <w:r>
              <w:rPr>
                <w:rFonts w:hint="eastAsia" w:cs="Times New Roman"/>
                <w:color w:val="auto"/>
                <w:kern w:val="0"/>
                <w:sz w:val="24"/>
                <w:lang w:val="en-US" w:eastAsia="zh-CN" w:bidi="ar"/>
              </w:rPr>
              <w:t>《排污许可证申请与核发技术规范 工业固体废物和危险废物的治理》（HJ 1033-2019）</w:t>
            </w:r>
            <w:r>
              <w:rPr>
                <w:rFonts w:hint="default" w:ascii="Times New Roman" w:hAnsi="Times New Roman" w:cs="Times New Roman"/>
                <w:color w:val="auto"/>
                <w:kern w:val="0"/>
                <w:sz w:val="24"/>
                <w:lang w:bidi="ar"/>
              </w:rPr>
              <w:t>要求进行</w:t>
            </w:r>
            <w:r>
              <w:rPr>
                <w:rFonts w:hint="eastAsia"/>
                <w:color w:val="auto"/>
                <w:kern w:val="0"/>
                <w:sz w:val="24"/>
              </w:rPr>
              <w:t>：</w:t>
            </w:r>
          </w:p>
          <w:p w14:paraId="45021877">
            <w:pPr>
              <w:adjustRightInd w:val="0"/>
              <w:snapToGrid w:val="0"/>
              <w:spacing w:line="360" w:lineRule="auto"/>
              <w:jc w:val="center"/>
              <w:rPr>
                <w:b/>
                <w:bCs/>
                <w:color w:val="auto"/>
                <w:kern w:val="0"/>
                <w:sz w:val="24"/>
              </w:rPr>
            </w:pPr>
            <w:r>
              <w:rPr>
                <w:b/>
                <w:bCs/>
                <w:color w:val="auto"/>
                <w:kern w:val="0"/>
                <w:sz w:val="24"/>
              </w:rPr>
              <w:t>表4</w:t>
            </w:r>
            <w:r>
              <w:rPr>
                <w:rFonts w:hint="eastAsia"/>
                <w:b/>
                <w:bCs/>
                <w:color w:val="auto"/>
                <w:kern w:val="0"/>
                <w:sz w:val="24"/>
                <w:lang w:val="en-US" w:eastAsia="zh-CN"/>
              </w:rPr>
              <w:t>.5</w:t>
            </w:r>
            <w:r>
              <w:rPr>
                <w:b/>
                <w:bCs/>
                <w:color w:val="auto"/>
                <w:kern w:val="0"/>
                <w:sz w:val="24"/>
              </w:rPr>
              <w:t xml:space="preserve"> </w:t>
            </w:r>
            <w:r>
              <w:rPr>
                <w:rFonts w:hint="eastAsia"/>
                <w:b/>
                <w:bCs/>
                <w:color w:val="auto"/>
                <w:kern w:val="0"/>
                <w:sz w:val="24"/>
              </w:rPr>
              <w:t xml:space="preserve"> </w:t>
            </w:r>
            <w:r>
              <w:rPr>
                <w:b/>
                <w:bCs/>
                <w:color w:val="auto"/>
                <w:kern w:val="0"/>
                <w:sz w:val="24"/>
              </w:rPr>
              <w:t>废气排放口</w:t>
            </w:r>
            <w:r>
              <w:rPr>
                <w:rFonts w:hint="eastAsia"/>
                <w:b/>
                <w:bCs/>
                <w:color w:val="auto"/>
                <w:kern w:val="0"/>
                <w:sz w:val="24"/>
              </w:rPr>
              <w:t>设置及大气污染物监测计划</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376"/>
              <w:gridCol w:w="927"/>
              <w:gridCol w:w="1031"/>
              <w:gridCol w:w="985"/>
              <w:gridCol w:w="2254"/>
              <w:gridCol w:w="1301"/>
              <w:gridCol w:w="1004"/>
              <w:gridCol w:w="2137"/>
              <w:gridCol w:w="1295"/>
            </w:tblGrid>
            <w:tr w14:paraId="71F1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restart"/>
                  <w:vAlign w:val="center"/>
                </w:tcPr>
                <w:p w14:paraId="0879029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污染源类别</w:t>
                  </w:r>
                </w:p>
              </w:tc>
              <w:tc>
                <w:tcPr>
                  <w:tcW w:w="515" w:type="pct"/>
                  <w:vMerge w:val="restart"/>
                  <w:vAlign w:val="center"/>
                </w:tcPr>
                <w:p w14:paraId="15793EF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排放口编号及名称</w:t>
                  </w:r>
                </w:p>
              </w:tc>
              <w:tc>
                <w:tcPr>
                  <w:tcW w:w="2433" w:type="pct"/>
                  <w:gridSpan w:val="5"/>
                  <w:vAlign w:val="center"/>
                </w:tcPr>
                <w:p w14:paraId="2F41671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排放口基本情况</w:t>
                  </w:r>
                </w:p>
              </w:tc>
              <w:tc>
                <w:tcPr>
                  <w:tcW w:w="1661" w:type="pct"/>
                  <w:gridSpan w:val="3"/>
                  <w:vAlign w:val="center"/>
                </w:tcPr>
                <w:p w14:paraId="674827B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监测要求</w:t>
                  </w:r>
                </w:p>
              </w:tc>
            </w:tr>
            <w:tr w14:paraId="22F7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vAlign w:val="center"/>
                </w:tcPr>
                <w:p w14:paraId="74612783">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p>
              </w:tc>
              <w:tc>
                <w:tcPr>
                  <w:tcW w:w="515" w:type="pct"/>
                  <w:vMerge w:val="continue"/>
                  <w:vAlign w:val="center"/>
                </w:tcPr>
                <w:p w14:paraId="652A125E">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p>
              </w:tc>
              <w:tc>
                <w:tcPr>
                  <w:tcW w:w="347" w:type="pct"/>
                  <w:vAlign w:val="center"/>
                </w:tcPr>
                <w:p w14:paraId="7E3D9070">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高度/m</w:t>
                  </w:r>
                </w:p>
              </w:tc>
              <w:tc>
                <w:tcPr>
                  <w:tcW w:w="386" w:type="pct"/>
                  <w:vAlign w:val="center"/>
                </w:tcPr>
                <w:p w14:paraId="406A7C7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内径/m</w:t>
                  </w:r>
                </w:p>
              </w:tc>
              <w:tc>
                <w:tcPr>
                  <w:tcW w:w="368" w:type="pct"/>
                  <w:vAlign w:val="center"/>
                </w:tcPr>
                <w:p w14:paraId="03C7976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温度℃</w:t>
                  </w:r>
                </w:p>
              </w:tc>
              <w:tc>
                <w:tcPr>
                  <w:tcW w:w="844" w:type="pct"/>
                  <w:vAlign w:val="center"/>
                </w:tcPr>
                <w:p w14:paraId="052AC12C">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坐标</w:t>
                  </w:r>
                </w:p>
              </w:tc>
              <w:tc>
                <w:tcPr>
                  <w:tcW w:w="487" w:type="pct"/>
                  <w:vAlign w:val="center"/>
                </w:tcPr>
                <w:p w14:paraId="1E84C72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类型</w:t>
                  </w:r>
                </w:p>
              </w:tc>
              <w:tc>
                <w:tcPr>
                  <w:tcW w:w="375" w:type="pct"/>
                  <w:vAlign w:val="center"/>
                </w:tcPr>
                <w:p w14:paraId="629E3A5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监测点位</w:t>
                  </w:r>
                </w:p>
              </w:tc>
              <w:tc>
                <w:tcPr>
                  <w:tcW w:w="800" w:type="pct"/>
                  <w:vAlign w:val="center"/>
                </w:tcPr>
                <w:p w14:paraId="2C8DAFC3">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监测因子</w:t>
                  </w:r>
                </w:p>
              </w:tc>
              <w:tc>
                <w:tcPr>
                  <w:tcW w:w="484" w:type="pct"/>
                  <w:vAlign w:val="center"/>
                </w:tcPr>
                <w:p w14:paraId="7D65898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监测频次</w:t>
                  </w:r>
                </w:p>
              </w:tc>
            </w:tr>
            <w:tr w14:paraId="38E9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Align w:val="center"/>
                </w:tcPr>
                <w:p w14:paraId="02BCF5F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有组织</w:t>
                  </w:r>
                </w:p>
              </w:tc>
              <w:tc>
                <w:tcPr>
                  <w:tcW w:w="515" w:type="pct"/>
                  <w:vAlign w:val="center"/>
                </w:tcPr>
                <w:p w14:paraId="7C592C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投料废气</w:t>
                  </w:r>
                </w:p>
              </w:tc>
              <w:tc>
                <w:tcPr>
                  <w:tcW w:w="347" w:type="pct"/>
                  <w:vAlign w:val="center"/>
                </w:tcPr>
                <w:p w14:paraId="2D4330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Cs w:val="21"/>
                      <w:lang w:val="en-US" w:eastAsia="zh-CN"/>
                    </w:rPr>
                  </w:pPr>
                  <w:r>
                    <w:rPr>
                      <w:rFonts w:hint="eastAsia"/>
                      <w:color w:val="auto"/>
                      <w:kern w:val="0"/>
                      <w:szCs w:val="21"/>
                      <w:lang w:val="en-US" w:eastAsia="zh-CN"/>
                    </w:rPr>
                    <w:t>15</w:t>
                  </w:r>
                </w:p>
              </w:tc>
              <w:tc>
                <w:tcPr>
                  <w:tcW w:w="386" w:type="pct"/>
                  <w:vAlign w:val="center"/>
                </w:tcPr>
                <w:p w14:paraId="0C3A2F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Cs w:val="21"/>
                      <w:lang w:val="en-US" w:eastAsia="zh-CN"/>
                    </w:rPr>
                  </w:pPr>
                  <w:r>
                    <w:rPr>
                      <w:rFonts w:hint="eastAsia"/>
                      <w:color w:val="auto"/>
                      <w:kern w:val="0"/>
                      <w:szCs w:val="21"/>
                      <w:lang w:val="en-US" w:eastAsia="zh-CN"/>
                    </w:rPr>
                    <w:t>0.4</w:t>
                  </w:r>
                </w:p>
              </w:tc>
              <w:tc>
                <w:tcPr>
                  <w:tcW w:w="368" w:type="pct"/>
                  <w:vAlign w:val="center"/>
                </w:tcPr>
                <w:p w14:paraId="157A04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Cs w:val="21"/>
                      <w:lang w:val="en-US" w:eastAsia="zh-CN"/>
                    </w:rPr>
                  </w:pPr>
                  <w:r>
                    <w:rPr>
                      <w:rFonts w:hint="eastAsia"/>
                      <w:color w:val="auto"/>
                      <w:kern w:val="0"/>
                      <w:szCs w:val="21"/>
                      <w:lang w:val="en-US" w:eastAsia="zh-CN"/>
                    </w:rPr>
                    <w:t>25</w:t>
                  </w:r>
                </w:p>
              </w:tc>
              <w:tc>
                <w:tcPr>
                  <w:tcW w:w="844" w:type="pct"/>
                  <w:vAlign w:val="center"/>
                </w:tcPr>
                <w:p w14:paraId="3741EC8D">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w:t>
                  </w:r>
                </w:p>
              </w:tc>
              <w:tc>
                <w:tcPr>
                  <w:tcW w:w="487" w:type="pct"/>
                  <w:vAlign w:val="center"/>
                </w:tcPr>
                <w:p w14:paraId="041119B1">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一般排放口</w:t>
                  </w:r>
                </w:p>
              </w:tc>
              <w:tc>
                <w:tcPr>
                  <w:tcW w:w="375" w:type="pct"/>
                  <w:vAlign w:val="center"/>
                </w:tcPr>
                <w:p w14:paraId="1A8DAD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Cs w:val="21"/>
                      <w:lang w:val="en-US" w:eastAsia="zh-CN"/>
                    </w:rPr>
                  </w:pPr>
                  <w:r>
                    <w:rPr>
                      <w:color w:val="auto"/>
                      <w:kern w:val="0"/>
                      <w:szCs w:val="21"/>
                    </w:rPr>
                    <w:t>DA00</w:t>
                  </w:r>
                  <w:r>
                    <w:rPr>
                      <w:rFonts w:hint="eastAsia"/>
                      <w:color w:val="auto"/>
                      <w:kern w:val="0"/>
                      <w:szCs w:val="21"/>
                      <w:lang w:val="en-US" w:eastAsia="zh-CN"/>
                    </w:rPr>
                    <w:t>5</w:t>
                  </w:r>
                </w:p>
              </w:tc>
              <w:tc>
                <w:tcPr>
                  <w:tcW w:w="800" w:type="pct"/>
                  <w:vAlign w:val="center"/>
                </w:tcPr>
                <w:p w14:paraId="7396A7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Times New Roman" w:cs="Times New Roman"/>
                      <w:color w:val="auto"/>
                      <w:sz w:val="21"/>
                      <w:szCs w:val="21"/>
                      <w:lang w:val="en-US" w:eastAsia="zh-CN"/>
                    </w:rPr>
                  </w:pPr>
                  <w:r>
                    <w:rPr>
                      <w:rFonts w:hint="eastAsia"/>
                      <w:color w:val="auto"/>
                      <w:kern w:val="0"/>
                      <w:szCs w:val="21"/>
                      <w:lang w:eastAsia="zh-CN"/>
                    </w:rPr>
                    <w:t>颗粒物</w:t>
                  </w:r>
                </w:p>
              </w:tc>
              <w:tc>
                <w:tcPr>
                  <w:tcW w:w="484" w:type="pct"/>
                  <w:vAlign w:val="center"/>
                </w:tcPr>
                <w:p w14:paraId="4C15BB7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lang w:val="en-US" w:eastAsia="zh-CN"/>
                    </w:rPr>
                    <w:t>1次/年</w:t>
                  </w:r>
                </w:p>
              </w:tc>
            </w:tr>
            <w:tr w14:paraId="1A46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Align w:val="center"/>
                </w:tcPr>
                <w:p w14:paraId="529FFD1C">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有组织</w:t>
                  </w:r>
                </w:p>
              </w:tc>
              <w:tc>
                <w:tcPr>
                  <w:tcW w:w="515" w:type="pct"/>
                  <w:vAlign w:val="center"/>
                </w:tcPr>
                <w:p w14:paraId="001DB02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default" w:eastAsia="宋体"/>
                      <w:color w:val="auto"/>
                      <w:sz w:val="21"/>
                      <w:szCs w:val="21"/>
                      <w:lang w:val="en-US" w:eastAsia="zh-CN"/>
                    </w:rPr>
                    <w:t>污泥贮存、矿化、陈化废气</w:t>
                  </w:r>
                </w:p>
              </w:tc>
              <w:tc>
                <w:tcPr>
                  <w:tcW w:w="347" w:type="pct"/>
                  <w:vAlign w:val="center"/>
                </w:tcPr>
                <w:p w14:paraId="07B23C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Cs w:val="21"/>
                      <w:lang w:val="en-US" w:eastAsia="zh-CN"/>
                    </w:rPr>
                  </w:pPr>
                  <w:r>
                    <w:rPr>
                      <w:rFonts w:hint="eastAsia"/>
                      <w:color w:val="auto"/>
                      <w:kern w:val="0"/>
                      <w:szCs w:val="21"/>
                      <w:lang w:val="en-US" w:eastAsia="zh-CN"/>
                    </w:rPr>
                    <w:t>15</w:t>
                  </w:r>
                </w:p>
              </w:tc>
              <w:tc>
                <w:tcPr>
                  <w:tcW w:w="386" w:type="pct"/>
                  <w:vAlign w:val="center"/>
                </w:tcPr>
                <w:p w14:paraId="665F22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Cs w:val="21"/>
                      <w:lang w:val="en-US" w:eastAsia="zh-CN"/>
                    </w:rPr>
                  </w:pPr>
                  <w:r>
                    <w:rPr>
                      <w:rFonts w:hint="eastAsia"/>
                      <w:color w:val="auto"/>
                      <w:kern w:val="0"/>
                      <w:szCs w:val="21"/>
                      <w:lang w:val="en-US" w:eastAsia="zh-CN"/>
                    </w:rPr>
                    <w:t>0.8</w:t>
                  </w:r>
                </w:p>
              </w:tc>
              <w:tc>
                <w:tcPr>
                  <w:tcW w:w="368" w:type="pct"/>
                  <w:vAlign w:val="center"/>
                </w:tcPr>
                <w:p w14:paraId="23A6F8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Cs w:val="21"/>
                      <w:lang w:val="en-US" w:eastAsia="zh-CN"/>
                    </w:rPr>
                  </w:pPr>
                  <w:r>
                    <w:rPr>
                      <w:rFonts w:hint="eastAsia"/>
                      <w:color w:val="auto"/>
                      <w:kern w:val="0"/>
                      <w:szCs w:val="21"/>
                      <w:lang w:val="en-US" w:eastAsia="zh-CN"/>
                    </w:rPr>
                    <w:t>25</w:t>
                  </w:r>
                </w:p>
              </w:tc>
              <w:tc>
                <w:tcPr>
                  <w:tcW w:w="844" w:type="pct"/>
                  <w:vAlign w:val="center"/>
                </w:tcPr>
                <w:p w14:paraId="04B43EDD">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w:t>
                  </w:r>
                </w:p>
              </w:tc>
              <w:tc>
                <w:tcPr>
                  <w:tcW w:w="487" w:type="pct"/>
                  <w:vAlign w:val="center"/>
                </w:tcPr>
                <w:p w14:paraId="48229E36">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一般排放口</w:t>
                  </w:r>
                </w:p>
              </w:tc>
              <w:tc>
                <w:tcPr>
                  <w:tcW w:w="375" w:type="pct"/>
                  <w:vAlign w:val="center"/>
                </w:tcPr>
                <w:p w14:paraId="103FA3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Cs w:val="21"/>
                      <w:lang w:val="en-US" w:eastAsia="zh-CN"/>
                    </w:rPr>
                  </w:pPr>
                  <w:r>
                    <w:rPr>
                      <w:color w:val="auto"/>
                      <w:kern w:val="0"/>
                      <w:szCs w:val="21"/>
                    </w:rPr>
                    <w:t>DA00</w:t>
                  </w:r>
                  <w:r>
                    <w:rPr>
                      <w:rFonts w:hint="eastAsia"/>
                      <w:color w:val="auto"/>
                      <w:kern w:val="0"/>
                      <w:szCs w:val="21"/>
                      <w:lang w:val="en-US" w:eastAsia="zh-CN"/>
                    </w:rPr>
                    <w:t>6</w:t>
                  </w:r>
                </w:p>
              </w:tc>
              <w:tc>
                <w:tcPr>
                  <w:tcW w:w="800" w:type="pct"/>
                  <w:vAlign w:val="center"/>
                </w:tcPr>
                <w:p w14:paraId="63EECA4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H</w:t>
                  </w:r>
                  <w:r>
                    <w:rPr>
                      <w:rFonts w:hint="eastAsia" w:ascii="Times New Roman" w:hAnsi="Times New Roman" w:eastAsia="Times New Roman" w:cs="Times New Roman"/>
                      <w:color w:val="auto"/>
                      <w:sz w:val="21"/>
                      <w:szCs w:val="21"/>
                      <w:vertAlign w:val="subscript"/>
                      <w:lang w:val="en-US" w:eastAsia="zh-CN"/>
                    </w:rPr>
                    <w:t>2</w:t>
                  </w:r>
                  <w:r>
                    <w:rPr>
                      <w:rFonts w:hint="eastAsia" w:ascii="Times New Roman" w:hAnsi="Times New Roman" w:eastAsia="Times New Roman" w:cs="Times New Roman"/>
                      <w:color w:val="auto"/>
                      <w:sz w:val="21"/>
                      <w:szCs w:val="21"/>
                      <w:lang w:val="en-US" w:eastAsia="zh-CN"/>
                    </w:rPr>
                    <w:t>S、</w:t>
                  </w:r>
                  <w:r>
                    <w:rPr>
                      <w:rFonts w:hint="eastAsia" w:ascii="Times New Roman" w:hAnsi="Times New Roman" w:eastAsia="宋体" w:cs="Times New Roman"/>
                      <w:b w:val="0"/>
                      <w:bCs w:val="0"/>
                      <w:color w:val="auto"/>
                      <w:kern w:val="0"/>
                      <w:szCs w:val="21"/>
                      <w:highlight w:val="none"/>
                      <w:lang w:val="en-US" w:eastAsia="zh-CN" w:bidi="ar"/>
                    </w:rPr>
                    <w:t>NH</w:t>
                  </w:r>
                  <w:r>
                    <w:rPr>
                      <w:rFonts w:hint="eastAsia" w:ascii="Times New Roman" w:hAnsi="Times New Roman" w:eastAsia="宋体" w:cs="Times New Roman"/>
                      <w:b w:val="0"/>
                      <w:bCs w:val="0"/>
                      <w:color w:val="auto"/>
                      <w:kern w:val="0"/>
                      <w:szCs w:val="21"/>
                      <w:highlight w:val="none"/>
                      <w:vertAlign w:val="subscript"/>
                      <w:lang w:val="en-US" w:eastAsia="zh-CN" w:bidi="ar"/>
                    </w:rPr>
                    <w:t>3</w:t>
                  </w:r>
                  <w:r>
                    <w:rPr>
                      <w:rFonts w:hint="eastAsia" w:ascii="Times New Roman" w:hAnsi="Times New Roman" w:eastAsia="Times New Roman" w:cs="Times New Roman"/>
                      <w:color w:val="auto"/>
                      <w:sz w:val="21"/>
                      <w:szCs w:val="21"/>
                      <w:lang w:val="en-US" w:eastAsia="zh-CN"/>
                    </w:rPr>
                    <w:t>、臭气浓度</w:t>
                  </w:r>
                </w:p>
              </w:tc>
              <w:tc>
                <w:tcPr>
                  <w:tcW w:w="484" w:type="pct"/>
                  <w:vAlign w:val="center"/>
                </w:tcPr>
                <w:p w14:paraId="1A0203B6">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color w:val="auto"/>
                      <w:kern w:val="0"/>
                      <w:szCs w:val="21"/>
                      <w:lang w:val="en-US" w:eastAsia="zh-CN"/>
                    </w:rPr>
                    <w:t>1次/年</w:t>
                  </w:r>
                </w:p>
              </w:tc>
            </w:tr>
            <w:tr w14:paraId="116C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restart"/>
                  <w:vAlign w:val="center"/>
                </w:tcPr>
                <w:p w14:paraId="352E48E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无组织</w:t>
                  </w:r>
                </w:p>
              </w:tc>
              <w:tc>
                <w:tcPr>
                  <w:tcW w:w="515" w:type="pct"/>
                  <w:vMerge w:val="restart"/>
                  <w:vAlign w:val="center"/>
                </w:tcPr>
                <w:p w14:paraId="7915A7A4">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厂界</w:t>
                  </w:r>
                </w:p>
              </w:tc>
              <w:tc>
                <w:tcPr>
                  <w:tcW w:w="347" w:type="pct"/>
                  <w:vMerge w:val="restart"/>
                  <w:vAlign w:val="center"/>
                </w:tcPr>
                <w:p w14:paraId="0AA89F01">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w:t>
                  </w:r>
                </w:p>
              </w:tc>
              <w:tc>
                <w:tcPr>
                  <w:tcW w:w="386" w:type="pct"/>
                  <w:vMerge w:val="restart"/>
                  <w:vAlign w:val="center"/>
                </w:tcPr>
                <w:p w14:paraId="2FF2546D">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w:t>
                  </w:r>
                </w:p>
              </w:tc>
              <w:tc>
                <w:tcPr>
                  <w:tcW w:w="368" w:type="pct"/>
                  <w:vMerge w:val="restart"/>
                  <w:vAlign w:val="center"/>
                </w:tcPr>
                <w:p w14:paraId="3217D32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w:t>
                  </w:r>
                </w:p>
              </w:tc>
              <w:tc>
                <w:tcPr>
                  <w:tcW w:w="844" w:type="pct"/>
                  <w:vAlign w:val="center"/>
                </w:tcPr>
                <w:p w14:paraId="6B9DD90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w:t>
                  </w:r>
                </w:p>
              </w:tc>
              <w:tc>
                <w:tcPr>
                  <w:tcW w:w="487" w:type="pct"/>
                  <w:vAlign w:val="center"/>
                </w:tcPr>
                <w:p w14:paraId="6141426F">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w:t>
                  </w:r>
                </w:p>
              </w:tc>
              <w:tc>
                <w:tcPr>
                  <w:tcW w:w="375" w:type="pct"/>
                  <w:vAlign w:val="center"/>
                </w:tcPr>
                <w:p w14:paraId="1815377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厂界</w:t>
                  </w:r>
                </w:p>
              </w:tc>
              <w:tc>
                <w:tcPr>
                  <w:tcW w:w="800" w:type="pct"/>
                  <w:vAlign w:val="center"/>
                </w:tcPr>
                <w:p w14:paraId="2E371EF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rFonts w:hint="eastAsia" w:eastAsia="宋体"/>
                      <w:color w:val="auto"/>
                      <w:sz w:val="21"/>
                      <w:szCs w:val="21"/>
                      <w:highlight w:val="none"/>
                      <w:lang w:eastAsia="zh-CN"/>
                    </w:rPr>
                    <w:t>颗粒物</w:t>
                  </w:r>
                </w:p>
              </w:tc>
              <w:tc>
                <w:tcPr>
                  <w:tcW w:w="484" w:type="pct"/>
                  <w:vAlign w:val="center"/>
                </w:tcPr>
                <w:p w14:paraId="6580EB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Cs w:val="21"/>
                      <w:lang w:eastAsia="zh-CN"/>
                    </w:rPr>
                  </w:pPr>
                  <w:r>
                    <w:rPr>
                      <w:rFonts w:hint="eastAsia"/>
                      <w:color w:val="auto"/>
                      <w:kern w:val="0"/>
                      <w:szCs w:val="21"/>
                      <w:lang w:val="en-US" w:eastAsia="zh-CN"/>
                    </w:rPr>
                    <w:t>1次/年</w:t>
                  </w:r>
                </w:p>
              </w:tc>
            </w:tr>
            <w:tr w14:paraId="7D11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vAlign w:val="center"/>
                </w:tcPr>
                <w:p w14:paraId="1277DE03">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p>
              </w:tc>
              <w:tc>
                <w:tcPr>
                  <w:tcW w:w="515" w:type="pct"/>
                  <w:vMerge w:val="continue"/>
                  <w:vAlign w:val="center"/>
                </w:tcPr>
                <w:p w14:paraId="21944D96">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p>
              </w:tc>
              <w:tc>
                <w:tcPr>
                  <w:tcW w:w="347" w:type="pct"/>
                  <w:vMerge w:val="continue"/>
                  <w:vAlign w:val="center"/>
                </w:tcPr>
                <w:p w14:paraId="58DEFFBD">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p>
              </w:tc>
              <w:tc>
                <w:tcPr>
                  <w:tcW w:w="386" w:type="pct"/>
                  <w:vMerge w:val="continue"/>
                  <w:vAlign w:val="center"/>
                </w:tcPr>
                <w:p w14:paraId="772946D3">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p>
              </w:tc>
              <w:tc>
                <w:tcPr>
                  <w:tcW w:w="368" w:type="pct"/>
                  <w:vMerge w:val="continue"/>
                  <w:vAlign w:val="center"/>
                </w:tcPr>
                <w:p w14:paraId="5BE01A2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p>
              </w:tc>
              <w:tc>
                <w:tcPr>
                  <w:tcW w:w="844" w:type="pct"/>
                  <w:vAlign w:val="center"/>
                </w:tcPr>
                <w:p w14:paraId="45BEFC85">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w:t>
                  </w:r>
                </w:p>
              </w:tc>
              <w:tc>
                <w:tcPr>
                  <w:tcW w:w="487" w:type="pct"/>
                  <w:vAlign w:val="center"/>
                </w:tcPr>
                <w:p w14:paraId="2E6E0DD3">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w:t>
                  </w:r>
                </w:p>
              </w:tc>
              <w:tc>
                <w:tcPr>
                  <w:tcW w:w="375" w:type="pct"/>
                  <w:vAlign w:val="center"/>
                </w:tcPr>
                <w:p w14:paraId="5876AC93">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Cs w:val="21"/>
                    </w:rPr>
                  </w:pPr>
                  <w:r>
                    <w:rPr>
                      <w:color w:val="auto"/>
                      <w:kern w:val="0"/>
                      <w:szCs w:val="21"/>
                    </w:rPr>
                    <w:t>厂界</w:t>
                  </w:r>
                </w:p>
              </w:tc>
              <w:tc>
                <w:tcPr>
                  <w:tcW w:w="800" w:type="pct"/>
                  <w:vAlign w:val="center"/>
                </w:tcPr>
                <w:p w14:paraId="5713DC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highlight w:val="none"/>
                      <w:lang w:eastAsia="zh-CN"/>
                    </w:rPr>
                  </w:pPr>
                  <w:r>
                    <w:rPr>
                      <w:rFonts w:hint="eastAsia" w:ascii="Times New Roman" w:hAnsi="Times New Roman" w:eastAsia="Times New Roman" w:cs="Times New Roman"/>
                      <w:color w:val="auto"/>
                      <w:sz w:val="21"/>
                      <w:szCs w:val="21"/>
                      <w:lang w:val="en-US" w:eastAsia="zh-CN"/>
                    </w:rPr>
                    <w:t>H</w:t>
                  </w:r>
                  <w:r>
                    <w:rPr>
                      <w:rFonts w:hint="eastAsia" w:ascii="Times New Roman" w:hAnsi="Times New Roman" w:eastAsia="Times New Roman" w:cs="Times New Roman"/>
                      <w:color w:val="auto"/>
                      <w:sz w:val="21"/>
                      <w:szCs w:val="21"/>
                      <w:vertAlign w:val="subscript"/>
                      <w:lang w:val="en-US" w:eastAsia="zh-CN"/>
                    </w:rPr>
                    <w:t>2</w:t>
                  </w:r>
                  <w:r>
                    <w:rPr>
                      <w:rFonts w:hint="eastAsia" w:ascii="Times New Roman" w:hAnsi="Times New Roman" w:eastAsia="Times New Roman" w:cs="Times New Roman"/>
                      <w:color w:val="auto"/>
                      <w:sz w:val="21"/>
                      <w:szCs w:val="21"/>
                      <w:lang w:val="en-US" w:eastAsia="zh-CN"/>
                    </w:rPr>
                    <w:t>S、</w:t>
                  </w:r>
                  <w:r>
                    <w:rPr>
                      <w:rFonts w:hint="eastAsia" w:ascii="Times New Roman" w:hAnsi="Times New Roman" w:eastAsia="宋体" w:cs="Times New Roman"/>
                      <w:b w:val="0"/>
                      <w:bCs w:val="0"/>
                      <w:color w:val="auto"/>
                      <w:kern w:val="0"/>
                      <w:szCs w:val="21"/>
                      <w:highlight w:val="none"/>
                      <w:lang w:val="en-US" w:eastAsia="zh-CN" w:bidi="ar"/>
                    </w:rPr>
                    <w:t>NH</w:t>
                  </w:r>
                  <w:r>
                    <w:rPr>
                      <w:rFonts w:hint="eastAsia" w:ascii="Times New Roman" w:hAnsi="Times New Roman" w:eastAsia="宋体" w:cs="Times New Roman"/>
                      <w:b w:val="0"/>
                      <w:bCs w:val="0"/>
                      <w:color w:val="auto"/>
                      <w:kern w:val="0"/>
                      <w:szCs w:val="21"/>
                      <w:highlight w:val="none"/>
                      <w:vertAlign w:val="subscript"/>
                      <w:lang w:val="en-US" w:eastAsia="zh-CN" w:bidi="ar"/>
                    </w:rPr>
                    <w:t>3</w:t>
                  </w:r>
                  <w:r>
                    <w:rPr>
                      <w:rFonts w:hint="eastAsia" w:ascii="Times New Roman" w:hAnsi="Times New Roman" w:eastAsia="Times New Roman" w:cs="Times New Roman"/>
                      <w:color w:val="auto"/>
                      <w:sz w:val="21"/>
                      <w:szCs w:val="21"/>
                      <w:lang w:val="en-US" w:eastAsia="zh-CN"/>
                    </w:rPr>
                    <w:t>、臭气浓度</w:t>
                  </w:r>
                </w:p>
              </w:tc>
              <w:tc>
                <w:tcPr>
                  <w:tcW w:w="484" w:type="pct"/>
                  <w:vAlign w:val="center"/>
                </w:tcPr>
                <w:p w14:paraId="517A28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szCs w:val="21"/>
                      <w:lang w:val="en-US" w:eastAsia="zh-CN"/>
                    </w:rPr>
                  </w:pPr>
                  <w:r>
                    <w:rPr>
                      <w:rFonts w:hint="eastAsia"/>
                      <w:color w:val="auto"/>
                      <w:kern w:val="0"/>
                      <w:szCs w:val="21"/>
                      <w:lang w:val="en-US" w:eastAsia="zh-CN"/>
                    </w:rPr>
                    <w:t>1次/半年</w:t>
                  </w:r>
                </w:p>
              </w:tc>
            </w:tr>
          </w:tbl>
          <w:p w14:paraId="0895BF4F">
            <w:pPr>
              <w:adjustRightInd w:val="0"/>
              <w:snapToGrid w:val="0"/>
              <w:spacing w:line="360" w:lineRule="auto"/>
              <w:rPr>
                <w:rFonts w:hint="eastAsia" w:eastAsia="宋体"/>
                <w:color w:val="auto"/>
                <w:kern w:val="0"/>
                <w:sz w:val="24"/>
                <w:lang w:val="en-US" w:eastAsia="zh-CN"/>
              </w:rPr>
            </w:pPr>
          </w:p>
        </w:tc>
      </w:tr>
    </w:tbl>
    <w:p w14:paraId="7589ABD8">
      <w:pPr>
        <w:pStyle w:val="2"/>
        <w:rPr>
          <w:color w:val="auto"/>
          <w:kern w:val="0"/>
        </w:rPr>
        <w:sectPr>
          <w:pgSz w:w="16838" w:h="11906" w:orient="landscape"/>
          <w:pgMar w:top="1800" w:right="1440" w:bottom="1800" w:left="1440" w:header="851" w:footer="992" w:gutter="0"/>
          <w:cols w:space="425" w:num="1"/>
          <w:docGrid w:type="lines" w:linePitch="312" w:charSpace="0"/>
        </w:sect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8040"/>
      </w:tblGrid>
      <w:tr w14:paraId="44E16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152" w:hRule="atLeast"/>
          <w:jc w:val="center"/>
        </w:trPr>
        <w:tc>
          <w:tcPr>
            <w:tcW w:w="0" w:type="auto"/>
            <w:tcBorders>
              <w:tl2br w:val="nil"/>
              <w:tr2bl w:val="nil"/>
            </w:tcBorders>
            <w:vAlign w:val="center"/>
          </w:tcPr>
          <w:p w14:paraId="0E546205">
            <w:pPr>
              <w:adjustRightInd w:val="0"/>
              <w:snapToGrid w:val="0"/>
              <w:jc w:val="center"/>
              <w:rPr>
                <w:color w:val="auto"/>
                <w:kern w:val="0"/>
                <w:sz w:val="24"/>
              </w:rPr>
            </w:pPr>
            <w:r>
              <w:rPr>
                <w:color w:val="auto"/>
                <w:kern w:val="0"/>
                <w:sz w:val="24"/>
              </w:rPr>
              <w:t>运营</w:t>
            </w:r>
          </w:p>
          <w:p w14:paraId="3CDDC67A">
            <w:pPr>
              <w:adjustRightInd w:val="0"/>
              <w:snapToGrid w:val="0"/>
              <w:jc w:val="center"/>
              <w:rPr>
                <w:color w:val="auto"/>
                <w:kern w:val="0"/>
                <w:sz w:val="24"/>
              </w:rPr>
            </w:pPr>
            <w:r>
              <w:rPr>
                <w:color w:val="auto"/>
                <w:kern w:val="0"/>
                <w:sz w:val="24"/>
              </w:rPr>
              <w:t>期环</w:t>
            </w:r>
          </w:p>
          <w:p w14:paraId="0C55D0C0">
            <w:pPr>
              <w:adjustRightInd w:val="0"/>
              <w:snapToGrid w:val="0"/>
              <w:jc w:val="center"/>
              <w:rPr>
                <w:color w:val="auto"/>
                <w:kern w:val="0"/>
                <w:sz w:val="24"/>
              </w:rPr>
            </w:pPr>
            <w:r>
              <w:rPr>
                <w:color w:val="auto"/>
                <w:kern w:val="0"/>
                <w:sz w:val="24"/>
              </w:rPr>
              <w:t>境影</w:t>
            </w:r>
          </w:p>
          <w:p w14:paraId="53527A57">
            <w:pPr>
              <w:adjustRightInd w:val="0"/>
              <w:snapToGrid w:val="0"/>
              <w:jc w:val="center"/>
              <w:rPr>
                <w:color w:val="auto"/>
                <w:kern w:val="0"/>
                <w:sz w:val="24"/>
              </w:rPr>
            </w:pPr>
            <w:r>
              <w:rPr>
                <w:color w:val="auto"/>
                <w:kern w:val="0"/>
                <w:sz w:val="24"/>
              </w:rPr>
              <w:t>响和</w:t>
            </w:r>
          </w:p>
          <w:p w14:paraId="07307DEA">
            <w:pPr>
              <w:adjustRightInd w:val="0"/>
              <w:snapToGrid w:val="0"/>
              <w:jc w:val="center"/>
              <w:rPr>
                <w:color w:val="auto"/>
                <w:kern w:val="0"/>
                <w:sz w:val="24"/>
              </w:rPr>
            </w:pPr>
            <w:r>
              <w:rPr>
                <w:color w:val="auto"/>
                <w:kern w:val="0"/>
                <w:sz w:val="24"/>
              </w:rPr>
              <w:t>保护</w:t>
            </w:r>
          </w:p>
          <w:p w14:paraId="1C04F0E7">
            <w:pPr>
              <w:pStyle w:val="2"/>
              <w:jc w:val="center"/>
              <w:rPr>
                <w:color w:val="auto"/>
                <w:kern w:val="0"/>
              </w:rPr>
            </w:pPr>
            <w:r>
              <w:rPr>
                <w:color w:val="auto"/>
                <w:kern w:val="0"/>
              </w:rPr>
              <w:t>措施</w:t>
            </w:r>
          </w:p>
        </w:tc>
        <w:tc>
          <w:tcPr>
            <w:tcW w:w="0" w:type="auto"/>
            <w:tcBorders>
              <w:tl2br w:val="nil"/>
              <w:tr2bl w:val="nil"/>
            </w:tcBorders>
            <w:vAlign w:val="center"/>
          </w:tcPr>
          <w:p w14:paraId="36D5545D">
            <w:pPr>
              <w:adjustRightInd w:val="0"/>
              <w:snapToGrid w:val="0"/>
              <w:spacing w:line="360" w:lineRule="auto"/>
              <w:ind w:firstLine="482" w:firstLineChars="200"/>
              <w:rPr>
                <w:b/>
                <w:color w:val="auto"/>
                <w:sz w:val="24"/>
              </w:rPr>
            </w:pPr>
            <w:r>
              <w:rPr>
                <w:b/>
                <w:color w:val="auto"/>
                <w:sz w:val="24"/>
              </w:rPr>
              <w:t>废气</w:t>
            </w:r>
            <w:r>
              <w:rPr>
                <w:rFonts w:hint="eastAsia"/>
                <w:b/>
                <w:color w:val="auto"/>
                <w:sz w:val="24"/>
              </w:rPr>
              <w:t>工艺可行性</w:t>
            </w:r>
            <w:r>
              <w:rPr>
                <w:b/>
                <w:color w:val="auto"/>
                <w:sz w:val="24"/>
              </w:rPr>
              <w:t>分析</w:t>
            </w:r>
          </w:p>
          <w:p w14:paraId="6597C7BF">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Times New Roman" w:eastAsia="宋体" w:cs="Times New Roman"/>
                <w:b w:val="0"/>
                <w:bCs/>
                <w:color w:val="auto"/>
                <w:kern w:val="2"/>
                <w:sz w:val="24"/>
                <w:szCs w:val="24"/>
                <w:lang w:val="en-US" w:eastAsia="zh-CN" w:bidi="ar-SA"/>
              </w:rPr>
            </w:pPr>
            <w:r>
              <w:rPr>
                <w:rFonts w:hint="eastAsia"/>
                <w:color w:val="auto"/>
                <w:sz w:val="24"/>
                <w:szCs w:val="24"/>
                <w:lang w:val="en-US" w:eastAsia="zh-CN"/>
              </w:rPr>
              <w:t>根据《排污单位自行监测技术指南 总则》（HJ819-2017）中</w:t>
            </w:r>
            <w:r>
              <w:rPr>
                <w:rFonts w:hint="default" w:ascii="Times New Roman" w:hAnsi="Times New Roman" w:eastAsia="宋体" w:cs="Times New Roman"/>
                <w:color w:val="auto"/>
                <w:sz w:val="24"/>
                <w:szCs w:val="24"/>
                <w:highlight w:val="none"/>
                <w:lang w:eastAsia="zh-CN"/>
              </w:rPr>
              <w:t>粉尘的污染防治设施名称及工艺包括布袋除尘、旋风除尘等</w:t>
            </w:r>
            <w:r>
              <w:rPr>
                <w:rFonts w:hint="eastAsia" w:ascii="Times New Roman" w:hAnsi="Times New Roman" w:eastAsia="宋体" w:cs="Times New Roman"/>
                <w:b w:val="0"/>
                <w:bCs/>
                <w:color w:val="auto"/>
                <w:kern w:val="2"/>
                <w:sz w:val="24"/>
                <w:szCs w:val="24"/>
                <w:lang w:val="en-US" w:eastAsia="zh-CN" w:bidi="ar-SA"/>
              </w:rPr>
              <w:t>。</w:t>
            </w:r>
          </w:p>
          <w:p w14:paraId="7F7A70BC">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Times New Roman" w:eastAsia="Times New Roman" w:cs="Times New Roman"/>
                <w:color w:val="auto"/>
                <w:sz w:val="24"/>
                <w:szCs w:val="24"/>
                <w:lang w:val="en-US" w:eastAsia="zh-CN"/>
              </w:rPr>
            </w:pPr>
            <w:r>
              <w:rPr>
                <w:rFonts w:hint="eastAsia" w:ascii="Times New Roman" w:hAnsi="Times New Roman" w:eastAsia="宋体" w:cs="Times New Roman"/>
                <w:b w:val="0"/>
                <w:bCs/>
                <w:color w:val="auto"/>
                <w:kern w:val="2"/>
                <w:sz w:val="24"/>
                <w:szCs w:val="24"/>
                <w:lang w:val="en-US" w:eastAsia="zh-CN" w:bidi="ar-SA"/>
              </w:rPr>
              <w:t>本次评价</w:t>
            </w:r>
            <w:r>
              <w:rPr>
                <w:rFonts w:hint="eastAsia"/>
                <w:color w:val="auto"/>
                <w:sz w:val="24"/>
                <w:szCs w:val="24"/>
                <w:lang w:eastAsia="zh-CN"/>
              </w:rPr>
              <w:t>水泥仓</w:t>
            </w:r>
            <w:r>
              <w:rPr>
                <w:color w:val="auto"/>
                <w:sz w:val="24"/>
                <w:szCs w:val="24"/>
              </w:rPr>
              <w:t>呼吸</w:t>
            </w:r>
            <w:r>
              <w:rPr>
                <w:rFonts w:hint="eastAsia"/>
                <w:color w:val="auto"/>
                <w:sz w:val="24"/>
                <w:szCs w:val="24"/>
                <w:lang w:eastAsia="zh-CN"/>
              </w:rPr>
              <w:t>废气、</w:t>
            </w:r>
            <w:r>
              <w:rPr>
                <w:rFonts w:hint="eastAsia" w:ascii="Times New Roman" w:hAnsi="Times New Roman" w:eastAsia="Times New Roman" w:cs="Times New Roman"/>
                <w:color w:val="auto"/>
                <w:sz w:val="24"/>
                <w:szCs w:val="24"/>
                <w:lang w:val="en-US" w:eastAsia="zh-CN"/>
              </w:rPr>
              <w:t>粉煤灰筒仓呼吸废气</w:t>
            </w:r>
            <w:r>
              <w:rPr>
                <w:rFonts w:hint="eastAsia" w:eastAsia="Times New Roman" w:cs="Times New Roman"/>
                <w:color w:val="auto"/>
                <w:sz w:val="24"/>
                <w:szCs w:val="24"/>
                <w:lang w:val="en-US" w:eastAsia="zh-CN"/>
              </w:rPr>
              <w:t>、</w:t>
            </w:r>
            <w:r>
              <w:rPr>
                <w:rFonts w:hint="eastAsia" w:cs="Times New Roman"/>
                <w:b w:val="0"/>
                <w:bCs w:val="0"/>
                <w:color w:val="auto"/>
                <w:kern w:val="2"/>
                <w:sz w:val="24"/>
                <w:szCs w:val="24"/>
                <w:lang w:val="en-US" w:eastAsia="zh-CN" w:bidi="ar-SA"/>
              </w:rPr>
              <w:t>建筑掺和料筒仓</w:t>
            </w:r>
            <w:r>
              <w:rPr>
                <w:rFonts w:hint="eastAsia" w:ascii="Times New Roman" w:hAnsi="Times New Roman" w:eastAsia="宋体" w:cs="Times New Roman"/>
                <w:b w:val="0"/>
                <w:bCs w:val="0"/>
                <w:color w:val="auto"/>
                <w:kern w:val="2"/>
                <w:sz w:val="24"/>
                <w:szCs w:val="24"/>
                <w:lang w:val="en-US" w:eastAsia="zh-CN" w:bidi="ar-SA"/>
              </w:rPr>
              <w:t>呼吸废气</w:t>
            </w:r>
            <w:r>
              <w:rPr>
                <w:rFonts w:hint="eastAsia" w:cs="Times New Roman"/>
                <w:b w:val="0"/>
                <w:bCs w:val="0"/>
                <w:color w:val="auto"/>
                <w:kern w:val="2"/>
                <w:sz w:val="24"/>
                <w:szCs w:val="24"/>
                <w:lang w:val="en-US" w:eastAsia="zh-CN" w:bidi="ar-SA"/>
              </w:rPr>
              <w:t>/</w:t>
            </w:r>
            <w:r>
              <w:rPr>
                <w:rFonts w:hint="eastAsia"/>
                <w:color w:val="auto"/>
                <w:sz w:val="24"/>
                <w:szCs w:val="24"/>
                <w:lang w:val="en-US" w:eastAsia="zh-CN"/>
              </w:rPr>
              <w:t>物料混合搅拌废气、</w:t>
            </w:r>
            <w:r>
              <w:rPr>
                <w:rFonts w:hint="eastAsia" w:ascii="Times New Roman" w:hAnsi="Times New Roman" w:eastAsia="宋体" w:cs="Times New Roman"/>
                <w:b w:val="0"/>
                <w:bCs w:val="0"/>
                <w:color w:val="auto"/>
                <w:kern w:val="2"/>
                <w:sz w:val="24"/>
                <w:szCs w:val="24"/>
                <w:lang w:val="en-US" w:eastAsia="zh-CN" w:bidi="ar-SA"/>
              </w:rPr>
              <w:t>草木灰</w:t>
            </w:r>
            <w:r>
              <w:rPr>
                <w:rFonts w:hint="eastAsia" w:cs="Times New Roman"/>
                <w:b w:val="0"/>
                <w:bCs w:val="0"/>
                <w:color w:val="auto"/>
                <w:kern w:val="2"/>
                <w:sz w:val="24"/>
                <w:szCs w:val="24"/>
                <w:lang w:val="en-US" w:eastAsia="zh-CN" w:bidi="ar-SA"/>
              </w:rPr>
              <w:t>筒仓</w:t>
            </w:r>
            <w:r>
              <w:rPr>
                <w:rFonts w:hint="eastAsia" w:ascii="Times New Roman" w:hAnsi="Times New Roman" w:eastAsia="宋体" w:cs="Times New Roman"/>
                <w:b w:val="0"/>
                <w:bCs w:val="0"/>
                <w:color w:val="auto"/>
                <w:kern w:val="2"/>
                <w:sz w:val="24"/>
                <w:szCs w:val="24"/>
                <w:lang w:val="en-US" w:eastAsia="zh-CN" w:bidi="ar-SA"/>
              </w:rPr>
              <w:t>呼吸废气</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料废</w:t>
            </w:r>
            <w:r>
              <w:rPr>
                <w:rFonts w:hint="eastAsia" w:cs="Times New Roman"/>
                <w:color w:val="auto"/>
                <w:kern w:val="2"/>
                <w:sz w:val="24"/>
                <w:szCs w:val="24"/>
                <w:lang w:val="en-US" w:eastAsia="zh-CN" w:bidi="ar-SA"/>
              </w:rPr>
              <w:t>废气所产生的颗粒物均采用脉冲式布袋除尘器处理。脉冲式布袋除尘器属于布袋除尘，为可行工艺，故本项目颗粒物处理措施可行。</w:t>
            </w:r>
          </w:p>
          <w:p w14:paraId="35263C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default" w:eastAsia="宋体"/>
                <w:color w:val="auto"/>
                <w:sz w:val="24"/>
                <w:szCs w:val="24"/>
                <w:lang w:val="en-US" w:eastAsia="zh-CN"/>
              </w:rPr>
              <w:t>污泥贮存、矿化、陈化废气</w:t>
            </w:r>
            <w:r>
              <w:rPr>
                <w:rFonts w:hint="eastAsia" w:ascii="Times New Roman" w:hAnsi="Times New Roman" w:eastAsia="宋体" w:cs="Times New Roman"/>
                <w:color w:val="auto"/>
                <w:sz w:val="24"/>
                <w:szCs w:val="24"/>
                <w:lang w:val="en-US" w:eastAsia="zh-CN"/>
              </w:rPr>
              <w:t>采用生物</w:t>
            </w:r>
            <w:r>
              <w:rPr>
                <w:rFonts w:hint="default" w:ascii="Times New Roman" w:hAnsi="Times New Roman" w:eastAsia="宋体" w:cs="Times New Roman"/>
                <w:color w:val="auto"/>
                <w:sz w:val="24"/>
                <w:szCs w:val="24"/>
                <w:lang w:val="en-US" w:eastAsia="zh-CN"/>
              </w:rPr>
              <w:t>洗涤</w:t>
            </w:r>
            <w:r>
              <w:rPr>
                <w:rFonts w:hint="eastAsia" w:ascii="Times New Roman" w:hAnsi="Times New Roman" w:eastAsia="宋体" w:cs="Times New Roman"/>
                <w:color w:val="auto"/>
                <w:sz w:val="24"/>
                <w:szCs w:val="24"/>
                <w:lang w:val="en-US" w:eastAsia="zh-CN"/>
              </w:rPr>
              <w:t>除臭塔处理后排放，</w:t>
            </w:r>
            <w:r>
              <w:rPr>
                <w:rFonts w:hint="default" w:ascii="Times New Roman" w:hAnsi="Times New Roman" w:eastAsia="宋体" w:cs="Times New Roman"/>
                <w:color w:val="auto"/>
                <w:sz w:val="24"/>
                <w:szCs w:val="24"/>
                <w:lang w:val="en-US" w:eastAsia="zh-CN"/>
              </w:rPr>
              <w:t>生物洗涤除臭系统主要由生物洗涤装置、风机、自动控制装置等三个单元装置组成。生物洗涤装置是生物洗涤除臭系统的重要部分。要使生物洗涤除臭系统内生物填料保持高效的活性，其本身有一定的水分要求，一般湿度不低于 95%，为满足此要求，同时防止气体在通过高效气动洗涤时填料自身水分流失，需要对气体进行增湿处理，以准确控制气体的湿度。根据系统要求，控制气体湿度保持在到设定范围。</w:t>
            </w:r>
          </w:p>
          <w:p w14:paraId="17F02C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生物洗涤装置内装生物洗涤填料，其本身就是一个生物洗涤器，可在生物洗涤填料上形成生物膜，有效去除气体中的致臭分子，大大增加整个系统的抗冲击负荷，有 效地减轻生物过滤装置的负担，提高整个系统运行稳定性。生物洗涤装置由生物洗涤装置箱体、生物过滤填料支架、生物过滤填料、气体分 布器、洗涤循环和微加湿装置等组成。生物洗涤装置设置在系统中段，气体经生物洗涤装置洗涤后汇集进入脱水除雾装置，气体经脱水除雾装置净化后由风机引到排气管 排放。采用污水作为微生物补充液，需要时补充，运行成本极低；使用复合生物填料，微生物能够依靠洗涤液中的养分和气体中恶臭物质生长，无须另外投加药剂。 </w:t>
            </w:r>
          </w:p>
          <w:p w14:paraId="47F4DC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生物除臭工艺的特点主要为建设成本投入低，压力损失小，设备运行能耗低，运 行成本低于其他除臭方法，如活性炭吸附法、焚烧法；绿色环保，不使用有害的化学 药品，能源需要低廉，无二次污染物产生；全自动控制，全天候工作，运行稳定可靠，</w:t>
            </w:r>
            <w:r>
              <w:rPr>
                <w:rFonts w:hint="eastAsia" w:cs="Times New Roman"/>
                <w:color w:val="auto"/>
                <w:sz w:val="24"/>
                <w:szCs w:val="24"/>
                <w:lang w:val="en-US" w:eastAsia="zh-CN"/>
              </w:rPr>
              <w:t>适用</w:t>
            </w:r>
            <w:r>
              <w:rPr>
                <w:rFonts w:hint="default" w:ascii="Times New Roman" w:hAnsi="Times New Roman" w:eastAsia="宋体" w:cs="Times New Roman"/>
                <w:color w:val="auto"/>
                <w:sz w:val="24"/>
                <w:szCs w:val="24"/>
                <w:lang w:val="en-US" w:eastAsia="zh-CN"/>
              </w:rPr>
              <w:t>不同条件的运行状况；处理效率高、去除效果明显，对主要恶臭气体NH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的去除 率达到90%以上，对H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S的去除率达到80%以上；维护简便、多材料、多类型，满足 不同工作环境。目前许多污水处理厂污泥全封闭好氧发酵处理工程已经运用成功，经济可行，因此，生物过滤臭气净化工艺在技术和经济上是可行的。</w:t>
            </w:r>
          </w:p>
          <w:p w14:paraId="77D61B58">
            <w:pPr>
              <w:adjustRightInd w:val="0"/>
              <w:snapToGrid w:val="0"/>
              <w:spacing w:line="360" w:lineRule="auto"/>
              <w:ind w:firstLine="482" w:firstLineChars="200"/>
              <w:rPr>
                <w:b/>
                <w:bCs/>
                <w:color w:val="auto"/>
                <w:kern w:val="0"/>
                <w:sz w:val="24"/>
              </w:rPr>
            </w:pPr>
            <w:r>
              <w:rPr>
                <w:b/>
                <w:bCs/>
                <w:color w:val="auto"/>
                <w:kern w:val="0"/>
                <w:sz w:val="24"/>
              </w:rPr>
              <w:t>非正常工况分析</w:t>
            </w:r>
          </w:p>
          <w:p w14:paraId="62AAB869">
            <w:pPr>
              <w:widowControl/>
              <w:adjustRightInd w:val="0"/>
              <w:snapToGrid w:val="0"/>
              <w:spacing w:line="360" w:lineRule="auto"/>
              <w:ind w:firstLine="480" w:firstLineChars="200"/>
              <w:jc w:val="left"/>
              <w:rPr>
                <w:color w:val="auto"/>
                <w:sz w:val="24"/>
              </w:rPr>
            </w:pPr>
            <w:r>
              <w:rPr>
                <w:color w:val="auto"/>
                <w:sz w:val="24"/>
              </w:rPr>
              <w:t>非正常工况是指生产运行阶段的检修、操作不正常或设备故障等引起的一般性事故排放。根据本项目的污染物特点及工程分析，</w:t>
            </w:r>
            <w:r>
              <w:rPr>
                <w:rFonts w:hint="eastAsia" w:ascii="宋体" w:hAnsi="宋体" w:cs="宋体"/>
                <w:color w:val="auto"/>
                <w:kern w:val="0"/>
                <w:sz w:val="24"/>
                <w:lang w:bidi="ar"/>
              </w:rPr>
              <w:t>本项目非正常工况下分析污染源主要为：水泥仓呼吸废气、粉煤灰筒仓呼吸废气、</w:t>
            </w:r>
            <w:r>
              <w:rPr>
                <w:rFonts w:hint="eastAsia" w:ascii="宋体" w:hAnsi="宋体" w:cs="宋体"/>
                <w:color w:val="auto"/>
                <w:kern w:val="0"/>
                <w:sz w:val="24"/>
                <w:lang w:eastAsia="zh-CN" w:bidi="ar"/>
              </w:rPr>
              <w:t>建筑掺和料筒仓</w:t>
            </w:r>
            <w:r>
              <w:rPr>
                <w:rFonts w:hint="eastAsia" w:ascii="宋体" w:hAnsi="宋体" w:cs="宋体"/>
                <w:color w:val="auto"/>
                <w:kern w:val="0"/>
                <w:sz w:val="24"/>
                <w:lang w:bidi="ar"/>
              </w:rPr>
              <w:t>呼吸废气/物料混合搅拌废气、草木灰</w:t>
            </w:r>
            <w:r>
              <w:rPr>
                <w:rFonts w:hint="eastAsia" w:ascii="宋体" w:hAnsi="宋体" w:cs="宋体"/>
                <w:color w:val="auto"/>
                <w:kern w:val="0"/>
                <w:sz w:val="24"/>
                <w:lang w:eastAsia="zh-CN" w:bidi="ar"/>
              </w:rPr>
              <w:t>筒仓</w:t>
            </w:r>
            <w:r>
              <w:rPr>
                <w:rFonts w:hint="eastAsia" w:ascii="宋体" w:hAnsi="宋体" w:cs="宋体"/>
                <w:color w:val="auto"/>
                <w:kern w:val="0"/>
                <w:sz w:val="24"/>
                <w:lang w:bidi="ar"/>
              </w:rPr>
              <w:t>呼吸废气、</w:t>
            </w:r>
            <w:r>
              <w:rPr>
                <w:rFonts w:hint="eastAsia" w:ascii="宋体" w:hAnsi="宋体" w:cs="宋体"/>
                <w:color w:val="auto"/>
                <w:kern w:val="0"/>
                <w:sz w:val="24"/>
                <w:lang w:eastAsia="zh-CN" w:bidi="ar"/>
              </w:rPr>
              <w:t>投</w:t>
            </w:r>
            <w:r>
              <w:rPr>
                <w:rFonts w:hint="eastAsia" w:ascii="宋体" w:hAnsi="宋体" w:cs="宋体"/>
                <w:color w:val="auto"/>
                <w:kern w:val="0"/>
                <w:sz w:val="24"/>
                <w:lang w:bidi="ar"/>
              </w:rPr>
              <w:t>料废气处理</w:t>
            </w:r>
            <w:r>
              <w:rPr>
                <w:rFonts w:hint="eastAsia"/>
                <w:color w:val="auto"/>
                <w:kern w:val="0"/>
                <w:sz w:val="24"/>
                <w:lang w:bidi="ar"/>
              </w:rPr>
              <w:t>设施“</w:t>
            </w:r>
            <w:r>
              <w:rPr>
                <w:rFonts w:hint="eastAsia"/>
                <w:color w:val="auto"/>
                <w:sz w:val="24"/>
                <w:lang w:eastAsia="zh-CN"/>
              </w:rPr>
              <w:t>布袋除尘器</w:t>
            </w:r>
            <w:r>
              <w:rPr>
                <w:rFonts w:hint="eastAsia"/>
                <w:color w:val="auto"/>
                <w:kern w:val="0"/>
                <w:sz w:val="24"/>
                <w:lang w:bidi="ar"/>
              </w:rPr>
              <w:t>”发生故障，</w:t>
            </w:r>
            <w:r>
              <w:rPr>
                <w:color w:val="auto"/>
                <w:kern w:val="0"/>
                <w:sz w:val="24"/>
                <w:lang w:bidi="ar"/>
              </w:rPr>
              <w:t>引起的</w:t>
            </w:r>
            <w:r>
              <w:rPr>
                <w:rFonts w:hint="eastAsia"/>
                <w:color w:val="auto"/>
                <w:kern w:val="0"/>
                <w:sz w:val="24"/>
                <w:lang w:eastAsia="zh-CN" w:bidi="ar"/>
              </w:rPr>
              <w:t>颗粒物</w:t>
            </w:r>
            <w:r>
              <w:rPr>
                <w:color w:val="auto"/>
                <w:kern w:val="0"/>
                <w:sz w:val="24"/>
                <w:lang w:bidi="ar"/>
              </w:rPr>
              <w:t>事故排放</w:t>
            </w:r>
            <w:r>
              <w:rPr>
                <w:rFonts w:hint="eastAsia"/>
                <w:color w:val="auto"/>
                <w:kern w:val="0"/>
                <w:sz w:val="24"/>
                <w:lang w:bidi="ar"/>
              </w:rPr>
              <w:t>，</w:t>
            </w:r>
            <w:r>
              <w:rPr>
                <w:color w:val="auto"/>
                <w:kern w:val="0"/>
                <w:sz w:val="24"/>
                <w:lang w:bidi="ar"/>
              </w:rPr>
              <w:t>非正常工况按去除率下降至</w:t>
            </w:r>
            <w:r>
              <w:rPr>
                <w:rFonts w:hint="eastAsia"/>
                <w:color w:val="auto"/>
                <w:kern w:val="0"/>
                <w:sz w:val="24"/>
                <w:lang w:val="en-US" w:eastAsia="zh-CN" w:bidi="ar"/>
              </w:rPr>
              <w:t>50%</w:t>
            </w:r>
            <w:r>
              <w:rPr>
                <w:color w:val="auto"/>
                <w:kern w:val="0"/>
                <w:sz w:val="24"/>
                <w:lang w:bidi="ar"/>
              </w:rPr>
              <w:t>考虑</w:t>
            </w:r>
            <w:r>
              <w:rPr>
                <w:rFonts w:hint="eastAsia"/>
                <w:color w:val="auto"/>
                <w:kern w:val="0"/>
                <w:sz w:val="24"/>
                <w:lang w:eastAsia="zh-CN" w:bidi="ar"/>
              </w:rPr>
              <w:t>；污泥贮存、矿化、陈化废气</w:t>
            </w:r>
            <w:r>
              <w:rPr>
                <w:rFonts w:hint="eastAsia" w:ascii="宋体" w:hAnsi="宋体" w:cs="宋体"/>
                <w:color w:val="auto"/>
                <w:kern w:val="0"/>
                <w:sz w:val="24"/>
                <w:lang w:bidi="ar"/>
              </w:rPr>
              <w:t>处理</w:t>
            </w:r>
            <w:r>
              <w:rPr>
                <w:rFonts w:hint="eastAsia"/>
                <w:color w:val="auto"/>
                <w:kern w:val="0"/>
                <w:sz w:val="24"/>
                <w:lang w:bidi="ar"/>
              </w:rPr>
              <w:t>设施“</w:t>
            </w:r>
            <w:r>
              <w:rPr>
                <w:rFonts w:hint="eastAsia"/>
                <w:color w:val="auto"/>
                <w:sz w:val="24"/>
                <w:lang w:eastAsia="zh-CN"/>
              </w:rPr>
              <w:t>生物除臭塔</w:t>
            </w:r>
            <w:r>
              <w:rPr>
                <w:rFonts w:hint="eastAsia"/>
                <w:color w:val="auto"/>
                <w:kern w:val="0"/>
                <w:sz w:val="24"/>
                <w:lang w:bidi="ar"/>
              </w:rPr>
              <w:t>”发生故障，</w:t>
            </w:r>
            <w:r>
              <w:rPr>
                <w:color w:val="auto"/>
                <w:kern w:val="0"/>
                <w:sz w:val="24"/>
                <w:lang w:bidi="ar"/>
              </w:rPr>
              <w:t>引起的</w:t>
            </w:r>
            <w:r>
              <w:rPr>
                <w:rFonts w:hint="eastAsia"/>
                <w:color w:val="auto"/>
                <w:kern w:val="0"/>
                <w:sz w:val="24"/>
                <w:lang w:eastAsia="zh-CN" w:bidi="ar"/>
              </w:rPr>
              <w:t>颗粒物</w:t>
            </w:r>
            <w:r>
              <w:rPr>
                <w:color w:val="auto"/>
                <w:kern w:val="0"/>
                <w:sz w:val="24"/>
                <w:lang w:bidi="ar"/>
              </w:rPr>
              <w:t>事故排放</w:t>
            </w:r>
            <w:r>
              <w:rPr>
                <w:rFonts w:hint="eastAsia"/>
                <w:color w:val="auto"/>
                <w:kern w:val="0"/>
                <w:sz w:val="24"/>
                <w:lang w:bidi="ar"/>
              </w:rPr>
              <w:t>，</w:t>
            </w:r>
            <w:r>
              <w:rPr>
                <w:color w:val="auto"/>
                <w:kern w:val="0"/>
                <w:sz w:val="24"/>
                <w:lang w:bidi="ar"/>
              </w:rPr>
              <w:t>非正常工况按去除率下降至</w:t>
            </w:r>
            <w:r>
              <w:rPr>
                <w:rFonts w:hint="eastAsia"/>
                <w:color w:val="auto"/>
                <w:kern w:val="0"/>
                <w:sz w:val="24"/>
                <w:lang w:val="en-US" w:eastAsia="zh-CN" w:bidi="ar"/>
              </w:rPr>
              <w:t>50%</w:t>
            </w:r>
            <w:r>
              <w:rPr>
                <w:color w:val="auto"/>
                <w:kern w:val="0"/>
                <w:sz w:val="24"/>
                <w:lang w:bidi="ar"/>
              </w:rPr>
              <w:t>考虑事故持续时间在</w:t>
            </w:r>
            <w:r>
              <w:rPr>
                <w:rFonts w:hint="eastAsia"/>
                <w:color w:val="auto"/>
                <w:kern w:val="0"/>
                <w:sz w:val="24"/>
                <w:lang w:bidi="ar"/>
              </w:rPr>
              <w:t>0.5</w:t>
            </w:r>
            <w:r>
              <w:rPr>
                <w:color w:val="auto"/>
                <w:kern w:val="0"/>
                <w:sz w:val="24"/>
                <w:lang w:bidi="ar"/>
              </w:rPr>
              <w:t>小时之内，非正常工况条件下废气排放源强及排放情况见下表</w:t>
            </w:r>
            <w:r>
              <w:rPr>
                <w:color w:val="auto"/>
                <w:sz w:val="24"/>
              </w:rPr>
              <w:t>：</w:t>
            </w:r>
          </w:p>
          <w:p w14:paraId="6CC47513">
            <w:pPr>
              <w:pStyle w:val="26"/>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val="0"/>
                <w:color w:val="auto"/>
                <w:kern w:val="0"/>
                <w:sz w:val="24"/>
                <w:szCs w:val="24"/>
                <w:highlight w:val="none"/>
              </w:rPr>
            </w:pPr>
            <w:r>
              <w:rPr>
                <w:rFonts w:hint="eastAsia" w:ascii="Times New Roman" w:hAnsi="Times New Roman" w:eastAsia="宋体" w:cs="宋体"/>
                <w:b/>
                <w:bCs w:val="0"/>
                <w:color w:val="auto"/>
                <w:kern w:val="0"/>
                <w:sz w:val="24"/>
                <w:szCs w:val="24"/>
                <w:highlight w:val="none"/>
                <w:lang w:val="en-US" w:eastAsia="zh-CN" w:bidi="ar"/>
              </w:rPr>
              <w:t>表</w:t>
            </w:r>
            <w:r>
              <w:rPr>
                <w:rFonts w:hint="eastAsia" w:ascii="Times New Roman" w:hAnsi="Times New Roman" w:eastAsia="宋体" w:cs="Times New Roman"/>
                <w:b/>
                <w:bCs w:val="0"/>
                <w:color w:val="auto"/>
                <w:kern w:val="0"/>
                <w:sz w:val="24"/>
                <w:szCs w:val="24"/>
                <w:highlight w:val="none"/>
                <w:lang w:val="en-US" w:eastAsia="zh-CN" w:bidi="ar"/>
              </w:rPr>
              <w:t>4</w:t>
            </w:r>
            <w:r>
              <w:rPr>
                <w:rFonts w:hint="eastAsia" w:ascii="Times New Roman" w:hAnsi="Times New Roman" w:cs="Times New Roman"/>
                <w:b/>
                <w:bCs w:val="0"/>
                <w:color w:val="auto"/>
                <w:kern w:val="0"/>
                <w:sz w:val="24"/>
                <w:szCs w:val="24"/>
                <w:highlight w:val="none"/>
                <w:lang w:val="en-US" w:eastAsia="zh-CN" w:bidi="ar"/>
              </w:rPr>
              <w:t xml:space="preserve">.6  </w:t>
            </w:r>
            <w:r>
              <w:rPr>
                <w:rFonts w:hint="eastAsia" w:ascii="Times New Roman" w:hAnsi="Times New Roman" w:eastAsia="宋体" w:cs="Times New Roman"/>
                <w:b/>
                <w:bCs w:val="0"/>
                <w:color w:val="auto"/>
                <w:kern w:val="0"/>
                <w:sz w:val="24"/>
                <w:szCs w:val="24"/>
                <w:highlight w:val="none"/>
                <w:lang w:val="en-US" w:eastAsia="zh-CN" w:bidi="ar"/>
              </w:rPr>
              <w:t>非正常工况下</w:t>
            </w:r>
            <w:r>
              <w:rPr>
                <w:rFonts w:hint="eastAsia" w:ascii="Times New Roman" w:hAnsi="Times New Roman" w:eastAsia="宋体" w:cs="宋体"/>
                <w:b/>
                <w:bCs w:val="0"/>
                <w:color w:val="auto"/>
                <w:kern w:val="0"/>
                <w:sz w:val="24"/>
                <w:szCs w:val="24"/>
                <w:highlight w:val="none"/>
                <w:lang w:val="en-US" w:eastAsia="zh-CN" w:bidi="ar"/>
              </w:rPr>
              <w:t>污染物排放情况表</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908"/>
              <w:gridCol w:w="1580"/>
              <w:gridCol w:w="775"/>
              <w:gridCol w:w="664"/>
              <w:gridCol w:w="1135"/>
              <w:gridCol w:w="967"/>
              <w:gridCol w:w="1290"/>
            </w:tblGrid>
            <w:tr w14:paraId="7330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3" w:type="pct"/>
                  <w:vAlign w:val="center"/>
                </w:tcPr>
                <w:p w14:paraId="234451EC">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581" w:type="pct"/>
                  <w:vAlign w:val="center"/>
                </w:tcPr>
                <w:p w14:paraId="6C04C182">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1011" w:type="pct"/>
                  <w:vAlign w:val="center"/>
                </w:tcPr>
                <w:p w14:paraId="3106450B">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非正常排放原因</w:t>
                  </w:r>
                </w:p>
              </w:tc>
              <w:tc>
                <w:tcPr>
                  <w:tcW w:w="496" w:type="pct"/>
                  <w:vAlign w:val="center"/>
                </w:tcPr>
                <w:p w14:paraId="5172EC5D">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425" w:type="pct"/>
                  <w:vAlign w:val="center"/>
                </w:tcPr>
                <w:p w14:paraId="430A3BCE">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频次</w:t>
                  </w:r>
                </w:p>
              </w:tc>
              <w:tc>
                <w:tcPr>
                  <w:tcW w:w="726" w:type="pct"/>
                  <w:vAlign w:val="center"/>
                </w:tcPr>
                <w:p w14:paraId="70C3A8F5">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排放量t/a</w:t>
                  </w:r>
                </w:p>
              </w:tc>
              <w:tc>
                <w:tcPr>
                  <w:tcW w:w="619" w:type="pct"/>
                  <w:vAlign w:val="center"/>
                </w:tcPr>
                <w:p w14:paraId="52CE85AC">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排放浓度mg/m</w:t>
                  </w:r>
                  <w:r>
                    <w:rPr>
                      <w:rFonts w:hint="default" w:ascii="Times New Roman" w:hAnsi="Times New Roman" w:eastAsia="宋体" w:cs="Times New Roman"/>
                      <w:color w:val="auto"/>
                      <w:sz w:val="21"/>
                      <w:szCs w:val="21"/>
                      <w:highlight w:val="none"/>
                      <w:vertAlign w:val="superscript"/>
                    </w:rPr>
                    <w:t>3</w:t>
                  </w:r>
                </w:p>
              </w:tc>
              <w:tc>
                <w:tcPr>
                  <w:tcW w:w="825" w:type="pct"/>
                  <w:vAlign w:val="center"/>
                </w:tcPr>
                <w:p w14:paraId="0DC47247">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措施</w:t>
                  </w:r>
                </w:p>
              </w:tc>
            </w:tr>
            <w:tr w14:paraId="41B7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3" w:type="pct"/>
                  <w:vAlign w:val="center"/>
                </w:tcPr>
                <w:p w14:paraId="374F99B2">
                  <w:pPr>
                    <w:adjustRightInd w:val="0"/>
                    <w:snapToGrid w:val="0"/>
                    <w:spacing w:before="48" w:beforeLines="20"/>
                    <w:jc w:val="center"/>
                    <w:outlineLvl w:val="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581" w:type="pct"/>
                  <w:vAlign w:val="center"/>
                </w:tcPr>
                <w:p w14:paraId="76BAD07D">
                  <w:pPr>
                    <w:adjustRightInd w:val="0"/>
                    <w:snapToGrid w:val="0"/>
                    <w:spacing w:before="48" w:beforeLines="20"/>
                    <w:jc w:val="center"/>
                    <w:outlineLvl w:val="0"/>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5</w:t>
                  </w:r>
                </w:p>
              </w:tc>
              <w:tc>
                <w:tcPr>
                  <w:tcW w:w="1011" w:type="pct"/>
                  <w:vAlign w:val="center"/>
                </w:tcPr>
                <w:p w14:paraId="29C4BD36">
                  <w:pPr>
                    <w:adjustRightInd w:val="0"/>
                    <w:snapToGrid w:val="0"/>
                    <w:spacing w:before="48" w:beforeLines="20"/>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颗粒物的处理设施“布袋除尘器”处理效率下降或</w:t>
                  </w:r>
                  <w:r>
                    <w:rPr>
                      <w:rFonts w:hint="default" w:ascii="Times New Roman" w:hAnsi="Times New Roman" w:eastAsia="宋体" w:cs="Times New Roman"/>
                      <w:color w:val="auto"/>
                      <w:sz w:val="21"/>
                      <w:szCs w:val="21"/>
                      <w:highlight w:val="none"/>
                      <w:lang w:eastAsia="zh-CN"/>
                    </w:rPr>
                    <w:t>故障</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处理效率为</w:t>
                  </w:r>
                  <w:r>
                    <w:rPr>
                      <w:rFonts w:hint="eastAsia" w:cs="Times New Roman"/>
                      <w:color w:val="auto"/>
                      <w:sz w:val="21"/>
                      <w:szCs w:val="21"/>
                      <w:highlight w:val="none"/>
                      <w:lang w:val="en-US" w:eastAsia="zh-CN"/>
                    </w:rPr>
                    <w:t>50%</w:t>
                  </w:r>
                </w:p>
              </w:tc>
              <w:tc>
                <w:tcPr>
                  <w:tcW w:w="496" w:type="pct"/>
                  <w:vAlign w:val="center"/>
                </w:tcPr>
                <w:p w14:paraId="65ACE051">
                  <w:pPr>
                    <w:adjustRightInd w:val="0"/>
                    <w:snapToGrid w:val="0"/>
                    <w:spacing w:before="48" w:before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425" w:type="pct"/>
                  <w:vMerge w:val="restart"/>
                  <w:vAlign w:val="center"/>
                </w:tcPr>
                <w:p w14:paraId="791483BD">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1~2次/年</w:t>
                  </w:r>
                </w:p>
              </w:tc>
              <w:tc>
                <w:tcPr>
                  <w:tcW w:w="726" w:type="pct"/>
                  <w:vAlign w:val="center"/>
                </w:tcPr>
                <w:p w14:paraId="3A715DF9">
                  <w:pPr>
                    <w:autoSpaceDE w:val="0"/>
                    <w:autoSpaceDN w:val="0"/>
                    <w:adjustRightInd w:val="0"/>
                    <w:snapToGrid w:val="0"/>
                    <w:spacing w:before="48" w:beforeLines="20"/>
                    <w:jc w:val="center"/>
                    <w:rPr>
                      <w:rFonts w:hint="default" w:cs="Times New Roman"/>
                      <w:color w:val="FF0000"/>
                      <w:kern w:val="2"/>
                      <w:sz w:val="21"/>
                      <w:szCs w:val="21"/>
                      <w:highlight w:val="none"/>
                      <w:lang w:val="en-US" w:eastAsia="zh-CN" w:bidi="ar-SA"/>
                    </w:rPr>
                  </w:pPr>
                  <w:r>
                    <w:rPr>
                      <w:rFonts w:hint="eastAsia" w:cs="Times New Roman"/>
                      <w:color w:val="auto"/>
                      <w:kern w:val="2"/>
                      <w:sz w:val="21"/>
                      <w:szCs w:val="21"/>
                      <w:highlight w:val="none"/>
                      <w:lang w:val="en-US" w:eastAsia="zh-CN" w:bidi="ar-SA"/>
                    </w:rPr>
                    <w:t>3.81</w:t>
                  </w:r>
                  <w:r>
                    <w:rPr>
                      <w:rFonts w:hint="default" w:ascii="Arial" w:hAnsi="Arial" w:cs="Arial"/>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10</w:t>
                  </w:r>
                  <w:r>
                    <w:rPr>
                      <w:rFonts w:hint="eastAsia" w:cs="Times New Roman"/>
                      <w:color w:val="auto"/>
                      <w:kern w:val="2"/>
                      <w:sz w:val="21"/>
                      <w:szCs w:val="21"/>
                      <w:highlight w:val="none"/>
                      <w:vertAlign w:val="superscript"/>
                      <w:lang w:val="en-US" w:eastAsia="zh-CN" w:bidi="ar-SA"/>
                    </w:rPr>
                    <w:t>-3</w:t>
                  </w:r>
                </w:p>
              </w:tc>
              <w:tc>
                <w:tcPr>
                  <w:tcW w:w="619" w:type="pct"/>
                  <w:vAlign w:val="center"/>
                </w:tcPr>
                <w:p w14:paraId="417B1995">
                  <w:pPr>
                    <w:adjustRightInd w:val="0"/>
                    <w:snapToGrid w:val="0"/>
                    <w:spacing w:before="48" w:beforeLines="20"/>
                    <w:jc w:val="center"/>
                    <w:rPr>
                      <w:rFonts w:hint="default" w:cs="Times New Roman"/>
                      <w:color w:val="FF0000"/>
                      <w:kern w:val="2"/>
                      <w:sz w:val="21"/>
                      <w:szCs w:val="21"/>
                      <w:highlight w:val="none"/>
                      <w:lang w:val="en-US" w:eastAsia="zh-CN" w:bidi="ar-SA"/>
                    </w:rPr>
                  </w:pPr>
                  <w:r>
                    <w:rPr>
                      <w:rFonts w:hint="eastAsia" w:cs="Times New Roman"/>
                      <w:color w:val="auto"/>
                      <w:kern w:val="2"/>
                      <w:sz w:val="21"/>
                      <w:szCs w:val="21"/>
                      <w:highlight w:val="none"/>
                      <w:lang w:val="en-US" w:eastAsia="zh-CN" w:bidi="ar-SA"/>
                    </w:rPr>
                    <w:t>761.25</w:t>
                  </w:r>
                </w:p>
              </w:tc>
              <w:tc>
                <w:tcPr>
                  <w:tcW w:w="825" w:type="pct"/>
                  <w:vMerge w:val="restart"/>
                  <w:vAlign w:val="center"/>
                </w:tcPr>
                <w:p w14:paraId="00DF4FAD">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立即停止生产进行检修，直至废气治理设施正常运行。并定期对废气处理装置维护、维修、保养。</w:t>
                  </w:r>
                </w:p>
              </w:tc>
            </w:tr>
            <w:tr w14:paraId="1A0C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13" w:type="pct"/>
                  <w:vMerge w:val="restart"/>
                  <w:vAlign w:val="center"/>
                </w:tcPr>
                <w:p w14:paraId="57477786">
                  <w:pPr>
                    <w:adjustRightInd w:val="0"/>
                    <w:snapToGrid w:val="0"/>
                    <w:spacing w:before="48" w:beforeLines="20"/>
                    <w:jc w:val="center"/>
                    <w:outlineLvl w:val="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581" w:type="pct"/>
                  <w:vMerge w:val="restart"/>
                  <w:vAlign w:val="center"/>
                </w:tcPr>
                <w:p w14:paraId="3A17F814">
                  <w:pPr>
                    <w:adjustRightInd w:val="0"/>
                    <w:snapToGrid w:val="0"/>
                    <w:spacing w:before="48" w:beforeLines="20"/>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6</w:t>
                  </w:r>
                </w:p>
              </w:tc>
              <w:tc>
                <w:tcPr>
                  <w:tcW w:w="1011" w:type="pct"/>
                  <w:vMerge w:val="restart"/>
                  <w:vAlign w:val="center"/>
                </w:tcPr>
                <w:p w14:paraId="322E0F5C">
                  <w:pPr>
                    <w:adjustRightInd w:val="0"/>
                    <w:snapToGrid w:val="0"/>
                    <w:spacing w:before="48" w:beforeLines="20"/>
                    <w:jc w:val="center"/>
                    <w:outlineLvl w:val="0"/>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vertAlign w:val="baseline"/>
                      <w:lang w:val="en-US" w:eastAsia="zh-CN"/>
                    </w:rPr>
                    <w:t>、</w:t>
                  </w: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w:t>
                  </w:r>
                  <w:r>
                    <w:rPr>
                      <w:rFonts w:hint="default" w:ascii="Times New Roman" w:hAnsi="Times New Roman" w:eastAsia="宋体" w:cs="Times New Roman"/>
                      <w:color w:val="auto"/>
                      <w:sz w:val="21"/>
                      <w:szCs w:val="21"/>
                      <w:highlight w:val="none"/>
                      <w:lang w:val="en-US" w:eastAsia="zh-CN"/>
                    </w:rPr>
                    <w:t>的处理设施“</w:t>
                  </w:r>
                  <w:r>
                    <w:rPr>
                      <w:rFonts w:hint="eastAsia"/>
                      <w:color w:val="auto"/>
                      <w:sz w:val="21"/>
                      <w:szCs w:val="21"/>
                      <w:lang w:eastAsia="zh-CN"/>
                    </w:rPr>
                    <w:t>生物除臭塔</w:t>
                  </w:r>
                  <w:r>
                    <w:rPr>
                      <w:rFonts w:hint="default" w:ascii="Times New Roman" w:hAnsi="Times New Roman" w:eastAsia="宋体" w:cs="Times New Roman"/>
                      <w:color w:val="auto"/>
                      <w:sz w:val="21"/>
                      <w:szCs w:val="21"/>
                      <w:highlight w:val="none"/>
                      <w:lang w:val="en-US" w:eastAsia="zh-CN"/>
                    </w:rPr>
                    <w:t>”处理效率下降或</w:t>
                  </w:r>
                  <w:r>
                    <w:rPr>
                      <w:rFonts w:hint="default" w:ascii="Times New Roman" w:hAnsi="Times New Roman" w:eastAsia="宋体" w:cs="Times New Roman"/>
                      <w:color w:val="auto"/>
                      <w:sz w:val="21"/>
                      <w:szCs w:val="21"/>
                      <w:highlight w:val="none"/>
                      <w:lang w:eastAsia="zh-CN"/>
                    </w:rPr>
                    <w:t>故障</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处理效率为</w:t>
                  </w:r>
                  <w:r>
                    <w:rPr>
                      <w:rFonts w:hint="eastAsia" w:cs="Times New Roman"/>
                      <w:color w:val="auto"/>
                      <w:sz w:val="21"/>
                      <w:szCs w:val="21"/>
                      <w:highlight w:val="none"/>
                      <w:lang w:val="en-US" w:eastAsia="zh-CN"/>
                    </w:rPr>
                    <w:t>50%</w:t>
                  </w:r>
                </w:p>
              </w:tc>
              <w:tc>
                <w:tcPr>
                  <w:tcW w:w="496" w:type="pct"/>
                  <w:vAlign w:val="center"/>
                </w:tcPr>
                <w:p w14:paraId="6B1D5A23">
                  <w:pPr>
                    <w:adjustRightInd w:val="0"/>
                    <w:snapToGrid w:val="0"/>
                    <w:spacing w:before="48" w:beforeLines="20"/>
                    <w:jc w:val="center"/>
                    <w:rPr>
                      <w:rFonts w:hint="eastAsia"/>
                      <w:color w:val="auto"/>
                      <w:sz w:val="21"/>
                      <w:szCs w:val="21"/>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p>
              </w:tc>
              <w:tc>
                <w:tcPr>
                  <w:tcW w:w="425" w:type="pct"/>
                  <w:vMerge w:val="continue"/>
                  <w:vAlign w:val="center"/>
                </w:tcPr>
                <w:p w14:paraId="41E939BA">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p>
              </w:tc>
              <w:tc>
                <w:tcPr>
                  <w:tcW w:w="726" w:type="pct"/>
                  <w:vAlign w:val="center"/>
                </w:tcPr>
                <w:p w14:paraId="586D3EBD">
                  <w:pPr>
                    <w:autoSpaceDE w:val="0"/>
                    <w:autoSpaceDN w:val="0"/>
                    <w:adjustRightInd w:val="0"/>
                    <w:snapToGrid w:val="0"/>
                    <w:spacing w:before="48" w:beforeLines="2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r>
                    <w:rPr>
                      <w:rFonts w:hint="default" w:ascii="Arial" w:hAnsi="Arial" w:cs="Arial"/>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10</w:t>
                  </w:r>
                  <w:r>
                    <w:rPr>
                      <w:rFonts w:hint="eastAsia" w:cs="Times New Roman"/>
                      <w:color w:val="auto"/>
                      <w:kern w:val="2"/>
                      <w:sz w:val="21"/>
                      <w:szCs w:val="21"/>
                      <w:highlight w:val="none"/>
                      <w:vertAlign w:val="superscript"/>
                      <w:lang w:val="en-US" w:eastAsia="zh-CN" w:bidi="ar-SA"/>
                    </w:rPr>
                    <w:t>-6</w:t>
                  </w:r>
                </w:p>
              </w:tc>
              <w:tc>
                <w:tcPr>
                  <w:tcW w:w="619" w:type="pct"/>
                  <w:vAlign w:val="center"/>
                </w:tcPr>
                <w:p w14:paraId="5598E606">
                  <w:pPr>
                    <w:adjustRightInd w:val="0"/>
                    <w:snapToGrid w:val="0"/>
                    <w:spacing w:before="48" w:beforeLines="2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0.313</w:t>
                  </w:r>
                </w:p>
              </w:tc>
              <w:tc>
                <w:tcPr>
                  <w:tcW w:w="825" w:type="pct"/>
                  <w:vMerge w:val="continue"/>
                  <w:vAlign w:val="center"/>
                </w:tcPr>
                <w:p w14:paraId="5914BF5A">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p>
              </w:tc>
            </w:tr>
            <w:tr w14:paraId="0FCD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3" w:type="pct"/>
                  <w:vMerge w:val="continue"/>
                  <w:vAlign w:val="center"/>
                </w:tcPr>
                <w:p w14:paraId="40893566">
                  <w:pPr>
                    <w:adjustRightInd w:val="0"/>
                    <w:snapToGrid w:val="0"/>
                    <w:spacing w:before="48" w:beforeLines="20"/>
                    <w:jc w:val="center"/>
                    <w:outlineLvl w:val="0"/>
                    <w:rPr>
                      <w:rFonts w:hint="eastAsia" w:cs="Times New Roman"/>
                      <w:color w:val="auto"/>
                      <w:kern w:val="2"/>
                      <w:sz w:val="21"/>
                      <w:szCs w:val="21"/>
                      <w:highlight w:val="none"/>
                      <w:lang w:val="en-US" w:eastAsia="zh-CN" w:bidi="ar-SA"/>
                    </w:rPr>
                  </w:pPr>
                </w:p>
              </w:tc>
              <w:tc>
                <w:tcPr>
                  <w:tcW w:w="581" w:type="pct"/>
                  <w:vMerge w:val="continue"/>
                  <w:vAlign w:val="center"/>
                </w:tcPr>
                <w:p w14:paraId="7A5E78D9">
                  <w:pPr>
                    <w:adjustRightInd w:val="0"/>
                    <w:snapToGrid w:val="0"/>
                    <w:spacing w:before="48" w:beforeLines="20"/>
                    <w:jc w:val="center"/>
                    <w:outlineLvl w:val="0"/>
                    <w:rPr>
                      <w:rFonts w:hint="default" w:ascii="Times New Roman" w:hAnsi="Times New Roman" w:eastAsia="宋体" w:cs="Times New Roman"/>
                      <w:color w:val="auto"/>
                      <w:sz w:val="21"/>
                      <w:szCs w:val="21"/>
                      <w:highlight w:val="none"/>
                      <w:lang w:val="en-US" w:eastAsia="zh-CN"/>
                    </w:rPr>
                  </w:pPr>
                </w:p>
              </w:tc>
              <w:tc>
                <w:tcPr>
                  <w:tcW w:w="1011" w:type="pct"/>
                  <w:vMerge w:val="continue"/>
                  <w:vAlign w:val="center"/>
                </w:tcPr>
                <w:p w14:paraId="51B8AA01">
                  <w:pPr>
                    <w:adjustRightInd w:val="0"/>
                    <w:snapToGrid w:val="0"/>
                    <w:spacing w:before="48" w:beforeLines="20"/>
                    <w:jc w:val="center"/>
                    <w:outlineLvl w:val="0"/>
                    <w:rPr>
                      <w:rFonts w:hint="eastAsia"/>
                      <w:color w:val="auto"/>
                      <w:sz w:val="21"/>
                      <w:szCs w:val="21"/>
                      <w:lang w:val="en-US" w:eastAsia="zh-CN"/>
                    </w:rPr>
                  </w:pPr>
                </w:p>
              </w:tc>
              <w:tc>
                <w:tcPr>
                  <w:tcW w:w="496" w:type="pct"/>
                  <w:vAlign w:val="center"/>
                </w:tcPr>
                <w:p w14:paraId="47302F61">
                  <w:pPr>
                    <w:adjustRightInd w:val="0"/>
                    <w:snapToGrid w:val="0"/>
                    <w:spacing w:before="48" w:beforeLines="20"/>
                    <w:jc w:val="center"/>
                    <w:rPr>
                      <w:rFonts w:hint="eastAsia"/>
                      <w:color w:val="auto"/>
                      <w:sz w:val="21"/>
                      <w:szCs w:val="21"/>
                      <w:lang w:val="en-US" w:eastAsia="zh-CN"/>
                    </w:rPr>
                  </w:pP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425" w:type="pct"/>
                  <w:vMerge w:val="continue"/>
                  <w:vAlign w:val="center"/>
                </w:tcPr>
                <w:p w14:paraId="0C92ABB8">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p>
              </w:tc>
              <w:tc>
                <w:tcPr>
                  <w:tcW w:w="726" w:type="pct"/>
                  <w:vAlign w:val="center"/>
                </w:tcPr>
                <w:p w14:paraId="3B58D173">
                  <w:pPr>
                    <w:autoSpaceDE w:val="0"/>
                    <w:autoSpaceDN w:val="0"/>
                    <w:adjustRightInd w:val="0"/>
                    <w:snapToGrid w:val="0"/>
                    <w:spacing w:before="48" w:beforeLines="2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1.69</w:t>
                  </w:r>
                  <w:r>
                    <w:rPr>
                      <w:rFonts w:hint="default" w:ascii="Arial" w:hAnsi="Arial" w:cs="Arial"/>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10</w:t>
                  </w:r>
                  <w:r>
                    <w:rPr>
                      <w:rFonts w:hint="eastAsia" w:cs="Times New Roman"/>
                      <w:color w:val="auto"/>
                      <w:kern w:val="2"/>
                      <w:sz w:val="21"/>
                      <w:szCs w:val="21"/>
                      <w:highlight w:val="none"/>
                      <w:vertAlign w:val="superscript"/>
                      <w:lang w:val="en-US" w:eastAsia="zh-CN" w:bidi="ar-SA"/>
                    </w:rPr>
                    <w:t>-6</w:t>
                  </w:r>
                </w:p>
              </w:tc>
              <w:tc>
                <w:tcPr>
                  <w:tcW w:w="619" w:type="pct"/>
                  <w:vAlign w:val="center"/>
                </w:tcPr>
                <w:p w14:paraId="7FD58EDA">
                  <w:pPr>
                    <w:adjustRightInd w:val="0"/>
                    <w:snapToGrid w:val="0"/>
                    <w:spacing w:before="48" w:beforeLines="2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0.0705</w:t>
                  </w:r>
                </w:p>
              </w:tc>
              <w:tc>
                <w:tcPr>
                  <w:tcW w:w="825" w:type="pct"/>
                  <w:vMerge w:val="continue"/>
                  <w:vAlign w:val="center"/>
                </w:tcPr>
                <w:p w14:paraId="211E7F76">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p>
              </w:tc>
            </w:tr>
          </w:tbl>
          <w:p w14:paraId="07B8347A">
            <w:pPr>
              <w:pStyle w:val="17"/>
              <w:adjustRightInd w:val="0"/>
              <w:snapToGrid w:val="0"/>
              <w:spacing w:after="0" w:line="360" w:lineRule="auto"/>
              <w:ind w:left="0" w:leftChars="0" w:firstLine="482" w:firstLineChars="200"/>
              <w:rPr>
                <w:color w:val="auto"/>
                <w:szCs w:val="24"/>
              </w:rPr>
            </w:pPr>
            <w:r>
              <w:rPr>
                <w:b/>
                <w:bCs/>
                <w:color w:val="auto"/>
                <w:szCs w:val="24"/>
              </w:rPr>
              <w:t>废气影响分析</w:t>
            </w:r>
          </w:p>
          <w:p w14:paraId="0DEBE659">
            <w:pPr>
              <w:pStyle w:val="17"/>
              <w:adjustRightInd w:val="0"/>
              <w:snapToGrid w:val="0"/>
              <w:spacing w:after="0" w:line="360" w:lineRule="auto"/>
              <w:ind w:left="0" w:leftChars="0" w:firstLine="480" w:firstLineChars="200"/>
              <w:rPr>
                <w:color w:val="auto"/>
                <w:szCs w:val="24"/>
              </w:rPr>
            </w:pPr>
            <w:r>
              <w:rPr>
                <w:color w:val="auto"/>
                <w:szCs w:val="24"/>
              </w:rPr>
              <w:t>项目位于</w:t>
            </w:r>
            <w:r>
              <w:rPr>
                <w:rFonts w:hint="default" w:ascii="Times New Roman" w:hAnsi="Times New Roman" w:eastAsia="宋体" w:cs="Times New Roman"/>
                <w:sz w:val="24"/>
                <w:szCs w:val="24"/>
                <w:lang w:eastAsia="zh-CN"/>
              </w:rPr>
              <w:t>安徽省宿州市埇桥区</w:t>
            </w:r>
            <w:r>
              <w:rPr>
                <w:rFonts w:hint="default" w:ascii="Times New Roman" w:hAnsi="Times New Roman" w:eastAsia="宋体" w:cs="Times New Roman"/>
                <w:sz w:val="24"/>
                <w:szCs w:val="24"/>
              </w:rPr>
              <w:t>顺河镇魏庄村魏武路北侧17号</w:t>
            </w:r>
            <w:r>
              <w:rPr>
                <w:rFonts w:hint="eastAsia"/>
                <w:color w:val="auto"/>
                <w:szCs w:val="24"/>
              </w:rPr>
              <w:t>，</w:t>
            </w:r>
            <w:r>
              <w:rPr>
                <w:rFonts w:hint="default" w:ascii="Times New Roman" w:hAnsi="Times New Roman" w:eastAsia="宋体" w:cs="Times New Roman"/>
                <w:color w:val="auto"/>
                <w:kern w:val="2"/>
                <w:sz w:val="24"/>
                <w:szCs w:val="24"/>
                <w:lang w:val="en-US" w:eastAsia="zh-CN" w:bidi="ar-SA"/>
              </w:rPr>
              <w:t>根据《宿州市202</w:t>
            </w:r>
            <w:r>
              <w:rPr>
                <w:rFonts w:hint="eastAsia"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年环境质量报告》，PM</w:t>
            </w:r>
            <w:r>
              <w:rPr>
                <w:rFonts w:hint="default" w:ascii="Times New Roman" w:hAnsi="Times New Roman" w:eastAsia="宋体" w:cs="Times New Roman"/>
                <w:color w:val="auto"/>
                <w:kern w:val="2"/>
                <w:sz w:val="24"/>
                <w:szCs w:val="24"/>
                <w:vertAlign w:val="subscript"/>
                <w:lang w:val="en-US" w:eastAsia="zh-CN" w:bidi="ar-SA"/>
              </w:rPr>
              <w:t>10</w:t>
            </w:r>
            <w:r>
              <w:rPr>
                <w:rFonts w:hint="default" w:ascii="Times New Roman" w:hAnsi="Times New Roman" w:eastAsia="宋体" w:cs="Times New Roman"/>
                <w:color w:val="auto"/>
                <w:kern w:val="2"/>
                <w:sz w:val="24"/>
                <w:szCs w:val="24"/>
                <w:lang w:val="en-US" w:eastAsia="zh-CN" w:bidi="ar-SA"/>
              </w:rPr>
              <w:t>、PM</w:t>
            </w:r>
            <w:r>
              <w:rPr>
                <w:rFonts w:hint="default" w:ascii="Times New Roman" w:hAnsi="Times New Roman" w:eastAsia="宋体" w:cs="Times New Roman"/>
                <w:color w:val="auto"/>
                <w:kern w:val="2"/>
                <w:sz w:val="24"/>
                <w:szCs w:val="24"/>
                <w:vertAlign w:val="subscript"/>
                <w:lang w:val="en-US" w:eastAsia="zh-CN" w:bidi="ar-SA"/>
              </w:rPr>
              <w:t>2.5</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lang w:val="en-US" w:eastAsia="zh-CN"/>
              </w:rPr>
              <w:t>O</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kern w:val="2"/>
                <w:sz w:val="24"/>
                <w:szCs w:val="24"/>
                <w:lang w:val="en-US" w:eastAsia="zh-CN" w:bidi="ar-SA"/>
              </w:rPr>
              <w:t>超过《环境空气质量标准》（GB3095-20</w:t>
            </w:r>
            <w:r>
              <w:rPr>
                <w:rFonts w:hint="eastAsia" w:cs="Times New Roman"/>
                <w:color w:val="auto"/>
                <w:kern w:val="2"/>
                <w:sz w:val="24"/>
                <w:szCs w:val="24"/>
                <w:lang w:val="en-US" w:eastAsia="zh-CN" w:bidi="ar-SA"/>
              </w:rPr>
              <w:t>26</w:t>
            </w:r>
            <w:r>
              <w:rPr>
                <w:rFonts w:hint="default" w:ascii="Times New Roman" w:hAnsi="Times New Roman" w:eastAsia="宋体" w:cs="Times New Roman"/>
                <w:color w:val="auto"/>
                <w:kern w:val="2"/>
                <w:sz w:val="24"/>
                <w:szCs w:val="24"/>
                <w:lang w:val="en-US" w:eastAsia="zh-CN" w:bidi="ar-SA"/>
              </w:rPr>
              <w:t>）中二级标准限值，</w:t>
            </w:r>
            <w:r>
              <w:rPr>
                <w:rFonts w:hint="default" w:ascii="Times New Roman" w:hAnsi="Times New Roman" w:eastAsia="宋体" w:cs="Times New Roman"/>
                <w:color w:val="auto"/>
                <w:kern w:val="2"/>
                <w:sz w:val="24"/>
                <w:szCs w:val="24"/>
                <w:highlight w:val="none"/>
                <w:lang w:val="en-US" w:eastAsia="zh-CN" w:bidi="ar-SA"/>
              </w:rPr>
              <w:t>因此，项目所在区域为环境空气质量不达标区。</w:t>
            </w:r>
            <w:r>
              <w:rPr>
                <w:color w:val="auto"/>
                <w:szCs w:val="24"/>
              </w:rPr>
              <w:t>项目厂界外500m范围内环境空气保护目标</w:t>
            </w:r>
            <w:r>
              <w:rPr>
                <w:rFonts w:hint="eastAsia"/>
                <w:color w:val="auto"/>
                <w:szCs w:val="24"/>
              </w:rPr>
              <w:t>主要为东北侧</w:t>
            </w:r>
            <w:r>
              <w:rPr>
                <w:rFonts w:hint="eastAsia"/>
                <w:color w:val="auto"/>
                <w:szCs w:val="24"/>
                <w:lang w:val="en-US" w:eastAsia="zh-CN"/>
              </w:rPr>
              <w:t>160</w:t>
            </w:r>
            <w:r>
              <w:rPr>
                <w:rFonts w:hint="eastAsia"/>
                <w:color w:val="auto"/>
                <w:szCs w:val="24"/>
              </w:rPr>
              <w:t>米的魏庄</w:t>
            </w:r>
            <w:r>
              <w:rPr>
                <w:color w:val="auto"/>
                <w:szCs w:val="24"/>
              </w:rPr>
              <w:t>。</w:t>
            </w:r>
          </w:p>
          <w:p w14:paraId="381B3C65">
            <w:pPr>
              <w:adjustRightInd w:val="0"/>
              <w:snapToGrid w:val="0"/>
              <w:spacing w:line="348" w:lineRule="auto"/>
              <w:ind w:firstLine="480" w:firstLineChars="200"/>
              <w:rPr>
                <w:rFonts w:hint="eastAsia"/>
                <w:color w:val="auto"/>
                <w:sz w:val="24"/>
                <w:szCs w:val="24"/>
                <w:lang w:eastAsia="zh-CN"/>
              </w:rPr>
            </w:pPr>
            <w:r>
              <w:rPr>
                <w:rFonts w:ascii="宋体" w:hAnsi="宋体" w:eastAsia="宋体" w:cs="宋体"/>
                <w:color w:val="auto"/>
                <w:sz w:val="24"/>
                <w:szCs w:val="24"/>
              </w:rPr>
              <w:t>本次评价要求</w:t>
            </w:r>
            <w:r>
              <w:rPr>
                <w:rFonts w:hint="eastAsia"/>
                <w:color w:val="auto"/>
                <w:sz w:val="24"/>
                <w:lang w:val="en-US" w:eastAsia="zh-CN"/>
              </w:rPr>
              <w:t>水泥筒仓呼吸废气采用密闭收集，经脉冲式布袋除尘器处理后，通过15m高排气筒（DA001）排放；</w:t>
            </w:r>
            <w:r>
              <w:rPr>
                <w:rFonts w:hint="eastAsia"/>
                <w:color w:val="auto"/>
                <w:sz w:val="24"/>
                <w:lang w:eastAsia="zh-CN"/>
              </w:rPr>
              <w:t>粉煤灰筒仓呼吸废气采用</w:t>
            </w:r>
            <w:r>
              <w:rPr>
                <w:rFonts w:hint="eastAsia"/>
                <w:color w:val="auto"/>
                <w:sz w:val="24"/>
                <w:lang w:val="en-US" w:eastAsia="zh-CN"/>
              </w:rPr>
              <w:t>密闭收集，经脉冲式布袋除尘器处理后，通过15m高排气筒（DA002）排放；建筑掺和料筒仓呼吸废气采用密闭收集后密闭收集，经脉冲式布袋除尘器处理后，通过15m高排气筒（DA003）排放；</w:t>
            </w:r>
            <w:r>
              <w:rPr>
                <w:rFonts w:hint="eastAsia" w:ascii="Times New Roman" w:hAnsi="Times New Roman" w:eastAsia="宋体" w:cs="Times New Roman"/>
                <w:b w:val="0"/>
                <w:bCs w:val="0"/>
                <w:color w:val="auto"/>
                <w:kern w:val="2"/>
                <w:sz w:val="24"/>
                <w:szCs w:val="24"/>
                <w:lang w:val="en-US" w:eastAsia="zh-CN" w:bidi="ar-SA"/>
              </w:rPr>
              <w:t>草木灰</w:t>
            </w:r>
            <w:r>
              <w:rPr>
                <w:rFonts w:hint="eastAsia" w:cs="Times New Roman"/>
                <w:b w:val="0"/>
                <w:bCs w:val="0"/>
                <w:color w:val="auto"/>
                <w:kern w:val="2"/>
                <w:sz w:val="24"/>
                <w:szCs w:val="24"/>
                <w:lang w:val="en-US" w:eastAsia="zh-CN" w:bidi="ar-SA"/>
              </w:rPr>
              <w:t>筒仓</w:t>
            </w:r>
            <w:r>
              <w:rPr>
                <w:rFonts w:hint="eastAsia"/>
                <w:color w:val="auto"/>
                <w:sz w:val="24"/>
                <w:szCs w:val="24"/>
                <w:lang w:val="en-US" w:eastAsia="zh-CN"/>
              </w:rPr>
              <w:t>呼</w:t>
            </w:r>
            <w:r>
              <w:rPr>
                <w:rFonts w:hint="eastAsia"/>
                <w:color w:val="auto"/>
                <w:sz w:val="24"/>
                <w:lang w:val="en-US" w:eastAsia="zh-CN"/>
              </w:rPr>
              <w:t>吸废气采用密闭收集后，经脉冲式布袋除尘器处理后，通过15m高排气筒（DA004）排放</w:t>
            </w:r>
            <w:r>
              <w:rPr>
                <w:rFonts w:hint="eastAsia"/>
                <w:color w:val="auto"/>
                <w:sz w:val="24"/>
                <w:szCs w:val="24"/>
                <w:lang w:val="en-US" w:eastAsia="zh-CN"/>
              </w:rPr>
              <w:t>；</w:t>
            </w:r>
            <w:r>
              <w:rPr>
                <w:rFonts w:hint="default" w:ascii="Times New Roman" w:hAnsi="Times New Roman" w:eastAsia="宋体" w:cs="Times New Roman"/>
                <w:color w:val="auto"/>
                <w:kern w:val="2"/>
                <w:sz w:val="24"/>
                <w:szCs w:val="24"/>
                <w:lang w:val="en-US" w:eastAsia="zh-CN" w:bidi="ar-SA"/>
              </w:rPr>
              <w:t>投料废气</w:t>
            </w:r>
            <w:r>
              <w:rPr>
                <w:rFonts w:hint="eastAsia"/>
                <w:color w:val="auto"/>
                <w:sz w:val="24"/>
                <w:lang w:val="en-US" w:eastAsia="zh-CN"/>
              </w:rPr>
              <w:t>采用集气罩收集，经脉冲式布袋除尘器处理后，通过15m高排气筒（DA005）排放；污泥贮存、矿化、陈化废气采用密闭收集，经</w:t>
            </w:r>
            <w:r>
              <w:rPr>
                <w:rFonts w:hint="eastAsia"/>
                <w:color w:val="auto"/>
                <w:sz w:val="24"/>
                <w:szCs w:val="24"/>
                <w:lang w:eastAsia="zh-CN"/>
              </w:rPr>
              <w:t>生物除臭塔处理，通过</w:t>
            </w:r>
            <w:r>
              <w:rPr>
                <w:rFonts w:hint="eastAsia"/>
                <w:color w:val="auto"/>
                <w:sz w:val="24"/>
                <w:szCs w:val="24"/>
                <w:lang w:val="en-US" w:eastAsia="zh-CN"/>
              </w:rPr>
              <w:t>15m</w:t>
            </w:r>
            <w:r>
              <w:rPr>
                <w:rFonts w:hint="eastAsia"/>
                <w:color w:val="auto"/>
                <w:sz w:val="24"/>
                <w:szCs w:val="24"/>
              </w:rPr>
              <w:t>高排气筒（DA00</w:t>
            </w:r>
            <w:r>
              <w:rPr>
                <w:rFonts w:hint="eastAsia"/>
                <w:color w:val="auto"/>
                <w:sz w:val="24"/>
                <w:szCs w:val="24"/>
                <w:lang w:val="en-US" w:eastAsia="zh-CN"/>
              </w:rPr>
              <w:t>6</w:t>
            </w:r>
            <w:r>
              <w:rPr>
                <w:rFonts w:hint="eastAsia"/>
                <w:color w:val="auto"/>
                <w:sz w:val="24"/>
                <w:szCs w:val="24"/>
              </w:rPr>
              <w:t>）</w:t>
            </w:r>
            <w:r>
              <w:rPr>
                <w:rFonts w:hint="eastAsia"/>
                <w:color w:val="auto"/>
                <w:sz w:val="24"/>
                <w:szCs w:val="24"/>
                <w:lang w:eastAsia="zh-CN"/>
              </w:rPr>
              <w:t>排放；卸料起尘采用雾炮洒水降尘措施处理后无组织排放。</w:t>
            </w:r>
          </w:p>
          <w:p w14:paraId="4E07B431">
            <w:pPr>
              <w:adjustRightInd w:val="0"/>
              <w:snapToGrid w:val="0"/>
              <w:spacing w:line="348" w:lineRule="auto"/>
              <w:ind w:firstLine="480" w:firstLineChars="200"/>
              <w:rPr>
                <w:rFonts w:hint="eastAsia"/>
                <w:color w:val="auto"/>
                <w:sz w:val="24"/>
                <w:szCs w:val="24"/>
              </w:rPr>
            </w:pPr>
            <w:r>
              <w:rPr>
                <w:rFonts w:hint="eastAsia"/>
                <w:color w:val="auto"/>
                <w:sz w:val="24"/>
                <w:szCs w:val="24"/>
              </w:rPr>
              <w:t>本项目</w:t>
            </w:r>
            <w:r>
              <w:rPr>
                <w:rFonts w:hint="eastAsia"/>
                <w:color w:val="auto"/>
                <w:sz w:val="24"/>
                <w:szCs w:val="24"/>
                <w:lang w:val="en-US" w:eastAsia="zh-CN"/>
              </w:rPr>
              <w:t>水泥筒仓呼吸废气</w:t>
            </w:r>
            <w:r>
              <w:rPr>
                <w:rFonts w:hint="eastAsia"/>
                <w:color w:val="auto"/>
                <w:sz w:val="24"/>
                <w:szCs w:val="24"/>
              </w:rPr>
              <w:t>有组织排放</w:t>
            </w:r>
            <w:r>
              <w:rPr>
                <w:rFonts w:hint="eastAsia"/>
                <w:color w:val="auto"/>
                <w:sz w:val="24"/>
                <w:szCs w:val="24"/>
                <w:lang w:eastAsia="zh-CN"/>
              </w:rPr>
              <w:t>浓度满足</w:t>
            </w:r>
            <w:r>
              <w:rPr>
                <w:rFonts w:hint="default" w:ascii="Times New Roman" w:hAnsi="Times New Roman" w:eastAsia="宋体" w:cs="Times New Roman"/>
                <w:b w:val="0"/>
                <w:bCs/>
                <w:color w:val="auto"/>
                <w:sz w:val="24"/>
                <w:szCs w:val="24"/>
                <w:highlight w:val="none"/>
                <w:lang w:eastAsia="zh-CN"/>
              </w:rPr>
              <w:t>《水泥工业大气污染物排放标准》（DB34/3576-2020）</w:t>
            </w:r>
            <w:r>
              <w:rPr>
                <w:rFonts w:hint="eastAsia" w:ascii="宋体" w:hAnsi="宋体" w:cs="宋体"/>
                <w:color w:val="auto"/>
                <w:kern w:val="0"/>
                <w:sz w:val="24"/>
                <w:szCs w:val="24"/>
                <w:lang w:eastAsia="zh-CN" w:bidi="ar"/>
              </w:rPr>
              <w:t>中的标准限值要求；</w:t>
            </w:r>
            <w:r>
              <w:rPr>
                <w:rFonts w:hint="eastAsia"/>
                <w:color w:val="auto"/>
                <w:sz w:val="24"/>
                <w:szCs w:val="24"/>
                <w:lang w:eastAsia="zh-CN"/>
              </w:rPr>
              <w:t>粉煤灰筒仓呼吸废气、建筑掺和料筒仓呼吸废气</w:t>
            </w:r>
            <w:r>
              <w:rPr>
                <w:rFonts w:hint="eastAsia"/>
                <w:color w:val="auto"/>
                <w:sz w:val="24"/>
                <w:szCs w:val="24"/>
                <w:lang w:val="en-US" w:eastAsia="zh-CN"/>
              </w:rPr>
              <w:t>、</w:t>
            </w:r>
            <w:r>
              <w:rPr>
                <w:rFonts w:hint="eastAsia" w:ascii="Times New Roman" w:hAnsi="Times New Roman" w:eastAsia="宋体" w:cs="Times New Roman"/>
                <w:b w:val="0"/>
                <w:bCs w:val="0"/>
                <w:color w:val="auto"/>
                <w:kern w:val="2"/>
                <w:sz w:val="24"/>
                <w:szCs w:val="24"/>
                <w:lang w:val="en-US" w:eastAsia="zh-CN" w:bidi="ar-SA"/>
              </w:rPr>
              <w:t>草木灰</w:t>
            </w:r>
            <w:r>
              <w:rPr>
                <w:rFonts w:hint="eastAsia" w:cs="Times New Roman"/>
                <w:b w:val="0"/>
                <w:bCs w:val="0"/>
                <w:color w:val="auto"/>
                <w:kern w:val="2"/>
                <w:sz w:val="24"/>
                <w:szCs w:val="24"/>
                <w:lang w:val="en-US" w:eastAsia="zh-CN" w:bidi="ar-SA"/>
              </w:rPr>
              <w:t>筒仓</w:t>
            </w:r>
            <w:r>
              <w:rPr>
                <w:rFonts w:hint="eastAsia" w:ascii="Times New Roman" w:hAnsi="Times New Roman" w:eastAsia="宋体" w:cs="Times New Roman"/>
                <w:b w:val="0"/>
                <w:bCs w:val="0"/>
                <w:color w:val="auto"/>
                <w:kern w:val="2"/>
                <w:sz w:val="24"/>
                <w:szCs w:val="24"/>
                <w:lang w:val="en-US" w:eastAsia="zh-CN" w:bidi="ar-SA"/>
              </w:rPr>
              <w:t>呼吸废气</w:t>
            </w:r>
            <w:r>
              <w:rPr>
                <w:rFonts w:hint="eastAsia"/>
                <w:color w:val="auto"/>
                <w:sz w:val="24"/>
                <w:szCs w:val="24"/>
                <w:lang w:val="en-US" w:eastAsia="zh-CN"/>
              </w:rPr>
              <w:t>、</w:t>
            </w:r>
            <w:r>
              <w:rPr>
                <w:rFonts w:hint="eastAsia" w:ascii="Times New Roman" w:hAnsi="Times New Roman" w:eastAsia="宋体" w:cs="Times New Roman"/>
                <w:b w:val="0"/>
                <w:bCs w:val="0"/>
                <w:color w:val="auto"/>
                <w:kern w:val="2"/>
                <w:sz w:val="24"/>
                <w:szCs w:val="24"/>
                <w:lang w:val="en-US" w:eastAsia="zh-CN" w:bidi="ar-SA"/>
              </w:rPr>
              <w:t>草木灰</w:t>
            </w:r>
            <w:r>
              <w:rPr>
                <w:rFonts w:hint="eastAsia" w:cs="Times New Roman"/>
                <w:b w:val="0"/>
                <w:bCs w:val="0"/>
                <w:color w:val="auto"/>
                <w:kern w:val="2"/>
                <w:sz w:val="24"/>
                <w:szCs w:val="24"/>
                <w:lang w:val="en-US" w:eastAsia="zh-CN" w:bidi="ar-SA"/>
              </w:rPr>
              <w:t>筒仓</w:t>
            </w:r>
            <w:r>
              <w:rPr>
                <w:rFonts w:hint="eastAsia" w:ascii="Times New Roman" w:hAnsi="Times New Roman" w:eastAsia="宋体" w:cs="Times New Roman"/>
                <w:b w:val="0"/>
                <w:bCs w:val="0"/>
                <w:color w:val="auto"/>
                <w:kern w:val="2"/>
                <w:sz w:val="24"/>
                <w:szCs w:val="24"/>
                <w:lang w:val="en-US" w:eastAsia="zh-CN" w:bidi="ar-SA"/>
              </w:rPr>
              <w:t>呼吸废气</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投料废气</w:t>
            </w:r>
            <w:r>
              <w:rPr>
                <w:rFonts w:hint="eastAsia"/>
                <w:color w:val="auto"/>
                <w:sz w:val="24"/>
                <w:szCs w:val="24"/>
              </w:rPr>
              <w:t>有组织排放</w:t>
            </w:r>
            <w:r>
              <w:rPr>
                <w:rFonts w:hint="eastAsia"/>
                <w:color w:val="auto"/>
                <w:sz w:val="24"/>
                <w:szCs w:val="24"/>
                <w:lang w:eastAsia="zh-CN"/>
              </w:rPr>
              <w:t>浓度满足《大气污染物综合排放标准》（GB 16297-1996）</w:t>
            </w:r>
            <w:r>
              <w:rPr>
                <w:rFonts w:hint="eastAsia"/>
                <w:color w:val="auto"/>
                <w:sz w:val="24"/>
                <w:szCs w:val="24"/>
                <w:highlight w:val="none"/>
                <w:lang w:eastAsia="zh-CN"/>
              </w:rPr>
              <w:t>中的标准限值要求；污泥贮存废气、发酵废气</w:t>
            </w:r>
            <w:r>
              <w:rPr>
                <w:rFonts w:hint="eastAsia"/>
                <w:color w:val="auto"/>
                <w:sz w:val="24"/>
                <w:szCs w:val="24"/>
              </w:rPr>
              <w:t>有组织排放</w:t>
            </w:r>
            <w:r>
              <w:rPr>
                <w:rFonts w:hint="eastAsia"/>
                <w:color w:val="auto"/>
                <w:sz w:val="24"/>
                <w:szCs w:val="24"/>
                <w:lang w:eastAsia="zh-CN"/>
              </w:rPr>
              <w:t>满足</w:t>
            </w:r>
            <w:r>
              <w:rPr>
                <w:rFonts w:hint="eastAsia" w:ascii="宋体" w:hAnsi="宋体" w:cs="宋体"/>
                <w:color w:val="auto"/>
                <w:kern w:val="0"/>
                <w:sz w:val="24"/>
                <w:szCs w:val="24"/>
                <w:lang w:bidi="ar"/>
              </w:rPr>
              <w:t>《恶臭污染物排放标准》（</w:t>
            </w:r>
            <w:r>
              <w:rPr>
                <w:color w:val="auto"/>
                <w:kern w:val="0"/>
                <w:sz w:val="24"/>
                <w:szCs w:val="24"/>
                <w:lang w:bidi="ar"/>
              </w:rPr>
              <w:t>GB14554-93</w:t>
            </w:r>
            <w:r>
              <w:rPr>
                <w:rFonts w:hint="eastAsia" w:ascii="宋体" w:hAnsi="宋体" w:cs="宋体"/>
                <w:color w:val="auto"/>
                <w:kern w:val="0"/>
                <w:sz w:val="24"/>
                <w:szCs w:val="24"/>
                <w:lang w:bidi="ar"/>
              </w:rPr>
              <w:t>）</w:t>
            </w:r>
            <w:r>
              <w:rPr>
                <w:rFonts w:hint="eastAsia" w:ascii="宋体" w:hAnsi="宋体" w:cs="宋体"/>
                <w:color w:val="auto"/>
                <w:kern w:val="0"/>
                <w:sz w:val="24"/>
                <w:szCs w:val="24"/>
                <w:lang w:eastAsia="zh-CN" w:bidi="ar"/>
              </w:rPr>
              <w:t>中标准限值要求；</w:t>
            </w:r>
            <w:r>
              <w:rPr>
                <w:rFonts w:hint="eastAsia"/>
                <w:color w:val="auto"/>
                <w:sz w:val="24"/>
                <w:szCs w:val="24"/>
                <w:lang w:eastAsia="zh-CN"/>
              </w:rPr>
              <w:t>卸料起尘满足《水泥工业大气污染物排放标准》（DB34/3576-2020）中</w:t>
            </w:r>
            <w:r>
              <w:rPr>
                <w:rFonts w:hint="eastAsia" w:ascii="宋体" w:hAnsi="宋体" w:cs="宋体"/>
                <w:color w:val="auto"/>
                <w:kern w:val="0"/>
                <w:sz w:val="24"/>
                <w:szCs w:val="24"/>
                <w:lang w:bidi="ar"/>
              </w:rPr>
              <w:t>无组织监控浓度排放要求。</w:t>
            </w:r>
          </w:p>
          <w:p w14:paraId="2A722238">
            <w:pPr>
              <w:autoSpaceDE w:val="0"/>
              <w:autoSpaceDN w:val="0"/>
              <w:adjustRightInd w:val="0"/>
              <w:snapToGrid w:val="0"/>
              <w:spacing w:line="360" w:lineRule="auto"/>
              <w:ind w:firstLine="480" w:firstLineChars="200"/>
              <w:rPr>
                <w:color w:val="auto"/>
                <w:kern w:val="0"/>
                <w:sz w:val="24"/>
              </w:rPr>
            </w:pPr>
            <w:r>
              <w:rPr>
                <w:color w:val="auto"/>
                <w:kern w:val="0"/>
                <w:sz w:val="24"/>
                <w:szCs w:val="24"/>
              </w:rPr>
              <w:t>综上，该项目产生的大气污染物在落实本次评价的废气防治措施后，对区域</w:t>
            </w:r>
            <w:r>
              <w:rPr>
                <w:rFonts w:hint="eastAsia"/>
                <w:color w:val="auto"/>
                <w:kern w:val="0"/>
                <w:sz w:val="24"/>
                <w:szCs w:val="24"/>
                <w:lang w:eastAsia="zh-CN"/>
              </w:rPr>
              <w:t>内敏感点魏庄</w:t>
            </w:r>
            <w:r>
              <w:rPr>
                <w:color w:val="auto"/>
                <w:kern w:val="0"/>
                <w:sz w:val="24"/>
                <w:szCs w:val="24"/>
              </w:rPr>
              <w:t>大气环境质量影响较小</w:t>
            </w:r>
            <w:r>
              <w:rPr>
                <w:color w:val="auto"/>
                <w:kern w:val="0"/>
                <w:sz w:val="24"/>
              </w:rPr>
              <w:t>。</w:t>
            </w:r>
          </w:p>
          <w:p w14:paraId="73C66659">
            <w:pPr>
              <w:adjustRightInd w:val="0"/>
              <w:snapToGrid w:val="0"/>
              <w:spacing w:line="360" w:lineRule="auto"/>
              <w:rPr>
                <w:b/>
                <w:bCs/>
                <w:color w:val="auto"/>
                <w:kern w:val="0"/>
                <w:sz w:val="24"/>
              </w:rPr>
            </w:pPr>
            <w:r>
              <w:rPr>
                <w:rFonts w:hint="eastAsia"/>
                <w:b/>
                <w:bCs/>
                <w:color w:val="auto"/>
                <w:kern w:val="0"/>
                <w:sz w:val="24"/>
              </w:rPr>
              <w:t>2、</w:t>
            </w:r>
            <w:r>
              <w:rPr>
                <w:b/>
                <w:bCs/>
                <w:color w:val="auto"/>
                <w:kern w:val="0"/>
                <w:sz w:val="24"/>
              </w:rPr>
              <w:t>废水</w:t>
            </w:r>
          </w:p>
          <w:p w14:paraId="1D5F7157">
            <w:pPr>
              <w:adjustRightInd w:val="0"/>
              <w:snapToGrid w:val="0"/>
              <w:spacing w:line="360" w:lineRule="auto"/>
              <w:ind w:firstLine="480" w:firstLineChars="200"/>
              <w:jc w:val="left"/>
              <w:rPr>
                <w:color w:val="auto"/>
                <w:sz w:val="24"/>
              </w:rPr>
            </w:pPr>
            <w:r>
              <w:rPr>
                <w:rFonts w:hint="eastAsia"/>
                <w:color w:val="auto"/>
                <w:sz w:val="24"/>
              </w:rPr>
              <w:t>本</w:t>
            </w:r>
            <w:r>
              <w:rPr>
                <w:color w:val="auto"/>
                <w:sz w:val="24"/>
              </w:rPr>
              <w:t>项目</w:t>
            </w:r>
            <w:r>
              <w:rPr>
                <w:rFonts w:hint="eastAsia"/>
                <w:color w:val="auto"/>
                <w:sz w:val="24"/>
              </w:rPr>
              <w:t>营运过程中用水主要为职工生活用水</w:t>
            </w:r>
            <w:r>
              <w:rPr>
                <w:rFonts w:hint="eastAsia"/>
                <w:color w:val="auto"/>
                <w:sz w:val="24"/>
                <w:lang w:eastAsia="zh-CN"/>
              </w:rPr>
              <w:t>，</w:t>
            </w:r>
            <w:r>
              <w:rPr>
                <w:rFonts w:hint="eastAsia"/>
                <w:color w:val="auto"/>
                <w:sz w:val="24"/>
                <w:lang w:val="en-US" w:eastAsia="zh-CN"/>
              </w:rPr>
              <w:t>生活污水经化粪池处理后</w:t>
            </w:r>
            <w:r>
              <w:rPr>
                <w:rFonts w:hint="eastAsia"/>
                <w:color w:val="auto"/>
                <w:sz w:val="24"/>
                <w:lang w:eastAsia="zh-CN"/>
              </w:rPr>
              <w:t>定期清掏不外排</w:t>
            </w:r>
            <w:r>
              <w:rPr>
                <w:rFonts w:hint="eastAsia"/>
                <w:color w:val="auto"/>
                <w:sz w:val="24"/>
              </w:rPr>
              <w:t>。</w:t>
            </w:r>
          </w:p>
          <w:p w14:paraId="7B946EF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Times New Roman" w:hAnsi="Times New Roman" w:cs="Times New Roman"/>
                <w:b/>
                <w:bCs/>
                <w:color w:val="auto"/>
                <w:kern w:val="0"/>
                <w:sz w:val="24"/>
              </w:rPr>
            </w:pPr>
            <w:r>
              <w:rPr>
                <w:rFonts w:hint="eastAsia" w:ascii="Times New Roman" w:hAnsi="Times New Roman" w:cs="Times New Roman"/>
                <w:b/>
                <w:bCs/>
                <w:color w:val="auto"/>
                <w:kern w:val="0"/>
                <w:sz w:val="24"/>
              </w:rPr>
              <w:t>3、</w:t>
            </w:r>
            <w:r>
              <w:rPr>
                <w:rFonts w:ascii="Times New Roman" w:hAnsi="Times New Roman" w:cs="Times New Roman"/>
                <w:b/>
                <w:bCs/>
                <w:color w:val="auto"/>
                <w:kern w:val="0"/>
                <w:sz w:val="24"/>
              </w:rPr>
              <w:t>噪声</w:t>
            </w:r>
          </w:p>
          <w:p w14:paraId="42BB6DAE">
            <w:pPr>
              <w:spacing w:line="360" w:lineRule="auto"/>
              <w:ind w:firstLine="480" w:firstLineChars="200"/>
              <w:jc w:val="left"/>
              <w:rPr>
                <w:color w:val="auto"/>
                <w:sz w:val="24"/>
              </w:rPr>
            </w:pPr>
            <w:r>
              <w:rPr>
                <w:rFonts w:hint="eastAsia" w:ascii="宋体" w:hAnsi="宋体" w:eastAsia="宋体" w:cs="宋体"/>
                <w:color w:val="auto"/>
                <w:kern w:val="0"/>
                <w:sz w:val="24"/>
                <w:szCs w:val="24"/>
                <w:lang w:val="en-US" w:eastAsia="zh-CN" w:bidi="ar-SA"/>
              </w:rPr>
              <w:t>本项目营运期噪声源主要为搅拌机、破碎机、螺旋输送机</w:t>
            </w:r>
            <w:r>
              <w:rPr>
                <w:rFonts w:hint="eastAsia" w:ascii="Times New Roman" w:hAnsi="Times New Roman" w:eastAsia="宋体" w:cs="Times New Roman"/>
                <w:color w:val="auto"/>
                <w:kern w:val="2"/>
                <w:sz w:val="24"/>
                <w:szCs w:val="24"/>
                <w:lang w:val="en-US" w:eastAsia="zh-CN" w:bidi="ar-SA"/>
              </w:rPr>
              <w:t>及风机</w:t>
            </w:r>
            <w:r>
              <w:rPr>
                <w:rFonts w:ascii="Times New Roman" w:hAnsi="Times New Roman" w:eastAsia="宋体" w:cs="Times New Roman"/>
                <w:color w:val="auto"/>
                <w:kern w:val="0"/>
                <w:sz w:val="24"/>
                <w:szCs w:val="24"/>
                <w:lang w:val="en-US" w:eastAsia="zh-CN" w:bidi="ar-SA"/>
              </w:rPr>
              <w:t>运行时产生的噪声，噪声级为</w:t>
            </w:r>
            <w:r>
              <w:rPr>
                <w:rFonts w:hint="eastAsia" w:ascii="Times New Roman" w:hAnsi="Times New Roman" w:eastAsia="宋体" w:cs="Times New Roman"/>
                <w:color w:val="auto"/>
                <w:kern w:val="0"/>
                <w:sz w:val="24"/>
                <w:szCs w:val="24"/>
                <w:lang w:val="en-US" w:eastAsia="zh-CN" w:bidi="ar-SA"/>
              </w:rPr>
              <w:t>80</w:t>
            </w:r>
            <w:r>
              <w:rPr>
                <w:rFonts w:ascii="Times New Roman" w:hAnsi="Times New Roman" w:eastAsia="宋体" w:cs="Times New Roman"/>
                <w:color w:val="auto"/>
                <w:kern w:val="0"/>
                <w:sz w:val="24"/>
                <w:szCs w:val="24"/>
                <w:lang w:val="en-US" w:eastAsia="zh-CN" w:bidi="ar-SA"/>
              </w:rPr>
              <w:t>～90 dB (A)。</w:t>
            </w:r>
            <w:r>
              <w:rPr>
                <w:rFonts w:hint="eastAsia" w:ascii="Times New Roman" w:hAnsi="Times New Roman" w:eastAsia="宋体" w:cs="Times New Roman"/>
                <w:color w:val="auto"/>
                <w:kern w:val="0"/>
                <w:sz w:val="24"/>
                <w:szCs w:val="24"/>
                <w:lang w:val="en-US" w:eastAsia="zh-CN" w:bidi="ar-SA"/>
              </w:rPr>
              <w:t>项目的设备噪声强度见表4.</w:t>
            </w:r>
            <w:r>
              <w:rPr>
                <w:rFonts w:hint="eastAsia" w:cs="Times New Roman"/>
                <w:color w:val="auto"/>
                <w:kern w:val="0"/>
                <w:sz w:val="24"/>
                <w:szCs w:val="24"/>
                <w:lang w:val="en-US" w:eastAsia="zh-CN" w:bidi="ar-SA"/>
              </w:rPr>
              <w:t>7</w:t>
            </w:r>
            <w:r>
              <w:rPr>
                <w:rFonts w:hint="eastAsia" w:ascii="Times New Roman" w:hAnsi="Times New Roman" w:eastAsia="宋体" w:cs="Times New Roman"/>
                <w:color w:val="auto"/>
                <w:kern w:val="0"/>
                <w:sz w:val="24"/>
                <w:szCs w:val="24"/>
                <w:lang w:val="en-US" w:eastAsia="zh-CN" w:bidi="ar-SA"/>
              </w:rPr>
              <w:t>。</w:t>
            </w:r>
          </w:p>
        </w:tc>
      </w:tr>
    </w:tbl>
    <w:p w14:paraId="788DF7E5">
      <w:pPr>
        <w:adjustRightInd w:val="0"/>
        <w:snapToGrid w:val="0"/>
        <w:rPr>
          <w:color w:val="auto"/>
          <w:kern w:val="0"/>
          <w:sz w:val="24"/>
        </w:rPr>
        <w:sectPr>
          <w:pgSz w:w="11906" w:h="16838"/>
          <w:pgMar w:top="1440" w:right="1803" w:bottom="1440" w:left="1803" w:header="851" w:footer="851" w:gutter="0"/>
          <w:cols w:space="720" w:num="1"/>
          <w:docGrid w:linePitch="312" w:charSpace="0"/>
        </w:sectPr>
      </w:pPr>
    </w:p>
    <w:tbl>
      <w:tblPr>
        <w:tblStyle w:val="30"/>
        <w:tblW w:w="140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3605"/>
      </w:tblGrid>
      <w:tr w14:paraId="64F44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2" w:hRule="atLeast"/>
          <w:jc w:val="center"/>
        </w:trPr>
        <w:tc>
          <w:tcPr>
            <w:tcW w:w="424" w:type="dxa"/>
            <w:tcBorders>
              <w:tl2br w:val="nil"/>
              <w:tr2bl w:val="nil"/>
            </w:tcBorders>
            <w:vAlign w:val="center"/>
          </w:tcPr>
          <w:p w14:paraId="524713F0">
            <w:pPr>
              <w:adjustRightInd w:val="0"/>
              <w:snapToGrid w:val="0"/>
              <w:jc w:val="center"/>
              <w:rPr>
                <w:color w:val="auto"/>
                <w:sz w:val="24"/>
              </w:rPr>
            </w:pPr>
            <w:r>
              <w:rPr>
                <w:rFonts w:hint="eastAsia"/>
                <w:color w:val="auto"/>
                <w:kern w:val="0"/>
                <w:sz w:val="24"/>
                <w:lang w:val="en-US" w:eastAsia="zh-CN"/>
              </w:rPr>
              <w:t xml:space="preserve"> </w:t>
            </w:r>
            <w:r>
              <w:rPr>
                <w:color w:val="auto"/>
                <w:sz w:val="24"/>
              </w:rPr>
              <w:t>运营</w:t>
            </w:r>
          </w:p>
          <w:p w14:paraId="173FCD73">
            <w:pPr>
              <w:adjustRightInd w:val="0"/>
              <w:snapToGrid w:val="0"/>
              <w:jc w:val="center"/>
              <w:rPr>
                <w:color w:val="auto"/>
                <w:sz w:val="24"/>
              </w:rPr>
            </w:pPr>
            <w:r>
              <w:rPr>
                <w:color w:val="auto"/>
                <w:sz w:val="24"/>
              </w:rPr>
              <w:t>期环</w:t>
            </w:r>
          </w:p>
          <w:p w14:paraId="1945EEF6">
            <w:pPr>
              <w:adjustRightInd w:val="0"/>
              <w:snapToGrid w:val="0"/>
              <w:jc w:val="center"/>
              <w:rPr>
                <w:color w:val="auto"/>
                <w:sz w:val="24"/>
              </w:rPr>
            </w:pPr>
            <w:r>
              <w:rPr>
                <w:color w:val="auto"/>
                <w:sz w:val="24"/>
              </w:rPr>
              <w:t>境影</w:t>
            </w:r>
          </w:p>
          <w:p w14:paraId="5AF2E889">
            <w:pPr>
              <w:adjustRightInd w:val="0"/>
              <w:snapToGrid w:val="0"/>
              <w:jc w:val="center"/>
              <w:rPr>
                <w:color w:val="auto"/>
                <w:sz w:val="24"/>
              </w:rPr>
            </w:pPr>
            <w:r>
              <w:rPr>
                <w:color w:val="auto"/>
                <w:sz w:val="24"/>
              </w:rPr>
              <w:t>响和</w:t>
            </w:r>
          </w:p>
          <w:p w14:paraId="6BA0BABB">
            <w:pPr>
              <w:adjustRightInd w:val="0"/>
              <w:snapToGrid w:val="0"/>
              <w:jc w:val="center"/>
              <w:rPr>
                <w:color w:val="auto"/>
              </w:rPr>
            </w:pPr>
            <w:r>
              <w:rPr>
                <w:color w:val="auto"/>
                <w:sz w:val="24"/>
              </w:rPr>
              <w:t>保护措施</w:t>
            </w:r>
          </w:p>
        </w:tc>
        <w:tc>
          <w:tcPr>
            <w:tcW w:w="13605" w:type="dxa"/>
            <w:tcBorders>
              <w:tl2br w:val="nil"/>
              <w:tr2bl w:val="nil"/>
            </w:tcBorders>
          </w:tcPr>
          <w:p w14:paraId="14E727A7">
            <w:pPr>
              <w:pStyle w:val="40"/>
              <w:adjustRightInd w:val="0"/>
              <w:snapToGrid w:val="0"/>
              <w:spacing w:line="360" w:lineRule="auto"/>
              <w:ind w:firstLine="0" w:firstLineChars="0"/>
              <w:jc w:val="center"/>
              <w:rPr>
                <w:rFonts w:ascii="Times New Roman" w:hAnsi="Times New Roman" w:eastAsia="宋体"/>
                <w:b/>
                <w:bCs/>
                <w:color w:val="auto"/>
                <w:kern w:val="0"/>
              </w:rPr>
            </w:pPr>
            <w:r>
              <w:rPr>
                <w:rFonts w:hint="eastAsia" w:ascii="Times New Roman" w:hAnsi="Times New Roman" w:eastAsia="宋体"/>
                <w:b/>
                <w:bCs/>
                <w:color w:val="auto"/>
                <w:kern w:val="0"/>
              </w:rPr>
              <w:t>表4</w:t>
            </w:r>
            <w:r>
              <w:rPr>
                <w:rFonts w:hint="eastAsia" w:ascii="Times New Roman" w:hAnsi="Times New Roman" w:eastAsia="宋体"/>
                <w:b/>
                <w:bCs/>
                <w:color w:val="auto"/>
                <w:kern w:val="0"/>
                <w:lang w:val="en-US" w:eastAsia="zh-CN"/>
              </w:rPr>
              <w:t>.7</w:t>
            </w:r>
            <w:r>
              <w:rPr>
                <w:rFonts w:hint="eastAsia" w:ascii="Times New Roman" w:hAnsi="Times New Roman" w:eastAsia="宋体"/>
                <w:b/>
                <w:bCs/>
                <w:color w:val="auto"/>
                <w:kern w:val="0"/>
              </w:rPr>
              <w:t xml:space="preserve">  项目生产车间噪声源强 </w:t>
            </w:r>
            <w:r>
              <w:rPr>
                <w:rFonts w:ascii="Times New Roman" w:hAnsi="Times New Roman" w:eastAsia="宋体"/>
                <w:b/>
                <w:bCs/>
                <w:color w:val="auto"/>
                <w:kern w:val="0"/>
              </w:rPr>
              <w:t>dB（A）</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556"/>
              <w:gridCol w:w="1044"/>
              <w:gridCol w:w="977"/>
              <w:gridCol w:w="990"/>
              <w:gridCol w:w="570"/>
              <w:gridCol w:w="589"/>
              <w:gridCol w:w="611"/>
              <w:gridCol w:w="1518"/>
              <w:gridCol w:w="1704"/>
              <w:gridCol w:w="1418"/>
              <w:gridCol w:w="911"/>
              <w:gridCol w:w="1280"/>
              <w:gridCol w:w="730"/>
            </w:tblGrid>
            <w:tr w14:paraId="7716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 w:type="pct"/>
                  <w:vMerge w:val="restart"/>
                  <w:tcBorders>
                    <w:tl2br w:val="nil"/>
                    <w:tr2bl w:val="nil"/>
                  </w:tcBorders>
                  <w:noWrap w:val="0"/>
                  <w:vAlign w:val="center"/>
                </w:tcPr>
                <w:p w14:paraId="5CFBA7F7">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序号</w:t>
                  </w:r>
                </w:p>
              </w:tc>
              <w:tc>
                <w:tcPr>
                  <w:tcW w:w="207" w:type="pct"/>
                  <w:vMerge w:val="restart"/>
                  <w:tcBorders>
                    <w:tl2br w:val="nil"/>
                    <w:tr2bl w:val="nil"/>
                  </w:tcBorders>
                  <w:noWrap w:val="0"/>
                  <w:vAlign w:val="center"/>
                </w:tcPr>
                <w:p w14:paraId="6AD3AAE7">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建筑物名称</w:t>
                  </w:r>
                </w:p>
              </w:tc>
              <w:tc>
                <w:tcPr>
                  <w:tcW w:w="390" w:type="pct"/>
                  <w:vMerge w:val="restart"/>
                  <w:tcBorders>
                    <w:tl2br w:val="nil"/>
                    <w:tr2bl w:val="nil"/>
                  </w:tcBorders>
                  <w:noWrap w:val="0"/>
                  <w:vAlign w:val="center"/>
                </w:tcPr>
                <w:p w14:paraId="096E34DB">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声源名称</w:t>
                  </w:r>
                </w:p>
              </w:tc>
              <w:tc>
                <w:tcPr>
                  <w:tcW w:w="365" w:type="pct"/>
                  <w:tcBorders>
                    <w:tl2br w:val="nil"/>
                    <w:tr2bl w:val="nil"/>
                  </w:tcBorders>
                  <w:noWrap w:val="0"/>
                  <w:vAlign w:val="center"/>
                </w:tcPr>
                <w:p w14:paraId="523EA3AE">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声源源强dB（A）</w:t>
                  </w:r>
                </w:p>
              </w:tc>
              <w:tc>
                <w:tcPr>
                  <w:tcW w:w="370" w:type="pct"/>
                  <w:vMerge w:val="restart"/>
                  <w:tcBorders>
                    <w:tl2br w:val="nil"/>
                    <w:tr2bl w:val="nil"/>
                  </w:tcBorders>
                  <w:noWrap w:val="0"/>
                  <w:vAlign w:val="center"/>
                </w:tcPr>
                <w:p w14:paraId="7215C985">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b w:val="0"/>
                      <w:bCs w:val="0"/>
                      <w:color w:val="auto"/>
                      <w:lang w:val="en-US" w:eastAsia="zh-CN"/>
                    </w:rPr>
                  </w:pPr>
                  <w:r>
                    <w:rPr>
                      <w:rFonts w:hint="eastAsia"/>
                      <w:b w:val="0"/>
                      <w:bCs w:val="0"/>
                      <w:color w:val="auto"/>
                      <w:lang w:val="en-US" w:eastAsia="zh-CN"/>
                    </w:rPr>
                    <w:t>声源控制措施</w:t>
                  </w:r>
                </w:p>
              </w:tc>
              <w:tc>
                <w:tcPr>
                  <w:tcW w:w="661" w:type="pct"/>
                  <w:gridSpan w:val="3"/>
                  <w:tcBorders>
                    <w:tl2br w:val="nil"/>
                    <w:tr2bl w:val="nil"/>
                  </w:tcBorders>
                  <w:noWrap w:val="0"/>
                  <w:vAlign w:val="center"/>
                </w:tcPr>
                <w:p w14:paraId="1D2F7A3F">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空间相对位置m</w:t>
                  </w:r>
                </w:p>
              </w:tc>
              <w:tc>
                <w:tcPr>
                  <w:tcW w:w="567" w:type="pct"/>
                  <w:vMerge w:val="restart"/>
                  <w:tcBorders>
                    <w:tl2br w:val="nil"/>
                    <w:tr2bl w:val="nil"/>
                  </w:tcBorders>
                  <w:noWrap w:val="0"/>
                  <w:vAlign w:val="center"/>
                </w:tcPr>
                <w:p w14:paraId="7FAC4E27">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距离室内边界距离m</w:t>
                  </w:r>
                </w:p>
              </w:tc>
              <w:tc>
                <w:tcPr>
                  <w:tcW w:w="637" w:type="pct"/>
                  <w:vMerge w:val="restart"/>
                  <w:tcBorders>
                    <w:tl2br w:val="nil"/>
                    <w:tr2bl w:val="nil"/>
                  </w:tcBorders>
                  <w:noWrap w:val="0"/>
                  <w:vAlign w:val="center"/>
                </w:tcPr>
                <w:p w14:paraId="77D43389">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室内边界声级dB（A）</w:t>
                  </w:r>
                </w:p>
              </w:tc>
              <w:tc>
                <w:tcPr>
                  <w:tcW w:w="530" w:type="pct"/>
                  <w:vMerge w:val="restart"/>
                  <w:tcBorders>
                    <w:tl2br w:val="nil"/>
                    <w:tr2bl w:val="nil"/>
                  </w:tcBorders>
                  <w:noWrap w:val="0"/>
                  <w:vAlign w:val="center"/>
                </w:tcPr>
                <w:p w14:paraId="0BD29963">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运行时段</w:t>
                  </w:r>
                </w:p>
              </w:tc>
              <w:tc>
                <w:tcPr>
                  <w:tcW w:w="340" w:type="pct"/>
                  <w:vMerge w:val="restart"/>
                  <w:tcBorders>
                    <w:tl2br w:val="nil"/>
                    <w:tr2bl w:val="nil"/>
                  </w:tcBorders>
                  <w:noWrap w:val="0"/>
                  <w:vAlign w:val="center"/>
                </w:tcPr>
                <w:p w14:paraId="7821B8F4">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建筑物插入损失dB（A）</w:t>
                  </w:r>
                </w:p>
              </w:tc>
              <w:tc>
                <w:tcPr>
                  <w:tcW w:w="751" w:type="pct"/>
                  <w:gridSpan w:val="2"/>
                  <w:tcBorders>
                    <w:tl2br w:val="nil"/>
                    <w:tr2bl w:val="nil"/>
                  </w:tcBorders>
                  <w:noWrap w:val="0"/>
                  <w:vAlign w:val="center"/>
                </w:tcPr>
                <w:p w14:paraId="18BA4493">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建筑物外噪声</w:t>
                  </w:r>
                </w:p>
              </w:tc>
            </w:tr>
            <w:tr w14:paraId="31F3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 w:type="pct"/>
                  <w:vMerge w:val="continue"/>
                  <w:tcBorders>
                    <w:tl2br w:val="nil"/>
                    <w:tr2bl w:val="nil"/>
                  </w:tcBorders>
                  <w:noWrap w:val="0"/>
                  <w:vAlign w:val="center"/>
                </w:tcPr>
                <w:p w14:paraId="209FFC96">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207" w:type="pct"/>
                  <w:vMerge w:val="continue"/>
                  <w:tcBorders>
                    <w:tl2br w:val="nil"/>
                    <w:tr2bl w:val="nil"/>
                  </w:tcBorders>
                  <w:noWrap w:val="0"/>
                  <w:vAlign w:val="center"/>
                </w:tcPr>
                <w:p w14:paraId="07462708">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390" w:type="pct"/>
                  <w:vMerge w:val="continue"/>
                  <w:tcBorders>
                    <w:tl2br w:val="nil"/>
                    <w:tr2bl w:val="nil"/>
                  </w:tcBorders>
                  <w:noWrap w:val="0"/>
                  <w:vAlign w:val="center"/>
                </w:tcPr>
                <w:p w14:paraId="08E084F9">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365" w:type="pct"/>
                  <w:tcBorders>
                    <w:tl2br w:val="nil"/>
                    <w:tr2bl w:val="nil"/>
                  </w:tcBorders>
                  <w:noWrap w:val="0"/>
                  <w:vAlign w:val="center"/>
                </w:tcPr>
                <w:p w14:paraId="580CF9B1">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声功率级</w:t>
                  </w:r>
                </w:p>
              </w:tc>
              <w:tc>
                <w:tcPr>
                  <w:tcW w:w="370" w:type="pct"/>
                  <w:vMerge w:val="continue"/>
                  <w:tcBorders>
                    <w:tl2br w:val="nil"/>
                    <w:tr2bl w:val="nil"/>
                  </w:tcBorders>
                  <w:noWrap w:val="0"/>
                  <w:vAlign w:val="center"/>
                </w:tcPr>
                <w:p w14:paraId="33B7358E">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213" w:type="pct"/>
                  <w:tcBorders>
                    <w:tl2br w:val="nil"/>
                    <w:tr2bl w:val="nil"/>
                  </w:tcBorders>
                  <w:noWrap w:val="0"/>
                  <w:vAlign w:val="center"/>
                </w:tcPr>
                <w:p w14:paraId="164EFD55">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X</w:t>
                  </w:r>
                </w:p>
              </w:tc>
              <w:tc>
                <w:tcPr>
                  <w:tcW w:w="220" w:type="pct"/>
                  <w:tcBorders>
                    <w:tl2br w:val="nil"/>
                    <w:tr2bl w:val="nil"/>
                  </w:tcBorders>
                  <w:noWrap w:val="0"/>
                  <w:vAlign w:val="center"/>
                </w:tcPr>
                <w:p w14:paraId="0F67D129">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Y</w:t>
                  </w:r>
                </w:p>
              </w:tc>
              <w:tc>
                <w:tcPr>
                  <w:tcW w:w="228" w:type="pct"/>
                  <w:tcBorders>
                    <w:tl2br w:val="nil"/>
                    <w:tr2bl w:val="nil"/>
                  </w:tcBorders>
                  <w:noWrap w:val="0"/>
                  <w:vAlign w:val="center"/>
                </w:tcPr>
                <w:p w14:paraId="7D2C9BA7">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Z</w:t>
                  </w:r>
                </w:p>
              </w:tc>
              <w:tc>
                <w:tcPr>
                  <w:tcW w:w="567" w:type="pct"/>
                  <w:vMerge w:val="continue"/>
                  <w:tcBorders>
                    <w:tl2br w:val="nil"/>
                    <w:tr2bl w:val="nil"/>
                  </w:tcBorders>
                  <w:noWrap w:val="0"/>
                  <w:vAlign w:val="center"/>
                </w:tcPr>
                <w:p w14:paraId="7F4454CE">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637" w:type="pct"/>
                  <w:vMerge w:val="continue"/>
                  <w:tcBorders>
                    <w:tl2br w:val="nil"/>
                    <w:tr2bl w:val="nil"/>
                  </w:tcBorders>
                  <w:noWrap w:val="0"/>
                  <w:vAlign w:val="center"/>
                </w:tcPr>
                <w:p w14:paraId="02621692">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0"/>
                      <w:lang w:val="en-US" w:eastAsia="zh-CN" w:bidi="ar-SA"/>
                    </w:rPr>
                  </w:pPr>
                </w:p>
              </w:tc>
              <w:tc>
                <w:tcPr>
                  <w:tcW w:w="530" w:type="pct"/>
                  <w:vMerge w:val="continue"/>
                  <w:tcBorders>
                    <w:tl2br w:val="nil"/>
                    <w:tr2bl w:val="nil"/>
                  </w:tcBorders>
                  <w:noWrap w:val="0"/>
                  <w:vAlign w:val="center"/>
                </w:tcPr>
                <w:p w14:paraId="4B692D6E">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340" w:type="pct"/>
                  <w:vMerge w:val="continue"/>
                  <w:tcBorders>
                    <w:tl2br w:val="nil"/>
                    <w:tr2bl w:val="nil"/>
                  </w:tcBorders>
                  <w:noWrap w:val="0"/>
                  <w:vAlign w:val="center"/>
                </w:tcPr>
                <w:p w14:paraId="395EE232">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478" w:type="pct"/>
                  <w:tcBorders>
                    <w:tl2br w:val="nil"/>
                    <w:tr2bl w:val="nil"/>
                  </w:tcBorders>
                  <w:noWrap w:val="0"/>
                  <w:vAlign w:val="center"/>
                </w:tcPr>
                <w:p w14:paraId="0DA78ABB">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声压级dB（A）</w:t>
                  </w:r>
                </w:p>
              </w:tc>
              <w:tc>
                <w:tcPr>
                  <w:tcW w:w="273" w:type="pct"/>
                  <w:tcBorders>
                    <w:tl2br w:val="nil"/>
                    <w:tr2bl w:val="nil"/>
                  </w:tcBorders>
                  <w:noWrap w:val="0"/>
                  <w:vAlign w:val="center"/>
                </w:tcPr>
                <w:p w14:paraId="41B5A1C3">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建筑物外距离</w:t>
                  </w:r>
                </w:p>
              </w:tc>
            </w:tr>
            <w:tr w14:paraId="71F0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 w:type="pct"/>
                  <w:tcBorders>
                    <w:tl2br w:val="nil"/>
                    <w:tr2bl w:val="nil"/>
                  </w:tcBorders>
                  <w:noWrap w:val="0"/>
                  <w:vAlign w:val="center"/>
                </w:tcPr>
                <w:p w14:paraId="181C603D">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1</w:t>
                  </w:r>
                </w:p>
              </w:tc>
              <w:tc>
                <w:tcPr>
                  <w:tcW w:w="207" w:type="pct"/>
                  <w:vMerge w:val="restart"/>
                  <w:tcBorders>
                    <w:tl2br w:val="nil"/>
                    <w:tr2bl w:val="nil"/>
                  </w:tcBorders>
                  <w:noWrap w:val="0"/>
                  <w:vAlign w:val="center"/>
                </w:tcPr>
                <w:p w14:paraId="40455AA4">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eastAsia="宋体"/>
                      <w:b w:val="0"/>
                      <w:bCs w:val="0"/>
                      <w:color w:val="auto"/>
                      <w:lang w:val="en-US" w:eastAsia="zh-CN"/>
                    </w:rPr>
                  </w:pPr>
                  <w:r>
                    <w:rPr>
                      <w:rFonts w:hint="eastAsia"/>
                      <w:b w:val="0"/>
                      <w:bCs w:val="0"/>
                      <w:color w:val="auto"/>
                      <w:lang w:eastAsia="zh-CN"/>
                    </w:rPr>
                    <w:t>生产车间</w:t>
                  </w:r>
                </w:p>
              </w:tc>
              <w:tc>
                <w:tcPr>
                  <w:tcW w:w="390" w:type="pct"/>
                  <w:tcBorders>
                    <w:tl2br w:val="nil"/>
                    <w:tr2bl w:val="nil"/>
                  </w:tcBorders>
                  <w:shd w:val="clear" w:color="auto" w:fill="auto"/>
                  <w:noWrap w:val="0"/>
                  <w:vAlign w:val="center"/>
                </w:tcPr>
                <w:p w14:paraId="30F34E9F">
                  <w:pPr>
                    <w:widowControl/>
                    <w:jc w:val="center"/>
                    <w:rPr>
                      <w:rFonts w:hint="default" w:ascii="宋体" w:hAnsi="宋体" w:eastAsia="宋体" w:cs="宋体"/>
                      <w:b w:val="0"/>
                      <w:bCs w:val="0"/>
                      <w:snapToGrid/>
                      <w:color w:val="auto"/>
                      <w:spacing w:val="0"/>
                      <w:kern w:val="0"/>
                      <w:position w:val="0"/>
                      <w:sz w:val="21"/>
                      <w:szCs w:val="21"/>
                      <w:highlight w:val="none"/>
                      <w:lang w:val="en-US" w:eastAsia="zh-CN" w:bidi="ar-SA"/>
                    </w:rPr>
                  </w:pPr>
                  <w:r>
                    <w:rPr>
                      <w:rFonts w:hint="eastAsia" w:eastAsia="华文中宋"/>
                      <w:b w:val="0"/>
                      <w:bCs w:val="0"/>
                      <w:color w:val="auto"/>
                      <w:sz w:val="21"/>
                      <w:szCs w:val="21"/>
                      <w:highlight w:val="none"/>
                      <w:lang w:val="en-US" w:eastAsia="zh-CN"/>
                    </w:rPr>
                    <w:t>搅拌机</w:t>
                  </w:r>
                </w:p>
              </w:tc>
              <w:tc>
                <w:tcPr>
                  <w:tcW w:w="365" w:type="pct"/>
                  <w:tcBorders>
                    <w:tl2br w:val="nil"/>
                    <w:tr2bl w:val="nil"/>
                  </w:tcBorders>
                  <w:noWrap w:val="0"/>
                  <w:vAlign w:val="center"/>
                </w:tcPr>
                <w:p w14:paraId="7E126F28">
                  <w:pPr>
                    <w:widowControl/>
                    <w:jc w:val="center"/>
                    <w:rPr>
                      <w:rFonts w:hint="default" w:ascii="Times New Roman" w:hAnsi="Times New Roman" w:eastAsia="宋体" w:cs="Times New Roman"/>
                      <w:b w:val="0"/>
                      <w:bCs w:val="0"/>
                      <w:snapToGrid/>
                      <w:color w:val="auto"/>
                      <w:spacing w:val="0"/>
                      <w:kern w:val="0"/>
                      <w:position w:val="0"/>
                      <w:sz w:val="21"/>
                      <w:szCs w:val="22"/>
                      <w:lang w:val="en-US" w:eastAsia="zh-CN" w:bidi="ar-SA"/>
                    </w:rPr>
                  </w:pPr>
                  <w:r>
                    <w:rPr>
                      <w:rFonts w:hint="eastAsia" w:cs="Times New Roman"/>
                      <w:b w:val="0"/>
                      <w:bCs w:val="0"/>
                      <w:snapToGrid/>
                      <w:color w:val="auto"/>
                      <w:spacing w:val="0"/>
                      <w:kern w:val="0"/>
                      <w:position w:val="0"/>
                      <w:sz w:val="21"/>
                      <w:szCs w:val="22"/>
                      <w:highlight w:val="none"/>
                      <w:lang w:val="en-US" w:eastAsia="zh-CN" w:bidi="ar-SA"/>
                    </w:rPr>
                    <w:t>85</w:t>
                  </w:r>
                </w:p>
              </w:tc>
              <w:tc>
                <w:tcPr>
                  <w:tcW w:w="370" w:type="pct"/>
                  <w:vMerge w:val="restart"/>
                  <w:tcBorders>
                    <w:tl2br w:val="nil"/>
                    <w:tr2bl w:val="nil"/>
                  </w:tcBorders>
                  <w:noWrap w:val="0"/>
                  <w:vAlign w:val="center"/>
                </w:tcPr>
                <w:p w14:paraId="508405A9">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default" w:ascii="Times New Roman" w:hAnsi="Times New Roman" w:eastAsia="宋体" w:cs="Times New Roman"/>
                      <w:b w:val="0"/>
                      <w:bCs w:val="0"/>
                      <w:color w:val="auto"/>
                      <w:sz w:val="21"/>
                    </w:rPr>
                    <w:t>选用低噪声设备、加设减振基础、厂房隔声、距离衰减</w:t>
                  </w:r>
                </w:p>
              </w:tc>
              <w:tc>
                <w:tcPr>
                  <w:tcW w:w="213" w:type="pct"/>
                  <w:tcBorders>
                    <w:tl2br w:val="nil"/>
                    <w:tr2bl w:val="nil"/>
                  </w:tcBorders>
                  <w:noWrap w:val="0"/>
                  <w:vAlign w:val="center"/>
                </w:tcPr>
                <w:p w14:paraId="42309B3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-13</w:t>
                  </w:r>
                </w:p>
              </w:tc>
              <w:tc>
                <w:tcPr>
                  <w:tcW w:w="220" w:type="pct"/>
                  <w:tcBorders>
                    <w:tl2br w:val="nil"/>
                    <w:tr2bl w:val="nil"/>
                  </w:tcBorders>
                  <w:noWrap w:val="0"/>
                  <w:vAlign w:val="center"/>
                </w:tcPr>
                <w:p w14:paraId="41F32E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-54</w:t>
                  </w:r>
                </w:p>
              </w:tc>
              <w:tc>
                <w:tcPr>
                  <w:tcW w:w="228" w:type="pct"/>
                  <w:tcBorders>
                    <w:tl2br w:val="nil"/>
                    <w:tr2bl w:val="nil"/>
                  </w:tcBorders>
                  <w:noWrap w:val="0"/>
                  <w:vAlign w:val="center"/>
                </w:tcPr>
                <w:p w14:paraId="10F821A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w:t>
                  </w:r>
                </w:p>
              </w:tc>
              <w:tc>
                <w:tcPr>
                  <w:tcW w:w="567" w:type="pct"/>
                  <w:tcBorders>
                    <w:tl2br w:val="nil"/>
                    <w:tr2bl w:val="nil"/>
                  </w:tcBorders>
                  <w:noWrap w:val="0"/>
                  <w:vAlign w:val="center"/>
                </w:tcPr>
                <w:p w14:paraId="5A91754D">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宋体"/>
                      <w:b w:val="0"/>
                      <w:bCs w:val="0"/>
                      <w:color w:val="FF0000"/>
                      <w:spacing w:val="-2"/>
                      <w:sz w:val="21"/>
                      <w:szCs w:val="20"/>
                      <w:lang w:val="en-US" w:eastAsia="zh-CN" w:bidi="ar-SA"/>
                    </w:rPr>
                  </w:pPr>
                  <w:r>
                    <w:rPr>
                      <w:rFonts w:hint="eastAsia" w:cs="宋体"/>
                      <w:b w:val="0"/>
                      <w:bCs w:val="0"/>
                      <w:color w:val="auto"/>
                      <w:spacing w:val="-2"/>
                      <w:kern w:val="2"/>
                      <w:sz w:val="21"/>
                      <w:szCs w:val="20"/>
                      <w:lang w:val="en-US" w:eastAsia="zh-CN" w:bidi="ar-SA"/>
                    </w:rPr>
                    <w:t>E:14、S:82、W:23、N:115</w:t>
                  </w:r>
                </w:p>
              </w:tc>
              <w:tc>
                <w:tcPr>
                  <w:tcW w:w="637" w:type="pct"/>
                  <w:tcBorders>
                    <w:tl2br w:val="nil"/>
                    <w:tr2bl w:val="nil"/>
                  </w:tcBorders>
                  <w:noWrap w:val="0"/>
                  <w:vAlign w:val="center"/>
                </w:tcPr>
                <w:p w14:paraId="4A73E559">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cs="宋体"/>
                      <w:b w:val="0"/>
                      <w:bCs w:val="0"/>
                      <w:color w:val="auto"/>
                      <w:spacing w:val="-2"/>
                      <w:kern w:val="2"/>
                      <w:sz w:val="21"/>
                      <w:szCs w:val="20"/>
                      <w:lang w:val="en-US" w:eastAsia="zh-CN" w:bidi="ar-SA"/>
                    </w:rPr>
                    <w:t>E:62、S:46、W:57、N:43</w:t>
                  </w:r>
                </w:p>
              </w:tc>
              <w:tc>
                <w:tcPr>
                  <w:tcW w:w="530" w:type="pct"/>
                  <w:tcBorders>
                    <w:tl2br w:val="nil"/>
                    <w:tr2bl w:val="nil"/>
                  </w:tcBorders>
                  <w:noWrap w:val="0"/>
                  <w:vAlign w:val="center"/>
                </w:tcPr>
                <w:p w14:paraId="44D813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3A284F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c>
                <w:tcPr>
                  <w:tcW w:w="340" w:type="pct"/>
                  <w:tcBorders>
                    <w:tl2br w:val="nil"/>
                    <w:tr2bl w:val="nil"/>
                  </w:tcBorders>
                  <w:noWrap w:val="0"/>
                  <w:vAlign w:val="center"/>
                </w:tcPr>
                <w:p w14:paraId="1840335E">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highlight w:val="none"/>
                      <w:lang w:val="en-US" w:eastAsia="zh-CN"/>
                    </w:rPr>
                    <w:t>15</w:t>
                  </w:r>
                </w:p>
              </w:tc>
              <w:tc>
                <w:tcPr>
                  <w:tcW w:w="478" w:type="pct"/>
                  <w:tcBorders>
                    <w:tl2br w:val="nil"/>
                    <w:tr2bl w:val="nil"/>
                  </w:tcBorders>
                  <w:noWrap w:val="0"/>
                  <w:vAlign w:val="center"/>
                </w:tcPr>
                <w:p w14:paraId="3AC64FB9">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cs="宋体"/>
                      <w:b w:val="0"/>
                      <w:bCs w:val="0"/>
                      <w:color w:val="auto"/>
                      <w:spacing w:val="-2"/>
                      <w:kern w:val="2"/>
                      <w:sz w:val="21"/>
                      <w:szCs w:val="20"/>
                      <w:lang w:val="en-US" w:eastAsia="zh-CN" w:bidi="ar-SA"/>
                    </w:rPr>
                  </w:pPr>
                  <w:r>
                    <w:rPr>
                      <w:rFonts w:hint="eastAsia" w:cs="宋体"/>
                      <w:b w:val="0"/>
                      <w:bCs w:val="0"/>
                      <w:color w:val="auto"/>
                      <w:spacing w:val="-2"/>
                      <w:kern w:val="2"/>
                      <w:sz w:val="21"/>
                      <w:szCs w:val="20"/>
                      <w:lang w:val="en-US" w:eastAsia="zh-CN" w:bidi="ar-SA"/>
                    </w:rPr>
                    <w:t>E:47、S:29</w:t>
                  </w:r>
                </w:p>
                <w:p w14:paraId="04F92024">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b w:val="0"/>
                      <w:bCs w:val="0"/>
                      <w:color w:val="auto"/>
                      <w:lang w:val="en-US" w:eastAsia="zh-CN"/>
                    </w:rPr>
                  </w:pPr>
                  <w:r>
                    <w:rPr>
                      <w:rFonts w:hint="eastAsia" w:cs="宋体"/>
                      <w:b w:val="0"/>
                      <w:bCs w:val="0"/>
                      <w:color w:val="auto"/>
                      <w:spacing w:val="-2"/>
                      <w:kern w:val="2"/>
                      <w:sz w:val="21"/>
                      <w:szCs w:val="20"/>
                      <w:lang w:val="en-US" w:eastAsia="zh-CN" w:bidi="ar-SA"/>
                    </w:rPr>
                    <w:t>W:42、N:28</w:t>
                  </w:r>
                </w:p>
              </w:tc>
              <w:tc>
                <w:tcPr>
                  <w:tcW w:w="273" w:type="pct"/>
                  <w:tcBorders>
                    <w:tl2br w:val="nil"/>
                    <w:tr2bl w:val="nil"/>
                  </w:tcBorders>
                  <w:noWrap w:val="0"/>
                  <w:vAlign w:val="center"/>
                </w:tcPr>
                <w:p w14:paraId="700B9F7F">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1m</w:t>
                  </w:r>
                </w:p>
              </w:tc>
            </w:tr>
            <w:tr w14:paraId="4691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 w:type="pct"/>
                  <w:tcBorders>
                    <w:tl2br w:val="nil"/>
                    <w:tr2bl w:val="nil"/>
                  </w:tcBorders>
                  <w:noWrap w:val="0"/>
                  <w:vAlign w:val="center"/>
                </w:tcPr>
                <w:p w14:paraId="02F11B9B">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2</w:t>
                  </w:r>
                </w:p>
              </w:tc>
              <w:tc>
                <w:tcPr>
                  <w:tcW w:w="207" w:type="pct"/>
                  <w:vMerge w:val="continue"/>
                  <w:tcBorders>
                    <w:tl2br w:val="nil"/>
                    <w:tr2bl w:val="nil"/>
                  </w:tcBorders>
                  <w:noWrap w:val="0"/>
                  <w:vAlign w:val="center"/>
                </w:tcPr>
                <w:p w14:paraId="12D41440">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390" w:type="pct"/>
                  <w:tcBorders>
                    <w:tl2br w:val="nil"/>
                    <w:tr2bl w:val="nil"/>
                  </w:tcBorders>
                  <w:shd w:val="clear" w:color="auto" w:fill="auto"/>
                  <w:noWrap w:val="0"/>
                  <w:vAlign w:val="center"/>
                </w:tcPr>
                <w:p w14:paraId="60D8B6CF">
                  <w:pPr>
                    <w:widowControl/>
                    <w:jc w:val="center"/>
                    <w:rPr>
                      <w:rFonts w:hint="default" w:ascii="宋体" w:hAnsi="宋体" w:eastAsia="宋体" w:cs="宋体"/>
                      <w:b w:val="0"/>
                      <w:bCs w:val="0"/>
                      <w:snapToGrid/>
                      <w:color w:val="auto"/>
                      <w:spacing w:val="0"/>
                      <w:kern w:val="0"/>
                      <w:position w:val="0"/>
                      <w:sz w:val="21"/>
                      <w:szCs w:val="21"/>
                      <w:highlight w:val="none"/>
                      <w:lang w:val="en-US" w:eastAsia="zh-CN" w:bidi="ar-SA"/>
                    </w:rPr>
                  </w:pPr>
                  <w:r>
                    <w:rPr>
                      <w:rFonts w:hint="eastAsia" w:ascii="宋体" w:hAnsi="宋体" w:eastAsia="宋体" w:cs="宋体"/>
                      <w:b w:val="0"/>
                      <w:bCs w:val="0"/>
                      <w:color w:val="auto"/>
                      <w:sz w:val="21"/>
                      <w:szCs w:val="21"/>
                      <w:vertAlign w:val="baseline"/>
                      <w:lang w:val="en-US" w:eastAsia="zh-CN"/>
                    </w:rPr>
                    <w:t>破碎机</w:t>
                  </w:r>
                </w:p>
              </w:tc>
              <w:tc>
                <w:tcPr>
                  <w:tcW w:w="365" w:type="pct"/>
                  <w:tcBorders>
                    <w:tl2br w:val="nil"/>
                    <w:tr2bl w:val="nil"/>
                  </w:tcBorders>
                  <w:noWrap w:val="0"/>
                  <w:vAlign w:val="center"/>
                </w:tcPr>
                <w:p w14:paraId="4AF4A2D4">
                  <w:pPr>
                    <w:widowControl/>
                    <w:jc w:val="center"/>
                    <w:rPr>
                      <w:rFonts w:hint="default" w:ascii="Times New Roman" w:hAnsi="Times New Roman" w:eastAsia="宋体" w:cs="Times New Roman"/>
                      <w:b w:val="0"/>
                      <w:bCs w:val="0"/>
                      <w:snapToGrid/>
                      <w:color w:val="auto"/>
                      <w:spacing w:val="0"/>
                      <w:kern w:val="0"/>
                      <w:position w:val="0"/>
                      <w:sz w:val="21"/>
                      <w:szCs w:val="22"/>
                      <w:lang w:val="en-US" w:eastAsia="zh-CN" w:bidi="ar-SA"/>
                    </w:rPr>
                  </w:pPr>
                  <w:r>
                    <w:rPr>
                      <w:rFonts w:hint="eastAsia" w:cs="Times New Roman"/>
                      <w:b w:val="0"/>
                      <w:bCs w:val="0"/>
                      <w:snapToGrid/>
                      <w:color w:val="auto"/>
                      <w:spacing w:val="0"/>
                      <w:kern w:val="0"/>
                      <w:position w:val="0"/>
                      <w:sz w:val="21"/>
                      <w:szCs w:val="22"/>
                      <w:highlight w:val="none"/>
                      <w:lang w:val="en-US" w:eastAsia="zh-CN" w:bidi="ar-SA"/>
                    </w:rPr>
                    <w:t>85</w:t>
                  </w:r>
                </w:p>
              </w:tc>
              <w:tc>
                <w:tcPr>
                  <w:tcW w:w="370" w:type="pct"/>
                  <w:vMerge w:val="continue"/>
                  <w:tcBorders>
                    <w:tl2br w:val="nil"/>
                    <w:tr2bl w:val="nil"/>
                  </w:tcBorders>
                  <w:noWrap w:val="0"/>
                  <w:vAlign w:val="center"/>
                </w:tcPr>
                <w:p w14:paraId="1B1CE92D">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213" w:type="pct"/>
                  <w:tcBorders>
                    <w:tl2br w:val="nil"/>
                    <w:tr2bl w:val="nil"/>
                  </w:tcBorders>
                  <w:noWrap w:val="0"/>
                  <w:vAlign w:val="center"/>
                </w:tcPr>
                <w:p w14:paraId="6AB1B02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-7</w:t>
                  </w:r>
                </w:p>
              </w:tc>
              <w:tc>
                <w:tcPr>
                  <w:tcW w:w="220" w:type="pct"/>
                  <w:tcBorders>
                    <w:tl2br w:val="nil"/>
                    <w:tr2bl w:val="nil"/>
                  </w:tcBorders>
                  <w:noWrap w:val="0"/>
                  <w:vAlign w:val="center"/>
                </w:tcPr>
                <w:p w14:paraId="303D75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-52</w:t>
                  </w:r>
                </w:p>
              </w:tc>
              <w:tc>
                <w:tcPr>
                  <w:tcW w:w="228" w:type="pct"/>
                  <w:tcBorders>
                    <w:tl2br w:val="nil"/>
                    <w:tr2bl w:val="nil"/>
                  </w:tcBorders>
                  <w:noWrap w:val="0"/>
                  <w:vAlign w:val="center"/>
                </w:tcPr>
                <w:p w14:paraId="435957D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w:t>
                  </w:r>
                </w:p>
              </w:tc>
              <w:tc>
                <w:tcPr>
                  <w:tcW w:w="567" w:type="pct"/>
                  <w:tcBorders>
                    <w:tl2br w:val="nil"/>
                    <w:tr2bl w:val="nil"/>
                  </w:tcBorders>
                  <w:noWrap w:val="0"/>
                  <w:vAlign w:val="center"/>
                </w:tcPr>
                <w:p w14:paraId="753A7F4A">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宋体"/>
                      <w:b w:val="0"/>
                      <w:bCs w:val="0"/>
                      <w:color w:val="FF0000"/>
                      <w:spacing w:val="-2"/>
                      <w:sz w:val="21"/>
                      <w:szCs w:val="20"/>
                      <w:lang w:val="en-US" w:eastAsia="zh-CN" w:bidi="ar-SA"/>
                    </w:rPr>
                  </w:pPr>
                  <w:r>
                    <w:rPr>
                      <w:rFonts w:hint="eastAsia" w:cs="宋体"/>
                      <w:b w:val="0"/>
                      <w:bCs w:val="0"/>
                      <w:color w:val="auto"/>
                      <w:spacing w:val="-2"/>
                      <w:kern w:val="2"/>
                      <w:sz w:val="21"/>
                      <w:szCs w:val="20"/>
                      <w:lang w:val="en-US" w:eastAsia="zh-CN" w:bidi="ar-SA"/>
                    </w:rPr>
                    <w:t>E:8、S:83、W:29、N:114</w:t>
                  </w:r>
                </w:p>
              </w:tc>
              <w:tc>
                <w:tcPr>
                  <w:tcW w:w="637" w:type="pct"/>
                  <w:tcBorders>
                    <w:tl2br w:val="nil"/>
                    <w:tr2bl w:val="nil"/>
                  </w:tcBorders>
                  <w:noWrap w:val="0"/>
                  <w:vAlign w:val="center"/>
                </w:tcPr>
                <w:p w14:paraId="5BDEDF39">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cs="宋体"/>
                      <w:b w:val="0"/>
                      <w:bCs w:val="0"/>
                      <w:color w:val="auto"/>
                      <w:spacing w:val="-2"/>
                      <w:kern w:val="2"/>
                      <w:sz w:val="21"/>
                      <w:szCs w:val="20"/>
                      <w:lang w:val="en-US" w:eastAsia="zh-CN" w:bidi="ar-SA"/>
                    </w:rPr>
                    <w:t>E:67、S:47、W:56、N:44</w:t>
                  </w:r>
                </w:p>
              </w:tc>
              <w:tc>
                <w:tcPr>
                  <w:tcW w:w="530" w:type="pct"/>
                  <w:tcBorders>
                    <w:tl2br w:val="nil"/>
                    <w:tr2bl w:val="nil"/>
                  </w:tcBorders>
                  <w:noWrap w:val="0"/>
                  <w:vAlign w:val="center"/>
                </w:tcPr>
                <w:p w14:paraId="537117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38F6EC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c>
                <w:tcPr>
                  <w:tcW w:w="340" w:type="pct"/>
                  <w:tcBorders>
                    <w:tl2br w:val="nil"/>
                    <w:tr2bl w:val="nil"/>
                  </w:tcBorders>
                  <w:noWrap w:val="0"/>
                  <w:vAlign w:val="center"/>
                </w:tcPr>
                <w:p w14:paraId="43932631">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highlight w:val="none"/>
                      <w:lang w:val="en-US" w:eastAsia="zh-CN"/>
                    </w:rPr>
                    <w:t>15</w:t>
                  </w:r>
                </w:p>
              </w:tc>
              <w:tc>
                <w:tcPr>
                  <w:tcW w:w="478" w:type="pct"/>
                  <w:tcBorders>
                    <w:tl2br w:val="nil"/>
                    <w:tr2bl w:val="nil"/>
                  </w:tcBorders>
                  <w:noWrap w:val="0"/>
                  <w:vAlign w:val="center"/>
                </w:tcPr>
                <w:p w14:paraId="72B294ED">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b w:val="0"/>
                      <w:bCs w:val="0"/>
                      <w:color w:val="auto"/>
                      <w:sz w:val="21"/>
                      <w:szCs w:val="20"/>
                      <w:lang w:val="en-US" w:eastAsia="zh-CN"/>
                    </w:rPr>
                  </w:pPr>
                  <w:r>
                    <w:rPr>
                      <w:rFonts w:hint="eastAsia" w:cs="宋体"/>
                      <w:b w:val="0"/>
                      <w:bCs w:val="0"/>
                      <w:color w:val="auto"/>
                      <w:spacing w:val="-2"/>
                      <w:kern w:val="2"/>
                      <w:sz w:val="21"/>
                      <w:szCs w:val="20"/>
                      <w:lang w:val="en-US" w:eastAsia="zh-CN" w:bidi="ar-SA"/>
                    </w:rPr>
                    <w:t>E:52、S:32、W:41、N:39</w:t>
                  </w:r>
                </w:p>
              </w:tc>
              <w:tc>
                <w:tcPr>
                  <w:tcW w:w="273" w:type="pct"/>
                  <w:tcBorders>
                    <w:tl2br w:val="nil"/>
                    <w:tr2bl w:val="nil"/>
                  </w:tcBorders>
                  <w:noWrap w:val="0"/>
                  <w:vAlign w:val="center"/>
                </w:tcPr>
                <w:p w14:paraId="44E600BE">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1m</w:t>
                  </w:r>
                </w:p>
              </w:tc>
            </w:tr>
            <w:tr w14:paraId="6892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 w:type="pct"/>
                  <w:tcBorders>
                    <w:tl2br w:val="nil"/>
                    <w:tr2bl w:val="nil"/>
                  </w:tcBorders>
                  <w:noWrap w:val="0"/>
                  <w:vAlign w:val="center"/>
                </w:tcPr>
                <w:p w14:paraId="44B58759">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r>
                    <w:rPr>
                      <w:rFonts w:hint="eastAsia"/>
                      <w:b w:val="0"/>
                      <w:bCs w:val="0"/>
                      <w:color w:val="auto"/>
                      <w:lang w:val="en-US" w:eastAsia="zh-CN"/>
                    </w:rPr>
                    <w:t>3</w:t>
                  </w:r>
                </w:p>
              </w:tc>
              <w:tc>
                <w:tcPr>
                  <w:tcW w:w="207" w:type="pct"/>
                  <w:vMerge w:val="continue"/>
                  <w:tcBorders>
                    <w:tl2br w:val="nil"/>
                    <w:tr2bl w:val="nil"/>
                  </w:tcBorders>
                  <w:noWrap w:val="0"/>
                  <w:vAlign w:val="center"/>
                </w:tcPr>
                <w:p w14:paraId="348D4E9A">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390" w:type="pct"/>
                  <w:tcBorders>
                    <w:tl2br w:val="nil"/>
                    <w:tr2bl w:val="nil"/>
                  </w:tcBorders>
                  <w:shd w:val="clear" w:color="auto" w:fill="auto"/>
                  <w:noWrap w:val="0"/>
                  <w:vAlign w:val="center"/>
                </w:tcPr>
                <w:p w14:paraId="559675EF">
                  <w:pPr>
                    <w:widowControl/>
                    <w:jc w:val="center"/>
                    <w:rPr>
                      <w:rFonts w:hint="eastAsia" w:ascii="Times New Roman" w:hAnsi="Times New Roman" w:eastAsia="宋体" w:cs="Times New Roman"/>
                      <w:b w:val="0"/>
                      <w:bCs w:val="0"/>
                      <w:snapToGrid/>
                      <w:color w:val="auto"/>
                      <w:spacing w:val="0"/>
                      <w:kern w:val="0"/>
                      <w:position w:val="0"/>
                      <w:sz w:val="21"/>
                      <w:szCs w:val="21"/>
                      <w:highlight w:val="none"/>
                      <w:lang w:val="en-US" w:eastAsia="zh-CN" w:bidi="ar-SA"/>
                    </w:rPr>
                  </w:pPr>
                  <w:r>
                    <w:rPr>
                      <w:rFonts w:hint="eastAsia" w:ascii="宋体" w:hAnsi="宋体" w:eastAsia="宋体" w:cs="宋体"/>
                      <w:b w:val="0"/>
                      <w:bCs w:val="0"/>
                      <w:color w:val="auto"/>
                      <w:sz w:val="21"/>
                      <w:szCs w:val="21"/>
                      <w:vertAlign w:val="baseline"/>
                      <w:lang w:val="en-US" w:eastAsia="zh-CN"/>
                    </w:rPr>
                    <w:t>布料螺旋输送机</w:t>
                  </w:r>
                </w:p>
              </w:tc>
              <w:tc>
                <w:tcPr>
                  <w:tcW w:w="365" w:type="pct"/>
                  <w:tcBorders>
                    <w:tl2br w:val="nil"/>
                    <w:tr2bl w:val="nil"/>
                  </w:tcBorders>
                  <w:noWrap w:val="0"/>
                  <w:vAlign w:val="center"/>
                </w:tcPr>
                <w:p w14:paraId="1AD9EBCE">
                  <w:pPr>
                    <w:widowControl/>
                    <w:jc w:val="center"/>
                    <w:rPr>
                      <w:rFonts w:hint="default" w:cs="Times New Roman"/>
                      <w:b w:val="0"/>
                      <w:bCs w:val="0"/>
                      <w:snapToGrid/>
                      <w:color w:val="auto"/>
                      <w:spacing w:val="0"/>
                      <w:kern w:val="0"/>
                      <w:position w:val="0"/>
                      <w:sz w:val="21"/>
                      <w:szCs w:val="22"/>
                      <w:lang w:val="en-US" w:eastAsia="zh-CN" w:bidi="ar-SA"/>
                    </w:rPr>
                  </w:pPr>
                  <w:r>
                    <w:rPr>
                      <w:rFonts w:hint="eastAsia" w:cs="Times New Roman"/>
                      <w:b w:val="0"/>
                      <w:bCs w:val="0"/>
                      <w:snapToGrid/>
                      <w:color w:val="auto"/>
                      <w:spacing w:val="0"/>
                      <w:kern w:val="0"/>
                      <w:position w:val="0"/>
                      <w:sz w:val="21"/>
                      <w:szCs w:val="22"/>
                      <w:highlight w:val="none"/>
                      <w:lang w:val="en-US" w:eastAsia="zh-CN" w:bidi="ar-SA"/>
                    </w:rPr>
                    <w:t>80</w:t>
                  </w:r>
                </w:p>
              </w:tc>
              <w:tc>
                <w:tcPr>
                  <w:tcW w:w="370" w:type="pct"/>
                  <w:vMerge w:val="continue"/>
                  <w:tcBorders>
                    <w:tl2br w:val="nil"/>
                    <w:tr2bl w:val="nil"/>
                  </w:tcBorders>
                  <w:noWrap w:val="0"/>
                  <w:vAlign w:val="center"/>
                </w:tcPr>
                <w:p w14:paraId="01AEF38C">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213" w:type="pct"/>
                  <w:tcBorders>
                    <w:tl2br w:val="nil"/>
                    <w:tr2bl w:val="nil"/>
                  </w:tcBorders>
                  <w:noWrap w:val="0"/>
                  <w:vAlign w:val="center"/>
                </w:tcPr>
                <w:p w14:paraId="73800B1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-13</w:t>
                  </w:r>
                </w:p>
              </w:tc>
              <w:tc>
                <w:tcPr>
                  <w:tcW w:w="220" w:type="pct"/>
                  <w:tcBorders>
                    <w:tl2br w:val="nil"/>
                    <w:tr2bl w:val="nil"/>
                  </w:tcBorders>
                  <w:noWrap w:val="0"/>
                  <w:vAlign w:val="center"/>
                </w:tcPr>
                <w:p w14:paraId="6467356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-60</w:t>
                  </w:r>
                </w:p>
              </w:tc>
              <w:tc>
                <w:tcPr>
                  <w:tcW w:w="228" w:type="pct"/>
                  <w:tcBorders>
                    <w:tl2br w:val="nil"/>
                    <w:tr2bl w:val="nil"/>
                  </w:tcBorders>
                  <w:noWrap w:val="0"/>
                  <w:vAlign w:val="center"/>
                </w:tcPr>
                <w:p w14:paraId="6DDDDDE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1.2</w:t>
                  </w:r>
                </w:p>
              </w:tc>
              <w:tc>
                <w:tcPr>
                  <w:tcW w:w="567" w:type="pct"/>
                  <w:tcBorders>
                    <w:tl2br w:val="nil"/>
                    <w:tr2bl w:val="nil"/>
                  </w:tcBorders>
                  <w:noWrap w:val="0"/>
                  <w:vAlign w:val="center"/>
                </w:tcPr>
                <w:p w14:paraId="3AC6C600">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宋体"/>
                      <w:b w:val="0"/>
                      <w:bCs w:val="0"/>
                      <w:color w:val="FF0000"/>
                      <w:spacing w:val="-2"/>
                      <w:sz w:val="21"/>
                      <w:szCs w:val="20"/>
                      <w:lang w:val="en-US" w:eastAsia="zh-CN" w:bidi="ar-SA"/>
                    </w:rPr>
                  </w:pPr>
                  <w:r>
                    <w:rPr>
                      <w:rFonts w:hint="eastAsia" w:cs="宋体"/>
                      <w:b w:val="0"/>
                      <w:bCs w:val="0"/>
                      <w:color w:val="auto"/>
                      <w:spacing w:val="-2"/>
                      <w:kern w:val="2"/>
                      <w:sz w:val="21"/>
                      <w:szCs w:val="20"/>
                      <w:lang w:val="en-US" w:eastAsia="zh-CN" w:bidi="ar-SA"/>
                    </w:rPr>
                    <w:t>E:13、S:77、W:23、N:121</w:t>
                  </w:r>
                </w:p>
              </w:tc>
              <w:tc>
                <w:tcPr>
                  <w:tcW w:w="637" w:type="pct"/>
                  <w:tcBorders>
                    <w:tl2br w:val="nil"/>
                    <w:tr2bl w:val="nil"/>
                  </w:tcBorders>
                  <w:noWrap w:val="0"/>
                  <w:vAlign w:val="center"/>
                </w:tcPr>
                <w:p w14:paraId="3BD50232">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FF0000"/>
                      <w:lang w:val="en-US" w:eastAsia="zh-CN"/>
                    </w:rPr>
                  </w:pPr>
                  <w:r>
                    <w:rPr>
                      <w:rFonts w:hint="eastAsia" w:cs="宋体"/>
                      <w:b w:val="0"/>
                      <w:bCs w:val="0"/>
                      <w:color w:val="auto"/>
                      <w:spacing w:val="-2"/>
                      <w:kern w:val="2"/>
                      <w:sz w:val="21"/>
                      <w:szCs w:val="20"/>
                      <w:lang w:val="en-US" w:eastAsia="zh-CN" w:bidi="ar-SA"/>
                    </w:rPr>
                    <w:t>E:58、S:42、W:53、N:38</w:t>
                  </w:r>
                </w:p>
              </w:tc>
              <w:tc>
                <w:tcPr>
                  <w:tcW w:w="530" w:type="pct"/>
                  <w:tcBorders>
                    <w:tl2br w:val="nil"/>
                    <w:tr2bl w:val="nil"/>
                  </w:tcBorders>
                  <w:noWrap w:val="0"/>
                  <w:vAlign w:val="center"/>
                </w:tcPr>
                <w:p w14:paraId="1A7E15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317C59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 w:val="0"/>
                      <w:bCs w:val="0"/>
                      <w:snapToGrid/>
                      <w:color w:val="auto"/>
                      <w:spacing w:val="0"/>
                      <w:kern w:val="0"/>
                      <w:position w:val="0"/>
                      <w:sz w:val="21"/>
                      <w:szCs w:val="21"/>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c>
                <w:tcPr>
                  <w:tcW w:w="340" w:type="pct"/>
                  <w:tcBorders>
                    <w:tl2br w:val="nil"/>
                    <w:tr2bl w:val="nil"/>
                  </w:tcBorders>
                  <w:noWrap w:val="0"/>
                  <w:vAlign w:val="center"/>
                </w:tcPr>
                <w:p w14:paraId="0B64EBB4">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lang w:val="en-US" w:eastAsia="zh-CN"/>
                    </w:rPr>
                  </w:pPr>
                  <w:r>
                    <w:rPr>
                      <w:rFonts w:hint="eastAsia"/>
                      <w:b w:val="0"/>
                      <w:bCs w:val="0"/>
                      <w:color w:val="auto"/>
                      <w:highlight w:val="none"/>
                      <w:lang w:val="en-US" w:eastAsia="zh-CN"/>
                    </w:rPr>
                    <w:t>15</w:t>
                  </w:r>
                </w:p>
              </w:tc>
              <w:tc>
                <w:tcPr>
                  <w:tcW w:w="478" w:type="pct"/>
                  <w:tcBorders>
                    <w:tl2br w:val="nil"/>
                    <w:tr2bl w:val="nil"/>
                  </w:tcBorders>
                  <w:noWrap w:val="0"/>
                  <w:vAlign w:val="center"/>
                </w:tcPr>
                <w:p w14:paraId="4F8AA1B7">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b w:val="0"/>
                      <w:bCs w:val="0"/>
                      <w:color w:val="auto"/>
                      <w:sz w:val="21"/>
                      <w:szCs w:val="20"/>
                      <w:lang w:val="en-US" w:eastAsia="zh-CN"/>
                    </w:rPr>
                  </w:pPr>
                  <w:r>
                    <w:rPr>
                      <w:rFonts w:hint="eastAsia" w:cs="宋体"/>
                      <w:b w:val="0"/>
                      <w:bCs w:val="0"/>
                      <w:color w:val="auto"/>
                      <w:spacing w:val="-2"/>
                      <w:kern w:val="2"/>
                      <w:sz w:val="21"/>
                      <w:szCs w:val="20"/>
                      <w:lang w:val="en-US" w:eastAsia="zh-CN" w:bidi="ar-SA"/>
                    </w:rPr>
                    <w:t>E:43、S:27、W:38、N:27</w:t>
                  </w:r>
                </w:p>
              </w:tc>
              <w:tc>
                <w:tcPr>
                  <w:tcW w:w="273" w:type="pct"/>
                  <w:tcBorders>
                    <w:tl2br w:val="nil"/>
                    <w:tr2bl w:val="nil"/>
                  </w:tcBorders>
                  <w:noWrap w:val="0"/>
                  <w:vAlign w:val="center"/>
                </w:tcPr>
                <w:p w14:paraId="369741EF">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lang w:val="en-US" w:eastAsia="zh-CN"/>
                    </w:rPr>
                  </w:pPr>
                  <w:r>
                    <w:rPr>
                      <w:rFonts w:hint="eastAsia"/>
                      <w:b w:val="0"/>
                      <w:bCs w:val="0"/>
                      <w:color w:val="auto"/>
                      <w:lang w:val="en-US" w:eastAsia="zh-CN"/>
                    </w:rPr>
                    <w:t>1m</w:t>
                  </w:r>
                </w:p>
              </w:tc>
            </w:tr>
            <w:tr w14:paraId="3FFC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 w:type="pct"/>
                  <w:tcBorders>
                    <w:tl2br w:val="nil"/>
                    <w:tr2bl w:val="nil"/>
                  </w:tcBorders>
                  <w:noWrap w:val="0"/>
                  <w:vAlign w:val="center"/>
                </w:tcPr>
                <w:p w14:paraId="3B566E16">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lang w:val="en-US" w:eastAsia="zh-CN"/>
                    </w:rPr>
                  </w:pPr>
                  <w:r>
                    <w:rPr>
                      <w:rFonts w:hint="eastAsia"/>
                      <w:b w:val="0"/>
                      <w:bCs w:val="0"/>
                      <w:color w:val="auto"/>
                      <w:lang w:val="en-US" w:eastAsia="zh-CN"/>
                    </w:rPr>
                    <w:t>4</w:t>
                  </w:r>
                </w:p>
              </w:tc>
              <w:tc>
                <w:tcPr>
                  <w:tcW w:w="207" w:type="pct"/>
                  <w:vMerge w:val="continue"/>
                  <w:tcBorders>
                    <w:tl2br w:val="nil"/>
                    <w:tr2bl w:val="nil"/>
                  </w:tcBorders>
                  <w:noWrap w:val="0"/>
                  <w:vAlign w:val="center"/>
                </w:tcPr>
                <w:p w14:paraId="631272BD">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390" w:type="pct"/>
                  <w:tcBorders>
                    <w:tl2br w:val="nil"/>
                    <w:tr2bl w:val="nil"/>
                  </w:tcBorders>
                  <w:shd w:val="clear" w:color="auto" w:fill="auto"/>
                  <w:noWrap w:val="0"/>
                  <w:vAlign w:val="center"/>
                </w:tcPr>
                <w:p w14:paraId="6514CAEC">
                  <w:pPr>
                    <w:widowControl/>
                    <w:jc w:val="center"/>
                    <w:rPr>
                      <w:rFonts w:hint="default" w:ascii="Times New Roman" w:hAnsi="Times New Roman" w:eastAsia="宋体" w:cs="Times New Roman"/>
                      <w:b w:val="0"/>
                      <w:bCs w:val="0"/>
                      <w:snapToGrid/>
                      <w:color w:val="auto"/>
                      <w:spacing w:val="0"/>
                      <w:kern w:val="0"/>
                      <w:position w:val="0"/>
                      <w:sz w:val="21"/>
                      <w:szCs w:val="21"/>
                      <w:highlight w:val="none"/>
                      <w:lang w:val="en-US" w:eastAsia="zh-CN" w:bidi="ar-SA"/>
                    </w:rPr>
                  </w:pPr>
                  <w:r>
                    <w:rPr>
                      <w:rFonts w:hint="eastAsia" w:ascii="宋体" w:hAnsi="宋体" w:eastAsia="宋体" w:cs="宋体"/>
                      <w:b w:val="0"/>
                      <w:bCs w:val="0"/>
                      <w:color w:val="auto"/>
                      <w:sz w:val="21"/>
                      <w:szCs w:val="21"/>
                      <w:vertAlign w:val="baseline"/>
                      <w:lang w:val="en-US" w:eastAsia="zh-CN"/>
                    </w:rPr>
                    <w:t>污泥螺旋提升机</w:t>
                  </w:r>
                </w:p>
              </w:tc>
              <w:tc>
                <w:tcPr>
                  <w:tcW w:w="365" w:type="pct"/>
                  <w:tcBorders>
                    <w:tl2br w:val="nil"/>
                    <w:tr2bl w:val="nil"/>
                  </w:tcBorders>
                  <w:noWrap w:val="0"/>
                  <w:vAlign w:val="center"/>
                </w:tcPr>
                <w:p w14:paraId="6E1A9486">
                  <w:pPr>
                    <w:widowControl/>
                    <w:jc w:val="center"/>
                    <w:rPr>
                      <w:rFonts w:hint="eastAsia" w:cs="Times New Roman"/>
                      <w:b w:val="0"/>
                      <w:bCs w:val="0"/>
                      <w:snapToGrid/>
                      <w:color w:val="auto"/>
                      <w:spacing w:val="0"/>
                      <w:kern w:val="0"/>
                      <w:position w:val="0"/>
                      <w:sz w:val="21"/>
                      <w:szCs w:val="22"/>
                      <w:lang w:val="en-US" w:eastAsia="zh-CN" w:bidi="ar-SA"/>
                    </w:rPr>
                  </w:pPr>
                  <w:r>
                    <w:rPr>
                      <w:rFonts w:hint="eastAsia" w:cs="Times New Roman"/>
                      <w:b w:val="0"/>
                      <w:bCs w:val="0"/>
                      <w:snapToGrid/>
                      <w:color w:val="auto"/>
                      <w:spacing w:val="0"/>
                      <w:kern w:val="0"/>
                      <w:position w:val="0"/>
                      <w:sz w:val="21"/>
                      <w:szCs w:val="22"/>
                      <w:highlight w:val="none"/>
                      <w:lang w:val="en-US" w:eastAsia="zh-CN" w:bidi="ar-SA"/>
                    </w:rPr>
                    <w:t>80</w:t>
                  </w:r>
                </w:p>
              </w:tc>
              <w:tc>
                <w:tcPr>
                  <w:tcW w:w="370" w:type="pct"/>
                  <w:vMerge w:val="continue"/>
                  <w:tcBorders>
                    <w:tl2br w:val="nil"/>
                    <w:tr2bl w:val="nil"/>
                  </w:tcBorders>
                  <w:noWrap w:val="0"/>
                  <w:vAlign w:val="center"/>
                </w:tcPr>
                <w:p w14:paraId="6D5059CD">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213" w:type="pct"/>
                  <w:tcBorders>
                    <w:tl2br w:val="nil"/>
                    <w:tr2bl w:val="nil"/>
                  </w:tcBorders>
                  <w:noWrap w:val="0"/>
                  <w:vAlign w:val="center"/>
                </w:tcPr>
                <w:p w14:paraId="2184287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-7</w:t>
                  </w:r>
                </w:p>
              </w:tc>
              <w:tc>
                <w:tcPr>
                  <w:tcW w:w="220" w:type="pct"/>
                  <w:tcBorders>
                    <w:tl2br w:val="nil"/>
                    <w:tr2bl w:val="nil"/>
                  </w:tcBorders>
                  <w:noWrap w:val="0"/>
                  <w:vAlign w:val="center"/>
                </w:tcPr>
                <w:p w14:paraId="6F78880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-60</w:t>
                  </w:r>
                </w:p>
              </w:tc>
              <w:tc>
                <w:tcPr>
                  <w:tcW w:w="228" w:type="pct"/>
                  <w:tcBorders>
                    <w:tl2br w:val="nil"/>
                    <w:tr2bl w:val="nil"/>
                  </w:tcBorders>
                  <w:noWrap w:val="0"/>
                  <w:vAlign w:val="center"/>
                </w:tcPr>
                <w:p w14:paraId="2B00058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1.2</w:t>
                  </w:r>
                </w:p>
              </w:tc>
              <w:tc>
                <w:tcPr>
                  <w:tcW w:w="567" w:type="pct"/>
                  <w:tcBorders>
                    <w:tl2br w:val="nil"/>
                    <w:tr2bl w:val="nil"/>
                  </w:tcBorders>
                  <w:noWrap w:val="0"/>
                  <w:vAlign w:val="center"/>
                </w:tcPr>
                <w:p w14:paraId="04BC0CD9">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宋体"/>
                      <w:b w:val="0"/>
                      <w:bCs w:val="0"/>
                      <w:color w:val="auto"/>
                      <w:spacing w:val="-2"/>
                      <w:sz w:val="21"/>
                      <w:szCs w:val="20"/>
                      <w:lang w:val="en-US" w:eastAsia="zh-CN" w:bidi="ar-SA"/>
                    </w:rPr>
                  </w:pPr>
                  <w:r>
                    <w:rPr>
                      <w:rFonts w:hint="eastAsia" w:cs="宋体"/>
                      <w:b w:val="0"/>
                      <w:bCs w:val="0"/>
                      <w:color w:val="auto"/>
                      <w:spacing w:val="-2"/>
                      <w:kern w:val="2"/>
                      <w:sz w:val="21"/>
                      <w:szCs w:val="20"/>
                      <w:lang w:val="en-US" w:eastAsia="zh-CN" w:bidi="ar-SA"/>
                    </w:rPr>
                    <w:t>E:8、S:78、W:28、N:119</w:t>
                  </w:r>
                </w:p>
              </w:tc>
              <w:tc>
                <w:tcPr>
                  <w:tcW w:w="637" w:type="pct"/>
                  <w:tcBorders>
                    <w:tl2br w:val="nil"/>
                    <w:tr2bl w:val="nil"/>
                  </w:tcBorders>
                  <w:noWrap w:val="0"/>
                  <w:vAlign w:val="center"/>
                </w:tcPr>
                <w:p w14:paraId="513B9C6E">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FF0000"/>
                      <w:lang w:val="en-US" w:eastAsia="zh-CN"/>
                    </w:rPr>
                  </w:pPr>
                  <w:r>
                    <w:rPr>
                      <w:rFonts w:hint="eastAsia" w:cs="宋体"/>
                      <w:b w:val="0"/>
                      <w:bCs w:val="0"/>
                      <w:color w:val="auto"/>
                      <w:spacing w:val="-2"/>
                      <w:kern w:val="2"/>
                      <w:sz w:val="21"/>
                      <w:szCs w:val="20"/>
                      <w:lang w:val="en-US" w:eastAsia="zh-CN" w:bidi="ar-SA"/>
                    </w:rPr>
                    <w:t>E:62、S:42、W:51、N:38</w:t>
                  </w:r>
                </w:p>
              </w:tc>
              <w:tc>
                <w:tcPr>
                  <w:tcW w:w="530" w:type="pct"/>
                  <w:tcBorders>
                    <w:tl2br w:val="nil"/>
                    <w:tr2bl w:val="nil"/>
                  </w:tcBorders>
                  <w:noWrap w:val="0"/>
                  <w:vAlign w:val="center"/>
                </w:tcPr>
                <w:p w14:paraId="3A4CA4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5C083B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 w:val="0"/>
                      <w:bCs w:val="0"/>
                      <w:color w:val="auto"/>
                      <w:kern w:val="2"/>
                      <w:sz w:val="21"/>
                      <w:szCs w:val="20"/>
                      <w:lang w:val="en-US" w:eastAsia="zh-CN" w:bidi="ar-SA"/>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c>
                <w:tcPr>
                  <w:tcW w:w="340" w:type="pct"/>
                  <w:tcBorders>
                    <w:tl2br w:val="nil"/>
                    <w:tr2bl w:val="nil"/>
                  </w:tcBorders>
                  <w:noWrap w:val="0"/>
                  <w:vAlign w:val="center"/>
                </w:tcPr>
                <w:p w14:paraId="3E1E8EF9">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lang w:val="en-US" w:eastAsia="zh-CN"/>
                    </w:rPr>
                  </w:pPr>
                  <w:r>
                    <w:rPr>
                      <w:rFonts w:hint="eastAsia"/>
                      <w:b w:val="0"/>
                      <w:bCs w:val="0"/>
                      <w:color w:val="auto"/>
                      <w:highlight w:val="none"/>
                      <w:lang w:val="en-US" w:eastAsia="zh-CN"/>
                    </w:rPr>
                    <w:t>15</w:t>
                  </w:r>
                </w:p>
              </w:tc>
              <w:tc>
                <w:tcPr>
                  <w:tcW w:w="478" w:type="pct"/>
                  <w:tcBorders>
                    <w:tl2br w:val="nil"/>
                    <w:tr2bl w:val="nil"/>
                  </w:tcBorders>
                  <w:noWrap w:val="0"/>
                  <w:vAlign w:val="center"/>
                </w:tcPr>
                <w:p w14:paraId="65C8BAB6">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b w:val="0"/>
                      <w:bCs w:val="0"/>
                      <w:color w:val="auto"/>
                      <w:sz w:val="21"/>
                      <w:szCs w:val="20"/>
                      <w:lang w:val="en-US" w:eastAsia="zh-CN"/>
                    </w:rPr>
                  </w:pPr>
                  <w:r>
                    <w:rPr>
                      <w:rFonts w:hint="eastAsia" w:cs="宋体"/>
                      <w:b w:val="0"/>
                      <w:bCs w:val="0"/>
                      <w:color w:val="auto"/>
                      <w:spacing w:val="-2"/>
                      <w:kern w:val="2"/>
                      <w:sz w:val="21"/>
                      <w:szCs w:val="20"/>
                      <w:lang w:val="en-US" w:eastAsia="zh-CN" w:bidi="ar-SA"/>
                    </w:rPr>
                    <w:t>E:47、S:27、W:36、N:24</w:t>
                  </w:r>
                </w:p>
              </w:tc>
              <w:tc>
                <w:tcPr>
                  <w:tcW w:w="273" w:type="pct"/>
                  <w:tcBorders>
                    <w:tl2br w:val="nil"/>
                    <w:tr2bl w:val="nil"/>
                  </w:tcBorders>
                  <w:noWrap w:val="0"/>
                  <w:vAlign w:val="center"/>
                </w:tcPr>
                <w:p w14:paraId="068B2D9E">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lang w:val="en-US" w:eastAsia="zh-CN"/>
                    </w:rPr>
                  </w:pPr>
                  <w:r>
                    <w:rPr>
                      <w:rFonts w:hint="eastAsia"/>
                      <w:b w:val="0"/>
                      <w:bCs w:val="0"/>
                      <w:color w:val="auto"/>
                      <w:lang w:val="en-US" w:eastAsia="zh-CN"/>
                    </w:rPr>
                    <w:t>1m</w:t>
                  </w:r>
                </w:p>
              </w:tc>
            </w:tr>
            <w:tr w14:paraId="2FBC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 w:type="pct"/>
                  <w:tcBorders>
                    <w:tl2br w:val="nil"/>
                    <w:tr2bl w:val="nil"/>
                  </w:tcBorders>
                  <w:noWrap w:val="0"/>
                  <w:vAlign w:val="center"/>
                </w:tcPr>
                <w:p w14:paraId="07B377A3">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lang w:val="en-US" w:eastAsia="zh-CN"/>
                    </w:rPr>
                  </w:pPr>
                  <w:r>
                    <w:rPr>
                      <w:rFonts w:hint="eastAsia"/>
                      <w:b w:val="0"/>
                      <w:bCs w:val="0"/>
                      <w:color w:val="auto"/>
                      <w:lang w:val="en-US" w:eastAsia="zh-CN"/>
                    </w:rPr>
                    <w:t>5</w:t>
                  </w:r>
                </w:p>
              </w:tc>
              <w:tc>
                <w:tcPr>
                  <w:tcW w:w="207" w:type="pct"/>
                  <w:vMerge w:val="continue"/>
                  <w:tcBorders>
                    <w:tl2br w:val="nil"/>
                    <w:tr2bl w:val="nil"/>
                  </w:tcBorders>
                  <w:noWrap w:val="0"/>
                  <w:vAlign w:val="center"/>
                </w:tcPr>
                <w:p w14:paraId="7BC34E85">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390" w:type="pct"/>
                  <w:tcBorders>
                    <w:tl2br w:val="nil"/>
                    <w:tr2bl w:val="nil"/>
                  </w:tcBorders>
                  <w:shd w:val="clear" w:color="auto" w:fill="auto"/>
                  <w:noWrap w:val="0"/>
                  <w:vAlign w:val="center"/>
                </w:tcPr>
                <w:p w14:paraId="3A1E74C0">
                  <w:pPr>
                    <w:widowControl/>
                    <w:jc w:val="center"/>
                    <w:rPr>
                      <w:rFonts w:hint="default" w:ascii="Times New Roman" w:hAnsi="Times New Roman" w:eastAsia="华文中宋" w:cs="Times New Roman"/>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vertAlign w:val="baseline"/>
                      <w:lang w:val="en-US" w:eastAsia="zh-CN"/>
                    </w:rPr>
                    <w:t>拌混机</w:t>
                  </w:r>
                </w:p>
              </w:tc>
              <w:tc>
                <w:tcPr>
                  <w:tcW w:w="365" w:type="pct"/>
                  <w:tcBorders>
                    <w:tl2br w:val="nil"/>
                    <w:tr2bl w:val="nil"/>
                  </w:tcBorders>
                  <w:noWrap w:val="0"/>
                  <w:vAlign w:val="center"/>
                </w:tcPr>
                <w:p w14:paraId="63E19F84">
                  <w:pPr>
                    <w:widowControl/>
                    <w:jc w:val="center"/>
                    <w:rPr>
                      <w:rFonts w:hint="eastAsia" w:cs="Times New Roman"/>
                      <w:b w:val="0"/>
                      <w:bCs w:val="0"/>
                      <w:snapToGrid/>
                      <w:color w:val="auto"/>
                      <w:spacing w:val="0"/>
                      <w:kern w:val="0"/>
                      <w:position w:val="0"/>
                      <w:sz w:val="21"/>
                      <w:szCs w:val="22"/>
                      <w:lang w:val="en-US" w:eastAsia="zh-CN" w:bidi="ar-SA"/>
                    </w:rPr>
                  </w:pPr>
                  <w:r>
                    <w:rPr>
                      <w:rFonts w:hint="eastAsia" w:cs="Times New Roman"/>
                      <w:b w:val="0"/>
                      <w:bCs w:val="0"/>
                      <w:snapToGrid/>
                      <w:color w:val="auto"/>
                      <w:spacing w:val="0"/>
                      <w:kern w:val="0"/>
                      <w:position w:val="0"/>
                      <w:sz w:val="21"/>
                      <w:szCs w:val="22"/>
                      <w:highlight w:val="none"/>
                      <w:lang w:val="en-US" w:eastAsia="zh-CN" w:bidi="ar-SA"/>
                    </w:rPr>
                    <w:t>80</w:t>
                  </w:r>
                </w:p>
              </w:tc>
              <w:tc>
                <w:tcPr>
                  <w:tcW w:w="370" w:type="pct"/>
                  <w:vMerge w:val="continue"/>
                  <w:tcBorders>
                    <w:tl2br w:val="nil"/>
                    <w:tr2bl w:val="nil"/>
                  </w:tcBorders>
                  <w:noWrap w:val="0"/>
                  <w:vAlign w:val="center"/>
                </w:tcPr>
                <w:p w14:paraId="0EFA667C">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lang w:val="en-US" w:eastAsia="zh-CN"/>
                    </w:rPr>
                  </w:pPr>
                </w:p>
              </w:tc>
              <w:tc>
                <w:tcPr>
                  <w:tcW w:w="213" w:type="pct"/>
                  <w:tcBorders>
                    <w:tl2br w:val="nil"/>
                    <w:tr2bl w:val="nil"/>
                  </w:tcBorders>
                  <w:noWrap w:val="0"/>
                  <w:vAlign w:val="center"/>
                </w:tcPr>
                <w:p w14:paraId="2585BE3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-10</w:t>
                  </w:r>
                </w:p>
              </w:tc>
              <w:tc>
                <w:tcPr>
                  <w:tcW w:w="220" w:type="pct"/>
                  <w:tcBorders>
                    <w:tl2br w:val="nil"/>
                    <w:tr2bl w:val="nil"/>
                  </w:tcBorders>
                  <w:noWrap w:val="0"/>
                  <w:vAlign w:val="center"/>
                </w:tcPr>
                <w:p w14:paraId="008829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-62</w:t>
                  </w:r>
                </w:p>
              </w:tc>
              <w:tc>
                <w:tcPr>
                  <w:tcW w:w="228" w:type="pct"/>
                  <w:tcBorders>
                    <w:tl2br w:val="nil"/>
                    <w:tr2bl w:val="nil"/>
                  </w:tcBorders>
                  <w:noWrap w:val="0"/>
                  <w:vAlign w:val="center"/>
                </w:tcPr>
                <w:p w14:paraId="684D9E1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b w:val="0"/>
                      <w:bCs w:val="0"/>
                      <w:snapToGrid/>
                      <w:color w:val="auto"/>
                      <w:spacing w:val="0"/>
                      <w:kern w:val="0"/>
                      <w:position w:val="0"/>
                      <w:sz w:val="21"/>
                      <w:szCs w:val="21"/>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1.1</w:t>
                  </w:r>
                </w:p>
              </w:tc>
              <w:tc>
                <w:tcPr>
                  <w:tcW w:w="567" w:type="pct"/>
                  <w:tcBorders>
                    <w:tl2br w:val="nil"/>
                    <w:tr2bl w:val="nil"/>
                  </w:tcBorders>
                  <w:noWrap w:val="0"/>
                  <w:vAlign w:val="center"/>
                </w:tcPr>
                <w:p w14:paraId="2EE9266F">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宋体"/>
                      <w:b w:val="0"/>
                      <w:bCs w:val="0"/>
                      <w:color w:val="auto"/>
                      <w:spacing w:val="-2"/>
                      <w:sz w:val="21"/>
                      <w:szCs w:val="20"/>
                      <w:lang w:val="en-US" w:eastAsia="zh-CN" w:bidi="ar-SA"/>
                    </w:rPr>
                  </w:pPr>
                  <w:r>
                    <w:rPr>
                      <w:rFonts w:hint="eastAsia" w:cs="宋体"/>
                      <w:b w:val="0"/>
                      <w:bCs w:val="0"/>
                      <w:color w:val="auto"/>
                      <w:spacing w:val="-2"/>
                      <w:kern w:val="2"/>
                      <w:sz w:val="21"/>
                      <w:szCs w:val="20"/>
                      <w:lang w:val="en-US" w:eastAsia="zh-CN" w:bidi="ar-SA"/>
                    </w:rPr>
                    <w:t>E:10、S:75、W:26、N:62</w:t>
                  </w:r>
                </w:p>
              </w:tc>
              <w:tc>
                <w:tcPr>
                  <w:tcW w:w="637" w:type="pct"/>
                  <w:tcBorders>
                    <w:tl2br w:val="nil"/>
                    <w:tr2bl w:val="nil"/>
                  </w:tcBorders>
                  <w:noWrap w:val="0"/>
                  <w:vAlign w:val="center"/>
                </w:tcPr>
                <w:p w14:paraId="12B46196">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FF0000"/>
                      <w:lang w:val="en-US" w:eastAsia="zh-CN"/>
                    </w:rPr>
                  </w:pPr>
                  <w:r>
                    <w:rPr>
                      <w:rFonts w:hint="eastAsia" w:cs="宋体"/>
                      <w:b w:val="0"/>
                      <w:bCs w:val="0"/>
                      <w:color w:val="auto"/>
                      <w:spacing w:val="-2"/>
                      <w:kern w:val="2"/>
                      <w:sz w:val="21"/>
                      <w:szCs w:val="20"/>
                      <w:lang w:val="en-US" w:eastAsia="zh-CN" w:bidi="ar-SA"/>
                    </w:rPr>
                    <w:t>E:60、S:42、W:52、N:44</w:t>
                  </w:r>
                </w:p>
              </w:tc>
              <w:tc>
                <w:tcPr>
                  <w:tcW w:w="530" w:type="pct"/>
                  <w:tcBorders>
                    <w:tl2br w:val="nil"/>
                    <w:tr2bl w:val="nil"/>
                  </w:tcBorders>
                  <w:noWrap w:val="0"/>
                  <w:vAlign w:val="center"/>
                </w:tcPr>
                <w:p w14:paraId="66CF47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548AB8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 w:val="0"/>
                      <w:bCs w:val="0"/>
                      <w:color w:val="auto"/>
                      <w:kern w:val="2"/>
                      <w:sz w:val="21"/>
                      <w:szCs w:val="20"/>
                      <w:lang w:val="en-US" w:eastAsia="zh-CN" w:bidi="ar-SA"/>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c>
                <w:tcPr>
                  <w:tcW w:w="340" w:type="pct"/>
                  <w:tcBorders>
                    <w:tl2br w:val="nil"/>
                    <w:tr2bl w:val="nil"/>
                  </w:tcBorders>
                  <w:noWrap w:val="0"/>
                  <w:vAlign w:val="center"/>
                </w:tcPr>
                <w:p w14:paraId="1AE86DAB">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lang w:val="en-US" w:eastAsia="zh-CN"/>
                    </w:rPr>
                  </w:pPr>
                  <w:r>
                    <w:rPr>
                      <w:rFonts w:hint="eastAsia"/>
                      <w:b w:val="0"/>
                      <w:bCs w:val="0"/>
                      <w:color w:val="auto"/>
                      <w:highlight w:val="none"/>
                      <w:lang w:val="en-US" w:eastAsia="zh-CN"/>
                    </w:rPr>
                    <w:t>15</w:t>
                  </w:r>
                </w:p>
              </w:tc>
              <w:tc>
                <w:tcPr>
                  <w:tcW w:w="478" w:type="pct"/>
                  <w:tcBorders>
                    <w:tl2br w:val="nil"/>
                    <w:tr2bl w:val="nil"/>
                  </w:tcBorders>
                  <w:noWrap w:val="0"/>
                  <w:vAlign w:val="center"/>
                </w:tcPr>
                <w:p w14:paraId="34D35380">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b w:val="0"/>
                      <w:bCs w:val="0"/>
                      <w:color w:val="auto"/>
                      <w:sz w:val="21"/>
                      <w:szCs w:val="20"/>
                      <w:lang w:val="en-US" w:eastAsia="zh-CN"/>
                    </w:rPr>
                  </w:pPr>
                  <w:r>
                    <w:rPr>
                      <w:rFonts w:hint="eastAsia" w:cs="宋体"/>
                      <w:b w:val="0"/>
                      <w:bCs w:val="0"/>
                      <w:color w:val="auto"/>
                      <w:spacing w:val="-2"/>
                      <w:kern w:val="2"/>
                      <w:sz w:val="21"/>
                      <w:szCs w:val="20"/>
                      <w:lang w:val="en-US" w:eastAsia="zh-CN" w:bidi="ar-SA"/>
                    </w:rPr>
                    <w:t>E:45、S:27、W:37、N:29</w:t>
                  </w:r>
                </w:p>
              </w:tc>
              <w:tc>
                <w:tcPr>
                  <w:tcW w:w="273" w:type="pct"/>
                  <w:tcBorders>
                    <w:tl2br w:val="nil"/>
                    <w:tr2bl w:val="nil"/>
                  </w:tcBorders>
                  <w:noWrap w:val="0"/>
                  <w:vAlign w:val="center"/>
                </w:tcPr>
                <w:p w14:paraId="2F6E22EA">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lang w:val="en-US" w:eastAsia="zh-CN"/>
                    </w:rPr>
                  </w:pPr>
                  <w:r>
                    <w:rPr>
                      <w:rFonts w:hint="eastAsia"/>
                      <w:b w:val="0"/>
                      <w:bCs w:val="0"/>
                      <w:color w:val="auto"/>
                      <w:lang w:val="en-US" w:eastAsia="zh-CN"/>
                    </w:rPr>
                    <w:t>1m</w:t>
                  </w:r>
                </w:p>
              </w:tc>
            </w:tr>
          </w:tbl>
          <w:p w14:paraId="1E49CB38">
            <w:pPr>
              <w:pStyle w:val="40"/>
              <w:adjustRightInd w:val="0"/>
              <w:snapToGrid w:val="0"/>
              <w:spacing w:line="360" w:lineRule="auto"/>
              <w:ind w:firstLine="0" w:firstLineChars="0"/>
              <w:rPr>
                <w:rFonts w:hint="eastAsia" w:ascii="宋体" w:hAnsi="宋体" w:eastAsia="宋体" w:cs="宋体"/>
                <w:b/>
                <w:bCs/>
                <w:color w:val="auto"/>
              </w:rPr>
            </w:pPr>
          </w:p>
          <w:p w14:paraId="4CE4D5CD">
            <w:pPr>
              <w:pStyle w:val="40"/>
              <w:adjustRightInd w:val="0"/>
              <w:snapToGrid w:val="0"/>
              <w:spacing w:line="360" w:lineRule="auto"/>
              <w:ind w:firstLine="0" w:firstLineChars="0"/>
              <w:rPr>
                <w:rFonts w:hint="eastAsia" w:ascii="宋体" w:hAnsi="宋体" w:eastAsia="宋体" w:cs="宋体"/>
                <w:b/>
                <w:bCs/>
                <w:color w:val="auto"/>
              </w:rPr>
            </w:pPr>
          </w:p>
          <w:p w14:paraId="5E67EDEA">
            <w:pPr>
              <w:pStyle w:val="40"/>
              <w:adjustRightInd w:val="0"/>
              <w:snapToGrid w:val="0"/>
              <w:spacing w:line="360" w:lineRule="auto"/>
              <w:ind w:firstLine="0" w:firstLineChars="0"/>
              <w:rPr>
                <w:rFonts w:hint="eastAsia" w:ascii="宋体" w:hAnsi="宋体" w:eastAsia="宋体" w:cs="宋体"/>
                <w:b/>
                <w:bCs/>
                <w:color w:val="auto"/>
              </w:rPr>
            </w:pPr>
          </w:p>
          <w:p w14:paraId="134AD41D">
            <w:pPr>
              <w:pStyle w:val="40"/>
              <w:adjustRightInd w:val="0"/>
              <w:snapToGrid w:val="0"/>
              <w:spacing w:line="360" w:lineRule="auto"/>
              <w:ind w:firstLine="0" w:firstLineChars="0"/>
              <w:rPr>
                <w:rFonts w:hint="eastAsia" w:ascii="宋体" w:hAnsi="宋体" w:eastAsia="宋体" w:cs="宋体"/>
                <w:b/>
                <w:bCs/>
                <w:color w:val="auto"/>
              </w:rPr>
            </w:pPr>
          </w:p>
          <w:p w14:paraId="393137C5">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b/>
                <w:bCs/>
                <w:snapToGrid/>
                <w:color w:val="auto"/>
                <w:spacing w:val="0"/>
                <w:kern w:val="0"/>
                <w:position w:val="0"/>
                <w:sz w:val="24"/>
                <w:szCs w:val="24"/>
                <w:lang w:val="en-US" w:eastAsia="zh-CN"/>
              </w:rPr>
            </w:pPr>
          </w:p>
          <w:p w14:paraId="29D803B7">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eastAsia="宋体"/>
                <w:snapToGrid/>
                <w:color w:val="auto"/>
                <w:spacing w:val="0"/>
                <w:kern w:val="0"/>
                <w:position w:val="0"/>
                <w:sz w:val="24"/>
                <w:szCs w:val="24"/>
                <w:lang w:val="en-US" w:eastAsia="zh-CN"/>
              </w:rPr>
            </w:pPr>
            <w:r>
              <w:rPr>
                <w:rFonts w:hint="eastAsia"/>
                <w:b/>
                <w:bCs/>
                <w:snapToGrid/>
                <w:color w:val="auto"/>
                <w:spacing w:val="0"/>
                <w:kern w:val="0"/>
                <w:position w:val="0"/>
                <w:sz w:val="24"/>
                <w:szCs w:val="24"/>
                <w:lang w:val="en-US" w:eastAsia="zh-CN"/>
              </w:rPr>
              <w:t>表4.8  项目噪声源强一览表（室外声源） 单位：dB（A）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3"/>
              <w:gridCol w:w="1483"/>
              <w:gridCol w:w="1381"/>
              <w:gridCol w:w="1467"/>
              <w:gridCol w:w="1472"/>
              <w:gridCol w:w="1638"/>
              <w:gridCol w:w="1485"/>
              <w:gridCol w:w="1485"/>
            </w:tblGrid>
            <w:tr w14:paraId="4C6F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53" w:type="pct"/>
                  <w:vMerge w:val="restart"/>
                  <w:tcBorders>
                    <w:tl2br w:val="nil"/>
                    <w:tr2bl w:val="nil"/>
                  </w:tcBorders>
                  <w:noWrap w:val="0"/>
                  <w:vAlign w:val="center"/>
                </w:tcPr>
                <w:p w14:paraId="2A916302">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序号</w:t>
                  </w:r>
                </w:p>
              </w:tc>
              <w:tc>
                <w:tcPr>
                  <w:tcW w:w="554" w:type="pct"/>
                  <w:vMerge w:val="restart"/>
                  <w:tcBorders>
                    <w:tl2br w:val="nil"/>
                    <w:tr2bl w:val="nil"/>
                  </w:tcBorders>
                  <w:noWrap w:val="0"/>
                  <w:vAlign w:val="center"/>
                </w:tcPr>
                <w:p w14:paraId="5AC654EB">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声源名称</w:t>
                  </w:r>
                </w:p>
              </w:tc>
              <w:tc>
                <w:tcPr>
                  <w:tcW w:w="554" w:type="pct"/>
                  <w:vMerge w:val="restart"/>
                  <w:tcBorders>
                    <w:tl2br w:val="nil"/>
                    <w:tr2bl w:val="nil"/>
                  </w:tcBorders>
                  <w:noWrap w:val="0"/>
                  <w:vAlign w:val="center"/>
                </w:tcPr>
                <w:p w14:paraId="2072EA91">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型号</w:t>
                  </w:r>
                </w:p>
              </w:tc>
              <w:tc>
                <w:tcPr>
                  <w:tcW w:w="1615" w:type="pct"/>
                  <w:gridSpan w:val="3"/>
                  <w:tcBorders>
                    <w:tl2br w:val="nil"/>
                    <w:tr2bl w:val="nil"/>
                  </w:tcBorders>
                  <w:noWrap w:val="0"/>
                  <w:vAlign w:val="center"/>
                </w:tcPr>
                <w:p w14:paraId="3EEC1F82">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空间相对位置m</w:t>
                  </w:r>
                </w:p>
              </w:tc>
              <w:tc>
                <w:tcPr>
                  <w:tcW w:w="612" w:type="pct"/>
                  <w:tcBorders>
                    <w:tl2br w:val="nil"/>
                    <w:tr2bl w:val="nil"/>
                  </w:tcBorders>
                  <w:noWrap w:val="0"/>
                  <w:vAlign w:val="center"/>
                </w:tcPr>
                <w:p w14:paraId="5706DC99">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声源源强dB（A）</w:t>
                  </w:r>
                </w:p>
              </w:tc>
              <w:tc>
                <w:tcPr>
                  <w:tcW w:w="555" w:type="pct"/>
                  <w:vMerge w:val="restart"/>
                  <w:tcBorders>
                    <w:tl2br w:val="nil"/>
                    <w:tr2bl w:val="nil"/>
                  </w:tcBorders>
                  <w:noWrap w:val="0"/>
                  <w:vAlign w:val="center"/>
                </w:tcPr>
                <w:p w14:paraId="0C687C30">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声源控制措施</w:t>
                  </w:r>
                </w:p>
              </w:tc>
              <w:tc>
                <w:tcPr>
                  <w:tcW w:w="555" w:type="pct"/>
                  <w:vMerge w:val="restart"/>
                  <w:tcBorders>
                    <w:tl2br w:val="nil"/>
                    <w:tr2bl w:val="nil"/>
                  </w:tcBorders>
                  <w:noWrap w:val="0"/>
                  <w:vAlign w:val="center"/>
                </w:tcPr>
                <w:p w14:paraId="599E1B97">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运行时段</w:t>
                  </w:r>
                </w:p>
              </w:tc>
            </w:tr>
            <w:tr w14:paraId="25F8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53" w:type="pct"/>
                  <w:vMerge w:val="continue"/>
                  <w:tcBorders>
                    <w:tl2br w:val="nil"/>
                    <w:tr2bl w:val="nil"/>
                  </w:tcBorders>
                  <w:noWrap w:val="0"/>
                  <w:vAlign w:val="center"/>
                </w:tcPr>
                <w:p w14:paraId="45D5C06A">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p>
              </w:tc>
              <w:tc>
                <w:tcPr>
                  <w:tcW w:w="554" w:type="pct"/>
                  <w:vMerge w:val="continue"/>
                  <w:tcBorders>
                    <w:tl2br w:val="nil"/>
                    <w:tr2bl w:val="nil"/>
                  </w:tcBorders>
                  <w:noWrap w:val="0"/>
                  <w:vAlign w:val="center"/>
                </w:tcPr>
                <w:p w14:paraId="1876582C">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p>
              </w:tc>
              <w:tc>
                <w:tcPr>
                  <w:tcW w:w="554" w:type="pct"/>
                  <w:vMerge w:val="continue"/>
                  <w:tcBorders>
                    <w:tl2br w:val="nil"/>
                    <w:tr2bl w:val="nil"/>
                  </w:tcBorders>
                  <w:noWrap w:val="0"/>
                  <w:vAlign w:val="center"/>
                </w:tcPr>
                <w:p w14:paraId="51375FF7">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p>
              </w:tc>
              <w:tc>
                <w:tcPr>
                  <w:tcW w:w="516" w:type="pct"/>
                  <w:tcBorders>
                    <w:tl2br w:val="nil"/>
                    <w:tr2bl w:val="nil"/>
                  </w:tcBorders>
                  <w:noWrap w:val="0"/>
                  <w:vAlign w:val="center"/>
                </w:tcPr>
                <w:p w14:paraId="5A36C24F">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X</w:t>
                  </w:r>
                </w:p>
              </w:tc>
              <w:tc>
                <w:tcPr>
                  <w:tcW w:w="548" w:type="pct"/>
                  <w:tcBorders>
                    <w:tl2br w:val="nil"/>
                    <w:tr2bl w:val="nil"/>
                  </w:tcBorders>
                  <w:noWrap w:val="0"/>
                  <w:vAlign w:val="center"/>
                </w:tcPr>
                <w:p w14:paraId="3561A39C">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Y</w:t>
                  </w:r>
                </w:p>
              </w:tc>
              <w:tc>
                <w:tcPr>
                  <w:tcW w:w="550" w:type="pct"/>
                  <w:tcBorders>
                    <w:tl2br w:val="nil"/>
                    <w:tr2bl w:val="nil"/>
                  </w:tcBorders>
                  <w:noWrap w:val="0"/>
                  <w:vAlign w:val="center"/>
                </w:tcPr>
                <w:p w14:paraId="6B6F2B38">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Z</w:t>
                  </w:r>
                </w:p>
              </w:tc>
              <w:tc>
                <w:tcPr>
                  <w:tcW w:w="612" w:type="pct"/>
                  <w:tcBorders>
                    <w:tl2br w:val="nil"/>
                    <w:tr2bl w:val="nil"/>
                  </w:tcBorders>
                  <w:noWrap w:val="0"/>
                  <w:vAlign w:val="center"/>
                </w:tcPr>
                <w:p w14:paraId="76F146C3">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声功率级</w:t>
                  </w:r>
                </w:p>
              </w:tc>
              <w:tc>
                <w:tcPr>
                  <w:tcW w:w="555" w:type="pct"/>
                  <w:vMerge w:val="continue"/>
                  <w:tcBorders>
                    <w:tl2br w:val="nil"/>
                    <w:tr2bl w:val="nil"/>
                  </w:tcBorders>
                  <w:noWrap w:val="0"/>
                  <w:vAlign w:val="center"/>
                </w:tcPr>
                <w:p w14:paraId="284E1616">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p>
              </w:tc>
              <w:tc>
                <w:tcPr>
                  <w:tcW w:w="555" w:type="pct"/>
                  <w:vMerge w:val="continue"/>
                  <w:tcBorders>
                    <w:tl2br w:val="nil"/>
                    <w:tr2bl w:val="nil"/>
                  </w:tcBorders>
                  <w:noWrap w:val="0"/>
                  <w:vAlign w:val="center"/>
                </w:tcPr>
                <w:p w14:paraId="5912D747">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p>
              </w:tc>
            </w:tr>
            <w:tr w14:paraId="17D7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53" w:type="pct"/>
                  <w:tcBorders>
                    <w:tl2br w:val="nil"/>
                    <w:tr2bl w:val="nil"/>
                  </w:tcBorders>
                  <w:noWrap w:val="0"/>
                  <w:vAlign w:val="center"/>
                </w:tcPr>
                <w:p w14:paraId="0AAC80EE">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554" w:type="pct"/>
                  <w:tcBorders>
                    <w:tl2br w:val="nil"/>
                    <w:tr2bl w:val="nil"/>
                  </w:tcBorders>
                  <w:noWrap w:val="0"/>
                  <w:vAlign w:val="center"/>
                </w:tcPr>
                <w:p w14:paraId="603CB635">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#风机</w:t>
                  </w:r>
                </w:p>
              </w:tc>
              <w:tc>
                <w:tcPr>
                  <w:tcW w:w="554" w:type="pct"/>
                  <w:tcBorders>
                    <w:tl2br w:val="nil"/>
                    <w:tr2bl w:val="nil"/>
                  </w:tcBorders>
                  <w:noWrap w:val="0"/>
                  <w:vAlign w:val="center"/>
                </w:tcPr>
                <w:p w14:paraId="1C339197">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16" w:type="pct"/>
                  <w:tcBorders>
                    <w:tl2br w:val="nil"/>
                    <w:tr2bl w:val="nil"/>
                  </w:tcBorders>
                  <w:noWrap w:val="0"/>
                  <w:vAlign w:val="center"/>
                </w:tcPr>
                <w:p w14:paraId="6043EA3F">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w:t>
                  </w:r>
                </w:p>
              </w:tc>
              <w:tc>
                <w:tcPr>
                  <w:tcW w:w="548" w:type="pct"/>
                  <w:tcBorders>
                    <w:tl2br w:val="nil"/>
                    <w:tr2bl w:val="nil"/>
                  </w:tcBorders>
                  <w:noWrap w:val="0"/>
                  <w:vAlign w:val="center"/>
                </w:tcPr>
                <w:p w14:paraId="5D8CCFB7">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-30</w:t>
                  </w:r>
                </w:p>
              </w:tc>
              <w:tc>
                <w:tcPr>
                  <w:tcW w:w="550" w:type="pct"/>
                  <w:tcBorders>
                    <w:tl2br w:val="nil"/>
                    <w:tr2bl w:val="nil"/>
                  </w:tcBorders>
                  <w:noWrap w:val="0"/>
                  <w:vAlign w:val="center"/>
                </w:tcPr>
                <w:p w14:paraId="0AB3325F">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612" w:type="pct"/>
                  <w:tcBorders>
                    <w:tl2br w:val="nil"/>
                    <w:tr2bl w:val="nil"/>
                  </w:tcBorders>
                  <w:noWrap w:val="0"/>
                  <w:vAlign w:val="center"/>
                </w:tcPr>
                <w:p w14:paraId="0BF660D1">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90</w:t>
                  </w:r>
                </w:p>
              </w:tc>
              <w:tc>
                <w:tcPr>
                  <w:tcW w:w="555" w:type="pct"/>
                  <w:vMerge w:val="restart"/>
                  <w:tcBorders>
                    <w:tl2br w:val="nil"/>
                    <w:tr2bl w:val="nil"/>
                  </w:tcBorders>
                  <w:noWrap w:val="0"/>
                  <w:vAlign w:val="center"/>
                </w:tcPr>
                <w:p w14:paraId="5530CB02">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减振、消声器</w:t>
                  </w:r>
                </w:p>
              </w:tc>
              <w:tc>
                <w:tcPr>
                  <w:tcW w:w="555" w:type="pct"/>
                  <w:tcBorders>
                    <w:tl2br w:val="nil"/>
                    <w:tr2bl w:val="nil"/>
                  </w:tcBorders>
                  <w:noWrap w:val="0"/>
                  <w:vAlign w:val="center"/>
                </w:tcPr>
                <w:p w14:paraId="704B4A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17A22E53">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r>
            <w:tr w14:paraId="1A6D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53" w:type="pct"/>
                  <w:tcBorders>
                    <w:tl2br w:val="nil"/>
                    <w:tr2bl w:val="nil"/>
                  </w:tcBorders>
                  <w:noWrap w:val="0"/>
                  <w:vAlign w:val="center"/>
                </w:tcPr>
                <w:p w14:paraId="4FA8658A">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p>
              </w:tc>
              <w:tc>
                <w:tcPr>
                  <w:tcW w:w="554" w:type="pct"/>
                  <w:tcBorders>
                    <w:tl2br w:val="nil"/>
                    <w:tr2bl w:val="nil"/>
                  </w:tcBorders>
                  <w:noWrap w:val="0"/>
                  <w:vAlign w:val="center"/>
                </w:tcPr>
                <w:p w14:paraId="74D145F0">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val="en-US" w:eastAsia="zh-CN"/>
                    </w:rPr>
                    <w:t>#风机</w:t>
                  </w:r>
                </w:p>
              </w:tc>
              <w:tc>
                <w:tcPr>
                  <w:tcW w:w="554" w:type="pct"/>
                  <w:tcBorders>
                    <w:tl2br w:val="nil"/>
                    <w:tr2bl w:val="nil"/>
                  </w:tcBorders>
                  <w:noWrap w:val="0"/>
                  <w:vAlign w:val="center"/>
                </w:tcPr>
                <w:p w14:paraId="3B9AA1E9">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w:t>
                  </w:r>
                </w:p>
              </w:tc>
              <w:tc>
                <w:tcPr>
                  <w:tcW w:w="516" w:type="pct"/>
                  <w:tcBorders>
                    <w:tl2br w:val="nil"/>
                    <w:tr2bl w:val="nil"/>
                  </w:tcBorders>
                  <w:noWrap w:val="0"/>
                  <w:vAlign w:val="center"/>
                </w:tcPr>
                <w:p w14:paraId="769ECA51">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w:t>
                  </w:r>
                </w:p>
              </w:tc>
              <w:tc>
                <w:tcPr>
                  <w:tcW w:w="548" w:type="pct"/>
                  <w:tcBorders>
                    <w:tl2br w:val="nil"/>
                    <w:tr2bl w:val="nil"/>
                  </w:tcBorders>
                  <w:noWrap w:val="0"/>
                  <w:vAlign w:val="center"/>
                </w:tcPr>
                <w:p w14:paraId="45EC9A61">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w:t>
                  </w:r>
                </w:p>
              </w:tc>
              <w:tc>
                <w:tcPr>
                  <w:tcW w:w="550" w:type="pct"/>
                  <w:tcBorders>
                    <w:tl2br w:val="nil"/>
                    <w:tr2bl w:val="nil"/>
                  </w:tcBorders>
                  <w:noWrap w:val="0"/>
                  <w:vAlign w:val="center"/>
                </w:tcPr>
                <w:p w14:paraId="417B2A40">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612" w:type="pct"/>
                  <w:tcBorders>
                    <w:tl2br w:val="nil"/>
                    <w:tr2bl w:val="nil"/>
                  </w:tcBorders>
                  <w:noWrap w:val="0"/>
                  <w:vAlign w:val="center"/>
                </w:tcPr>
                <w:p w14:paraId="1DDAD396">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90</w:t>
                  </w:r>
                </w:p>
              </w:tc>
              <w:tc>
                <w:tcPr>
                  <w:tcW w:w="555" w:type="pct"/>
                  <w:vMerge w:val="continue"/>
                  <w:tcBorders>
                    <w:tl2br w:val="nil"/>
                    <w:tr2bl w:val="nil"/>
                  </w:tcBorders>
                  <w:noWrap w:val="0"/>
                  <w:vAlign w:val="center"/>
                </w:tcPr>
                <w:p w14:paraId="0F8817DF">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p>
              </w:tc>
              <w:tc>
                <w:tcPr>
                  <w:tcW w:w="555" w:type="pct"/>
                  <w:tcBorders>
                    <w:tl2br w:val="nil"/>
                    <w:tr2bl w:val="nil"/>
                  </w:tcBorders>
                  <w:noWrap w:val="0"/>
                  <w:vAlign w:val="center"/>
                </w:tcPr>
                <w:p w14:paraId="74A497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4E900C6F">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r>
            <w:tr w14:paraId="1363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53" w:type="pct"/>
                  <w:tcBorders>
                    <w:tl2br w:val="nil"/>
                    <w:tr2bl w:val="nil"/>
                  </w:tcBorders>
                  <w:noWrap w:val="0"/>
                  <w:vAlign w:val="center"/>
                </w:tcPr>
                <w:p w14:paraId="0F856C31">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w:t>
                  </w:r>
                </w:p>
              </w:tc>
              <w:tc>
                <w:tcPr>
                  <w:tcW w:w="554" w:type="pct"/>
                  <w:tcBorders>
                    <w:tl2br w:val="nil"/>
                    <w:tr2bl w:val="nil"/>
                  </w:tcBorders>
                  <w:noWrap w:val="0"/>
                  <w:vAlign w:val="center"/>
                </w:tcPr>
                <w:p w14:paraId="7A2D114D">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#风机</w:t>
                  </w:r>
                </w:p>
              </w:tc>
              <w:tc>
                <w:tcPr>
                  <w:tcW w:w="554" w:type="pct"/>
                  <w:tcBorders>
                    <w:tl2br w:val="nil"/>
                    <w:tr2bl w:val="nil"/>
                  </w:tcBorders>
                  <w:noWrap w:val="0"/>
                  <w:vAlign w:val="center"/>
                </w:tcPr>
                <w:p w14:paraId="222BFD39">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16" w:type="pct"/>
                  <w:tcBorders>
                    <w:tl2br w:val="nil"/>
                    <w:tr2bl w:val="nil"/>
                  </w:tcBorders>
                  <w:noWrap w:val="0"/>
                  <w:vAlign w:val="center"/>
                </w:tcPr>
                <w:p w14:paraId="0A0CD390">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12</w:t>
                  </w:r>
                </w:p>
              </w:tc>
              <w:tc>
                <w:tcPr>
                  <w:tcW w:w="548" w:type="pct"/>
                  <w:tcBorders>
                    <w:tl2br w:val="nil"/>
                    <w:tr2bl w:val="nil"/>
                  </w:tcBorders>
                  <w:noWrap w:val="0"/>
                  <w:vAlign w:val="center"/>
                </w:tcPr>
                <w:p w14:paraId="3A1886A3">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-30</w:t>
                  </w:r>
                </w:p>
              </w:tc>
              <w:tc>
                <w:tcPr>
                  <w:tcW w:w="550" w:type="pct"/>
                  <w:tcBorders>
                    <w:tl2br w:val="nil"/>
                    <w:tr2bl w:val="nil"/>
                  </w:tcBorders>
                  <w:noWrap w:val="0"/>
                  <w:vAlign w:val="center"/>
                </w:tcPr>
                <w:p w14:paraId="2A60122E">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612" w:type="pct"/>
                  <w:tcBorders>
                    <w:tl2br w:val="nil"/>
                    <w:tr2bl w:val="nil"/>
                  </w:tcBorders>
                  <w:noWrap w:val="0"/>
                  <w:vAlign w:val="center"/>
                </w:tcPr>
                <w:p w14:paraId="035B2DCB">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90</w:t>
                  </w:r>
                </w:p>
              </w:tc>
              <w:tc>
                <w:tcPr>
                  <w:tcW w:w="555" w:type="pct"/>
                  <w:vMerge w:val="continue"/>
                  <w:tcBorders>
                    <w:tl2br w:val="nil"/>
                    <w:tr2bl w:val="nil"/>
                  </w:tcBorders>
                  <w:noWrap w:val="0"/>
                  <w:vAlign w:val="center"/>
                </w:tcPr>
                <w:p w14:paraId="549E2A9E">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p>
              </w:tc>
              <w:tc>
                <w:tcPr>
                  <w:tcW w:w="555" w:type="pct"/>
                  <w:tcBorders>
                    <w:tl2br w:val="nil"/>
                    <w:tr2bl w:val="nil"/>
                  </w:tcBorders>
                  <w:noWrap w:val="0"/>
                  <w:vAlign w:val="center"/>
                </w:tcPr>
                <w:p w14:paraId="2A7728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5B6EC785">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r>
            <w:tr w14:paraId="0A10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53" w:type="pct"/>
                  <w:tcBorders>
                    <w:tl2br w:val="nil"/>
                    <w:tr2bl w:val="nil"/>
                  </w:tcBorders>
                  <w:noWrap w:val="0"/>
                  <w:vAlign w:val="center"/>
                </w:tcPr>
                <w:p w14:paraId="6D647D43">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554" w:type="pct"/>
                  <w:tcBorders>
                    <w:tl2br w:val="nil"/>
                    <w:tr2bl w:val="nil"/>
                  </w:tcBorders>
                  <w:noWrap w:val="0"/>
                  <w:vAlign w:val="center"/>
                </w:tcPr>
                <w:p w14:paraId="118269A9">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val="en-US" w:eastAsia="zh-CN"/>
                    </w:rPr>
                    <w:t>#风机</w:t>
                  </w:r>
                </w:p>
              </w:tc>
              <w:tc>
                <w:tcPr>
                  <w:tcW w:w="554" w:type="pct"/>
                  <w:tcBorders>
                    <w:tl2br w:val="nil"/>
                    <w:tr2bl w:val="nil"/>
                  </w:tcBorders>
                  <w:noWrap w:val="0"/>
                  <w:vAlign w:val="center"/>
                </w:tcPr>
                <w:p w14:paraId="1A40F701">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16" w:type="pct"/>
                  <w:tcBorders>
                    <w:tl2br w:val="nil"/>
                    <w:tr2bl w:val="nil"/>
                  </w:tcBorders>
                  <w:noWrap w:val="0"/>
                  <w:vAlign w:val="center"/>
                </w:tcPr>
                <w:p w14:paraId="103B20AC">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13</w:t>
                  </w:r>
                </w:p>
              </w:tc>
              <w:tc>
                <w:tcPr>
                  <w:tcW w:w="548" w:type="pct"/>
                  <w:tcBorders>
                    <w:tl2br w:val="nil"/>
                    <w:tr2bl w:val="nil"/>
                  </w:tcBorders>
                  <w:noWrap w:val="0"/>
                  <w:vAlign w:val="center"/>
                </w:tcPr>
                <w:p w14:paraId="385CAD25">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-22</w:t>
                  </w:r>
                </w:p>
              </w:tc>
              <w:tc>
                <w:tcPr>
                  <w:tcW w:w="550" w:type="pct"/>
                  <w:tcBorders>
                    <w:tl2br w:val="nil"/>
                    <w:tr2bl w:val="nil"/>
                  </w:tcBorders>
                  <w:noWrap w:val="0"/>
                  <w:vAlign w:val="center"/>
                </w:tcPr>
                <w:p w14:paraId="3ABC30B0">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612" w:type="pct"/>
                  <w:tcBorders>
                    <w:tl2br w:val="nil"/>
                    <w:tr2bl w:val="nil"/>
                  </w:tcBorders>
                  <w:noWrap w:val="0"/>
                  <w:vAlign w:val="center"/>
                </w:tcPr>
                <w:p w14:paraId="200A8DF1">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90</w:t>
                  </w:r>
                </w:p>
              </w:tc>
              <w:tc>
                <w:tcPr>
                  <w:tcW w:w="555" w:type="pct"/>
                  <w:vMerge w:val="continue"/>
                  <w:tcBorders>
                    <w:tl2br w:val="nil"/>
                    <w:tr2bl w:val="nil"/>
                  </w:tcBorders>
                  <w:noWrap w:val="0"/>
                  <w:vAlign w:val="center"/>
                </w:tcPr>
                <w:p w14:paraId="28C20D21">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p>
              </w:tc>
              <w:tc>
                <w:tcPr>
                  <w:tcW w:w="555" w:type="pct"/>
                  <w:tcBorders>
                    <w:tl2br w:val="nil"/>
                    <w:tr2bl w:val="nil"/>
                  </w:tcBorders>
                  <w:noWrap w:val="0"/>
                  <w:vAlign w:val="center"/>
                </w:tcPr>
                <w:p w14:paraId="4ABE3C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64337088">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r>
            <w:tr w14:paraId="4BCD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53" w:type="pct"/>
                  <w:tcBorders>
                    <w:tl2br w:val="nil"/>
                    <w:tr2bl w:val="nil"/>
                  </w:tcBorders>
                  <w:noWrap w:val="0"/>
                  <w:vAlign w:val="center"/>
                </w:tcPr>
                <w:p w14:paraId="72C3FDE5">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554" w:type="pct"/>
                  <w:tcBorders>
                    <w:tl2br w:val="nil"/>
                    <w:tr2bl w:val="nil"/>
                  </w:tcBorders>
                  <w:noWrap w:val="0"/>
                  <w:vAlign w:val="center"/>
                </w:tcPr>
                <w:p w14:paraId="428E6EFE">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lang w:val="en-US" w:eastAsia="zh-CN"/>
                    </w:rPr>
                    <w:t>#风机</w:t>
                  </w:r>
                </w:p>
              </w:tc>
              <w:tc>
                <w:tcPr>
                  <w:tcW w:w="554" w:type="pct"/>
                  <w:tcBorders>
                    <w:tl2br w:val="nil"/>
                    <w:tr2bl w:val="nil"/>
                  </w:tcBorders>
                  <w:noWrap w:val="0"/>
                  <w:vAlign w:val="center"/>
                </w:tcPr>
                <w:p w14:paraId="07079C44">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16" w:type="pct"/>
                  <w:tcBorders>
                    <w:tl2br w:val="nil"/>
                    <w:tr2bl w:val="nil"/>
                  </w:tcBorders>
                  <w:noWrap w:val="0"/>
                  <w:vAlign w:val="center"/>
                </w:tcPr>
                <w:p w14:paraId="7D660AA0">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548" w:type="pct"/>
                  <w:tcBorders>
                    <w:tl2br w:val="nil"/>
                    <w:tr2bl w:val="nil"/>
                  </w:tcBorders>
                  <w:noWrap w:val="0"/>
                  <w:vAlign w:val="center"/>
                </w:tcPr>
                <w:p w14:paraId="1CCDE0B3">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-59</w:t>
                  </w:r>
                </w:p>
              </w:tc>
              <w:tc>
                <w:tcPr>
                  <w:tcW w:w="550" w:type="pct"/>
                  <w:tcBorders>
                    <w:tl2br w:val="nil"/>
                    <w:tr2bl w:val="nil"/>
                  </w:tcBorders>
                  <w:noWrap w:val="0"/>
                  <w:vAlign w:val="center"/>
                </w:tcPr>
                <w:p w14:paraId="288DAAD7">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612" w:type="pct"/>
                  <w:tcBorders>
                    <w:tl2br w:val="nil"/>
                    <w:tr2bl w:val="nil"/>
                  </w:tcBorders>
                  <w:noWrap w:val="0"/>
                  <w:vAlign w:val="center"/>
                </w:tcPr>
                <w:p w14:paraId="6D60AA20">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90</w:t>
                  </w:r>
                </w:p>
              </w:tc>
              <w:tc>
                <w:tcPr>
                  <w:tcW w:w="555" w:type="pct"/>
                  <w:vMerge w:val="continue"/>
                  <w:tcBorders>
                    <w:tl2br w:val="nil"/>
                    <w:tr2bl w:val="nil"/>
                  </w:tcBorders>
                  <w:noWrap w:val="0"/>
                  <w:vAlign w:val="center"/>
                </w:tcPr>
                <w:p w14:paraId="575B92CD">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p>
              </w:tc>
              <w:tc>
                <w:tcPr>
                  <w:tcW w:w="555" w:type="pct"/>
                  <w:tcBorders>
                    <w:tl2br w:val="nil"/>
                    <w:tr2bl w:val="nil"/>
                  </w:tcBorders>
                  <w:noWrap w:val="0"/>
                  <w:vAlign w:val="center"/>
                </w:tcPr>
                <w:p w14:paraId="1E82C85E">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tc>
            </w:tr>
            <w:tr w14:paraId="673D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53" w:type="pct"/>
                  <w:tcBorders>
                    <w:tl2br w:val="nil"/>
                    <w:tr2bl w:val="nil"/>
                  </w:tcBorders>
                  <w:noWrap w:val="0"/>
                  <w:vAlign w:val="center"/>
                </w:tcPr>
                <w:p w14:paraId="7FF28A7B">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w:t>
                  </w:r>
                </w:p>
              </w:tc>
              <w:tc>
                <w:tcPr>
                  <w:tcW w:w="554" w:type="pct"/>
                  <w:tcBorders>
                    <w:tl2br w:val="nil"/>
                    <w:tr2bl w:val="nil"/>
                  </w:tcBorders>
                  <w:noWrap w:val="0"/>
                  <w:vAlign w:val="center"/>
                </w:tcPr>
                <w:p w14:paraId="5929F576">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lang w:val="en-US" w:eastAsia="zh-CN"/>
                    </w:rPr>
                    <w:t>#风机</w:t>
                  </w:r>
                </w:p>
              </w:tc>
              <w:tc>
                <w:tcPr>
                  <w:tcW w:w="554" w:type="pct"/>
                  <w:tcBorders>
                    <w:tl2br w:val="nil"/>
                    <w:tr2bl w:val="nil"/>
                  </w:tcBorders>
                  <w:noWrap w:val="0"/>
                  <w:vAlign w:val="center"/>
                </w:tcPr>
                <w:p w14:paraId="3B4A7E67">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16" w:type="pct"/>
                  <w:tcBorders>
                    <w:tl2br w:val="nil"/>
                    <w:tr2bl w:val="nil"/>
                  </w:tcBorders>
                  <w:shd w:val="clear" w:color="auto" w:fill="auto"/>
                  <w:noWrap w:val="0"/>
                  <w:vAlign w:val="center"/>
                </w:tcPr>
                <w:p w14:paraId="588A8A58">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en-US"/>
                    </w:rPr>
                  </w:pPr>
                  <w:r>
                    <w:rPr>
                      <w:rFonts w:hint="eastAsia" w:cs="Times New Roman"/>
                      <w:b w:val="0"/>
                      <w:bCs w:val="0"/>
                      <w:color w:val="auto"/>
                      <w:sz w:val="21"/>
                      <w:szCs w:val="21"/>
                      <w:lang w:val="en-US" w:eastAsia="zh-CN"/>
                    </w:rPr>
                    <w:t>34</w:t>
                  </w:r>
                </w:p>
              </w:tc>
              <w:tc>
                <w:tcPr>
                  <w:tcW w:w="548" w:type="pct"/>
                  <w:tcBorders>
                    <w:tl2br w:val="nil"/>
                    <w:tr2bl w:val="nil"/>
                  </w:tcBorders>
                  <w:shd w:val="clear" w:color="auto" w:fill="auto"/>
                  <w:noWrap w:val="0"/>
                  <w:vAlign w:val="center"/>
                </w:tcPr>
                <w:p w14:paraId="2D872936">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en-US"/>
                    </w:rPr>
                  </w:pPr>
                  <w:r>
                    <w:rPr>
                      <w:rFonts w:hint="eastAsia" w:cs="Times New Roman"/>
                      <w:b w:val="0"/>
                      <w:bCs w:val="0"/>
                      <w:color w:val="auto"/>
                      <w:sz w:val="21"/>
                      <w:szCs w:val="21"/>
                      <w:lang w:val="en-US" w:eastAsia="zh-CN"/>
                    </w:rPr>
                    <w:t>29</w:t>
                  </w:r>
                </w:p>
              </w:tc>
              <w:tc>
                <w:tcPr>
                  <w:tcW w:w="550" w:type="pct"/>
                  <w:tcBorders>
                    <w:tl2br w:val="nil"/>
                    <w:tr2bl w:val="nil"/>
                  </w:tcBorders>
                  <w:shd w:val="clear" w:color="auto" w:fill="auto"/>
                  <w:noWrap w:val="0"/>
                  <w:vAlign w:val="center"/>
                </w:tcPr>
                <w:p w14:paraId="21DECCCC">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w:t>
                  </w:r>
                </w:p>
              </w:tc>
              <w:tc>
                <w:tcPr>
                  <w:tcW w:w="612" w:type="pct"/>
                  <w:tcBorders>
                    <w:tl2br w:val="nil"/>
                    <w:tr2bl w:val="nil"/>
                  </w:tcBorders>
                  <w:noWrap w:val="0"/>
                  <w:vAlign w:val="center"/>
                </w:tcPr>
                <w:p w14:paraId="662935C7">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90</w:t>
                  </w:r>
                </w:p>
              </w:tc>
              <w:tc>
                <w:tcPr>
                  <w:tcW w:w="555" w:type="pct"/>
                  <w:vMerge w:val="continue"/>
                  <w:tcBorders>
                    <w:tl2br w:val="nil"/>
                    <w:tr2bl w:val="nil"/>
                  </w:tcBorders>
                  <w:noWrap w:val="0"/>
                  <w:vAlign w:val="center"/>
                </w:tcPr>
                <w:p w14:paraId="65098FAA">
                  <w:pPr>
                    <w:pStyle w:val="38"/>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default" w:ascii="Times New Roman" w:hAnsi="Times New Roman" w:eastAsia="宋体" w:cs="Times New Roman"/>
                      <w:b w:val="0"/>
                      <w:bCs w:val="0"/>
                      <w:color w:val="auto"/>
                      <w:sz w:val="21"/>
                      <w:szCs w:val="21"/>
                      <w:lang w:val="en-US" w:eastAsia="zh-CN"/>
                    </w:rPr>
                  </w:pPr>
                </w:p>
              </w:tc>
              <w:tc>
                <w:tcPr>
                  <w:tcW w:w="555" w:type="pct"/>
                  <w:tcBorders>
                    <w:tl2br w:val="nil"/>
                    <w:tr2bl w:val="nil"/>
                  </w:tcBorders>
                  <w:noWrap w:val="0"/>
                  <w:vAlign w:val="center"/>
                </w:tcPr>
                <w:p w14:paraId="65D81F6B">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r>
          </w:tbl>
          <w:p w14:paraId="2D8BAF2C">
            <w:pPr>
              <w:pStyle w:val="40"/>
              <w:adjustRightInd w:val="0"/>
              <w:snapToGrid w:val="0"/>
              <w:spacing w:line="360" w:lineRule="auto"/>
              <w:ind w:firstLine="0" w:firstLineChars="0"/>
              <w:jc w:val="both"/>
              <w:rPr>
                <w:rFonts w:hint="eastAsia" w:ascii="宋体" w:hAnsi="宋体" w:eastAsia="宋体" w:cs="宋体"/>
                <w:b/>
                <w:bCs/>
                <w:color w:val="auto"/>
                <w:lang w:eastAsia="zh-CN"/>
              </w:rPr>
            </w:pPr>
            <w:r>
              <w:rPr>
                <w:rFonts w:hint="default" w:ascii="Times New Roman" w:hAnsi="Times New Roman" w:eastAsia="宋体" w:cs="Times New Roman"/>
                <w:b/>
                <w:bCs/>
                <w:color w:val="auto"/>
                <w:sz w:val="24"/>
                <w:szCs w:val="24"/>
                <w:lang w:val="en-US" w:eastAsia="zh-CN"/>
              </w:rPr>
              <w:t>注：室外声源以厂区中心为原点。</w:t>
            </w:r>
          </w:p>
          <w:p w14:paraId="09E7AFB5">
            <w:pPr>
              <w:pStyle w:val="40"/>
              <w:adjustRightInd w:val="0"/>
              <w:snapToGrid w:val="0"/>
              <w:spacing w:line="360" w:lineRule="auto"/>
              <w:ind w:firstLine="0" w:firstLineChars="0"/>
              <w:jc w:val="center"/>
              <w:rPr>
                <w:rFonts w:hint="eastAsia" w:ascii="宋体" w:hAnsi="宋体" w:eastAsia="宋体" w:cs="宋体"/>
                <w:b/>
                <w:bCs/>
                <w:color w:val="auto"/>
                <w:lang w:eastAsia="zh-CN"/>
              </w:rPr>
            </w:pPr>
          </w:p>
        </w:tc>
      </w:tr>
    </w:tbl>
    <w:p w14:paraId="226C6105">
      <w:pPr>
        <w:adjustRightInd w:val="0"/>
        <w:snapToGrid w:val="0"/>
        <w:jc w:val="center"/>
        <w:rPr>
          <w:color w:val="auto"/>
          <w:kern w:val="0"/>
          <w:sz w:val="24"/>
        </w:rPr>
        <w:sectPr>
          <w:pgSz w:w="16838" w:h="11906" w:orient="landscape"/>
          <w:pgMar w:top="1803" w:right="1440" w:bottom="1803" w:left="1440" w:header="851" w:footer="851" w:gutter="0"/>
          <w:cols w:space="720" w:num="1"/>
          <w:docGrid w:linePitch="312" w:charSpace="0"/>
        </w:sectPr>
      </w:pPr>
    </w:p>
    <w:tbl>
      <w:tblPr>
        <w:tblStyle w:val="30"/>
        <w:tblW w:w="89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8438"/>
      </w:tblGrid>
      <w:tr w14:paraId="5C927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98" w:hRule="atLeast"/>
          <w:jc w:val="center"/>
        </w:trPr>
        <w:tc>
          <w:tcPr>
            <w:tcW w:w="553" w:type="dxa"/>
            <w:tcBorders>
              <w:tl2br w:val="nil"/>
              <w:tr2bl w:val="nil"/>
            </w:tcBorders>
            <w:vAlign w:val="center"/>
          </w:tcPr>
          <w:p w14:paraId="45FF7E4E">
            <w:pPr>
              <w:adjustRightInd w:val="0"/>
              <w:snapToGrid w:val="0"/>
              <w:jc w:val="center"/>
              <w:rPr>
                <w:color w:val="auto"/>
                <w:kern w:val="0"/>
                <w:sz w:val="24"/>
              </w:rPr>
            </w:pPr>
            <w:r>
              <w:rPr>
                <w:color w:val="auto"/>
                <w:kern w:val="0"/>
                <w:sz w:val="24"/>
              </w:rPr>
              <w:t>运营</w:t>
            </w:r>
          </w:p>
          <w:p w14:paraId="4A13A64E">
            <w:pPr>
              <w:adjustRightInd w:val="0"/>
              <w:snapToGrid w:val="0"/>
              <w:jc w:val="center"/>
              <w:rPr>
                <w:color w:val="auto"/>
                <w:kern w:val="0"/>
                <w:sz w:val="24"/>
              </w:rPr>
            </w:pPr>
            <w:r>
              <w:rPr>
                <w:color w:val="auto"/>
                <w:kern w:val="0"/>
                <w:sz w:val="24"/>
              </w:rPr>
              <w:t>期环</w:t>
            </w:r>
          </w:p>
          <w:p w14:paraId="229BDFF4">
            <w:pPr>
              <w:adjustRightInd w:val="0"/>
              <w:snapToGrid w:val="0"/>
              <w:jc w:val="center"/>
              <w:rPr>
                <w:color w:val="auto"/>
                <w:kern w:val="0"/>
                <w:sz w:val="24"/>
              </w:rPr>
            </w:pPr>
            <w:r>
              <w:rPr>
                <w:color w:val="auto"/>
                <w:kern w:val="0"/>
                <w:sz w:val="24"/>
              </w:rPr>
              <w:t>境影</w:t>
            </w:r>
          </w:p>
          <w:p w14:paraId="2CF908F2">
            <w:pPr>
              <w:adjustRightInd w:val="0"/>
              <w:snapToGrid w:val="0"/>
              <w:jc w:val="center"/>
              <w:rPr>
                <w:color w:val="auto"/>
                <w:kern w:val="0"/>
                <w:sz w:val="24"/>
              </w:rPr>
            </w:pPr>
            <w:r>
              <w:rPr>
                <w:color w:val="auto"/>
                <w:kern w:val="0"/>
                <w:sz w:val="24"/>
              </w:rPr>
              <w:t>响和</w:t>
            </w:r>
          </w:p>
          <w:p w14:paraId="491DF76D">
            <w:pPr>
              <w:adjustRightInd w:val="0"/>
              <w:snapToGrid w:val="0"/>
              <w:jc w:val="center"/>
              <w:rPr>
                <w:color w:val="auto"/>
                <w:kern w:val="0"/>
                <w:sz w:val="24"/>
              </w:rPr>
            </w:pPr>
            <w:r>
              <w:rPr>
                <w:color w:val="auto"/>
                <w:kern w:val="0"/>
                <w:sz w:val="24"/>
              </w:rPr>
              <w:t>保护</w:t>
            </w:r>
          </w:p>
          <w:p w14:paraId="3BEED7DA">
            <w:pPr>
              <w:pStyle w:val="2"/>
              <w:rPr>
                <w:color w:val="auto"/>
                <w:kern w:val="0"/>
              </w:rPr>
            </w:pPr>
            <w:r>
              <w:rPr>
                <w:color w:val="auto"/>
                <w:kern w:val="0"/>
              </w:rPr>
              <w:t>措施</w:t>
            </w:r>
          </w:p>
        </w:tc>
        <w:tc>
          <w:tcPr>
            <w:tcW w:w="8438" w:type="dxa"/>
            <w:tcBorders>
              <w:tl2br w:val="nil"/>
              <w:tr2bl w:val="nil"/>
            </w:tcBorders>
            <w:vAlign w:val="center"/>
          </w:tcPr>
          <w:p w14:paraId="5B373E31">
            <w:pPr>
              <w:adjustRightInd w:val="0"/>
              <w:snapToGrid w:val="0"/>
              <w:spacing w:before="120" w:beforeLines="50" w:line="360" w:lineRule="auto"/>
              <w:ind w:firstLine="482" w:firstLineChars="200"/>
              <w:rPr>
                <w:b/>
                <w:bCs/>
                <w:color w:val="auto"/>
                <w:sz w:val="24"/>
              </w:rPr>
            </w:pPr>
            <w:r>
              <w:rPr>
                <w:rFonts w:hint="eastAsia"/>
                <w:b/>
                <w:bCs/>
                <w:color w:val="auto"/>
                <w:sz w:val="24"/>
              </w:rPr>
              <w:t>厂界和环境保护目标达标情况分析：</w:t>
            </w:r>
          </w:p>
          <w:p w14:paraId="17783DB1">
            <w:pPr>
              <w:adjustRightInd w:val="0"/>
              <w:snapToGrid w:val="0"/>
              <w:spacing w:line="360" w:lineRule="auto"/>
              <w:ind w:firstLine="480" w:firstLineChars="200"/>
              <w:rPr>
                <w:color w:val="auto"/>
                <w:sz w:val="24"/>
                <w:lang w:val="zh-CN"/>
              </w:rPr>
            </w:pPr>
            <w:r>
              <w:rPr>
                <w:rFonts w:hint="eastAsia"/>
                <w:color w:val="auto"/>
                <w:sz w:val="24"/>
                <w:lang w:val="zh-CN"/>
              </w:rPr>
              <w:t>根据设备噪声强度，采用距离衰减模式分析该项目对声环境的影响。预测模式采用《环境影响评价技术导则</w:t>
            </w:r>
            <w:r>
              <w:rPr>
                <w:rFonts w:hint="eastAsia"/>
                <w:color w:val="auto"/>
                <w:sz w:val="24"/>
              </w:rPr>
              <w:t xml:space="preserve">  </w:t>
            </w:r>
            <w:r>
              <w:rPr>
                <w:rFonts w:hint="eastAsia"/>
                <w:color w:val="auto"/>
                <w:sz w:val="24"/>
                <w:lang w:val="zh-CN"/>
              </w:rPr>
              <w:t>声环境》</w:t>
            </w:r>
            <w:r>
              <w:rPr>
                <w:rFonts w:hint="eastAsia" w:ascii="宋体" w:hAnsi="宋体"/>
                <w:color w:val="auto"/>
                <w:sz w:val="24"/>
                <w:lang w:val="zh-CN"/>
              </w:rPr>
              <w:t>(</w:t>
            </w:r>
            <w:r>
              <w:rPr>
                <w:rFonts w:hint="eastAsia"/>
                <w:color w:val="auto"/>
                <w:sz w:val="24"/>
                <w:lang w:val="zh-CN"/>
              </w:rPr>
              <w:t>HJ2.4-2021</w:t>
            </w:r>
            <w:r>
              <w:rPr>
                <w:rFonts w:hint="eastAsia" w:ascii="宋体" w:hAnsi="宋体"/>
                <w:color w:val="auto"/>
                <w:sz w:val="24"/>
                <w:lang w:val="zh-CN"/>
              </w:rPr>
              <w:t>)中推荐</w:t>
            </w:r>
            <w:r>
              <w:rPr>
                <w:rFonts w:hint="eastAsia"/>
                <w:color w:val="auto"/>
                <w:sz w:val="24"/>
                <w:lang w:val="zh-CN"/>
              </w:rPr>
              <w:t>的噪声预测模式，噪声衰减公式：</w:t>
            </w:r>
          </w:p>
          <w:p w14:paraId="6ABE3850">
            <w:pPr>
              <w:pStyle w:val="28"/>
              <w:widowControl/>
              <w:adjustRightInd w:val="0"/>
              <w:spacing w:before="0" w:after="0" w:line="360" w:lineRule="auto"/>
              <w:ind w:right="0" w:firstLine="480" w:firstLineChars="200"/>
              <w:rPr>
                <w:color w:val="auto"/>
                <w:sz w:val="24"/>
                <w:szCs w:val="24"/>
              </w:rPr>
            </w:pPr>
            <w:r>
              <w:rPr>
                <w:color w:val="auto"/>
                <w:sz w:val="24"/>
                <w:szCs w:val="24"/>
              </w:rPr>
              <w:t>①如图B.1所示，声源位于室内，室内声源可采用等效室外声源声功率级法进行计算。设靠近开口处（或窗户）室内、室外某倍频带的声压级或A声级分别为L</w:t>
            </w:r>
            <w:r>
              <w:rPr>
                <w:color w:val="auto"/>
                <w:sz w:val="24"/>
                <w:szCs w:val="24"/>
                <w:vertAlign w:val="subscript"/>
              </w:rPr>
              <w:t>p1</w:t>
            </w:r>
            <w:r>
              <w:rPr>
                <w:color w:val="auto"/>
                <w:sz w:val="24"/>
                <w:szCs w:val="24"/>
              </w:rPr>
              <w:t>和L</w:t>
            </w:r>
            <w:r>
              <w:rPr>
                <w:color w:val="auto"/>
                <w:sz w:val="24"/>
                <w:szCs w:val="24"/>
                <w:vertAlign w:val="subscript"/>
              </w:rPr>
              <w:t>p2</w:t>
            </w:r>
            <w:r>
              <w:rPr>
                <w:color w:val="auto"/>
                <w:sz w:val="24"/>
                <w:szCs w:val="24"/>
              </w:rPr>
              <w:t>。若声源所在室内声场为近似扩散声场，则室外的倍频带声压级可按式（B.1）近似求出：</w:t>
            </w:r>
          </w:p>
          <w:p w14:paraId="40AA1FEE">
            <w:pPr>
              <w:pStyle w:val="28"/>
              <w:adjustRightInd w:val="0"/>
              <w:spacing w:before="0" w:after="0" w:line="360" w:lineRule="auto"/>
              <w:ind w:right="0" w:firstLine="210"/>
              <w:jc w:val="right"/>
              <w:rPr>
                <w:color w:val="auto"/>
                <w:sz w:val="24"/>
                <w:szCs w:val="24"/>
              </w:rPr>
            </w:pPr>
            <w:r>
              <w:rPr>
                <w:color w:val="auto"/>
              </w:rPr>
              <w:drawing>
                <wp:inline distT="0" distB="0" distL="114300" distR="114300">
                  <wp:extent cx="3482975" cy="373380"/>
                  <wp:effectExtent l="0" t="0" r="3175" b="762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8"/>
                          <a:stretch>
                            <a:fillRect/>
                          </a:stretch>
                        </pic:blipFill>
                        <pic:spPr>
                          <a:xfrm>
                            <a:off x="0" y="0"/>
                            <a:ext cx="3482975" cy="373380"/>
                          </a:xfrm>
                          <a:prstGeom prst="rect">
                            <a:avLst/>
                          </a:prstGeom>
                          <a:noFill/>
                          <a:ln>
                            <a:noFill/>
                          </a:ln>
                        </pic:spPr>
                      </pic:pic>
                    </a:graphicData>
                  </a:graphic>
                </wp:inline>
              </w:drawing>
            </w:r>
            <w:r>
              <w:rPr>
                <w:color w:val="auto"/>
              </w:rPr>
              <w:t xml:space="preserve"> </w:t>
            </w:r>
          </w:p>
          <w:p w14:paraId="1173FF6D">
            <w:pPr>
              <w:pStyle w:val="28"/>
              <w:adjustRightInd w:val="0"/>
              <w:spacing w:before="0" w:after="0" w:line="360" w:lineRule="auto"/>
              <w:ind w:right="0" w:firstLine="0" w:firstLineChars="0"/>
              <w:rPr>
                <w:color w:val="auto"/>
                <w:sz w:val="24"/>
                <w:szCs w:val="24"/>
              </w:rPr>
            </w:pPr>
            <w:r>
              <w:rPr>
                <w:color w:val="auto"/>
                <w:sz w:val="24"/>
                <w:szCs w:val="24"/>
              </w:rPr>
              <w:t>式中：L</w:t>
            </w:r>
            <w:r>
              <w:rPr>
                <w:color w:val="auto"/>
                <w:sz w:val="24"/>
                <w:szCs w:val="24"/>
                <w:vertAlign w:val="subscript"/>
              </w:rPr>
              <w:t>p1</w:t>
            </w:r>
            <w:r>
              <w:rPr>
                <w:color w:val="auto"/>
              </w:rPr>
              <w:t>——</w:t>
            </w:r>
            <w:r>
              <w:rPr>
                <w:color w:val="auto"/>
                <w:sz w:val="24"/>
                <w:szCs w:val="24"/>
              </w:rPr>
              <w:t>靠近开口处（或窗户）室内某倍频带的声压级或A声级，dB；</w:t>
            </w:r>
          </w:p>
          <w:p w14:paraId="575949D9">
            <w:pPr>
              <w:pStyle w:val="28"/>
              <w:adjustRightInd w:val="0"/>
              <w:spacing w:before="0" w:after="0" w:line="360" w:lineRule="auto"/>
              <w:ind w:right="0" w:firstLine="720" w:firstLineChars="300"/>
              <w:rPr>
                <w:color w:val="auto"/>
                <w:sz w:val="24"/>
                <w:szCs w:val="24"/>
              </w:rPr>
            </w:pPr>
            <w:r>
              <w:rPr>
                <w:color w:val="auto"/>
                <w:sz w:val="24"/>
                <w:szCs w:val="24"/>
              </w:rPr>
              <w:t>L</w:t>
            </w:r>
            <w:r>
              <w:rPr>
                <w:color w:val="auto"/>
                <w:sz w:val="24"/>
                <w:szCs w:val="24"/>
                <w:vertAlign w:val="subscript"/>
              </w:rPr>
              <w:t>p2</w:t>
            </w:r>
            <w:r>
              <w:rPr>
                <w:color w:val="auto"/>
              </w:rPr>
              <w:t>——</w:t>
            </w:r>
            <w:r>
              <w:rPr>
                <w:color w:val="auto"/>
                <w:sz w:val="24"/>
                <w:szCs w:val="24"/>
              </w:rPr>
              <w:t>靠近开口处（或窗户）室外某倍频带的声压级或A声级，dB；</w:t>
            </w:r>
          </w:p>
          <w:p w14:paraId="66C7D16C">
            <w:pPr>
              <w:pStyle w:val="28"/>
              <w:adjustRightInd w:val="0"/>
              <w:spacing w:before="0" w:after="0" w:line="360" w:lineRule="auto"/>
              <w:ind w:right="0" w:firstLine="720" w:firstLineChars="300"/>
              <w:rPr>
                <w:color w:val="auto"/>
                <w:sz w:val="24"/>
                <w:szCs w:val="24"/>
              </w:rPr>
            </w:pPr>
            <w:r>
              <w:rPr>
                <w:color w:val="auto"/>
                <w:sz w:val="24"/>
                <w:szCs w:val="24"/>
              </w:rPr>
              <w:t>TL</w:t>
            </w:r>
            <w:r>
              <w:rPr>
                <w:color w:val="auto"/>
              </w:rPr>
              <w:t>——</w:t>
            </w:r>
            <w:r>
              <w:rPr>
                <w:color w:val="auto"/>
                <w:sz w:val="24"/>
                <w:szCs w:val="24"/>
              </w:rPr>
              <w:t>隔墙（或窗户）倍频带或A声级的隔声量，dB。</w:t>
            </w:r>
          </w:p>
          <w:p w14:paraId="5DE86964">
            <w:pPr>
              <w:pStyle w:val="28"/>
              <w:adjustRightInd w:val="0"/>
              <w:spacing w:before="0" w:after="0" w:line="360" w:lineRule="auto"/>
              <w:ind w:right="0" w:firstLine="0" w:firstLineChars="0"/>
              <w:jc w:val="center"/>
              <w:rPr>
                <w:color w:val="auto"/>
              </w:rPr>
            </w:pPr>
            <w:r>
              <w:rPr>
                <w:color w:val="auto"/>
              </w:rPr>
              <w:drawing>
                <wp:inline distT="0" distB="0" distL="114300" distR="114300">
                  <wp:extent cx="3236595" cy="1656080"/>
                  <wp:effectExtent l="0" t="0" r="1905"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9"/>
                          <a:stretch>
                            <a:fillRect/>
                          </a:stretch>
                        </pic:blipFill>
                        <pic:spPr>
                          <a:xfrm>
                            <a:off x="0" y="0"/>
                            <a:ext cx="3236595" cy="1656080"/>
                          </a:xfrm>
                          <a:prstGeom prst="rect">
                            <a:avLst/>
                          </a:prstGeom>
                          <a:noFill/>
                          <a:ln>
                            <a:noFill/>
                          </a:ln>
                        </pic:spPr>
                      </pic:pic>
                    </a:graphicData>
                  </a:graphic>
                </wp:inline>
              </w:drawing>
            </w:r>
          </w:p>
          <w:p w14:paraId="53A5B4AE">
            <w:pPr>
              <w:pStyle w:val="28"/>
              <w:widowControl/>
              <w:adjustRightInd w:val="0"/>
              <w:spacing w:before="0" w:after="0" w:line="360" w:lineRule="auto"/>
              <w:ind w:right="0" w:firstLine="0" w:firstLineChars="0"/>
              <w:jc w:val="center"/>
              <w:rPr>
                <w:b/>
                <w:bCs/>
                <w:color w:val="auto"/>
                <w:sz w:val="24"/>
                <w:szCs w:val="24"/>
              </w:rPr>
            </w:pPr>
            <w:r>
              <w:rPr>
                <w:b/>
                <w:bCs/>
                <w:color w:val="auto"/>
                <w:sz w:val="24"/>
                <w:szCs w:val="24"/>
              </w:rPr>
              <w:t>图B.1  室内声源等效为室外声源图例</w:t>
            </w:r>
          </w:p>
          <w:p w14:paraId="7EF4A7BF">
            <w:pPr>
              <w:pStyle w:val="28"/>
              <w:adjustRightInd w:val="0"/>
              <w:spacing w:before="0" w:after="0" w:line="360" w:lineRule="auto"/>
              <w:ind w:right="0" w:firstLine="480" w:firstLineChars="200"/>
              <w:rPr>
                <w:bCs/>
                <w:color w:val="auto"/>
                <w:sz w:val="24"/>
                <w:szCs w:val="24"/>
              </w:rPr>
            </w:pPr>
            <w:r>
              <w:rPr>
                <w:bCs/>
                <w:color w:val="auto"/>
                <w:sz w:val="24"/>
                <w:szCs w:val="24"/>
              </w:rPr>
              <w:t>②也可按式（B.2）计算某一室内声源靠近围护结构处产生的倍频带声压级或A声级：</w:t>
            </w:r>
          </w:p>
          <w:p w14:paraId="61C80982">
            <w:pPr>
              <w:pStyle w:val="28"/>
              <w:adjustRightInd w:val="0"/>
              <w:spacing w:before="0" w:after="0" w:line="360" w:lineRule="auto"/>
              <w:ind w:right="0" w:firstLine="0" w:firstLineChars="0"/>
              <w:jc w:val="right"/>
              <w:rPr>
                <w:bCs/>
                <w:color w:val="auto"/>
                <w:sz w:val="24"/>
                <w:szCs w:val="24"/>
              </w:rPr>
            </w:pPr>
            <w:r>
              <w:rPr>
                <w:color w:val="auto"/>
              </w:rPr>
              <w:drawing>
                <wp:inline distT="0" distB="0" distL="114300" distR="114300">
                  <wp:extent cx="3904615" cy="575310"/>
                  <wp:effectExtent l="0" t="0" r="635" b="1524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0"/>
                          <a:stretch>
                            <a:fillRect/>
                          </a:stretch>
                        </pic:blipFill>
                        <pic:spPr>
                          <a:xfrm>
                            <a:off x="0" y="0"/>
                            <a:ext cx="3904615" cy="575310"/>
                          </a:xfrm>
                          <a:prstGeom prst="rect">
                            <a:avLst/>
                          </a:prstGeom>
                          <a:noFill/>
                          <a:ln>
                            <a:noFill/>
                          </a:ln>
                        </pic:spPr>
                      </pic:pic>
                    </a:graphicData>
                  </a:graphic>
                </wp:inline>
              </w:drawing>
            </w:r>
          </w:p>
          <w:p w14:paraId="729DD528">
            <w:pPr>
              <w:pStyle w:val="28"/>
              <w:adjustRightInd w:val="0"/>
              <w:spacing w:before="0" w:after="0" w:line="360" w:lineRule="auto"/>
              <w:ind w:right="0" w:firstLine="0" w:firstLineChars="0"/>
              <w:rPr>
                <w:bCs/>
                <w:color w:val="auto"/>
                <w:sz w:val="24"/>
                <w:szCs w:val="24"/>
              </w:rPr>
            </w:pPr>
            <w:r>
              <w:rPr>
                <w:bCs/>
                <w:color w:val="auto"/>
                <w:sz w:val="24"/>
                <w:szCs w:val="24"/>
              </w:rPr>
              <w:t>式中：L</w:t>
            </w:r>
            <w:r>
              <w:rPr>
                <w:bCs/>
                <w:color w:val="auto"/>
                <w:sz w:val="24"/>
                <w:szCs w:val="24"/>
                <w:vertAlign w:val="subscript"/>
              </w:rPr>
              <w:t>p1</w:t>
            </w:r>
            <w:r>
              <w:rPr>
                <w:bCs/>
                <w:color w:val="auto"/>
                <w:sz w:val="24"/>
                <w:szCs w:val="24"/>
              </w:rPr>
              <w:t>——靠近开口处（或窗户）室内某倍频带的声压级或A声级，dB；</w:t>
            </w:r>
          </w:p>
          <w:p w14:paraId="38B18339">
            <w:pPr>
              <w:pStyle w:val="28"/>
              <w:adjustRightInd w:val="0"/>
              <w:spacing w:before="0" w:after="0" w:line="360" w:lineRule="auto"/>
              <w:ind w:right="0" w:firstLine="720" w:firstLineChars="300"/>
              <w:rPr>
                <w:bCs/>
                <w:color w:val="auto"/>
                <w:sz w:val="24"/>
                <w:szCs w:val="24"/>
              </w:rPr>
            </w:pPr>
            <w:r>
              <w:rPr>
                <w:bCs/>
                <w:color w:val="auto"/>
                <w:sz w:val="24"/>
                <w:szCs w:val="24"/>
              </w:rPr>
              <w:t>L</w:t>
            </w:r>
            <w:r>
              <w:rPr>
                <w:bCs/>
                <w:color w:val="auto"/>
                <w:sz w:val="24"/>
                <w:szCs w:val="24"/>
                <w:vertAlign w:val="subscript"/>
              </w:rPr>
              <w:t xml:space="preserve">w </w:t>
            </w:r>
            <w:r>
              <w:rPr>
                <w:bCs/>
                <w:color w:val="auto"/>
                <w:sz w:val="24"/>
                <w:szCs w:val="24"/>
              </w:rPr>
              <w:t>——点声源声功率级（A计权或倍频带），dB；</w:t>
            </w:r>
          </w:p>
          <w:p w14:paraId="1CF442FA">
            <w:pPr>
              <w:pStyle w:val="28"/>
              <w:adjustRightInd w:val="0"/>
              <w:spacing w:before="0" w:after="0" w:line="360" w:lineRule="auto"/>
              <w:ind w:right="0" w:firstLine="720" w:firstLineChars="300"/>
              <w:rPr>
                <w:bCs/>
                <w:color w:val="auto"/>
                <w:sz w:val="24"/>
                <w:szCs w:val="24"/>
              </w:rPr>
            </w:pPr>
            <w:r>
              <w:rPr>
                <w:bCs/>
                <w:color w:val="auto"/>
                <w:sz w:val="24"/>
                <w:szCs w:val="24"/>
              </w:rPr>
              <w:t>Q——指向性因数；通常对无指向性声源，当声源放在房间中心时，Q=1；当放在一面墙的中心时，Q=2；当放在两面墙夹角处时，Q=4；当放在三面墙夹角处时，Q=8；</w:t>
            </w:r>
          </w:p>
          <w:p w14:paraId="4C6FE8C8">
            <w:pPr>
              <w:pStyle w:val="28"/>
              <w:adjustRightInd w:val="0"/>
              <w:spacing w:before="0" w:after="0" w:line="360" w:lineRule="auto"/>
              <w:ind w:right="0" w:firstLine="720" w:firstLineChars="300"/>
              <w:rPr>
                <w:bCs/>
                <w:color w:val="auto"/>
                <w:sz w:val="24"/>
                <w:szCs w:val="24"/>
              </w:rPr>
            </w:pPr>
            <w:r>
              <w:rPr>
                <w:bCs/>
                <w:color w:val="auto"/>
                <w:sz w:val="24"/>
                <w:szCs w:val="24"/>
              </w:rPr>
              <w:t>R——房间常数；</w:t>
            </w:r>
            <w:r>
              <w:rPr>
                <w:color w:val="auto"/>
                <w:kern w:val="0"/>
                <w:sz w:val="24"/>
                <w:szCs w:val="24"/>
              </w:rPr>
              <w:t>R=Sα/（1-α）</w:t>
            </w:r>
            <w:r>
              <w:rPr>
                <w:bCs/>
                <w:color w:val="auto"/>
                <w:sz w:val="24"/>
                <w:szCs w:val="24"/>
              </w:rPr>
              <w:t>，S为房间内表面面积，m</w:t>
            </w:r>
            <w:r>
              <w:rPr>
                <w:bCs/>
                <w:color w:val="auto"/>
                <w:sz w:val="24"/>
                <w:szCs w:val="24"/>
                <w:vertAlign w:val="superscript"/>
              </w:rPr>
              <w:t>2</w:t>
            </w:r>
            <w:r>
              <w:rPr>
                <w:bCs/>
                <w:color w:val="auto"/>
                <w:sz w:val="24"/>
                <w:szCs w:val="24"/>
              </w:rPr>
              <w:t>；α为平均吸声系数；</w:t>
            </w:r>
          </w:p>
          <w:p w14:paraId="11D6DFDC">
            <w:pPr>
              <w:pStyle w:val="28"/>
              <w:adjustRightInd w:val="0"/>
              <w:spacing w:before="0" w:after="0" w:line="360" w:lineRule="auto"/>
              <w:ind w:right="0" w:firstLine="720" w:firstLineChars="300"/>
              <w:rPr>
                <w:bCs/>
                <w:color w:val="auto"/>
                <w:sz w:val="24"/>
                <w:szCs w:val="24"/>
              </w:rPr>
            </w:pPr>
            <w:r>
              <w:rPr>
                <w:bCs/>
                <w:color w:val="auto"/>
                <w:sz w:val="24"/>
                <w:szCs w:val="24"/>
              </w:rPr>
              <w:t>r ——声源到靠近围护结构某点处的距离，m。</w:t>
            </w:r>
          </w:p>
          <w:p w14:paraId="76B6BB28">
            <w:pPr>
              <w:pStyle w:val="28"/>
              <w:adjustRightInd w:val="0"/>
              <w:spacing w:before="0" w:after="0" w:line="360" w:lineRule="auto"/>
              <w:ind w:right="0" w:firstLine="480" w:firstLineChars="200"/>
              <w:rPr>
                <w:bCs/>
                <w:color w:val="auto"/>
                <w:sz w:val="24"/>
                <w:szCs w:val="24"/>
              </w:rPr>
            </w:pPr>
            <w:r>
              <w:rPr>
                <w:bCs/>
                <w:color w:val="auto"/>
                <w:sz w:val="24"/>
                <w:szCs w:val="24"/>
              </w:rPr>
              <w:t>③然后按式（B.3）计算出所有室内声源在围护结构处产生的i倍频带叠加声压级：</w:t>
            </w:r>
          </w:p>
          <w:p w14:paraId="37785B6F">
            <w:pPr>
              <w:pStyle w:val="28"/>
              <w:adjustRightInd w:val="0"/>
              <w:spacing w:before="0" w:after="0" w:line="360" w:lineRule="auto"/>
              <w:ind w:right="0" w:firstLine="0" w:firstLineChars="0"/>
              <w:jc w:val="right"/>
              <w:rPr>
                <w:bCs/>
                <w:color w:val="auto"/>
                <w:sz w:val="24"/>
                <w:szCs w:val="24"/>
              </w:rPr>
            </w:pPr>
            <w:r>
              <w:rPr>
                <w:color w:val="auto"/>
              </w:rPr>
              <w:drawing>
                <wp:inline distT="0" distB="0" distL="114300" distR="114300">
                  <wp:extent cx="3957955" cy="560705"/>
                  <wp:effectExtent l="0" t="0" r="4445" b="1079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21"/>
                          <a:stretch>
                            <a:fillRect/>
                          </a:stretch>
                        </pic:blipFill>
                        <pic:spPr>
                          <a:xfrm>
                            <a:off x="0" y="0"/>
                            <a:ext cx="3957955" cy="560705"/>
                          </a:xfrm>
                          <a:prstGeom prst="rect">
                            <a:avLst/>
                          </a:prstGeom>
                          <a:noFill/>
                          <a:ln>
                            <a:noFill/>
                          </a:ln>
                        </pic:spPr>
                      </pic:pic>
                    </a:graphicData>
                  </a:graphic>
                </wp:inline>
              </w:drawing>
            </w:r>
          </w:p>
          <w:p w14:paraId="31490C03">
            <w:pPr>
              <w:adjustRightInd w:val="0"/>
              <w:snapToGrid w:val="0"/>
              <w:spacing w:line="360" w:lineRule="auto"/>
              <w:rPr>
                <w:color w:val="auto"/>
                <w:kern w:val="0"/>
                <w:sz w:val="24"/>
              </w:rPr>
            </w:pPr>
            <w:r>
              <w:rPr>
                <w:color w:val="auto"/>
                <w:kern w:val="0"/>
                <w:sz w:val="24"/>
              </w:rPr>
              <w:t>式中：L</w:t>
            </w:r>
            <w:r>
              <w:rPr>
                <w:color w:val="auto"/>
                <w:kern w:val="0"/>
                <w:sz w:val="24"/>
                <w:vertAlign w:val="subscript"/>
              </w:rPr>
              <w:t>pli</w:t>
            </w:r>
            <w:r>
              <w:rPr>
                <w:color w:val="auto"/>
                <w:kern w:val="0"/>
                <w:sz w:val="24"/>
              </w:rPr>
              <w:t>（T）——靠近围护结构处室内N个声源i倍频带的叠加声压级，dB；</w:t>
            </w:r>
          </w:p>
          <w:p w14:paraId="6FC950CE">
            <w:pPr>
              <w:adjustRightInd w:val="0"/>
              <w:snapToGrid w:val="0"/>
              <w:spacing w:line="360" w:lineRule="auto"/>
              <w:ind w:firstLine="720" w:firstLineChars="300"/>
              <w:rPr>
                <w:color w:val="auto"/>
                <w:kern w:val="0"/>
                <w:sz w:val="24"/>
              </w:rPr>
            </w:pPr>
            <w:r>
              <w:rPr>
                <w:color w:val="auto"/>
                <w:kern w:val="0"/>
                <w:sz w:val="24"/>
              </w:rPr>
              <w:t>L</w:t>
            </w:r>
            <w:r>
              <w:rPr>
                <w:color w:val="auto"/>
                <w:kern w:val="0"/>
                <w:sz w:val="24"/>
                <w:vertAlign w:val="subscript"/>
              </w:rPr>
              <w:t>plij</w:t>
            </w:r>
            <w:r>
              <w:rPr>
                <w:color w:val="auto"/>
                <w:kern w:val="0"/>
                <w:sz w:val="24"/>
              </w:rPr>
              <w:t>——室内j声源i倍频带的声压级，dB；</w:t>
            </w:r>
          </w:p>
          <w:p w14:paraId="46BF3D9B">
            <w:pPr>
              <w:adjustRightInd w:val="0"/>
              <w:snapToGrid w:val="0"/>
              <w:spacing w:line="360" w:lineRule="auto"/>
              <w:ind w:firstLine="630" w:firstLineChars="300"/>
              <w:rPr>
                <w:color w:val="auto"/>
              </w:rPr>
            </w:pPr>
            <w:r>
              <w:rPr>
                <w:color w:val="auto"/>
              </w:rPr>
              <w:t>N</w:t>
            </w:r>
            <w:r>
              <w:rPr>
                <w:color w:val="auto"/>
                <w:kern w:val="0"/>
                <w:sz w:val="24"/>
              </w:rPr>
              <w:t>——室内声源总数。</w:t>
            </w:r>
          </w:p>
          <w:p w14:paraId="7D00126F">
            <w:pPr>
              <w:pStyle w:val="28"/>
              <w:adjustRightInd w:val="0"/>
              <w:spacing w:before="0" w:after="0" w:line="360" w:lineRule="auto"/>
              <w:ind w:right="0" w:firstLine="480" w:firstLineChars="200"/>
              <w:rPr>
                <w:bCs/>
                <w:color w:val="auto"/>
                <w:sz w:val="24"/>
                <w:szCs w:val="24"/>
              </w:rPr>
            </w:pPr>
            <w:r>
              <w:rPr>
                <w:bCs/>
                <w:color w:val="auto"/>
                <w:sz w:val="24"/>
                <w:szCs w:val="24"/>
              </w:rPr>
              <w:t>④在室内近似为扩散声场时，按式（B.4）计算出靠近室外围护结构处的声压级：</w:t>
            </w:r>
          </w:p>
          <w:p w14:paraId="0C438CFB">
            <w:pPr>
              <w:pStyle w:val="28"/>
              <w:adjustRightInd w:val="0"/>
              <w:spacing w:before="0" w:after="0" w:line="360" w:lineRule="auto"/>
              <w:ind w:right="0" w:firstLine="0" w:firstLineChars="0"/>
              <w:jc w:val="right"/>
              <w:rPr>
                <w:bCs/>
                <w:color w:val="auto"/>
                <w:sz w:val="24"/>
                <w:szCs w:val="24"/>
              </w:rPr>
            </w:pPr>
            <w:r>
              <w:rPr>
                <w:color w:val="auto"/>
              </w:rPr>
              <w:drawing>
                <wp:inline distT="0" distB="0" distL="114300" distR="114300">
                  <wp:extent cx="4064000" cy="332740"/>
                  <wp:effectExtent l="0" t="0" r="12700" b="1016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2"/>
                          <a:stretch>
                            <a:fillRect/>
                          </a:stretch>
                        </pic:blipFill>
                        <pic:spPr>
                          <a:xfrm>
                            <a:off x="0" y="0"/>
                            <a:ext cx="4064000" cy="332740"/>
                          </a:xfrm>
                          <a:prstGeom prst="rect">
                            <a:avLst/>
                          </a:prstGeom>
                          <a:noFill/>
                          <a:ln>
                            <a:noFill/>
                          </a:ln>
                        </pic:spPr>
                      </pic:pic>
                    </a:graphicData>
                  </a:graphic>
                </wp:inline>
              </w:drawing>
            </w:r>
          </w:p>
          <w:p w14:paraId="768C5AAE">
            <w:pPr>
              <w:adjustRightInd w:val="0"/>
              <w:snapToGrid w:val="0"/>
              <w:spacing w:line="360" w:lineRule="auto"/>
              <w:rPr>
                <w:color w:val="auto"/>
                <w:kern w:val="0"/>
                <w:sz w:val="24"/>
              </w:rPr>
            </w:pPr>
            <w:r>
              <w:rPr>
                <w:color w:val="auto"/>
                <w:kern w:val="0"/>
                <w:sz w:val="24"/>
              </w:rPr>
              <w:t>式中：L</w:t>
            </w:r>
            <w:r>
              <w:rPr>
                <w:color w:val="auto"/>
                <w:kern w:val="0"/>
                <w:sz w:val="24"/>
                <w:vertAlign w:val="subscript"/>
              </w:rPr>
              <w:t>p2i</w:t>
            </w:r>
            <w:r>
              <w:rPr>
                <w:color w:val="auto"/>
                <w:kern w:val="0"/>
                <w:sz w:val="24"/>
              </w:rPr>
              <w:t>（T）——靠近围护结构处室外N个声源i倍频带的叠加声压级，dB；</w:t>
            </w:r>
          </w:p>
          <w:p w14:paraId="7E6CCE22">
            <w:pPr>
              <w:adjustRightInd w:val="0"/>
              <w:snapToGrid w:val="0"/>
              <w:spacing w:line="360" w:lineRule="auto"/>
              <w:ind w:firstLine="720" w:firstLineChars="300"/>
              <w:rPr>
                <w:color w:val="auto"/>
                <w:kern w:val="0"/>
                <w:sz w:val="24"/>
              </w:rPr>
            </w:pPr>
            <w:r>
              <w:rPr>
                <w:color w:val="auto"/>
                <w:kern w:val="0"/>
                <w:sz w:val="24"/>
              </w:rPr>
              <w:t>L</w:t>
            </w:r>
            <w:r>
              <w:rPr>
                <w:color w:val="auto"/>
                <w:kern w:val="0"/>
                <w:sz w:val="24"/>
                <w:vertAlign w:val="subscript"/>
              </w:rPr>
              <w:t>pli</w:t>
            </w:r>
            <w:r>
              <w:rPr>
                <w:color w:val="auto"/>
                <w:kern w:val="0"/>
                <w:sz w:val="24"/>
              </w:rPr>
              <w:t>（T）——靠近围护结构处室内N个声源i倍频带的叠加声压级，dB；</w:t>
            </w:r>
          </w:p>
          <w:p w14:paraId="5063B9C0">
            <w:pPr>
              <w:adjustRightInd w:val="0"/>
              <w:snapToGrid w:val="0"/>
              <w:spacing w:line="360" w:lineRule="auto"/>
              <w:ind w:firstLine="720" w:firstLineChars="300"/>
              <w:rPr>
                <w:color w:val="auto"/>
                <w:kern w:val="0"/>
                <w:sz w:val="24"/>
              </w:rPr>
            </w:pPr>
            <w:r>
              <w:rPr>
                <w:color w:val="auto"/>
                <w:kern w:val="0"/>
                <w:sz w:val="24"/>
              </w:rPr>
              <w:t>TL</w:t>
            </w:r>
            <w:r>
              <w:rPr>
                <w:color w:val="auto"/>
                <w:kern w:val="0"/>
                <w:sz w:val="24"/>
                <w:vertAlign w:val="subscript"/>
              </w:rPr>
              <w:t>i</w:t>
            </w:r>
            <w:r>
              <w:rPr>
                <w:color w:val="auto"/>
                <w:kern w:val="0"/>
                <w:sz w:val="24"/>
              </w:rPr>
              <w:t>——围护结构i倍频带的隔声量，dB；</w:t>
            </w:r>
          </w:p>
          <w:p w14:paraId="3F51A876">
            <w:pPr>
              <w:pStyle w:val="28"/>
              <w:adjustRightInd w:val="0"/>
              <w:spacing w:before="0" w:after="0" w:line="360" w:lineRule="auto"/>
              <w:ind w:right="0" w:firstLine="480" w:firstLineChars="200"/>
              <w:rPr>
                <w:bCs/>
                <w:color w:val="auto"/>
                <w:sz w:val="24"/>
                <w:szCs w:val="24"/>
              </w:rPr>
            </w:pPr>
            <w:r>
              <w:rPr>
                <w:bCs/>
                <w:color w:val="auto"/>
                <w:sz w:val="24"/>
                <w:szCs w:val="24"/>
              </w:rPr>
              <w:t>⑤然后按式（B.5）将室外声源的声压级和透过面积换算成等效的室外声源，计算出中心位置位于透声面积（S）处的等效声源的倍频带声功率级。</w:t>
            </w:r>
          </w:p>
          <w:p w14:paraId="1D60F799">
            <w:pPr>
              <w:pStyle w:val="28"/>
              <w:adjustRightInd w:val="0"/>
              <w:spacing w:before="0" w:after="0" w:line="360" w:lineRule="auto"/>
              <w:ind w:right="0" w:firstLine="0" w:firstLineChars="0"/>
              <w:jc w:val="right"/>
              <w:rPr>
                <w:bCs/>
                <w:color w:val="auto"/>
                <w:sz w:val="24"/>
                <w:szCs w:val="24"/>
              </w:rPr>
            </w:pPr>
            <w:r>
              <w:rPr>
                <w:color w:val="auto"/>
              </w:rPr>
              <w:drawing>
                <wp:inline distT="0" distB="0" distL="114300" distR="114300">
                  <wp:extent cx="3923665" cy="304165"/>
                  <wp:effectExtent l="0" t="0" r="635" b="63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3"/>
                          <a:stretch>
                            <a:fillRect/>
                          </a:stretch>
                        </pic:blipFill>
                        <pic:spPr>
                          <a:xfrm>
                            <a:off x="0" y="0"/>
                            <a:ext cx="3923665" cy="304165"/>
                          </a:xfrm>
                          <a:prstGeom prst="rect">
                            <a:avLst/>
                          </a:prstGeom>
                          <a:noFill/>
                          <a:ln>
                            <a:noFill/>
                          </a:ln>
                        </pic:spPr>
                      </pic:pic>
                    </a:graphicData>
                  </a:graphic>
                </wp:inline>
              </w:drawing>
            </w:r>
          </w:p>
          <w:p w14:paraId="77A3E4DB">
            <w:pPr>
              <w:adjustRightInd w:val="0"/>
              <w:snapToGrid w:val="0"/>
              <w:spacing w:line="360" w:lineRule="auto"/>
              <w:rPr>
                <w:color w:val="auto"/>
                <w:sz w:val="24"/>
              </w:rPr>
            </w:pPr>
            <w:r>
              <w:rPr>
                <w:color w:val="auto"/>
                <w:sz w:val="24"/>
              </w:rPr>
              <w:t>式中：L</w:t>
            </w:r>
            <w:r>
              <w:rPr>
                <w:color w:val="auto"/>
                <w:sz w:val="24"/>
                <w:vertAlign w:val="subscript"/>
              </w:rPr>
              <w:t>W</w:t>
            </w:r>
            <w:r>
              <w:rPr>
                <w:color w:val="auto"/>
                <w:sz w:val="24"/>
              </w:rPr>
              <w:t>——中心位置位于透声面积（S）处的等效声源的倍频带声功率级，dB；</w:t>
            </w:r>
          </w:p>
          <w:p w14:paraId="7680B28E">
            <w:pPr>
              <w:adjustRightInd w:val="0"/>
              <w:snapToGrid w:val="0"/>
              <w:spacing w:line="360" w:lineRule="auto"/>
              <w:ind w:firstLine="720" w:firstLineChars="300"/>
              <w:rPr>
                <w:color w:val="auto"/>
                <w:sz w:val="24"/>
              </w:rPr>
            </w:pPr>
            <w:r>
              <w:rPr>
                <w:color w:val="auto"/>
                <w:sz w:val="24"/>
              </w:rPr>
              <w:t>L</w:t>
            </w:r>
            <w:r>
              <w:rPr>
                <w:color w:val="auto"/>
                <w:sz w:val="24"/>
                <w:vertAlign w:val="subscript"/>
              </w:rPr>
              <w:t>p2</w:t>
            </w:r>
            <w:r>
              <w:rPr>
                <w:color w:val="auto"/>
                <w:sz w:val="24"/>
              </w:rPr>
              <w:t>（T）——靠近围护结构处室外声源的声压级，dB；</w:t>
            </w:r>
          </w:p>
          <w:p w14:paraId="68034690">
            <w:pPr>
              <w:adjustRightInd w:val="0"/>
              <w:snapToGrid w:val="0"/>
              <w:spacing w:line="360" w:lineRule="auto"/>
              <w:ind w:firstLine="720" w:firstLineChars="300"/>
              <w:rPr>
                <w:color w:val="auto"/>
                <w:sz w:val="24"/>
              </w:rPr>
            </w:pPr>
            <w:r>
              <w:rPr>
                <w:color w:val="auto"/>
                <w:sz w:val="24"/>
              </w:rPr>
              <w:t>S——透声面积，m</w:t>
            </w:r>
            <w:r>
              <w:rPr>
                <w:color w:val="auto"/>
                <w:sz w:val="24"/>
                <w:vertAlign w:val="superscript"/>
              </w:rPr>
              <w:t>2</w:t>
            </w:r>
            <w:r>
              <w:rPr>
                <w:color w:val="auto"/>
                <w:sz w:val="24"/>
              </w:rPr>
              <w:t>。</w:t>
            </w:r>
          </w:p>
          <w:p w14:paraId="58C770EE">
            <w:pPr>
              <w:adjustRightInd w:val="0"/>
              <w:snapToGrid w:val="0"/>
              <w:spacing w:line="360" w:lineRule="auto"/>
              <w:ind w:firstLine="480" w:firstLineChars="200"/>
              <w:rPr>
                <w:color w:val="auto"/>
                <w:sz w:val="24"/>
              </w:rPr>
            </w:pPr>
            <w:r>
              <w:rPr>
                <w:color w:val="auto"/>
                <w:sz w:val="24"/>
              </w:rPr>
              <w:t>然后按室外声源预测方法计算预测点处的 A 声级。</w:t>
            </w:r>
          </w:p>
          <w:p w14:paraId="718BA501">
            <w:pPr>
              <w:adjustRightInd w:val="0"/>
              <w:snapToGrid w:val="0"/>
              <w:spacing w:line="360" w:lineRule="auto"/>
              <w:ind w:firstLine="480" w:firstLineChars="200"/>
              <w:rPr>
                <w:color w:val="auto"/>
                <w:sz w:val="24"/>
              </w:rPr>
            </w:pPr>
            <w:r>
              <w:rPr>
                <w:color w:val="auto"/>
                <w:sz w:val="24"/>
              </w:rPr>
              <w:t>⑥工业企业噪声计算</w:t>
            </w:r>
          </w:p>
          <w:p w14:paraId="3FE67FC2">
            <w:pPr>
              <w:adjustRightInd w:val="0"/>
              <w:snapToGrid w:val="0"/>
              <w:spacing w:line="360" w:lineRule="auto"/>
              <w:ind w:firstLine="480" w:firstLineChars="200"/>
              <w:rPr>
                <w:color w:val="auto"/>
                <w:kern w:val="0"/>
                <w:sz w:val="24"/>
              </w:rPr>
            </w:pPr>
            <w:r>
              <w:rPr>
                <w:color w:val="auto"/>
                <w:kern w:val="0"/>
                <w:sz w:val="24"/>
              </w:rPr>
              <w:t>设第i个室外声源在预测点产生的A声级为L</w:t>
            </w:r>
            <w:r>
              <w:rPr>
                <w:color w:val="auto"/>
                <w:kern w:val="0"/>
                <w:sz w:val="24"/>
                <w:vertAlign w:val="subscript"/>
              </w:rPr>
              <w:t>Ai</w:t>
            </w:r>
            <w:r>
              <w:rPr>
                <w:color w:val="auto"/>
                <w:kern w:val="0"/>
                <w:sz w:val="24"/>
              </w:rPr>
              <w:t>，在T时间内该声源工作时间为t</w:t>
            </w:r>
            <w:r>
              <w:rPr>
                <w:color w:val="auto"/>
                <w:kern w:val="0"/>
                <w:sz w:val="24"/>
                <w:vertAlign w:val="subscript"/>
              </w:rPr>
              <w:t>i</w:t>
            </w:r>
            <w:r>
              <w:rPr>
                <w:color w:val="auto"/>
                <w:kern w:val="0"/>
                <w:sz w:val="24"/>
              </w:rPr>
              <w:t>；第j个等效室外声源在预测点产生的A声级为L</w:t>
            </w:r>
            <w:r>
              <w:rPr>
                <w:color w:val="auto"/>
                <w:kern w:val="0"/>
                <w:sz w:val="24"/>
                <w:vertAlign w:val="subscript"/>
              </w:rPr>
              <w:t xml:space="preserve">Aj </w:t>
            </w:r>
            <w:r>
              <w:rPr>
                <w:color w:val="auto"/>
                <w:kern w:val="0"/>
                <w:sz w:val="24"/>
              </w:rPr>
              <w:t>，在T时间内该声源工作时间为t</w:t>
            </w:r>
            <w:r>
              <w:rPr>
                <w:color w:val="auto"/>
                <w:kern w:val="0"/>
                <w:sz w:val="24"/>
                <w:vertAlign w:val="subscript"/>
              </w:rPr>
              <w:t>j</w:t>
            </w:r>
            <w:r>
              <w:rPr>
                <w:color w:val="auto"/>
                <w:kern w:val="0"/>
                <w:sz w:val="24"/>
              </w:rPr>
              <w:t>，则拟建工程声源对预测点产生的贡献值（L</w:t>
            </w:r>
            <w:r>
              <w:rPr>
                <w:color w:val="auto"/>
                <w:kern w:val="0"/>
                <w:sz w:val="24"/>
                <w:vertAlign w:val="subscript"/>
              </w:rPr>
              <w:t>eqg</w:t>
            </w:r>
            <w:r>
              <w:rPr>
                <w:color w:val="auto"/>
                <w:kern w:val="0"/>
                <w:sz w:val="24"/>
              </w:rPr>
              <w:t>）为：</w:t>
            </w:r>
          </w:p>
          <w:p w14:paraId="6DC1C3C0">
            <w:pPr>
              <w:adjustRightInd w:val="0"/>
              <w:snapToGrid w:val="0"/>
              <w:spacing w:line="360" w:lineRule="auto"/>
              <w:jc w:val="right"/>
              <w:rPr>
                <w:color w:val="auto"/>
                <w:kern w:val="0"/>
                <w:sz w:val="24"/>
              </w:rPr>
            </w:pPr>
            <w:r>
              <w:rPr>
                <w:color w:val="auto"/>
              </w:rPr>
              <w:drawing>
                <wp:inline distT="0" distB="0" distL="114300" distR="114300">
                  <wp:extent cx="4066540" cy="510540"/>
                  <wp:effectExtent l="0" t="0" r="10160" b="381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24"/>
                          <a:stretch>
                            <a:fillRect/>
                          </a:stretch>
                        </pic:blipFill>
                        <pic:spPr>
                          <a:xfrm>
                            <a:off x="0" y="0"/>
                            <a:ext cx="4066540" cy="510540"/>
                          </a:xfrm>
                          <a:prstGeom prst="rect">
                            <a:avLst/>
                          </a:prstGeom>
                          <a:noFill/>
                          <a:ln>
                            <a:noFill/>
                          </a:ln>
                        </pic:spPr>
                      </pic:pic>
                    </a:graphicData>
                  </a:graphic>
                </wp:inline>
              </w:drawing>
            </w:r>
          </w:p>
          <w:p w14:paraId="6E85BA37">
            <w:pPr>
              <w:adjustRightInd w:val="0"/>
              <w:snapToGrid w:val="0"/>
              <w:spacing w:line="360" w:lineRule="auto"/>
              <w:rPr>
                <w:color w:val="auto"/>
                <w:kern w:val="0"/>
                <w:sz w:val="24"/>
                <w:vertAlign w:val="subscript"/>
              </w:rPr>
            </w:pPr>
            <w:r>
              <w:rPr>
                <w:color w:val="auto"/>
                <w:kern w:val="0"/>
                <w:sz w:val="24"/>
              </w:rPr>
              <w:t>式中：L</w:t>
            </w:r>
            <w:r>
              <w:rPr>
                <w:color w:val="auto"/>
                <w:kern w:val="0"/>
                <w:sz w:val="24"/>
                <w:vertAlign w:val="subscript"/>
              </w:rPr>
              <w:t>eqg</w:t>
            </w:r>
            <w:r>
              <w:rPr>
                <w:color w:val="auto"/>
                <w:kern w:val="0"/>
                <w:sz w:val="24"/>
              </w:rPr>
              <w:t>——建设项目声源在预测点产生的噪声贡献值，dB；</w:t>
            </w:r>
          </w:p>
          <w:p w14:paraId="4371DB43">
            <w:pPr>
              <w:adjustRightInd w:val="0"/>
              <w:snapToGrid w:val="0"/>
              <w:spacing w:line="360" w:lineRule="auto"/>
              <w:ind w:firstLine="720" w:firstLineChars="300"/>
              <w:rPr>
                <w:color w:val="auto"/>
                <w:kern w:val="0"/>
                <w:sz w:val="24"/>
              </w:rPr>
            </w:pPr>
            <w:r>
              <w:rPr>
                <w:color w:val="auto"/>
                <w:kern w:val="0"/>
                <w:sz w:val="24"/>
              </w:rPr>
              <w:t>T——用于计算等效声级的时间，s；</w:t>
            </w:r>
          </w:p>
          <w:p w14:paraId="69B5190A">
            <w:pPr>
              <w:adjustRightInd w:val="0"/>
              <w:snapToGrid w:val="0"/>
              <w:spacing w:line="360" w:lineRule="auto"/>
              <w:ind w:firstLine="720" w:firstLineChars="300"/>
              <w:rPr>
                <w:color w:val="auto"/>
                <w:kern w:val="0"/>
                <w:sz w:val="24"/>
              </w:rPr>
            </w:pPr>
            <w:r>
              <w:rPr>
                <w:color w:val="auto"/>
                <w:kern w:val="0"/>
                <w:sz w:val="24"/>
              </w:rPr>
              <w:t>N——室外声源个数；</w:t>
            </w:r>
          </w:p>
          <w:p w14:paraId="28A28A9A">
            <w:pPr>
              <w:adjustRightInd w:val="0"/>
              <w:snapToGrid w:val="0"/>
              <w:spacing w:line="360" w:lineRule="auto"/>
              <w:ind w:firstLine="720" w:firstLineChars="300"/>
              <w:rPr>
                <w:color w:val="auto"/>
                <w:kern w:val="0"/>
                <w:sz w:val="24"/>
              </w:rPr>
            </w:pPr>
            <w:r>
              <w:rPr>
                <w:color w:val="auto"/>
                <w:kern w:val="0"/>
                <w:sz w:val="24"/>
              </w:rPr>
              <w:t xml:space="preserve">t </w:t>
            </w:r>
            <w:r>
              <w:rPr>
                <w:color w:val="auto"/>
                <w:kern w:val="0"/>
                <w:sz w:val="24"/>
                <w:vertAlign w:val="subscript"/>
              </w:rPr>
              <w:t>i</w:t>
            </w:r>
            <w:r>
              <w:rPr>
                <w:color w:val="auto"/>
                <w:kern w:val="0"/>
                <w:sz w:val="24"/>
              </w:rPr>
              <w:t>——在T时间内i声源工作时间，s；</w:t>
            </w:r>
          </w:p>
          <w:p w14:paraId="6198DC05">
            <w:pPr>
              <w:adjustRightInd w:val="0"/>
              <w:snapToGrid w:val="0"/>
              <w:spacing w:line="360" w:lineRule="auto"/>
              <w:ind w:firstLine="720" w:firstLineChars="300"/>
              <w:rPr>
                <w:color w:val="auto"/>
                <w:kern w:val="0"/>
                <w:sz w:val="24"/>
              </w:rPr>
            </w:pPr>
            <w:r>
              <w:rPr>
                <w:color w:val="auto"/>
                <w:kern w:val="0"/>
                <w:sz w:val="24"/>
              </w:rPr>
              <w:t>M——等效室外声源个数；</w:t>
            </w:r>
          </w:p>
          <w:p w14:paraId="52244001">
            <w:pPr>
              <w:adjustRightInd w:val="0"/>
              <w:snapToGrid w:val="0"/>
              <w:spacing w:line="360" w:lineRule="auto"/>
              <w:ind w:firstLine="720" w:firstLineChars="300"/>
              <w:rPr>
                <w:color w:val="auto"/>
                <w:kern w:val="0"/>
                <w:sz w:val="24"/>
              </w:rPr>
            </w:pPr>
            <w:r>
              <w:rPr>
                <w:color w:val="auto"/>
                <w:kern w:val="0"/>
                <w:sz w:val="24"/>
              </w:rPr>
              <w:t>t</w:t>
            </w:r>
            <w:r>
              <w:rPr>
                <w:color w:val="auto"/>
                <w:kern w:val="0"/>
                <w:sz w:val="24"/>
                <w:vertAlign w:val="subscript"/>
              </w:rPr>
              <w:t>j</w:t>
            </w:r>
            <w:r>
              <w:rPr>
                <w:color w:val="auto"/>
                <w:kern w:val="0"/>
                <w:sz w:val="24"/>
              </w:rPr>
              <w:t>——在T时间内j声源工作时间，s。</w:t>
            </w:r>
          </w:p>
          <w:p w14:paraId="534D45DB">
            <w:pPr>
              <w:tabs>
                <w:tab w:val="left" w:pos="1219"/>
              </w:tabs>
              <w:autoSpaceDE w:val="0"/>
              <w:autoSpaceDN w:val="0"/>
              <w:adjustRightInd w:val="0"/>
              <w:snapToGrid w:val="0"/>
              <w:spacing w:line="360" w:lineRule="auto"/>
              <w:ind w:right="193" w:firstLine="436" w:firstLineChars="182"/>
              <w:rPr>
                <w:color w:val="auto"/>
                <w:sz w:val="24"/>
              </w:rPr>
            </w:pPr>
            <w:r>
              <w:rPr>
                <w:color w:val="auto"/>
                <w:sz w:val="24"/>
              </w:rPr>
              <w:t>⑦预测结果</w:t>
            </w:r>
          </w:p>
          <w:p w14:paraId="326B18C1">
            <w:pPr>
              <w:adjustRightInd w:val="0"/>
              <w:snapToGrid w:val="0"/>
              <w:spacing w:line="360" w:lineRule="auto"/>
              <w:ind w:firstLine="480" w:firstLineChars="200"/>
              <w:rPr>
                <w:color w:val="auto"/>
                <w:sz w:val="24"/>
              </w:rPr>
            </w:pPr>
            <w:r>
              <w:rPr>
                <w:rFonts w:hint="eastAsia"/>
                <w:color w:val="auto"/>
                <w:sz w:val="24"/>
              </w:rPr>
              <w:t>厂界噪声预测结果为</w:t>
            </w:r>
            <w:r>
              <w:rPr>
                <w:rFonts w:hint="eastAsia"/>
                <w:color w:val="auto"/>
                <w:sz w:val="24"/>
                <w:lang w:val="en-US" w:eastAsia="zh-CN"/>
              </w:rPr>
              <w:t>安徽省红跃环保科技有限公司宿州分公司</w:t>
            </w:r>
            <w:r>
              <w:rPr>
                <w:rFonts w:hint="eastAsia"/>
                <w:color w:val="auto"/>
                <w:sz w:val="24"/>
              </w:rPr>
              <w:t>验收监测报告《</w:t>
            </w:r>
            <w:r>
              <w:rPr>
                <w:rFonts w:hint="eastAsia"/>
                <w:color w:val="auto"/>
                <w:sz w:val="24"/>
                <w:lang w:val="en-US" w:eastAsia="zh-CN"/>
              </w:rPr>
              <w:t>道路建养材料生产项目</w:t>
            </w:r>
            <w:r>
              <w:rPr>
                <w:rFonts w:hint="eastAsia"/>
                <w:color w:val="auto"/>
                <w:sz w:val="24"/>
              </w:rPr>
              <w:t>》（报告编号：</w:t>
            </w:r>
            <w:r>
              <w:rPr>
                <w:rFonts w:hint="eastAsia"/>
                <w:color w:val="auto"/>
                <w:sz w:val="24"/>
                <w:lang w:val="en-US" w:eastAsia="zh-CN"/>
              </w:rPr>
              <w:t>JJYS2024081</w:t>
            </w:r>
            <w:r>
              <w:rPr>
                <w:rFonts w:hint="eastAsia"/>
                <w:color w:val="auto"/>
                <w:sz w:val="24"/>
              </w:rPr>
              <w:t>，签发日期：202</w:t>
            </w:r>
            <w:r>
              <w:rPr>
                <w:rFonts w:hint="eastAsia"/>
                <w:color w:val="auto"/>
                <w:sz w:val="24"/>
                <w:lang w:val="en-US" w:eastAsia="zh-CN"/>
              </w:rPr>
              <w:t>4</w:t>
            </w:r>
            <w:r>
              <w:rPr>
                <w:rFonts w:hint="eastAsia"/>
                <w:color w:val="auto"/>
                <w:sz w:val="24"/>
              </w:rPr>
              <w:t>年</w:t>
            </w:r>
            <w:r>
              <w:rPr>
                <w:rFonts w:hint="eastAsia"/>
                <w:color w:val="auto"/>
                <w:sz w:val="24"/>
                <w:lang w:val="en-US" w:eastAsia="zh-CN"/>
              </w:rPr>
              <w:t>12</w:t>
            </w:r>
            <w:r>
              <w:rPr>
                <w:rFonts w:hint="eastAsia"/>
                <w:color w:val="auto"/>
                <w:sz w:val="24"/>
              </w:rPr>
              <w:t>月</w:t>
            </w:r>
            <w:r>
              <w:rPr>
                <w:rFonts w:hint="eastAsia"/>
                <w:color w:val="auto"/>
                <w:sz w:val="24"/>
                <w:lang w:val="en-US" w:eastAsia="zh-CN"/>
              </w:rPr>
              <w:t>11</w:t>
            </w:r>
            <w:r>
              <w:rPr>
                <w:rFonts w:hint="eastAsia"/>
                <w:color w:val="auto"/>
                <w:sz w:val="24"/>
              </w:rPr>
              <w:t>日）中噪声监测结果叠加本项目厂界噪声预测结果值。</w:t>
            </w:r>
          </w:p>
          <w:p w14:paraId="4232AD15">
            <w:pPr>
              <w:adjustRightInd w:val="0"/>
              <w:snapToGrid w:val="0"/>
              <w:spacing w:line="360" w:lineRule="auto"/>
              <w:ind w:firstLine="480" w:firstLineChars="200"/>
              <w:rPr>
                <w:color w:val="auto"/>
                <w:sz w:val="24"/>
                <w:highlight w:val="none"/>
              </w:rPr>
            </w:pPr>
            <w:r>
              <w:rPr>
                <w:rFonts w:hint="eastAsia"/>
                <w:color w:val="auto"/>
                <w:sz w:val="24"/>
              </w:rPr>
              <w:t>根据</w:t>
            </w:r>
            <w:r>
              <w:rPr>
                <w:rFonts w:hint="eastAsia"/>
                <w:color w:val="auto"/>
                <w:sz w:val="24"/>
                <w:highlight w:val="none"/>
              </w:rPr>
              <w:t>噪声源衰减计算程序，预测结果详见下表。</w:t>
            </w:r>
          </w:p>
          <w:p w14:paraId="0AA6CD56">
            <w:pPr>
              <w:adjustRightInd w:val="0"/>
              <w:snapToGrid w:val="0"/>
              <w:spacing w:line="360" w:lineRule="auto"/>
              <w:jc w:val="center"/>
              <w:rPr>
                <w:b/>
                <w:bCs/>
                <w:color w:val="auto"/>
                <w:kern w:val="0"/>
                <w:sz w:val="24"/>
                <w:highlight w:val="none"/>
              </w:rPr>
            </w:pPr>
            <w:r>
              <w:rPr>
                <w:rFonts w:hint="eastAsia"/>
                <w:b/>
                <w:bCs/>
                <w:color w:val="auto"/>
                <w:kern w:val="0"/>
                <w:sz w:val="24"/>
                <w:highlight w:val="none"/>
              </w:rPr>
              <w:t>表4</w:t>
            </w:r>
            <w:r>
              <w:rPr>
                <w:rFonts w:hint="eastAsia"/>
                <w:b/>
                <w:bCs/>
                <w:color w:val="auto"/>
                <w:kern w:val="0"/>
                <w:sz w:val="24"/>
                <w:highlight w:val="none"/>
                <w:lang w:val="en-US" w:eastAsia="zh-CN"/>
              </w:rPr>
              <w:t>.9</w:t>
            </w:r>
            <w:r>
              <w:rPr>
                <w:rFonts w:hint="eastAsia"/>
                <w:b/>
                <w:bCs/>
                <w:color w:val="auto"/>
                <w:kern w:val="0"/>
                <w:sz w:val="24"/>
                <w:highlight w:val="none"/>
              </w:rPr>
              <w:t xml:space="preserve">  厂界噪声预测结果一览表 单位：dB（A）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366"/>
              <w:gridCol w:w="1373"/>
              <w:gridCol w:w="1366"/>
              <w:gridCol w:w="1373"/>
              <w:gridCol w:w="1368"/>
            </w:tblGrid>
            <w:tr w14:paraId="3006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vMerge w:val="restart"/>
                  <w:noWrap w:val="0"/>
                  <w:vAlign w:val="center"/>
                </w:tcPr>
                <w:p w14:paraId="3034F5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厂界</w:t>
                  </w:r>
                </w:p>
              </w:tc>
              <w:tc>
                <w:tcPr>
                  <w:tcW w:w="1668" w:type="pct"/>
                  <w:gridSpan w:val="2"/>
                  <w:noWrap w:val="0"/>
                  <w:vAlign w:val="center"/>
                </w:tcPr>
                <w:p w14:paraId="47B5B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贡献值</w:t>
                  </w:r>
                </w:p>
              </w:tc>
              <w:tc>
                <w:tcPr>
                  <w:tcW w:w="1668" w:type="pct"/>
                  <w:gridSpan w:val="2"/>
                  <w:noWrap w:val="0"/>
                  <w:vAlign w:val="center"/>
                </w:tcPr>
                <w:p w14:paraId="684FC0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评价标准</w:t>
                  </w:r>
                </w:p>
              </w:tc>
              <w:tc>
                <w:tcPr>
                  <w:tcW w:w="833" w:type="pct"/>
                  <w:vMerge w:val="restart"/>
                  <w:noWrap w:val="0"/>
                  <w:vAlign w:val="center"/>
                </w:tcPr>
                <w:p w14:paraId="71BD0D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达标情况</w:t>
                  </w:r>
                </w:p>
              </w:tc>
            </w:tr>
            <w:tr w14:paraId="78FD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vMerge w:val="continue"/>
                  <w:noWrap w:val="0"/>
                  <w:vAlign w:val="center"/>
                </w:tcPr>
                <w:p w14:paraId="4411D8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832" w:type="pct"/>
                  <w:noWrap w:val="0"/>
                  <w:vAlign w:val="center"/>
                </w:tcPr>
                <w:p w14:paraId="2ADAE0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rPr>
                  </w:pPr>
                  <w:r>
                    <w:rPr>
                      <w:rFonts w:hint="default" w:ascii="Times New Roman" w:hAnsi="Times New Roman" w:eastAsia="宋体" w:cs="Times New Roman"/>
                      <w:snapToGrid/>
                      <w:color w:val="auto"/>
                      <w:spacing w:val="0"/>
                      <w:kern w:val="0"/>
                      <w:position w:val="0"/>
                      <w:sz w:val="21"/>
                      <w:szCs w:val="21"/>
                    </w:rPr>
                    <w:t>昼间</w:t>
                  </w:r>
                </w:p>
              </w:tc>
              <w:tc>
                <w:tcPr>
                  <w:tcW w:w="836" w:type="pct"/>
                  <w:noWrap w:val="0"/>
                  <w:vAlign w:val="center"/>
                </w:tcPr>
                <w:p w14:paraId="547D12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rPr>
                  </w:pPr>
                  <w:r>
                    <w:rPr>
                      <w:rFonts w:hint="default" w:ascii="Times New Roman" w:hAnsi="Times New Roman" w:eastAsia="宋体" w:cs="Times New Roman"/>
                      <w:snapToGrid/>
                      <w:color w:val="auto"/>
                      <w:spacing w:val="0"/>
                      <w:kern w:val="0"/>
                      <w:position w:val="0"/>
                      <w:sz w:val="21"/>
                      <w:szCs w:val="21"/>
                    </w:rPr>
                    <w:t>夜间</w:t>
                  </w:r>
                </w:p>
              </w:tc>
              <w:tc>
                <w:tcPr>
                  <w:tcW w:w="832" w:type="pct"/>
                  <w:noWrap w:val="0"/>
                  <w:vAlign w:val="center"/>
                </w:tcPr>
                <w:p w14:paraId="678620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昼间</w:t>
                  </w:r>
                </w:p>
              </w:tc>
              <w:tc>
                <w:tcPr>
                  <w:tcW w:w="836" w:type="pct"/>
                  <w:noWrap w:val="0"/>
                  <w:vAlign w:val="center"/>
                </w:tcPr>
                <w:p w14:paraId="51228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夜间</w:t>
                  </w:r>
                </w:p>
              </w:tc>
              <w:tc>
                <w:tcPr>
                  <w:tcW w:w="833" w:type="pct"/>
                  <w:vMerge w:val="continue"/>
                  <w:noWrap w:val="0"/>
                  <w:vAlign w:val="center"/>
                </w:tcPr>
                <w:p w14:paraId="799091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r>
            <w:tr w14:paraId="6C30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14:paraId="6F4486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厂界东侧</w:t>
                  </w:r>
                </w:p>
              </w:tc>
              <w:tc>
                <w:tcPr>
                  <w:tcW w:w="832" w:type="pct"/>
                  <w:noWrap w:val="0"/>
                  <w:vAlign w:val="center"/>
                </w:tcPr>
                <w:p w14:paraId="5B2E11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lang w:val="en-US" w:eastAsia="zh-CN"/>
                    </w:rPr>
                  </w:pPr>
                  <w:r>
                    <w:rPr>
                      <w:rFonts w:hint="eastAsia" w:ascii="Times New Roman" w:hAnsi="Times New Roman" w:eastAsia="宋体" w:cs="Times New Roman"/>
                      <w:snapToGrid/>
                      <w:color w:val="auto"/>
                      <w:spacing w:val="0"/>
                      <w:kern w:val="0"/>
                      <w:position w:val="0"/>
                      <w:sz w:val="21"/>
                      <w:szCs w:val="21"/>
                      <w:lang w:val="en-US" w:eastAsia="zh-CN"/>
                    </w:rPr>
                    <w:t>54</w:t>
                  </w:r>
                </w:p>
              </w:tc>
              <w:tc>
                <w:tcPr>
                  <w:tcW w:w="836" w:type="pct"/>
                  <w:noWrap w:val="0"/>
                  <w:vAlign w:val="center"/>
                </w:tcPr>
                <w:p w14:paraId="7C3CED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0070C0"/>
                      <w:spacing w:val="0"/>
                      <w:kern w:val="0"/>
                      <w:position w:val="0"/>
                      <w:sz w:val="21"/>
                      <w:szCs w:val="21"/>
                      <w:lang w:val="en-US" w:eastAsia="zh-CN"/>
                    </w:rPr>
                  </w:pPr>
                  <w:r>
                    <w:rPr>
                      <w:rFonts w:hint="eastAsia" w:cs="Times New Roman"/>
                      <w:snapToGrid/>
                      <w:color w:val="0070C0"/>
                      <w:spacing w:val="0"/>
                      <w:kern w:val="0"/>
                      <w:position w:val="0"/>
                      <w:sz w:val="21"/>
                      <w:szCs w:val="21"/>
                      <w:lang w:val="en-US" w:eastAsia="zh-CN"/>
                    </w:rPr>
                    <w:t>/</w:t>
                  </w:r>
                </w:p>
              </w:tc>
              <w:tc>
                <w:tcPr>
                  <w:tcW w:w="832" w:type="pct"/>
                  <w:noWrap w:val="0"/>
                  <w:vAlign w:val="center"/>
                </w:tcPr>
                <w:p w14:paraId="32ECF9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黑体" w:cs="Times New Roman"/>
                      <w:snapToGrid/>
                      <w:color w:val="000000" w:themeColor="text1"/>
                      <w:spacing w:val="0"/>
                      <w:kern w:val="0"/>
                      <w:position w:val="0"/>
                      <w:sz w:val="21"/>
                      <w:szCs w:val="21"/>
                      <w:lang w:val="en-US" w:eastAsia="zh-CN"/>
                      <w14:textFill>
                        <w14:solidFill>
                          <w14:schemeClr w14:val="tx1"/>
                        </w14:solidFill>
                      </w14:textFill>
                    </w:rPr>
                    <w:t>6</w:t>
                  </w:r>
                  <w:r>
                    <w:rPr>
                      <w:rFonts w:hint="eastAsia" w:ascii="Times New Roman" w:hAnsi="Times New Roman" w:eastAsia="黑体" w:cs="Times New Roman"/>
                      <w:snapToGrid/>
                      <w:color w:val="000000" w:themeColor="text1"/>
                      <w:spacing w:val="0"/>
                      <w:kern w:val="0"/>
                      <w:position w:val="0"/>
                      <w:sz w:val="21"/>
                      <w:szCs w:val="21"/>
                      <w:lang w:val="en-US" w:eastAsia="zh-CN"/>
                      <w14:textFill>
                        <w14:solidFill>
                          <w14:schemeClr w14:val="tx1"/>
                        </w14:solidFill>
                      </w14:textFill>
                    </w:rPr>
                    <w:t>5</w:t>
                  </w:r>
                </w:p>
              </w:tc>
              <w:tc>
                <w:tcPr>
                  <w:tcW w:w="836" w:type="pct"/>
                  <w:noWrap w:val="0"/>
                  <w:vAlign w:val="center"/>
                </w:tcPr>
                <w:p w14:paraId="547200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55</w:t>
                  </w:r>
                </w:p>
              </w:tc>
              <w:tc>
                <w:tcPr>
                  <w:tcW w:w="833" w:type="pct"/>
                  <w:noWrap w:val="0"/>
                  <w:vAlign w:val="center"/>
                </w:tcPr>
                <w:p w14:paraId="400769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w:t>
                  </w:r>
                </w:p>
              </w:tc>
            </w:tr>
            <w:tr w14:paraId="5FB6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14:paraId="013438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厂界南侧</w:t>
                  </w:r>
                </w:p>
              </w:tc>
              <w:tc>
                <w:tcPr>
                  <w:tcW w:w="832" w:type="pct"/>
                  <w:noWrap w:val="0"/>
                  <w:vAlign w:val="center"/>
                </w:tcPr>
                <w:p w14:paraId="462FF9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lang w:val="en-US" w:eastAsia="zh-CN"/>
                    </w:rPr>
                  </w:pPr>
                  <w:r>
                    <w:rPr>
                      <w:rFonts w:hint="eastAsia" w:cs="Times New Roman"/>
                      <w:snapToGrid/>
                      <w:color w:val="auto"/>
                      <w:spacing w:val="0"/>
                      <w:kern w:val="0"/>
                      <w:position w:val="0"/>
                      <w:sz w:val="21"/>
                      <w:szCs w:val="21"/>
                      <w:lang w:val="en-US" w:eastAsia="zh-CN"/>
                    </w:rPr>
                    <w:t>36</w:t>
                  </w:r>
                </w:p>
              </w:tc>
              <w:tc>
                <w:tcPr>
                  <w:tcW w:w="836" w:type="pct"/>
                  <w:noWrap w:val="0"/>
                  <w:vAlign w:val="center"/>
                </w:tcPr>
                <w:p w14:paraId="48079C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0070C0"/>
                      <w:spacing w:val="0"/>
                      <w:kern w:val="0"/>
                      <w:position w:val="0"/>
                      <w:sz w:val="21"/>
                      <w:szCs w:val="21"/>
                      <w:lang w:val="en-US" w:eastAsia="zh-CN"/>
                    </w:rPr>
                  </w:pPr>
                  <w:r>
                    <w:rPr>
                      <w:rFonts w:hint="eastAsia" w:cs="Times New Roman"/>
                      <w:snapToGrid/>
                      <w:color w:val="0070C0"/>
                      <w:spacing w:val="0"/>
                      <w:kern w:val="0"/>
                      <w:position w:val="0"/>
                      <w:sz w:val="21"/>
                      <w:szCs w:val="21"/>
                      <w:lang w:val="en-US" w:eastAsia="zh-CN"/>
                    </w:rPr>
                    <w:t>/</w:t>
                  </w:r>
                </w:p>
              </w:tc>
              <w:tc>
                <w:tcPr>
                  <w:tcW w:w="832" w:type="pct"/>
                  <w:noWrap w:val="0"/>
                  <w:vAlign w:val="center"/>
                </w:tcPr>
                <w:p w14:paraId="03C1E3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黑体" w:cs="Times New Roman"/>
                      <w:snapToGrid/>
                      <w:color w:val="000000" w:themeColor="text1"/>
                      <w:spacing w:val="0"/>
                      <w:kern w:val="0"/>
                      <w:position w:val="0"/>
                      <w:sz w:val="21"/>
                      <w:szCs w:val="21"/>
                      <w:lang w:val="en-US" w:eastAsia="zh-CN"/>
                      <w14:textFill>
                        <w14:solidFill>
                          <w14:schemeClr w14:val="tx1"/>
                        </w14:solidFill>
                      </w14:textFill>
                    </w:rPr>
                    <w:t>6</w:t>
                  </w:r>
                  <w:r>
                    <w:rPr>
                      <w:rFonts w:hint="eastAsia" w:ascii="Times New Roman" w:hAnsi="Times New Roman" w:eastAsia="黑体" w:cs="Times New Roman"/>
                      <w:snapToGrid/>
                      <w:color w:val="000000" w:themeColor="text1"/>
                      <w:spacing w:val="0"/>
                      <w:kern w:val="0"/>
                      <w:position w:val="0"/>
                      <w:sz w:val="21"/>
                      <w:szCs w:val="21"/>
                      <w:lang w:val="en-US" w:eastAsia="zh-CN"/>
                      <w14:textFill>
                        <w14:solidFill>
                          <w14:schemeClr w14:val="tx1"/>
                        </w14:solidFill>
                      </w14:textFill>
                    </w:rPr>
                    <w:t>5</w:t>
                  </w:r>
                </w:p>
              </w:tc>
              <w:tc>
                <w:tcPr>
                  <w:tcW w:w="836" w:type="pct"/>
                  <w:noWrap w:val="0"/>
                  <w:vAlign w:val="center"/>
                </w:tcPr>
                <w:p w14:paraId="7981BA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55</w:t>
                  </w:r>
                </w:p>
              </w:tc>
              <w:tc>
                <w:tcPr>
                  <w:tcW w:w="833" w:type="pct"/>
                  <w:noWrap w:val="0"/>
                  <w:vAlign w:val="center"/>
                </w:tcPr>
                <w:p w14:paraId="35253A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w:t>
                  </w:r>
                </w:p>
              </w:tc>
            </w:tr>
            <w:tr w14:paraId="1649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14:paraId="26A7DA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厂界西侧</w:t>
                  </w:r>
                </w:p>
              </w:tc>
              <w:tc>
                <w:tcPr>
                  <w:tcW w:w="832" w:type="pct"/>
                  <w:noWrap w:val="0"/>
                  <w:vAlign w:val="center"/>
                </w:tcPr>
                <w:p w14:paraId="0481D9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lang w:val="en-US" w:eastAsia="zh-CN"/>
                    </w:rPr>
                  </w:pPr>
                  <w:r>
                    <w:rPr>
                      <w:rFonts w:hint="eastAsia" w:cs="Times New Roman"/>
                      <w:snapToGrid/>
                      <w:color w:val="auto"/>
                      <w:spacing w:val="0"/>
                      <w:kern w:val="0"/>
                      <w:position w:val="0"/>
                      <w:sz w:val="21"/>
                      <w:szCs w:val="21"/>
                      <w:lang w:val="en-US" w:eastAsia="zh-CN"/>
                    </w:rPr>
                    <w:t>46</w:t>
                  </w:r>
                </w:p>
              </w:tc>
              <w:tc>
                <w:tcPr>
                  <w:tcW w:w="836" w:type="pct"/>
                  <w:noWrap w:val="0"/>
                  <w:vAlign w:val="center"/>
                </w:tcPr>
                <w:p w14:paraId="7D8B99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0070C0"/>
                      <w:spacing w:val="0"/>
                      <w:kern w:val="0"/>
                      <w:position w:val="0"/>
                      <w:sz w:val="21"/>
                      <w:szCs w:val="21"/>
                      <w:lang w:val="en-US" w:eastAsia="zh-CN"/>
                    </w:rPr>
                  </w:pPr>
                  <w:r>
                    <w:rPr>
                      <w:rFonts w:hint="eastAsia" w:cs="Times New Roman"/>
                      <w:snapToGrid/>
                      <w:color w:val="0070C0"/>
                      <w:spacing w:val="0"/>
                      <w:kern w:val="0"/>
                      <w:position w:val="0"/>
                      <w:sz w:val="21"/>
                      <w:szCs w:val="21"/>
                      <w:lang w:val="en-US" w:eastAsia="zh-CN"/>
                    </w:rPr>
                    <w:t>/</w:t>
                  </w:r>
                </w:p>
              </w:tc>
              <w:tc>
                <w:tcPr>
                  <w:tcW w:w="832" w:type="pct"/>
                  <w:noWrap w:val="0"/>
                  <w:vAlign w:val="center"/>
                </w:tcPr>
                <w:p w14:paraId="73851C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黑体" w:cs="Times New Roman"/>
                      <w:snapToGrid/>
                      <w:color w:val="000000" w:themeColor="text1"/>
                      <w:spacing w:val="0"/>
                      <w:kern w:val="0"/>
                      <w:position w:val="0"/>
                      <w:sz w:val="21"/>
                      <w:szCs w:val="21"/>
                      <w:lang w:val="en-US" w:eastAsia="zh-CN"/>
                      <w14:textFill>
                        <w14:solidFill>
                          <w14:schemeClr w14:val="tx1"/>
                        </w14:solidFill>
                      </w14:textFill>
                    </w:rPr>
                    <w:t>6</w:t>
                  </w:r>
                  <w:r>
                    <w:rPr>
                      <w:rFonts w:hint="eastAsia" w:ascii="Times New Roman" w:hAnsi="Times New Roman" w:eastAsia="黑体" w:cs="Times New Roman"/>
                      <w:snapToGrid/>
                      <w:color w:val="000000" w:themeColor="text1"/>
                      <w:spacing w:val="0"/>
                      <w:kern w:val="0"/>
                      <w:position w:val="0"/>
                      <w:sz w:val="21"/>
                      <w:szCs w:val="21"/>
                      <w:lang w:val="en-US" w:eastAsia="zh-CN"/>
                      <w14:textFill>
                        <w14:solidFill>
                          <w14:schemeClr w14:val="tx1"/>
                        </w14:solidFill>
                      </w14:textFill>
                    </w:rPr>
                    <w:t>5</w:t>
                  </w:r>
                </w:p>
              </w:tc>
              <w:tc>
                <w:tcPr>
                  <w:tcW w:w="836" w:type="pct"/>
                  <w:noWrap w:val="0"/>
                  <w:vAlign w:val="center"/>
                </w:tcPr>
                <w:p w14:paraId="06A00B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55</w:t>
                  </w:r>
                </w:p>
              </w:tc>
              <w:tc>
                <w:tcPr>
                  <w:tcW w:w="833" w:type="pct"/>
                  <w:noWrap w:val="0"/>
                  <w:vAlign w:val="center"/>
                </w:tcPr>
                <w:p w14:paraId="3A1755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w:t>
                  </w:r>
                </w:p>
              </w:tc>
            </w:tr>
            <w:tr w14:paraId="71DB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14:paraId="07CE9A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厂界北侧</w:t>
                  </w:r>
                </w:p>
              </w:tc>
              <w:tc>
                <w:tcPr>
                  <w:tcW w:w="832" w:type="pct"/>
                  <w:noWrap w:val="0"/>
                  <w:vAlign w:val="center"/>
                </w:tcPr>
                <w:p w14:paraId="0989D9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lang w:val="en-US" w:eastAsia="zh-CN"/>
                    </w:rPr>
                  </w:pPr>
                  <w:r>
                    <w:rPr>
                      <w:rFonts w:hint="eastAsia" w:cs="Times New Roman"/>
                      <w:snapToGrid/>
                      <w:color w:val="auto"/>
                      <w:spacing w:val="0"/>
                      <w:kern w:val="0"/>
                      <w:position w:val="0"/>
                      <w:sz w:val="21"/>
                      <w:szCs w:val="21"/>
                      <w:lang w:val="en-US" w:eastAsia="zh-CN"/>
                    </w:rPr>
                    <w:t>40</w:t>
                  </w:r>
                </w:p>
              </w:tc>
              <w:tc>
                <w:tcPr>
                  <w:tcW w:w="836" w:type="pct"/>
                  <w:noWrap w:val="0"/>
                  <w:vAlign w:val="center"/>
                </w:tcPr>
                <w:p w14:paraId="042A66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0070C0"/>
                      <w:spacing w:val="0"/>
                      <w:kern w:val="0"/>
                      <w:position w:val="0"/>
                      <w:sz w:val="21"/>
                      <w:szCs w:val="21"/>
                      <w:lang w:val="en-US" w:eastAsia="zh-CN"/>
                    </w:rPr>
                  </w:pPr>
                  <w:r>
                    <w:rPr>
                      <w:rFonts w:hint="eastAsia" w:cs="Times New Roman"/>
                      <w:snapToGrid/>
                      <w:color w:val="0070C0"/>
                      <w:spacing w:val="0"/>
                      <w:kern w:val="0"/>
                      <w:position w:val="0"/>
                      <w:sz w:val="21"/>
                      <w:szCs w:val="21"/>
                      <w:lang w:val="en-US" w:eastAsia="zh-CN"/>
                    </w:rPr>
                    <w:t>/</w:t>
                  </w:r>
                </w:p>
              </w:tc>
              <w:tc>
                <w:tcPr>
                  <w:tcW w:w="832" w:type="pct"/>
                  <w:noWrap w:val="0"/>
                  <w:vAlign w:val="center"/>
                </w:tcPr>
                <w:p w14:paraId="6A7D89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黑体" w:cs="Times New Roman"/>
                      <w:snapToGrid/>
                      <w:color w:val="000000" w:themeColor="text1"/>
                      <w:spacing w:val="0"/>
                      <w:kern w:val="0"/>
                      <w:position w:val="0"/>
                      <w:sz w:val="21"/>
                      <w:szCs w:val="21"/>
                      <w:lang w:val="en-US" w:eastAsia="zh-CN"/>
                      <w14:textFill>
                        <w14:solidFill>
                          <w14:schemeClr w14:val="tx1"/>
                        </w14:solidFill>
                      </w14:textFill>
                    </w:rPr>
                    <w:t>6</w:t>
                  </w:r>
                  <w:r>
                    <w:rPr>
                      <w:rFonts w:hint="eastAsia" w:ascii="Times New Roman" w:hAnsi="Times New Roman" w:eastAsia="黑体" w:cs="Times New Roman"/>
                      <w:snapToGrid/>
                      <w:color w:val="000000" w:themeColor="text1"/>
                      <w:spacing w:val="0"/>
                      <w:kern w:val="0"/>
                      <w:position w:val="0"/>
                      <w:sz w:val="21"/>
                      <w:szCs w:val="21"/>
                      <w:lang w:val="en-US" w:eastAsia="zh-CN"/>
                      <w14:textFill>
                        <w14:solidFill>
                          <w14:schemeClr w14:val="tx1"/>
                        </w14:solidFill>
                      </w14:textFill>
                    </w:rPr>
                    <w:t>5</w:t>
                  </w:r>
                </w:p>
              </w:tc>
              <w:tc>
                <w:tcPr>
                  <w:tcW w:w="836" w:type="pct"/>
                  <w:noWrap w:val="0"/>
                  <w:vAlign w:val="center"/>
                </w:tcPr>
                <w:p w14:paraId="41EF84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55</w:t>
                  </w:r>
                </w:p>
              </w:tc>
              <w:tc>
                <w:tcPr>
                  <w:tcW w:w="833" w:type="pct"/>
                  <w:noWrap w:val="0"/>
                  <w:vAlign w:val="center"/>
                </w:tcPr>
                <w:p w14:paraId="7D9208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w:t>
                  </w:r>
                </w:p>
              </w:tc>
            </w:tr>
          </w:tbl>
          <w:p w14:paraId="214A9920">
            <w:pPr>
              <w:tabs>
                <w:tab w:val="left" w:pos="1380"/>
                <w:tab w:val="left" w:pos="1860"/>
                <w:tab w:val="center" w:pos="4535"/>
                <w:tab w:val="left" w:pos="5985"/>
                <w:tab w:val="left" w:pos="7740"/>
              </w:tabs>
              <w:adjustRightInd w:val="0"/>
              <w:snapToGrid w:val="0"/>
              <w:spacing w:before="120" w:beforeLines="50" w:line="360" w:lineRule="auto"/>
              <w:ind w:firstLine="480" w:firstLineChars="200"/>
              <w:rPr>
                <w:color w:val="auto"/>
                <w:kern w:val="0"/>
                <w:sz w:val="24"/>
              </w:rPr>
            </w:pPr>
            <w:r>
              <w:rPr>
                <w:color w:val="auto"/>
                <w:sz w:val="24"/>
              </w:rPr>
              <w:t>由上表可见，东侧、南侧、西侧</w:t>
            </w:r>
            <w:r>
              <w:rPr>
                <w:rFonts w:hint="eastAsia"/>
                <w:color w:val="auto"/>
                <w:sz w:val="24"/>
              </w:rPr>
              <w:t>、北侧</w:t>
            </w:r>
            <w:r>
              <w:rPr>
                <w:color w:val="auto"/>
                <w:sz w:val="24"/>
              </w:rPr>
              <w:t>厂界噪声排放达到</w:t>
            </w:r>
            <w:r>
              <w:rPr>
                <w:rFonts w:hint="eastAsia"/>
                <w:color w:val="auto"/>
                <w:sz w:val="24"/>
              </w:rPr>
              <w:t>《工业企业厂界环境噪声排放标准》（GB12348-2008）中</w:t>
            </w:r>
            <w:r>
              <w:rPr>
                <w:rFonts w:hint="eastAsia"/>
                <w:color w:val="auto"/>
                <w:sz w:val="24"/>
                <w:lang w:val="en-US" w:eastAsia="zh-CN"/>
              </w:rPr>
              <w:t>2</w:t>
            </w:r>
            <w:r>
              <w:rPr>
                <w:rFonts w:hint="eastAsia"/>
                <w:color w:val="auto"/>
                <w:sz w:val="24"/>
              </w:rPr>
              <w:t>类标准，</w:t>
            </w:r>
            <w:r>
              <w:rPr>
                <w:color w:val="auto"/>
                <w:sz w:val="24"/>
              </w:rPr>
              <w:t>对外环境的影响不大。</w:t>
            </w:r>
            <w:r>
              <w:rPr>
                <w:color w:val="auto"/>
                <w:kern w:val="0"/>
                <w:sz w:val="24"/>
              </w:rPr>
              <w:t>因此，本项目噪声源噪声值经厂房隔声和距离减震降噪措施后，可保证厂界</w:t>
            </w:r>
            <w:r>
              <w:rPr>
                <w:rFonts w:hint="eastAsia"/>
                <w:color w:val="auto"/>
                <w:kern w:val="0"/>
                <w:sz w:val="24"/>
              </w:rPr>
              <w:t>和</w:t>
            </w:r>
            <w:r>
              <w:rPr>
                <w:rFonts w:hint="eastAsia"/>
                <w:color w:val="auto"/>
                <w:sz w:val="24"/>
                <w:lang w:val="zh-CN"/>
              </w:rPr>
              <w:t>敏感点</w:t>
            </w:r>
            <w:r>
              <w:rPr>
                <w:color w:val="auto"/>
                <w:kern w:val="0"/>
                <w:sz w:val="24"/>
              </w:rPr>
              <w:t>噪声达标排放，对区域环境的影响较小。</w:t>
            </w:r>
          </w:p>
          <w:p w14:paraId="5889DF48">
            <w:pPr>
              <w:adjustRightInd w:val="0"/>
              <w:snapToGrid w:val="0"/>
              <w:spacing w:line="360" w:lineRule="auto"/>
              <w:ind w:firstLine="482" w:firstLineChars="200"/>
              <w:rPr>
                <w:b/>
                <w:bCs/>
                <w:color w:val="auto"/>
                <w:kern w:val="0"/>
                <w:sz w:val="24"/>
              </w:rPr>
            </w:pPr>
            <w:r>
              <w:rPr>
                <w:b/>
                <w:bCs/>
                <w:color w:val="auto"/>
                <w:kern w:val="0"/>
                <w:sz w:val="24"/>
              </w:rPr>
              <w:t>监测计划</w:t>
            </w:r>
          </w:p>
          <w:p w14:paraId="55CE5CEA">
            <w:pPr>
              <w:adjustRightInd w:val="0"/>
              <w:snapToGrid w:val="0"/>
              <w:spacing w:line="360" w:lineRule="auto"/>
              <w:ind w:firstLine="480" w:firstLineChars="200"/>
              <w:rPr>
                <w:b/>
                <w:bCs/>
                <w:color w:val="auto"/>
                <w:kern w:val="0"/>
                <w:sz w:val="24"/>
              </w:rPr>
            </w:pPr>
            <w:r>
              <w:rPr>
                <w:color w:val="auto"/>
                <w:kern w:val="0"/>
                <w:sz w:val="24"/>
              </w:rPr>
              <w:t>根据《</w:t>
            </w:r>
            <w:r>
              <w:rPr>
                <w:rFonts w:hint="eastAsia"/>
                <w:color w:val="auto"/>
                <w:kern w:val="0"/>
                <w:sz w:val="24"/>
              </w:rPr>
              <w:t>排污许可证申请与核发技术规范 工业噪声</w:t>
            </w:r>
            <w:r>
              <w:rPr>
                <w:color w:val="auto"/>
                <w:kern w:val="0"/>
                <w:sz w:val="24"/>
              </w:rPr>
              <w:t>》（</w:t>
            </w:r>
            <w:r>
              <w:rPr>
                <w:rFonts w:hint="eastAsia"/>
                <w:color w:val="auto"/>
                <w:kern w:val="0"/>
                <w:sz w:val="24"/>
              </w:rPr>
              <w:t>HJ 1301-2023</w:t>
            </w:r>
            <w:r>
              <w:rPr>
                <w:color w:val="auto"/>
                <w:kern w:val="0"/>
                <w:sz w:val="24"/>
              </w:rPr>
              <w:t>），制定本项目噪声监测计划如下：</w:t>
            </w:r>
          </w:p>
          <w:p w14:paraId="78EC3238">
            <w:pPr>
              <w:adjustRightInd w:val="0"/>
              <w:snapToGrid w:val="0"/>
              <w:spacing w:line="360" w:lineRule="auto"/>
              <w:jc w:val="center"/>
              <w:rPr>
                <w:b/>
                <w:bCs/>
                <w:color w:val="auto"/>
                <w:kern w:val="0"/>
                <w:sz w:val="24"/>
              </w:rPr>
            </w:pPr>
            <w:r>
              <w:rPr>
                <w:b/>
                <w:bCs/>
                <w:color w:val="auto"/>
                <w:kern w:val="0"/>
                <w:sz w:val="24"/>
              </w:rPr>
              <w:t>表4</w:t>
            </w:r>
            <w:r>
              <w:rPr>
                <w:rFonts w:hint="eastAsia"/>
                <w:b/>
                <w:bCs/>
                <w:color w:val="auto"/>
                <w:kern w:val="0"/>
                <w:sz w:val="24"/>
                <w:lang w:val="en-US" w:eastAsia="zh-CN"/>
              </w:rPr>
              <w:t>.10</w:t>
            </w:r>
            <w:r>
              <w:rPr>
                <w:rFonts w:hint="eastAsia"/>
                <w:b/>
                <w:bCs/>
                <w:color w:val="auto"/>
                <w:kern w:val="0"/>
                <w:sz w:val="24"/>
              </w:rPr>
              <w:t xml:space="preserve"> </w:t>
            </w:r>
            <w:r>
              <w:rPr>
                <w:b/>
                <w:bCs/>
                <w:color w:val="auto"/>
                <w:kern w:val="0"/>
                <w:sz w:val="24"/>
              </w:rPr>
              <w:t xml:space="preserve"> 噪声监测一览表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500"/>
              <w:gridCol w:w="2540"/>
              <w:gridCol w:w="2739"/>
            </w:tblGrid>
            <w:tr w14:paraId="5A5E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14:paraId="3955E8EE">
                  <w:pPr>
                    <w:adjustRightInd w:val="0"/>
                    <w:snapToGrid w:val="0"/>
                    <w:jc w:val="center"/>
                    <w:rPr>
                      <w:color w:val="auto"/>
                      <w:kern w:val="0"/>
                      <w:szCs w:val="21"/>
                    </w:rPr>
                  </w:pPr>
                  <w:r>
                    <w:rPr>
                      <w:color w:val="auto"/>
                      <w:kern w:val="0"/>
                      <w:szCs w:val="21"/>
                    </w:rPr>
                    <w:t>类别</w:t>
                  </w:r>
                </w:p>
              </w:tc>
              <w:tc>
                <w:tcPr>
                  <w:tcW w:w="913" w:type="pct"/>
                  <w:vAlign w:val="center"/>
                </w:tcPr>
                <w:p w14:paraId="4864B628">
                  <w:pPr>
                    <w:adjustRightInd w:val="0"/>
                    <w:snapToGrid w:val="0"/>
                    <w:jc w:val="center"/>
                    <w:rPr>
                      <w:color w:val="auto"/>
                      <w:kern w:val="0"/>
                      <w:szCs w:val="21"/>
                    </w:rPr>
                  </w:pPr>
                  <w:r>
                    <w:rPr>
                      <w:color w:val="auto"/>
                      <w:kern w:val="0"/>
                      <w:szCs w:val="21"/>
                    </w:rPr>
                    <w:t>监测点位</w:t>
                  </w:r>
                </w:p>
              </w:tc>
              <w:tc>
                <w:tcPr>
                  <w:tcW w:w="1546" w:type="pct"/>
                  <w:vAlign w:val="center"/>
                </w:tcPr>
                <w:p w14:paraId="3F2E812B">
                  <w:pPr>
                    <w:adjustRightInd w:val="0"/>
                    <w:snapToGrid w:val="0"/>
                    <w:jc w:val="center"/>
                    <w:rPr>
                      <w:color w:val="auto"/>
                      <w:kern w:val="0"/>
                      <w:szCs w:val="21"/>
                    </w:rPr>
                  </w:pPr>
                  <w:r>
                    <w:rPr>
                      <w:color w:val="auto"/>
                      <w:kern w:val="0"/>
                      <w:szCs w:val="21"/>
                    </w:rPr>
                    <w:t>监测项目</w:t>
                  </w:r>
                </w:p>
              </w:tc>
              <w:tc>
                <w:tcPr>
                  <w:tcW w:w="1667" w:type="pct"/>
                  <w:vAlign w:val="center"/>
                </w:tcPr>
                <w:p w14:paraId="62F9BC42">
                  <w:pPr>
                    <w:adjustRightInd w:val="0"/>
                    <w:snapToGrid w:val="0"/>
                    <w:jc w:val="center"/>
                    <w:rPr>
                      <w:color w:val="auto"/>
                      <w:kern w:val="0"/>
                      <w:szCs w:val="21"/>
                    </w:rPr>
                  </w:pPr>
                  <w:r>
                    <w:rPr>
                      <w:color w:val="auto"/>
                      <w:kern w:val="0"/>
                      <w:szCs w:val="21"/>
                    </w:rPr>
                    <w:t>监测频率</w:t>
                  </w:r>
                </w:p>
              </w:tc>
            </w:tr>
            <w:tr w14:paraId="53C8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14:paraId="30A0A5EC">
                  <w:pPr>
                    <w:adjustRightInd w:val="0"/>
                    <w:snapToGrid w:val="0"/>
                    <w:jc w:val="center"/>
                    <w:rPr>
                      <w:color w:val="auto"/>
                      <w:kern w:val="0"/>
                      <w:szCs w:val="21"/>
                    </w:rPr>
                  </w:pPr>
                  <w:r>
                    <w:rPr>
                      <w:color w:val="auto"/>
                      <w:kern w:val="0"/>
                      <w:szCs w:val="21"/>
                    </w:rPr>
                    <w:t>厂界噪声</w:t>
                  </w:r>
                </w:p>
              </w:tc>
              <w:tc>
                <w:tcPr>
                  <w:tcW w:w="913" w:type="pct"/>
                  <w:vAlign w:val="center"/>
                </w:tcPr>
                <w:p w14:paraId="61ABB9A3">
                  <w:pPr>
                    <w:adjustRightInd w:val="0"/>
                    <w:snapToGrid w:val="0"/>
                    <w:jc w:val="center"/>
                    <w:rPr>
                      <w:color w:val="auto"/>
                      <w:kern w:val="0"/>
                      <w:szCs w:val="21"/>
                    </w:rPr>
                  </w:pPr>
                  <w:r>
                    <w:rPr>
                      <w:color w:val="auto"/>
                      <w:kern w:val="0"/>
                      <w:szCs w:val="21"/>
                    </w:rPr>
                    <w:t>厂界</w:t>
                  </w:r>
                </w:p>
              </w:tc>
              <w:tc>
                <w:tcPr>
                  <w:tcW w:w="1546" w:type="pct"/>
                  <w:vAlign w:val="center"/>
                </w:tcPr>
                <w:p w14:paraId="4F8B1DCB">
                  <w:pPr>
                    <w:adjustRightInd w:val="0"/>
                    <w:snapToGrid w:val="0"/>
                    <w:jc w:val="center"/>
                    <w:rPr>
                      <w:color w:val="auto"/>
                      <w:kern w:val="0"/>
                      <w:szCs w:val="21"/>
                    </w:rPr>
                  </w:pPr>
                  <w:r>
                    <w:rPr>
                      <w:color w:val="auto"/>
                      <w:kern w:val="0"/>
                      <w:szCs w:val="21"/>
                    </w:rPr>
                    <w:t>等效连续A声级</w:t>
                  </w:r>
                </w:p>
              </w:tc>
              <w:tc>
                <w:tcPr>
                  <w:tcW w:w="1667" w:type="pct"/>
                  <w:vAlign w:val="center"/>
                </w:tcPr>
                <w:p w14:paraId="777328D3">
                  <w:pPr>
                    <w:adjustRightInd w:val="0"/>
                    <w:snapToGrid w:val="0"/>
                    <w:jc w:val="center"/>
                    <w:rPr>
                      <w:color w:val="auto"/>
                      <w:kern w:val="0"/>
                      <w:szCs w:val="21"/>
                    </w:rPr>
                  </w:pPr>
                  <w:r>
                    <w:rPr>
                      <w:rFonts w:hint="eastAsia"/>
                      <w:color w:val="auto"/>
                      <w:kern w:val="0"/>
                      <w:szCs w:val="21"/>
                    </w:rPr>
                    <w:t>1次/季度</w:t>
                  </w:r>
                </w:p>
              </w:tc>
            </w:tr>
          </w:tbl>
          <w:p w14:paraId="4952504C">
            <w:pPr>
              <w:pStyle w:val="41"/>
              <w:adjustRightInd w:val="0"/>
              <w:snapToGrid w:val="0"/>
              <w:spacing w:before="120" w:beforeLines="50"/>
              <w:ind w:firstLine="0" w:firstLineChars="0"/>
              <w:jc w:val="both"/>
              <w:rPr>
                <w:rFonts w:ascii="Times New Roman" w:hAnsi="Times New Roman"/>
                <w:b/>
                <w:bCs/>
                <w:color w:val="auto"/>
                <w:kern w:val="0"/>
                <w:szCs w:val="24"/>
              </w:rPr>
            </w:pPr>
            <w:r>
              <w:rPr>
                <w:rFonts w:ascii="Times New Roman" w:hAnsi="Times New Roman"/>
                <w:b/>
                <w:bCs/>
                <w:color w:val="auto"/>
                <w:kern w:val="0"/>
                <w:szCs w:val="24"/>
              </w:rPr>
              <w:t>4、固体废物</w:t>
            </w:r>
          </w:p>
          <w:p w14:paraId="235B2E08">
            <w:pPr>
              <w:pStyle w:val="41"/>
              <w:adjustRightInd w:val="0"/>
              <w:snapToGrid w:val="0"/>
              <w:ind w:firstLine="480"/>
              <w:jc w:val="both"/>
              <w:rPr>
                <w:rFonts w:ascii="Times New Roman" w:hAnsi="Times New Roman"/>
                <w:color w:val="auto"/>
                <w:kern w:val="0"/>
                <w:szCs w:val="24"/>
              </w:rPr>
            </w:pPr>
            <w:r>
              <w:rPr>
                <w:rFonts w:ascii="Times New Roman" w:hAnsi="Times New Roman"/>
                <w:color w:val="auto"/>
                <w:kern w:val="0"/>
              </w:rPr>
              <w:t>本项目运营期</w:t>
            </w:r>
            <w:r>
              <w:rPr>
                <w:rFonts w:ascii="Times New Roman" w:hAnsi="Times New Roman"/>
                <w:color w:val="auto"/>
                <w:kern w:val="0"/>
                <w:szCs w:val="24"/>
              </w:rPr>
              <w:t>项目固废主要包括生活垃圾</w:t>
            </w:r>
            <w:r>
              <w:rPr>
                <w:rFonts w:hint="eastAsia" w:ascii="Times New Roman" w:hAnsi="Times New Roman"/>
                <w:color w:val="auto"/>
                <w:kern w:val="0"/>
                <w:szCs w:val="24"/>
              </w:rPr>
              <w:t>，</w:t>
            </w:r>
            <w:r>
              <w:rPr>
                <w:rFonts w:ascii="Times New Roman" w:hAnsi="Times New Roman"/>
                <w:color w:val="auto"/>
                <w:kern w:val="0"/>
                <w:szCs w:val="24"/>
              </w:rPr>
              <w:t>一般工业固体废物及危险废物。</w:t>
            </w:r>
          </w:p>
          <w:p w14:paraId="1E183DA6">
            <w:pPr>
              <w:snapToGrid w:val="0"/>
              <w:spacing w:line="360" w:lineRule="auto"/>
              <w:ind w:firstLine="480"/>
              <w:rPr>
                <w:color w:val="auto"/>
                <w:kern w:val="0"/>
                <w:sz w:val="24"/>
              </w:rPr>
            </w:pPr>
            <w:r>
              <w:rPr>
                <w:color w:val="auto"/>
                <w:kern w:val="0"/>
                <w:sz w:val="24"/>
              </w:rPr>
              <w:t>（1）生活垃圾</w:t>
            </w:r>
          </w:p>
          <w:p w14:paraId="5289FE1C">
            <w:pPr>
              <w:pStyle w:val="41"/>
              <w:adjustRightInd w:val="0"/>
              <w:snapToGrid w:val="0"/>
              <w:ind w:firstLine="480"/>
              <w:jc w:val="both"/>
              <w:rPr>
                <w:rFonts w:ascii="Times New Roman" w:hAnsi="Times New Roman"/>
                <w:color w:val="auto"/>
                <w:kern w:val="0"/>
              </w:rPr>
            </w:pPr>
            <w:r>
              <w:rPr>
                <w:rFonts w:ascii="Times New Roman" w:hAnsi="Times New Roman"/>
                <w:color w:val="auto"/>
                <w:kern w:val="0"/>
              </w:rPr>
              <w:t>本项目</w:t>
            </w:r>
            <w:r>
              <w:rPr>
                <w:rFonts w:hint="eastAsia" w:ascii="Times New Roman" w:hAnsi="Times New Roman"/>
                <w:color w:val="auto"/>
                <w:kern w:val="0"/>
                <w:lang w:eastAsia="zh-CN"/>
              </w:rPr>
              <w:t>新增</w:t>
            </w:r>
            <w:r>
              <w:rPr>
                <w:rFonts w:ascii="Times New Roman" w:hAnsi="Times New Roman"/>
                <w:color w:val="auto"/>
                <w:kern w:val="0"/>
              </w:rPr>
              <w:t>劳动定员</w:t>
            </w:r>
            <w:r>
              <w:rPr>
                <w:rFonts w:hint="eastAsia" w:ascii="Times New Roman" w:hAnsi="Times New Roman"/>
                <w:color w:val="auto"/>
                <w:kern w:val="0"/>
                <w:lang w:val="en-US" w:eastAsia="zh-CN"/>
              </w:rPr>
              <w:t>10</w:t>
            </w:r>
            <w:r>
              <w:rPr>
                <w:rFonts w:ascii="Times New Roman" w:hAnsi="Times New Roman"/>
                <w:color w:val="auto"/>
                <w:kern w:val="0"/>
              </w:rPr>
              <w:t>人，按每人每日排放生活垃圾0.5kg计，</w:t>
            </w:r>
            <w:r>
              <w:rPr>
                <w:rFonts w:ascii="Times New Roman" w:hAnsi="Times New Roman"/>
                <w:color w:val="auto"/>
                <w:kern w:val="0"/>
                <w:szCs w:val="24"/>
              </w:rPr>
              <w:t>年工作天数</w:t>
            </w:r>
            <w:r>
              <w:rPr>
                <w:rFonts w:hint="eastAsia" w:ascii="Times New Roman" w:hAnsi="Times New Roman"/>
                <w:color w:val="auto"/>
                <w:kern w:val="0"/>
                <w:szCs w:val="24"/>
                <w:lang w:val="en-US" w:eastAsia="zh-CN"/>
              </w:rPr>
              <w:t>300</w:t>
            </w:r>
            <w:r>
              <w:rPr>
                <w:rFonts w:ascii="Times New Roman" w:hAnsi="Times New Roman"/>
                <w:color w:val="auto"/>
                <w:kern w:val="0"/>
                <w:szCs w:val="24"/>
              </w:rPr>
              <w:t>天</w:t>
            </w:r>
            <w:r>
              <w:rPr>
                <w:rFonts w:ascii="Times New Roman" w:hAnsi="Times New Roman"/>
                <w:color w:val="auto"/>
                <w:kern w:val="0"/>
              </w:rPr>
              <w:t>，则生活垃圾产生量约</w:t>
            </w:r>
            <w:r>
              <w:rPr>
                <w:rFonts w:hint="eastAsia" w:ascii="Times New Roman" w:hAnsi="Times New Roman"/>
                <w:color w:val="auto"/>
                <w:kern w:val="0"/>
                <w:lang w:val="en-US" w:eastAsia="zh-CN"/>
              </w:rPr>
              <w:t>1.5</w:t>
            </w:r>
            <w:r>
              <w:rPr>
                <w:rFonts w:ascii="Times New Roman" w:hAnsi="Times New Roman"/>
                <w:color w:val="auto"/>
                <w:kern w:val="0"/>
              </w:rPr>
              <w:t>t/a，集中收集后交由环卫部门清运处理。</w:t>
            </w:r>
          </w:p>
          <w:p w14:paraId="6EB91DFD">
            <w:pPr>
              <w:pStyle w:val="41"/>
              <w:adjustRightInd w:val="0"/>
              <w:snapToGrid w:val="0"/>
              <w:ind w:firstLine="480"/>
              <w:jc w:val="both"/>
              <w:rPr>
                <w:rFonts w:ascii="Times New Roman" w:hAnsi="Times New Roman"/>
                <w:color w:val="auto"/>
                <w:kern w:val="0"/>
                <w:szCs w:val="24"/>
              </w:rPr>
            </w:pPr>
            <w:r>
              <w:rPr>
                <w:rFonts w:hint="eastAsia" w:ascii="Times New Roman" w:hAnsi="Times New Roman"/>
                <w:color w:val="auto"/>
                <w:kern w:val="0"/>
                <w:szCs w:val="24"/>
              </w:rPr>
              <w:t>（2）一般工业固体废物</w:t>
            </w:r>
          </w:p>
          <w:p w14:paraId="04F2BD66">
            <w:pPr>
              <w:pStyle w:val="41"/>
              <w:adjustRightInd w:val="0"/>
              <w:snapToGrid w:val="0"/>
              <w:ind w:firstLine="480"/>
              <w:jc w:val="both"/>
              <w:rPr>
                <w:rFonts w:hint="eastAsia" w:ascii="Times New Roman" w:hAnsi="Times New Roman" w:eastAsia="宋体"/>
                <w:color w:val="auto"/>
                <w:kern w:val="0"/>
                <w:szCs w:val="24"/>
                <w:lang w:eastAsia="zh-CN"/>
              </w:rPr>
            </w:pPr>
            <w:r>
              <w:rPr>
                <w:rFonts w:ascii="Times New Roman" w:hAnsi="Times New Roman"/>
                <w:color w:val="auto"/>
                <w:kern w:val="0"/>
                <w:szCs w:val="24"/>
              </w:rPr>
              <w:t>①</w:t>
            </w:r>
            <w:r>
              <w:rPr>
                <w:rFonts w:hint="eastAsia" w:ascii="Times New Roman" w:hAnsi="Times New Roman"/>
                <w:color w:val="auto"/>
                <w:kern w:val="0"/>
                <w:szCs w:val="24"/>
              </w:rPr>
              <w:t xml:space="preserve"> </w:t>
            </w:r>
            <w:r>
              <w:rPr>
                <w:rFonts w:hint="eastAsia" w:ascii="Times New Roman" w:hAnsi="Times New Roman"/>
                <w:color w:val="auto"/>
                <w:kern w:val="0"/>
                <w:szCs w:val="24"/>
                <w:lang w:eastAsia="zh-CN"/>
              </w:rPr>
              <w:t>除尘器收集粉尘</w:t>
            </w:r>
          </w:p>
          <w:p w14:paraId="42F25F4E">
            <w:pPr>
              <w:pStyle w:val="41"/>
              <w:adjustRightInd w:val="0"/>
              <w:snapToGrid w:val="0"/>
              <w:ind w:firstLine="480"/>
              <w:jc w:val="both"/>
              <w:rPr>
                <w:rFonts w:hint="eastAsia" w:eastAsia="宋体"/>
                <w:color w:val="auto"/>
                <w:kern w:val="0"/>
                <w:sz w:val="24"/>
                <w:lang w:val="en-US" w:eastAsia="zh-CN"/>
              </w:rPr>
            </w:pPr>
            <w:r>
              <w:rPr>
                <w:rFonts w:hint="eastAsia"/>
                <w:color w:val="auto"/>
                <w:kern w:val="0"/>
                <w:sz w:val="24"/>
              </w:rPr>
              <w:t>除尘器收尘</w:t>
            </w:r>
            <w:r>
              <w:rPr>
                <w:rFonts w:hint="eastAsia" w:ascii="Times New Roman" w:hAnsi="Times New Roman" w:cs="Times New Roman"/>
                <w:color w:val="auto"/>
                <w:sz w:val="24"/>
                <w:lang w:eastAsia="zh-CN"/>
              </w:rPr>
              <w:t>颗粒物</w:t>
            </w:r>
            <w:r>
              <w:rPr>
                <w:rFonts w:hint="eastAsia"/>
                <w:color w:val="auto"/>
                <w:kern w:val="0"/>
                <w:sz w:val="24"/>
              </w:rPr>
              <w:t>：根据工程分析，项目除尘器收集</w:t>
            </w:r>
            <w:r>
              <w:rPr>
                <w:rFonts w:hint="eastAsia"/>
                <w:color w:val="auto"/>
                <w:kern w:val="0"/>
                <w:sz w:val="24"/>
                <w:lang w:eastAsia="zh-CN"/>
              </w:rPr>
              <w:t>颗粒物</w:t>
            </w:r>
            <w:r>
              <w:rPr>
                <w:rFonts w:hint="default" w:ascii="Times New Roman" w:hAnsi="Times New Roman" w:cs="Times New Roman"/>
                <w:color w:val="auto"/>
                <w:kern w:val="0"/>
                <w:sz w:val="24"/>
              </w:rPr>
              <w:t>为</w:t>
            </w:r>
            <w:r>
              <w:rPr>
                <w:rFonts w:hint="eastAsia" w:ascii="Times New Roman" w:hAnsi="Times New Roman" w:cs="Times New Roman"/>
                <w:color w:val="auto"/>
                <w:kern w:val="0"/>
                <w:sz w:val="24"/>
                <w:lang w:val="en-US" w:eastAsia="zh-CN"/>
              </w:rPr>
              <w:t>13.65</w:t>
            </w:r>
            <w:r>
              <w:rPr>
                <w:rFonts w:hint="default" w:ascii="Times New Roman" w:hAnsi="Times New Roman" w:cs="Times New Roman"/>
                <w:color w:val="auto"/>
                <w:kern w:val="0"/>
                <w:sz w:val="24"/>
              </w:rPr>
              <w:t>t/a，</w:t>
            </w:r>
            <w:r>
              <w:rPr>
                <w:rFonts w:hint="eastAsia"/>
                <w:color w:val="auto"/>
                <w:kern w:val="0"/>
                <w:sz w:val="24"/>
              </w:rPr>
              <w:t>收集后</w:t>
            </w:r>
            <w:r>
              <w:rPr>
                <w:rFonts w:hint="eastAsia"/>
                <w:color w:val="auto"/>
                <w:kern w:val="0"/>
                <w:sz w:val="24"/>
                <w:lang w:eastAsia="zh-CN"/>
              </w:rPr>
              <w:t>回用于生产。</w:t>
            </w:r>
          </w:p>
          <w:p w14:paraId="1A67E917">
            <w:pPr>
              <w:pStyle w:val="41"/>
              <w:adjustRightInd w:val="0"/>
              <w:snapToGrid w:val="0"/>
              <w:ind w:firstLine="480"/>
              <w:jc w:val="both"/>
              <w:rPr>
                <w:rFonts w:ascii="Times New Roman" w:hAnsi="Times New Roman"/>
                <w:color w:val="auto"/>
                <w:kern w:val="0"/>
                <w:szCs w:val="24"/>
              </w:rPr>
            </w:pPr>
            <w:r>
              <w:rPr>
                <w:rFonts w:hint="eastAsia" w:cs="宋体"/>
                <w:color w:val="auto"/>
                <w:kern w:val="0"/>
                <w:szCs w:val="24"/>
              </w:rPr>
              <w:t xml:space="preserve">② </w:t>
            </w:r>
            <w:r>
              <w:rPr>
                <w:rFonts w:hint="eastAsia"/>
                <w:color w:val="auto"/>
                <w:kern w:val="0"/>
                <w:szCs w:val="24"/>
              </w:rPr>
              <w:t>废包装袋</w:t>
            </w:r>
          </w:p>
          <w:p w14:paraId="0FCF1946">
            <w:pPr>
              <w:widowControl/>
              <w:spacing w:line="360" w:lineRule="auto"/>
              <w:ind w:firstLine="480"/>
              <w:jc w:val="left"/>
              <w:rPr>
                <w:color w:val="auto"/>
                <w:kern w:val="0"/>
                <w:sz w:val="24"/>
              </w:rPr>
            </w:pPr>
            <w:r>
              <w:rPr>
                <w:rFonts w:hint="eastAsia"/>
                <w:color w:val="auto"/>
                <w:sz w:val="24"/>
              </w:rPr>
              <w:t>项目在</w:t>
            </w:r>
            <w:r>
              <w:rPr>
                <w:rFonts w:hint="eastAsia"/>
                <w:color w:val="auto"/>
                <w:sz w:val="24"/>
                <w:lang w:eastAsia="zh-CN"/>
              </w:rPr>
              <w:t>矿化剂</w:t>
            </w:r>
            <w:r>
              <w:rPr>
                <w:rFonts w:hint="eastAsia"/>
                <w:color w:val="auto"/>
                <w:kern w:val="0"/>
                <w:sz w:val="24"/>
              </w:rPr>
              <w:t>等</w:t>
            </w:r>
            <w:r>
              <w:rPr>
                <w:rFonts w:hint="eastAsia"/>
                <w:color w:val="auto"/>
                <w:sz w:val="24"/>
              </w:rPr>
              <w:t>物料使用过程中会产生废包装袋，</w:t>
            </w:r>
            <w:r>
              <w:rPr>
                <w:rFonts w:hint="eastAsia"/>
                <w:color w:val="auto"/>
                <w:kern w:val="0"/>
                <w:sz w:val="24"/>
              </w:rPr>
              <w:t>根据建设单位提供资料，</w:t>
            </w:r>
            <w:r>
              <w:rPr>
                <w:rFonts w:hint="eastAsia"/>
                <w:color w:val="auto"/>
                <w:sz w:val="24"/>
              </w:rPr>
              <w:t>废包装袋的产生量为</w:t>
            </w:r>
            <w:r>
              <w:rPr>
                <w:rFonts w:hint="eastAsia"/>
                <w:color w:val="auto"/>
                <w:sz w:val="24"/>
                <w:lang w:val="en-US" w:eastAsia="zh-CN"/>
              </w:rPr>
              <w:t>0.1</w:t>
            </w:r>
            <w:r>
              <w:rPr>
                <w:rFonts w:hint="eastAsia"/>
                <w:color w:val="auto"/>
                <w:sz w:val="24"/>
              </w:rPr>
              <w:t>t/a，</w:t>
            </w:r>
            <w:r>
              <w:rPr>
                <w:color w:val="auto"/>
                <w:kern w:val="0"/>
                <w:sz w:val="24"/>
              </w:rPr>
              <w:t>集中收集</w:t>
            </w:r>
            <w:r>
              <w:rPr>
                <w:rFonts w:hint="eastAsia"/>
                <w:color w:val="auto"/>
                <w:kern w:val="0"/>
                <w:sz w:val="24"/>
              </w:rPr>
              <w:t>后交由物资回收部门回收利用。</w:t>
            </w:r>
          </w:p>
          <w:p w14:paraId="5F4A7FCD">
            <w:pPr>
              <w:adjustRightInd w:val="0"/>
              <w:snapToGrid w:val="0"/>
              <w:spacing w:line="360" w:lineRule="auto"/>
              <w:ind w:firstLine="480" w:firstLineChars="200"/>
              <w:rPr>
                <w:color w:val="auto"/>
                <w:kern w:val="0"/>
                <w:sz w:val="24"/>
              </w:rPr>
            </w:pPr>
            <w:r>
              <w:rPr>
                <w:rFonts w:hint="eastAsia"/>
                <w:color w:val="auto"/>
                <w:kern w:val="0"/>
                <w:sz w:val="24"/>
              </w:rPr>
              <w:t>（3）危险废物</w:t>
            </w:r>
          </w:p>
          <w:p w14:paraId="51E24F3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olor w:val="auto"/>
                <w:kern w:val="0"/>
                <w:sz w:val="24"/>
              </w:rPr>
              <w:t>废机油</w:t>
            </w:r>
            <w:r>
              <w:rPr>
                <w:rFonts w:hint="eastAsia"/>
                <w:color w:val="auto"/>
                <w:sz w:val="24"/>
              </w:rPr>
              <w:t>：项目机械设备</w:t>
            </w:r>
            <w:r>
              <w:rPr>
                <w:rFonts w:hint="eastAsia"/>
                <w:color w:val="auto"/>
                <w:sz w:val="24"/>
                <w:lang w:eastAsia="zh-CN"/>
              </w:rPr>
              <w:t>维护</w:t>
            </w:r>
            <w:r>
              <w:rPr>
                <w:rFonts w:hint="eastAsia"/>
                <w:color w:val="auto"/>
                <w:sz w:val="24"/>
              </w:rPr>
              <w:t>需要使用一定量的机油</w:t>
            </w:r>
            <w:r>
              <w:rPr>
                <w:rFonts w:hint="eastAsia"/>
                <w:color w:val="auto"/>
                <w:sz w:val="24"/>
                <w:lang w:eastAsia="zh-CN"/>
              </w:rPr>
              <w:t>，</w:t>
            </w:r>
            <w:r>
              <w:rPr>
                <w:rFonts w:hint="eastAsia"/>
                <w:color w:val="auto"/>
                <w:sz w:val="24"/>
              </w:rPr>
              <w:t>根据建设单位提供资料，年废机油产生量为0.</w:t>
            </w:r>
            <w:r>
              <w:rPr>
                <w:rFonts w:hint="eastAsia"/>
                <w:color w:val="auto"/>
                <w:sz w:val="24"/>
                <w:lang w:val="en-US" w:eastAsia="zh-CN"/>
              </w:rPr>
              <w:t>5</w:t>
            </w:r>
            <w:r>
              <w:rPr>
                <w:rFonts w:hint="eastAsia"/>
                <w:color w:val="auto"/>
                <w:sz w:val="24"/>
              </w:rPr>
              <w:t>t/a；废机油属于危险废物，废机油（类别HW08废矿物油与含矿物油废物，废物代码</w:t>
            </w:r>
            <w:r>
              <w:rPr>
                <w:rFonts w:hint="eastAsia"/>
                <w:color w:val="auto"/>
                <w:sz w:val="24"/>
                <w:szCs w:val="24"/>
                <w:lang w:val="en-US" w:eastAsia="zh-CN"/>
              </w:rPr>
              <w:t>9</w:t>
            </w:r>
            <w:r>
              <w:rPr>
                <w:color w:val="auto"/>
                <w:sz w:val="24"/>
                <w:szCs w:val="24"/>
              </w:rPr>
              <w:t>00-</w:t>
            </w:r>
            <w:r>
              <w:rPr>
                <w:rFonts w:hint="eastAsia"/>
                <w:color w:val="auto"/>
                <w:sz w:val="24"/>
                <w:szCs w:val="24"/>
                <w:lang w:val="en-US" w:eastAsia="zh-CN"/>
              </w:rPr>
              <w:t>249</w:t>
            </w:r>
            <w:r>
              <w:rPr>
                <w:color w:val="auto"/>
                <w:sz w:val="24"/>
                <w:szCs w:val="24"/>
              </w:rPr>
              <w:t>-0</w:t>
            </w:r>
            <w:r>
              <w:rPr>
                <w:rFonts w:hint="eastAsia"/>
                <w:color w:val="auto"/>
                <w:sz w:val="24"/>
                <w:szCs w:val="24"/>
              </w:rPr>
              <w:t>8</w:t>
            </w:r>
            <w:r>
              <w:rPr>
                <w:rFonts w:hint="eastAsia"/>
                <w:color w:val="auto"/>
                <w:sz w:val="24"/>
              </w:rPr>
              <w:t>），委托有危废处理资质单位处置</w:t>
            </w:r>
            <w:r>
              <w:rPr>
                <w:color w:val="auto"/>
                <w:kern w:val="0"/>
                <w:sz w:val="24"/>
              </w:rPr>
              <w:t>。</w:t>
            </w:r>
          </w:p>
          <w:p w14:paraId="557E93A0">
            <w:pPr>
              <w:adjustRightInd w:val="0"/>
              <w:snapToGrid w:val="0"/>
              <w:spacing w:line="360" w:lineRule="auto"/>
              <w:jc w:val="center"/>
              <w:rPr>
                <w:color w:val="auto"/>
                <w:kern w:val="0"/>
                <w:sz w:val="24"/>
              </w:rPr>
            </w:pPr>
            <w:r>
              <w:rPr>
                <w:b/>
                <w:bCs/>
                <w:color w:val="auto"/>
                <w:kern w:val="0"/>
                <w:sz w:val="24"/>
              </w:rPr>
              <w:t>表4</w:t>
            </w:r>
            <w:r>
              <w:rPr>
                <w:rFonts w:hint="eastAsia"/>
                <w:b/>
                <w:bCs/>
                <w:color w:val="auto"/>
                <w:kern w:val="0"/>
                <w:sz w:val="24"/>
                <w:lang w:val="en-US" w:eastAsia="zh-CN"/>
              </w:rPr>
              <w:t>.11</w:t>
            </w:r>
            <w:r>
              <w:rPr>
                <w:b/>
                <w:bCs/>
                <w:color w:val="auto"/>
                <w:kern w:val="0"/>
                <w:sz w:val="24"/>
              </w:rPr>
              <w:t xml:space="preserve"> 项目固体废物产</w:t>
            </w:r>
            <w:r>
              <w:rPr>
                <w:rFonts w:hint="eastAsia"/>
                <w:b/>
                <w:bCs/>
                <w:color w:val="auto"/>
                <w:kern w:val="0"/>
                <w:sz w:val="24"/>
              </w:rPr>
              <w:t>排污</w:t>
            </w:r>
            <w:r>
              <w:rPr>
                <w:b/>
                <w:bCs/>
                <w:color w:val="auto"/>
                <w:kern w:val="0"/>
                <w:sz w:val="24"/>
              </w:rPr>
              <w:t>情况</w:t>
            </w:r>
            <w:r>
              <w:rPr>
                <w:rFonts w:hint="eastAsia"/>
                <w:b/>
                <w:bCs/>
                <w:color w:val="auto"/>
                <w:kern w:val="0"/>
                <w:sz w:val="24"/>
              </w:rPr>
              <w:t>一览</w:t>
            </w:r>
            <w:r>
              <w:rPr>
                <w:b/>
                <w:bCs/>
                <w:color w:val="auto"/>
                <w:kern w:val="0"/>
                <w:sz w:val="24"/>
              </w:rPr>
              <w:t>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681"/>
              <w:gridCol w:w="668"/>
              <w:gridCol w:w="516"/>
              <w:gridCol w:w="862"/>
              <w:gridCol w:w="520"/>
              <w:gridCol w:w="839"/>
              <w:gridCol w:w="888"/>
              <w:gridCol w:w="462"/>
              <w:gridCol w:w="862"/>
              <w:gridCol w:w="888"/>
              <w:gridCol w:w="582"/>
            </w:tblGrid>
            <w:tr w14:paraId="70AB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vAlign w:val="center"/>
                </w:tcPr>
                <w:p w14:paraId="1DB5ECF6">
                  <w:pPr>
                    <w:adjustRightInd w:val="0"/>
                    <w:snapToGrid w:val="0"/>
                    <w:jc w:val="center"/>
                    <w:rPr>
                      <w:color w:val="auto"/>
                      <w:kern w:val="0"/>
                      <w:szCs w:val="21"/>
                    </w:rPr>
                  </w:pPr>
                  <w:r>
                    <w:rPr>
                      <w:color w:val="auto"/>
                      <w:kern w:val="0"/>
                      <w:szCs w:val="21"/>
                    </w:rPr>
                    <w:t>序号</w:t>
                  </w:r>
                </w:p>
              </w:tc>
              <w:tc>
                <w:tcPr>
                  <w:tcW w:w="414" w:type="pct"/>
                  <w:vAlign w:val="center"/>
                </w:tcPr>
                <w:p w14:paraId="713F9DF6">
                  <w:pPr>
                    <w:adjustRightInd w:val="0"/>
                    <w:snapToGrid w:val="0"/>
                    <w:jc w:val="center"/>
                    <w:rPr>
                      <w:color w:val="auto"/>
                      <w:kern w:val="0"/>
                      <w:szCs w:val="21"/>
                    </w:rPr>
                  </w:pPr>
                  <w:r>
                    <w:rPr>
                      <w:color w:val="auto"/>
                      <w:kern w:val="0"/>
                      <w:szCs w:val="21"/>
                    </w:rPr>
                    <w:t>产生环节</w:t>
                  </w:r>
                </w:p>
              </w:tc>
              <w:tc>
                <w:tcPr>
                  <w:tcW w:w="406" w:type="pct"/>
                  <w:vAlign w:val="center"/>
                </w:tcPr>
                <w:p w14:paraId="2CA3A1FA">
                  <w:pPr>
                    <w:adjustRightInd w:val="0"/>
                    <w:snapToGrid w:val="0"/>
                    <w:jc w:val="center"/>
                    <w:rPr>
                      <w:color w:val="auto"/>
                      <w:kern w:val="0"/>
                      <w:szCs w:val="21"/>
                    </w:rPr>
                  </w:pPr>
                  <w:r>
                    <w:rPr>
                      <w:color w:val="auto"/>
                      <w:kern w:val="0"/>
                      <w:szCs w:val="21"/>
                    </w:rPr>
                    <w:t>固废名称</w:t>
                  </w:r>
                </w:p>
              </w:tc>
              <w:tc>
                <w:tcPr>
                  <w:tcW w:w="314" w:type="pct"/>
                  <w:vAlign w:val="center"/>
                </w:tcPr>
                <w:p w14:paraId="1BEA0AC0">
                  <w:pPr>
                    <w:adjustRightInd w:val="0"/>
                    <w:snapToGrid w:val="0"/>
                    <w:jc w:val="center"/>
                    <w:rPr>
                      <w:color w:val="auto"/>
                      <w:kern w:val="0"/>
                      <w:szCs w:val="21"/>
                    </w:rPr>
                  </w:pPr>
                  <w:r>
                    <w:rPr>
                      <w:color w:val="auto"/>
                      <w:kern w:val="0"/>
                      <w:szCs w:val="21"/>
                    </w:rPr>
                    <w:t>属性</w:t>
                  </w:r>
                </w:p>
              </w:tc>
              <w:tc>
                <w:tcPr>
                  <w:tcW w:w="524" w:type="pct"/>
                  <w:vAlign w:val="center"/>
                </w:tcPr>
                <w:p w14:paraId="2B5DFF11">
                  <w:pPr>
                    <w:adjustRightInd w:val="0"/>
                    <w:snapToGrid w:val="0"/>
                    <w:jc w:val="center"/>
                    <w:rPr>
                      <w:color w:val="auto"/>
                      <w:kern w:val="0"/>
                      <w:szCs w:val="21"/>
                    </w:rPr>
                  </w:pPr>
                  <w:r>
                    <w:rPr>
                      <w:color w:val="auto"/>
                      <w:kern w:val="0"/>
                      <w:szCs w:val="21"/>
                    </w:rPr>
                    <w:t>主要有毒有害物质名称</w:t>
                  </w:r>
                </w:p>
              </w:tc>
              <w:tc>
                <w:tcPr>
                  <w:tcW w:w="316" w:type="pct"/>
                  <w:vAlign w:val="center"/>
                </w:tcPr>
                <w:p w14:paraId="10EF50DE">
                  <w:pPr>
                    <w:adjustRightInd w:val="0"/>
                    <w:snapToGrid w:val="0"/>
                    <w:jc w:val="center"/>
                    <w:rPr>
                      <w:color w:val="auto"/>
                      <w:kern w:val="0"/>
                      <w:szCs w:val="21"/>
                    </w:rPr>
                  </w:pPr>
                  <w:r>
                    <w:rPr>
                      <w:color w:val="auto"/>
                      <w:kern w:val="0"/>
                      <w:szCs w:val="21"/>
                    </w:rPr>
                    <w:t>物理性状</w:t>
                  </w:r>
                </w:p>
              </w:tc>
              <w:tc>
                <w:tcPr>
                  <w:tcW w:w="510" w:type="pct"/>
                  <w:vAlign w:val="center"/>
                </w:tcPr>
                <w:p w14:paraId="4E1E7776">
                  <w:pPr>
                    <w:adjustRightInd w:val="0"/>
                    <w:snapToGrid w:val="0"/>
                    <w:jc w:val="center"/>
                    <w:rPr>
                      <w:color w:val="auto"/>
                      <w:kern w:val="0"/>
                      <w:szCs w:val="21"/>
                    </w:rPr>
                  </w:pPr>
                  <w:r>
                    <w:rPr>
                      <w:color w:val="auto"/>
                      <w:kern w:val="0"/>
                      <w:szCs w:val="21"/>
                    </w:rPr>
                    <w:t>环境危险特性</w:t>
                  </w:r>
                </w:p>
              </w:tc>
              <w:tc>
                <w:tcPr>
                  <w:tcW w:w="540" w:type="pct"/>
                  <w:vAlign w:val="center"/>
                </w:tcPr>
                <w:p w14:paraId="07A62AEE">
                  <w:pPr>
                    <w:adjustRightInd w:val="0"/>
                    <w:snapToGrid w:val="0"/>
                    <w:jc w:val="center"/>
                    <w:rPr>
                      <w:color w:val="auto"/>
                      <w:kern w:val="0"/>
                      <w:szCs w:val="21"/>
                    </w:rPr>
                  </w:pPr>
                  <w:r>
                    <w:rPr>
                      <w:color w:val="auto"/>
                      <w:kern w:val="0"/>
                      <w:szCs w:val="21"/>
                    </w:rPr>
                    <w:t>产生量（t/a）</w:t>
                  </w:r>
                </w:p>
              </w:tc>
              <w:tc>
                <w:tcPr>
                  <w:tcW w:w="281" w:type="pct"/>
                  <w:vAlign w:val="center"/>
                </w:tcPr>
                <w:p w14:paraId="26DFC41E">
                  <w:pPr>
                    <w:adjustRightInd w:val="0"/>
                    <w:snapToGrid w:val="0"/>
                    <w:jc w:val="center"/>
                    <w:rPr>
                      <w:color w:val="auto"/>
                      <w:kern w:val="0"/>
                      <w:szCs w:val="21"/>
                    </w:rPr>
                  </w:pPr>
                  <w:r>
                    <w:rPr>
                      <w:color w:val="auto"/>
                      <w:kern w:val="0"/>
                      <w:szCs w:val="21"/>
                    </w:rPr>
                    <w:t>贮存方式</w:t>
                  </w:r>
                </w:p>
              </w:tc>
              <w:tc>
                <w:tcPr>
                  <w:tcW w:w="524" w:type="pct"/>
                  <w:vAlign w:val="center"/>
                </w:tcPr>
                <w:p w14:paraId="6027F9F4">
                  <w:pPr>
                    <w:adjustRightInd w:val="0"/>
                    <w:snapToGrid w:val="0"/>
                    <w:jc w:val="center"/>
                    <w:rPr>
                      <w:color w:val="auto"/>
                      <w:kern w:val="0"/>
                      <w:szCs w:val="21"/>
                    </w:rPr>
                  </w:pPr>
                  <w:r>
                    <w:rPr>
                      <w:color w:val="auto"/>
                      <w:kern w:val="0"/>
                      <w:szCs w:val="21"/>
                    </w:rPr>
                    <w:t>利用处置方式和去向</w:t>
                  </w:r>
                </w:p>
              </w:tc>
              <w:tc>
                <w:tcPr>
                  <w:tcW w:w="540" w:type="pct"/>
                  <w:vAlign w:val="center"/>
                </w:tcPr>
                <w:p w14:paraId="21389BBE">
                  <w:pPr>
                    <w:adjustRightInd w:val="0"/>
                    <w:snapToGrid w:val="0"/>
                    <w:jc w:val="center"/>
                    <w:rPr>
                      <w:color w:val="auto"/>
                      <w:kern w:val="0"/>
                      <w:szCs w:val="21"/>
                    </w:rPr>
                  </w:pPr>
                  <w:r>
                    <w:rPr>
                      <w:color w:val="auto"/>
                      <w:kern w:val="0"/>
                      <w:szCs w:val="21"/>
                    </w:rPr>
                    <w:t>利用量或处置量（t/a）</w:t>
                  </w:r>
                </w:p>
              </w:tc>
              <w:tc>
                <w:tcPr>
                  <w:tcW w:w="354" w:type="pct"/>
                  <w:vAlign w:val="center"/>
                </w:tcPr>
                <w:p w14:paraId="08230291">
                  <w:pPr>
                    <w:adjustRightInd w:val="0"/>
                    <w:snapToGrid w:val="0"/>
                    <w:jc w:val="center"/>
                    <w:rPr>
                      <w:color w:val="auto"/>
                      <w:kern w:val="0"/>
                      <w:szCs w:val="21"/>
                    </w:rPr>
                  </w:pPr>
                  <w:r>
                    <w:rPr>
                      <w:color w:val="auto"/>
                      <w:kern w:val="0"/>
                      <w:szCs w:val="21"/>
                    </w:rPr>
                    <w:t>环境管理要求</w:t>
                  </w:r>
                </w:p>
              </w:tc>
            </w:tr>
            <w:tr w14:paraId="30F1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vAlign w:val="center"/>
                </w:tcPr>
                <w:p w14:paraId="2D6E8C7E">
                  <w:pPr>
                    <w:adjustRightInd w:val="0"/>
                    <w:snapToGrid w:val="0"/>
                    <w:jc w:val="center"/>
                    <w:rPr>
                      <w:color w:val="auto"/>
                      <w:kern w:val="0"/>
                      <w:szCs w:val="21"/>
                    </w:rPr>
                  </w:pPr>
                  <w:r>
                    <w:rPr>
                      <w:color w:val="auto"/>
                      <w:kern w:val="0"/>
                      <w:szCs w:val="21"/>
                    </w:rPr>
                    <w:t>1</w:t>
                  </w:r>
                </w:p>
              </w:tc>
              <w:tc>
                <w:tcPr>
                  <w:tcW w:w="414" w:type="pct"/>
                  <w:vAlign w:val="center"/>
                </w:tcPr>
                <w:p w14:paraId="0B9013B9">
                  <w:pPr>
                    <w:jc w:val="center"/>
                    <w:rPr>
                      <w:color w:val="auto"/>
                      <w:kern w:val="0"/>
                      <w:szCs w:val="21"/>
                    </w:rPr>
                  </w:pPr>
                  <w:r>
                    <w:rPr>
                      <w:color w:val="auto"/>
                      <w:kern w:val="0"/>
                      <w:szCs w:val="21"/>
                    </w:rPr>
                    <w:t>职工生活</w:t>
                  </w:r>
                </w:p>
              </w:tc>
              <w:tc>
                <w:tcPr>
                  <w:tcW w:w="406" w:type="pct"/>
                  <w:vAlign w:val="center"/>
                </w:tcPr>
                <w:p w14:paraId="5C657DA8">
                  <w:pPr>
                    <w:jc w:val="center"/>
                    <w:rPr>
                      <w:color w:val="auto"/>
                      <w:kern w:val="0"/>
                      <w:szCs w:val="21"/>
                    </w:rPr>
                  </w:pPr>
                  <w:r>
                    <w:rPr>
                      <w:color w:val="auto"/>
                      <w:kern w:val="0"/>
                      <w:szCs w:val="21"/>
                    </w:rPr>
                    <w:t>生活垃圾</w:t>
                  </w:r>
                </w:p>
              </w:tc>
              <w:tc>
                <w:tcPr>
                  <w:tcW w:w="314" w:type="pct"/>
                  <w:vMerge w:val="restart"/>
                  <w:vAlign w:val="center"/>
                </w:tcPr>
                <w:p w14:paraId="23EF3FDC">
                  <w:pPr>
                    <w:adjustRightInd w:val="0"/>
                    <w:snapToGrid w:val="0"/>
                    <w:jc w:val="center"/>
                    <w:rPr>
                      <w:color w:val="auto"/>
                      <w:kern w:val="0"/>
                      <w:szCs w:val="21"/>
                    </w:rPr>
                  </w:pPr>
                  <w:r>
                    <w:rPr>
                      <w:color w:val="auto"/>
                      <w:kern w:val="0"/>
                      <w:szCs w:val="21"/>
                    </w:rPr>
                    <w:t>一般</w:t>
                  </w:r>
                </w:p>
                <w:p w14:paraId="00B270BA">
                  <w:pPr>
                    <w:adjustRightInd w:val="0"/>
                    <w:snapToGrid w:val="0"/>
                    <w:jc w:val="center"/>
                    <w:rPr>
                      <w:color w:val="auto"/>
                      <w:kern w:val="0"/>
                      <w:szCs w:val="21"/>
                    </w:rPr>
                  </w:pPr>
                  <w:r>
                    <w:rPr>
                      <w:color w:val="auto"/>
                      <w:kern w:val="0"/>
                      <w:szCs w:val="21"/>
                    </w:rPr>
                    <w:t>固废</w:t>
                  </w:r>
                </w:p>
              </w:tc>
              <w:tc>
                <w:tcPr>
                  <w:tcW w:w="524" w:type="pct"/>
                  <w:vAlign w:val="center"/>
                </w:tcPr>
                <w:p w14:paraId="2CA308E6">
                  <w:pPr>
                    <w:adjustRightInd w:val="0"/>
                    <w:snapToGrid w:val="0"/>
                    <w:jc w:val="center"/>
                    <w:rPr>
                      <w:color w:val="auto"/>
                      <w:kern w:val="0"/>
                      <w:szCs w:val="21"/>
                    </w:rPr>
                  </w:pPr>
                  <w:r>
                    <w:rPr>
                      <w:color w:val="auto"/>
                      <w:kern w:val="0"/>
                      <w:szCs w:val="21"/>
                    </w:rPr>
                    <w:t>/</w:t>
                  </w:r>
                </w:p>
              </w:tc>
              <w:tc>
                <w:tcPr>
                  <w:tcW w:w="316" w:type="pct"/>
                  <w:vAlign w:val="center"/>
                </w:tcPr>
                <w:p w14:paraId="590D0D92">
                  <w:pPr>
                    <w:adjustRightInd w:val="0"/>
                    <w:snapToGrid w:val="0"/>
                    <w:jc w:val="center"/>
                    <w:rPr>
                      <w:color w:val="auto"/>
                      <w:kern w:val="0"/>
                      <w:szCs w:val="21"/>
                    </w:rPr>
                  </w:pPr>
                  <w:r>
                    <w:rPr>
                      <w:color w:val="auto"/>
                      <w:kern w:val="0"/>
                      <w:szCs w:val="21"/>
                    </w:rPr>
                    <w:t>固态</w:t>
                  </w:r>
                </w:p>
              </w:tc>
              <w:tc>
                <w:tcPr>
                  <w:tcW w:w="510" w:type="pct"/>
                  <w:vAlign w:val="center"/>
                </w:tcPr>
                <w:p w14:paraId="37207419">
                  <w:pPr>
                    <w:adjustRightInd w:val="0"/>
                    <w:snapToGrid w:val="0"/>
                    <w:jc w:val="center"/>
                    <w:rPr>
                      <w:color w:val="auto"/>
                      <w:kern w:val="0"/>
                      <w:szCs w:val="21"/>
                    </w:rPr>
                  </w:pPr>
                  <w:r>
                    <w:rPr>
                      <w:color w:val="auto"/>
                      <w:kern w:val="0"/>
                      <w:szCs w:val="21"/>
                    </w:rPr>
                    <w:t>/</w:t>
                  </w:r>
                </w:p>
              </w:tc>
              <w:tc>
                <w:tcPr>
                  <w:tcW w:w="540" w:type="pct"/>
                  <w:vAlign w:val="center"/>
                </w:tcPr>
                <w:p w14:paraId="53BB1A54">
                  <w:pPr>
                    <w:jc w:val="center"/>
                    <w:rPr>
                      <w:rFonts w:hint="default" w:eastAsia="宋体"/>
                      <w:color w:val="auto"/>
                      <w:kern w:val="0"/>
                      <w:szCs w:val="21"/>
                      <w:lang w:val="en-US" w:eastAsia="zh-CN"/>
                    </w:rPr>
                  </w:pPr>
                  <w:r>
                    <w:rPr>
                      <w:rFonts w:hint="eastAsia" w:ascii="Times New Roman" w:hAnsi="Times New Roman"/>
                      <w:color w:val="auto"/>
                      <w:kern w:val="0"/>
                      <w:lang w:val="en-US" w:eastAsia="zh-CN"/>
                    </w:rPr>
                    <w:t>1.5</w:t>
                  </w:r>
                </w:p>
              </w:tc>
              <w:tc>
                <w:tcPr>
                  <w:tcW w:w="281" w:type="pct"/>
                  <w:vAlign w:val="center"/>
                </w:tcPr>
                <w:p w14:paraId="4C12FC5F">
                  <w:pPr>
                    <w:adjustRightInd w:val="0"/>
                    <w:snapToGrid w:val="0"/>
                    <w:jc w:val="center"/>
                    <w:rPr>
                      <w:color w:val="auto"/>
                      <w:kern w:val="0"/>
                      <w:szCs w:val="21"/>
                    </w:rPr>
                  </w:pPr>
                  <w:r>
                    <w:rPr>
                      <w:color w:val="auto"/>
                      <w:kern w:val="0"/>
                      <w:szCs w:val="21"/>
                    </w:rPr>
                    <w:t>袋装</w:t>
                  </w:r>
                </w:p>
              </w:tc>
              <w:tc>
                <w:tcPr>
                  <w:tcW w:w="524" w:type="pct"/>
                  <w:vAlign w:val="center"/>
                </w:tcPr>
                <w:p w14:paraId="78209473">
                  <w:pPr>
                    <w:adjustRightInd w:val="0"/>
                    <w:snapToGrid w:val="0"/>
                    <w:jc w:val="center"/>
                    <w:rPr>
                      <w:color w:val="auto"/>
                      <w:kern w:val="0"/>
                      <w:szCs w:val="21"/>
                    </w:rPr>
                  </w:pPr>
                  <w:r>
                    <w:rPr>
                      <w:color w:val="auto"/>
                      <w:kern w:val="0"/>
                      <w:szCs w:val="21"/>
                    </w:rPr>
                    <w:t>环卫部门</w:t>
                  </w:r>
                </w:p>
              </w:tc>
              <w:tc>
                <w:tcPr>
                  <w:tcW w:w="540" w:type="pct"/>
                  <w:vAlign w:val="center"/>
                </w:tcPr>
                <w:p w14:paraId="7AE99152">
                  <w:pPr>
                    <w:jc w:val="center"/>
                    <w:rPr>
                      <w:rFonts w:hint="default" w:eastAsia="宋体"/>
                      <w:color w:val="auto"/>
                      <w:kern w:val="0"/>
                      <w:szCs w:val="21"/>
                      <w:lang w:val="en-US" w:eastAsia="zh-CN"/>
                    </w:rPr>
                  </w:pPr>
                  <w:r>
                    <w:rPr>
                      <w:rFonts w:hint="eastAsia" w:ascii="Times New Roman" w:hAnsi="Times New Roman"/>
                      <w:color w:val="auto"/>
                      <w:kern w:val="0"/>
                      <w:lang w:val="en-US" w:eastAsia="zh-CN"/>
                    </w:rPr>
                    <w:t>1.5</w:t>
                  </w:r>
                </w:p>
              </w:tc>
              <w:tc>
                <w:tcPr>
                  <w:tcW w:w="354" w:type="pct"/>
                  <w:vAlign w:val="center"/>
                </w:tcPr>
                <w:p w14:paraId="1372F685">
                  <w:pPr>
                    <w:adjustRightInd w:val="0"/>
                    <w:snapToGrid w:val="0"/>
                    <w:jc w:val="center"/>
                    <w:rPr>
                      <w:color w:val="auto"/>
                      <w:kern w:val="0"/>
                      <w:szCs w:val="21"/>
                    </w:rPr>
                  </w:pPr>
                  <w:r>
                    <w:rPr>
                      <w:color w:val="auto"/>
                      <w:kern w:val="0"/>
                      <w:szCs w:val="21"/>
                    </w:rPr>
                    <w:t>垃圾桶</w:t>
                  </w:r>
                </w:p>
              </w:tc>
            </w:tr>
            <w:tr w14:paraId="1BF4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vAlign w:val="center"/>
                </w:tcPr>
                <w:p w14:paraId="32D49522">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2</w:t>
                  </w:r>
                </w:p>
              </w:tc>
              <w:tc>
                <w:tcPr>
                  <w:tcW w:w="414" w:type="pct"/>
                  <w:shd w:val="clear" w:color="auto" w:fill="auto"/>
                  <w:vAlign w:val="center"/>
                </w:tcPr>
                <w:p w14:paraId="1EB0B3E9">
                  <w:pPr>
                    <w:jc w:val="center"/>
                    <w:rPr>
                      <w:rFonts w:ascii="Times New Roman" w:hAnsi="Times New Roman" w:eastAsia="宋体" w:cs="Times New Roman"/>
                      <w:color w:val="auto"/>
                      <w:kern w:val="0"/>
                      <w:sz w:val="21"/>
                      <w:szCs w:val="21"/>
                      <w:lang w:val="en-US" w:eastAsia="zh-CN" w:bidi="ar-SA"/>
                    </w:rPr>
                  </w:pPr>
                  <w:r>
                    <w:rPr>
                      <w:color w:val="auto"/>
                      <w:kern w:val="0"/>
                      <w:szCs w:val="21"/>
                    </w:rPr>
                    <w:t>废气处理</w:t>
                  </w:r>
                </w:p>
              </w:tc>
              <w:tc>
                <w:tcPr>
                  <w:tcW w:w="406" w:type="pct"/>
                  <w:shd w:val="clear" w:color="auto" w:fill="auto"/>
                  <w:vAlign w:val="center"/>
                </w:tcPr>
                <w:p w14:paraId="7936EF7F">
                  <w:pPr>
                    <w:jc w:val="center"/>
                    <w:rPr>
                      <w:rFonts w:hint="eastAsia" w:ascii="Times New Roman" w:hAnsi="Times New Roman" w:eastAsia="宋体" w:cs="Times New Roman"/>
                      <w:color w:val="auto"/>
                      <w:kern w:val="0"/>
                      <w:sz w:val="21"/>
                      <w:szCs w:val="21"/>
                      <w:lang w:val="en-US" w:eastAsia="zh-CN" w:bidi="ar-SA"/>
                    </w:rPr>
                  </w:pPr>
                  <w:r>
                    <w:rPr>
                      <w:color w:val="auto"/>
                      <w:kern w:val="0"/>
                      <w:szCs w:val="21"/>
                    </w:rPr>
                    <w:t>除尘器收集</w:t>
                  </w:r>
                  <w:r>
                    <w:rPr>
                      <w:rFonts w:hint="eastAsia"/>
                      <w:color w:val="auto"/>
                      <w:kern w:val="0"/>
                      <w:szCs w:val="21"/>
                      <w:lang w:eastAsia="zh-CN"/>
                    </w:rPr>
                    <w:t>颗粒物</w:t>
                  </w:r>
                </w:p>
              </w:tc>
              <w:tc>
                <w:tcPr>
                  <w:tcW w:w="314" w:type="pct"/>
                  <w:vMerge w:val="continue"/>
                  <w:vAlign w:val="center"/>
                </w:tcPr>
                <w:p w14:paraId="14F4D6C7">
                  <w:pPr>
                    <w:adjustRightInd w:val="0"/>
                    <w:snapToGrid w:val="0"/>
                    <w:jc w:val="center"/>
                    <w:rPr>
                      <w:color w:val="auto"/>
                      <w:kern w:val="0"/>
                      <w:szCs w:val="21"/>
                    </w:rPr>
                  </w:pPr>
                </w:p>
              </w:tc>
              <w:tc>
                <w:tcPr>
                  <w:tcW w:w="524" w:type="pct"/>
                  <w:vAlign w:val="center"/>
                </w:tcPr>
                <w:p w14:paraId="0DB71442">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316" w:type="pct"/>
                  <w:shd w:val="clear" w:color="auto" w:fill="auto"/>
                  <w:vAlign w:val="center"/>
                </w:tcPr>
                <w:p w14:paraId="7FF4ED92">
                  <w:pPr>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固态</w:t>
                  </w:r>
                </w:p>
              </w:tc>
              <w:tc>
                <w:tcPr>
                  <w:tcW w:w="510" w:type="pct"/>
                  <w:shd w:val="clear" w:color="auto" w:fill="auto"/>
                  <w:vAlign w:val="center"/>
                </w:tcPr>
                <w:p w14:paraId="274A93D0">
                  <w:pPr>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w:t>
                  </w:r>
                </w:p>
              </w:tc>
              <w:tc>
                <w:tcPr>
                  <w:tcW w:w="540" w:type="pct"/>
                  <w:shd w:val="clear" w:color="auto" w:fill="auto"/>
                  <w:vAlign w:val="center"/>
                </w:tcPr>
                <w:p w14:paraId="29097BD3">
                  <w:pPr>
                    <w:jc w:val="center"/>
                    <w:rPr>
                      <w:rFonts w:hint="default" w:ascii="Times New Roman" w:hAnsi="Times New Roman" w:eastAsia="宋体" w:cs="Times New Roman"/>
                      <w:color w:val="auto"/>
                      <w:kern w:val="0"/>
                      <w:sz w:val="21"/>
                      <w:szCs w:val="21"/>
                      <w:lang w:val="en-US" w:eastAsia="zh-CN" w:bidi="ar-SA"/>
                    </w:rPr>
                  </w:pPr>
                  <w:r>
                    <w:rPr>
                      <w:rFonts w:hint="eastAsia"/>
                      <w:color w:val="auto"/>
                      <w:szCs w:val="21"/>
                      <w:lang w:val="en-US" w:eastAsia="zh-CN"/>
                    </w:rPr>
                    <w:t>13.65</w:t>
                  </w:r>
                </w:p>
              </w:tc>
              <w:tc>
                <w:tcPr>
                  <w:tcW w:w="281" w:type="pct"/>
                  <w:shd w:val="clear" w:color="auto" w:fill="auto"/>
                  <w:vAlign w:val="center"/>
                </w:tcPr>
                <w:p w14:paraId="4B7EE8B1">
                  <w:pPr>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袋装</w:t>
                  </w:r>
                </w:p>
              </w:tc>
              <w:tc>
                <w:tcPr>
                  <w:tcW w:w="524" w:type="pct"/>
                  <w:shd w:val="clear" w:color="auto" w:fill="auto"/>
                  <w:vAlign w:val="center"/>
                </w:tcPr>
                <w:p w14:paraId="5E59D167">
                  <w:pPr>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eastAsia="zh-CN"/>
                    </w:rPr>
                    <w:t>回用于生产</w:t>
                  </w:r>
                </w:p>
              </w:tc>
              <w:tc>
                <w:tcPr>
                  <w:tcW w:w="540" w:type="pct"/>
                  <w:shd w:val="clear" w:color="auto" w:fill="auto"/>
                  <w:vAlign w:val="center"/>
                </w:tcPr>
                <w:p w14:paraId="405A21A3">
                  <w:pPr>
                    <w:jc w:val="center"/>
                    <w:rPr>
                      <w:rFonts w:hint="default" w:ascii="Times New Roman" w:hAnsi="Times New Roman" w:eastAsia="宋体" w:cs="Times New Roman"/>
                      <w:color w:val="auto"/>
                      <w:kern w:val="0"/>
                      <w:sz w:val="21"/>
                      <w:szCs w:val="21"/>
                      <w:lang w:val="en-US" w:eastAsia="zh-CN" w:bidi="ar-SA"/>
                    </w:rPr>
                  </w:pPr>
                  <w:r>
                    <w:rPr>
                      <w:rFonts w:hint="eastAsia"/>
                      <w:color w:val="auto"/>
                      <w:szCs w:val="21"/>
                      <w:lang w:val="en-US" w:eastAsia="zh-CN"/>
                    </w:rPr>
                    <w:t>13.65</w:t>
                  </w:r>
                </w:p>
              </w:tc>
              <w:tc>
                <w:tcPr>
                  <w:tcW w:w="354" w:type="pct"/>
                  <w:vMerge w:val="restart"/>
                  <w:vAlign w:val="center"/>
                </w:tcPr>
                <w:p w14:paraId="5E7922F7">
                  <w:pPr>
                    <w:adjustRightInd w:val="0"/>
                    <w:snapToGrid w:val="0"/>
                    <w:jc w:val="center"/>
                    <w:rPr>
                      <w:rFonts w:hint="eastAsia" w:eastAsia="宋体"/>
                      <w:color w:val="auto"/>
                      <w:kern w:val="0"/>
                      <w:szCs w:val="21"/>
                      <w:lang w:eastAsia="zh-CN"/>
                    </w:rPr>
                  </w:pPr>
                  <w:r>
                    <w:rPr>
                      <w:rFonts w:hint="eastAsia"/>
                      <w:color w:val="auto"/>
                      <w:kern w:val="0"/>
                      <w:szCs w:val="21"/>
                    </w:rPr>
                    <w:t>固废暂存间</w:t>
                  </w:r>
                </w:p>
              </w:tc>
            </w:tr>
            <w:tr w14:paraId="6903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vAlign w:val="center"/>
                </w:tcPr>
                <w:p w14:paraId="0FF92909">
                  <w:pPr>
                    <w:adjustRightInd w:val="0"/>
                    <w:snapToGrid w:val="0"/>
                    <w:jc w:val="center"/>
                    <w:rPr>
                      <w:color w:val="auto"/>
                      <w:kern w:val="0"/>
                      <w:szCs w:val="21"/>
                    </w:rPr>
                  </w:pPr>
                  <w:r>
                    <w:rPr>
                      <w:color w:val="auto"/>
                      <w:kern w:val="0"/>
                      <w:szCs w:val="21"/>
                    </w:rPr>
                    <w:t>3</w:t>
                  </w:r>
                </w:p>
              </w:tc>
              <w:tc>
                <w:tcPr>
                  <w:tcW w:w="414" w:type="pct"/>
                  <w:vAlign w:val="center"/>
                </w:tcPr>
                <w:p w14:paraId="1F5C91D9">
                  <w:pPr>
                    <w:jc w:val="center"/>
                    <w:rPr>
                      <w:color w:val="auto"/>
                      <w:kern w:val="0"/>
                      <w:szCs w:val="21"/>
                    </w:rPr>
                  </w:pPr>
                  <w:r>
                    <w:rPr>
                      <w:color w:val="auto"/>
                      <w:kern w:val="0"/>
                      <w:szCs w:val="21"/>
                    </w:rPr>
                    <w:t>物料使用</w:t>
                  </w:r>
                </w:p>
              </w:tc>
              <w:tc>
                <w:tcPr>
                  <w:tcW w:w="406" w:type="pct"/>
                  <w:vAlign w:val="center"/>
                </w:tcPr>
                <w:p w14:paraId="27C2549B">
                  <w:pPr>
                    <w:jc w:val="center"/>
                    <w:rPr>
                      <w:color w:val="auto"/>
                      <w:kern w:val="0"/>
                      <w:szCs w:val="21"/>
                    </w:rPr>
                  </w:pPr>
                  <w:r>
                    <w:rPr>
                      <w:color w:val="auto"/>
                      <w:kern w:val="0"/>
                      <w:szCs w:val="21"/>
                    </w:rPr>
                    <w:t>废包装袋</w:t>
                  </w:r>
                </w:p>
              </w:tc>
              <w:tc>
                <w:tcPr>
                  <w:tcW w:w="314" w:type="pct"/>
                  <w:vMerge w:val="continue"/>
                  <w:vAlign w:val="center"/>
                </w:tcPr>
                <w:p w14:paraId="2601F370">
                  <w:pPr>
                    <w:adjustRightInd w:val="0"/>
                    <w:snapToGrid w:val="0"/>
                    <w:jc w:val="center"/>
                    <w:rPr>
                      <w:color w:val="auto"/>
                      <w:kern w:val="0"/>
                      <w:szCs w:val="21"/>
                    </w:rPr>
                  </w:pPr>
                </w:p>
              </w:tc>
              <w:tc>
                <w:tcPr>
                  <w:tcW w:w="524" w:type="pct"/>
                  <w:vAlign w:val="center"/>
                </w:tcPr>
                <w:p w14:paraId="1CDDA330">
                  <w:pPr>
                    <w:adjustRightInd w:val="0"/>
                    <w:snapToGrid w:val="0"/>
                    <w:jc w:val="center"/>
                    <w:rPr>
                      <w:color w:val="auto"/>
                      <w:kern w:val="0"/>
                      <w:szCs w:val="21"/>
                    </w:rPr>
                  </w:pPr>
                  <w:r>
                    <w:rPr>
                      <w:color w:val="auto"/>
                      <w:kern w:val="0"/>
                      <w:szCs w:val="21"/>
                    </w:rPr>
                    <w:t>/</w:t>
                  </w:r>
                </w:p>
              </w:tc>
              <w:tc>
                <w:tcPr>
                  <w:tcW w:w="316" w:type="pct"/>
                  <w:vAlign w:val="center"/>
                </w:tcPr>
                <w:p w14:paraId="79D67B85">
                  <w:pPr>
                    <w:adjustRightInd w:val="0"/>
                    <w:snapToGrid w:val="0"/>
                    <w:jc w:val="center"/>
                    <w:rPr>
                      <w:color w:val="auto"/>
                      <w:kern w:val="0"/>
                      <w:szCs w:val="21"/>
                    </w:rPr>
                  </w:pPr>
                  <w:r>
                    <w:rPr>
                      <w:color w:val="auto"/>
                      <w:kern w:val="0"/>
                      <w:szCs w:val="21"/>
                    </w:rPr>
                    <w:t>固态</w:t>
                  </w:r>
                </w:p>
              </w:tc>
              <w:tc>
                <w:tcPr>
                  <w:tcW w:w="510" w:type="pct"/>
                  <w:vAlign w:val="center"/>
                </w:tcPr>
                <w:p w14:paraId="2B0BF7C8">
                  <w:pPr>
                    <w:adjustRightInd w:val="0"/>
                    <w:snapToGrid w:val="0"/>
                    <w:jc w:val="center"/>
                    <w:rPr>
                      <w:color w:val="auto"/>
                      <w:kern w:val="0"/>
                      <w:szCs w:val="21"/>
                    </w:rPr>
                  </w:pPr>
                  <w:r>
                    <w:rPr>
                      <w:color w:val="auto"/>
                      <w:kern w:val="0"/>
                      <w:szCs w:val="21"/>
                    </w:rPr>
                    <w:t>/</w:t>
                  </w:r>
                </w:p>
              </w:tc>
              <w:tc>
                <w:tcPr>
                  <w:tcW w:w="540" w:type="pct"/>
                  <w:vAlign w:val="center"/>
                </w:tcPr>
                <w:p w14:paraId="40054C43">
                  <w:pPr>
                    <w:jc w:val="center"/>
                    <w:rPr>
                      <w:rFonts w:hint="default" w:eastAsia="宋体"/>
                      <w:color w:val="auto"/>
                      <w:kern w:val="0"/>
                      <w:szCs w:val="21"/>
                      <w:lang w:val="en-US" w:eastAsia="zh-CN"/>
                    </w:rPr>
                  </w:pPr>
                  <w:r>
                    <w:rPr>
                      <w:rFonts w:hint="eastAsia"/>
                      <w:color w:val="auto"/>
                      <w:kern w:val="0"/>
                      <w:szCs w:val="21"/>
                      <w:lang w:val="en-US" w:eastAsia="zh-CN"/>
                    </w:rPr>
                    <w:t>0.1</w:t>
                  </w:r>
                </w:p>
              </w:tc>
              <w:tc>
                <w:tcPr>
                  <w:tcW w:w="281" w:type="pct"/>
                  <w:vAlign w:val="center"/>
                </w:tcPr>
                <w:p w14:paraId="535689A5">
                  <w:pPr>
                    <w:adjustRightInd w:val="0"/>
                    <w:snapToGrid w:val="0"/>
                    <w:jc w:val="center"/>
                    <w:rPr>
                      <w:color w:val="auto"/>
                      <w:kern w:val="0"/>
                      <w:szCs w:val="21"/>
                    </w:rPr>
                  </w:pPr>
                  <w:r>
                    <w:rPr>
                      <w:color w:val="auto"/>
                      <w:kern w:val="0"/>
                      <w:szCs w:val="21"/>
                    </w:rPr>
                    <w:t>袋装</w:t>
                  </w:r>
                </w:p>
              </w:tc>
              <w:tc>
                <w:tcPr>
                  <w:tcW w:w="524" w:type="pct"/>
                  <w:vAlign w:val="center"/>
                </w:tcPr>
                <w:p w14:paraId="2B8E74AE">
                  <w:pPr>
                    <w:adjustRightInd w:val="0"/>
                    <w:snapToGrid w:val="0"/>
                    <w:jc w:val="center"/>
                    <w:rPr>
                      <w:color w:val="auto"/>
                      <w:kern w:val="0"/>
                      <w:szCs w:val="21"/>
                    </w:rPr>
                  </w:pPr>
                  <w:r>
                    <w:rPr>
                      <w:color w:val="auto"/>
                      <w:kern w:val="0"/>
                      <w:szCs w:val="21"/>
                    </w:rPr>
                    <w:t>交由物资回收部门回收利用</w:t>
                  </w:r>
                </w:p>
              </w:tc>
              <w:tc>
                <w:tcPr>
                  <w:tcW w:w="540" w:type="pct"/>
                  <w:vAlign w:val="center"/>
                </w:tcPr>
                <w:p w14:paraId="4EF64269">
                  <w:pPr>
                    <w:jc w:val="center"/>
                    <w:rPr>
                      <w:rFonts w:hint="default" w:eastAsia="宋体"/>
                      <w:color w:val="auto"/>
                      <w:kern w:val="0"/>
                      <w:szCs w:val="21"/>
                      <w:lang w:val="en-US" w:eastAsia="zh-CN"/>
                    </w:rPr>
                  </w:pPr>
                  <w:r>
                    <w:rPr>
                      <w:rFonts w:hint="eastAsia"/>
                      <w:color w:val="auto"/>
                      <w:kern w:val="0"/>
                      <w:szCs w:val="21"/>
                      <w:lang w:val="en-US" w:eastAsia="zh-CN"/>
                    </w:rPr>
                    <w:t>0.1</w:t>
                  </w:r>
                </w:p>
              </w:tc>
              <w:tc>
                <w:tcPr>
                  <w:tcW w:w="354" w:type="pct"/>
                  <w:vMerge w:val="continue"/>
                  <w:vAlign w:val="center"/>
                </w:tcPr>
                <w:p w14:paraId="4D21D4EB">
                  <w:pPr>
                    <w:adjustRightInd w:val="0"/>
                    <w:snapToGrid w:val="0"/>
                    <w:jc w:val="center"/>
                    <w:rPr>
                      <w:color w:val="auto"/>
                      <w:kern w:val="0"/>
                      <w:szCs w:val="21"/>
                    </w:rPr>
                  </w:pPr>
                </w:p>
              </w:tc>
            </w:tr>
            <w:tr w14:paraId="561D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vAlign w:val="center"/>
                </w:tcPr>
                <w:p w14:paraId="139C8ED8">
                  <w:pPr>
                    <w:adjustRightInd w:val="0"/>
                    <w:snapToGrid w:val="0"/>
                    <w:jc w:val="center"/>
                    <w:rPr>
                      <w:rFonts w:hint="eastAsia" w:eastAsia="宋体"/>
                      <w:color w:val="auto"/>
                      <w:kern w:val="0"/>
                      <w:szCs w:val="21"/>
                      <w:lang w:eastAsia="zh-CN"/>
                    </w:rPr>
                  </w:pPr>
                  <w:r>
                    <w:rPr>
                      <w:rFonts w:hint="eastAsia"/>
                      <w:color w:val="auto"/>
                      <w:kern w:val="0"/>
                      <w:szCs w:val="21"/>
                      <w:lang w:val="en-US" w:eastAsia="zh-CN"/>
                    </w:rPr>
                    <w:t>4</w:t>
                  </w:r>
                </w:p>
              </w:tc>
              <w:tc>
                <w:tcPr>
                  <w:tcW w:w="414" w:type="pct"/>
                  <w:vAlign w:val="center"/>
                </w:tcPr>
                <w:p w14:paraId="2B023003">
                  <w:pPr>
                    <w:jc w:val="center"/>
                    <w:rPr>
                      <w:color w:val="auto"/>
                      <w:kern w:val="0"/>
                      <w:szCs w:val="21"/>
                    </w:rPr>
                  </w:pPr>
                  <w:r>
                    <w:rPr>
                      <w:color w:val="auto"/>
                      <w:kern w:val="0"/>
                      <w:szCs w:val="21"/>
                    </w:rPr>
                    <w:t>设备运行</w:t>
                  </w:r>
                </w:p>
              </w:tc>
              <w:tc>
                <w:tcPr>
                  <w:tcW w:w="406" w:type="pct"/>
                  <w:vAlign w:val="center"/>
                </w:tcPr>
                <w:p w14:paraId="2CFC8193">
                  <w:pPr>
                    <w:jc w:val="center"/>
                    <w:rPr>
                      <w:bCs/>
                      <w:color w:val="auto"/>
                      <w:kern w:val="0"/>
                      <w:szCs w:val="21"/>
                    </w:rPr>
                  </w:pPr>
                  <w:r>
                    <w:rPr>
                      <w:bCs/>
                      <w:color w:val="auto"/>
                      <w:kern w:val="0"/>
                      <w:szCs w:val="21"/>
                    </w:rPr>
                    <w:t>废机油</w:t>
                  </w:r>
                </w:p>
              </w:tc>
              <w:tc>
                <w:tcPr>
                  <w:tcW w:w="314" w:type="pct"/>
                  <w:vAlign w:val="center"/>
                </w:tcPr>
                <w:p w14:paraId="2CC706F3">
                  <w:pPr>
                    <w:adjustRightInd w:val="0"/>
                    <w:snapToGrid w:val="0"/>
                    <w:jc w:val="center"/>
                    <w:rPr>
                      <w:color w:val="auto"/>
                      <w:kern w:val="0"/>
                      <w:szCs w:val="21"/>
                    </w:rPr>
                  </w:pPr>
                  <w:r>
                    <w:rPr>
                      <w:color w:val="auto"/>
                      <w:kern w:val="0"/>
                      <w:szCs w:val="21"/>
                    </w:rPr>
                    <w:t>危险</w:t>
                  </w:r>
                </w:p>
                <w:p w14:paraId="1DE9ADA7">
                  <w:pPr>
                    <w:adjustRightInd w:val="0"/>
                    <w:snapToGrid w:val="0"/>
                    <w:jc w:val="center"/>
                    <w:rPr>
                      <w:color w:val="auto"/>
                      <w:kern w:val="0"/>
                      <w:szCs w:val="21"/>
                    </w:rPr>
                  </w:pPr>
                  <w:r>
                    <w:rPr>
                      <w:color w:val="auto"/>
                      <w:kern w:val="0"/>
                      <w:szCs w:val="21"/>
                    </w:rPr>
                    <w:t>废物</w:t>
                  </w:r>
                </w:p>
              </w:tc>
              <w:tc>
                <w:tcPr>
                  <w:tcW w:w="524" w:type="pct"/>
                  <w:vAlign w:val="center"/>
                </w:tcPr>
                <w:p w14:paraId="798D8D53">
                  <w:pPr>
                    <w:adjustRightInd w:val="0"/>
                    <w:snapToGrid w:val="0"/>
                    <w:jc w:val="center"/>
                    <w:rPr>
                      <w:bCs/>
                      <w:color w:val="auto"/>
                      <w:kern w:val="0"/>
                      <w:szCs w:val="21"/>
                    </w:rPr>
                  </w:pPr>
                  <w:r>
                    <w:rPr>
                      <w:bCs/>
                      <w:color w:val="auto"/>
                      <w:kern w:val="0"/>
                      <w:szCs w:val="21"/>
                    </w:rPr>
                    <w:t>矿物油</w:t>
                  </w:r>
                </w:p>
              </w:tc>
              <w:tc>
                <w:tcPr>
                  <w:tcW w:w="316" w:type="pct"/>
                  <w:vAlign w:val="center"/>
                </w:tcPr>
                <w:p w14:paraId="5AD5B335">
                  <w:pPr>
                    <w:adjustRightInd w:val="0"/>
                    <w:snapToGrid w:val="0"/>
                    <w:jc w:val="center"/>
                    <w:rPr>
                      <w:color w:val="auto"/>
                      <w:kern w:val="0"/>
                      <w:szCs w:val="21"/>
                    </w:rPr>
                  </w:pPr>
                  <w:r>
                    <w:rPr>
                      <w:color w:val="auto"/>
                      <w:kern w:val="0"/>
                      <w:szCs w:val="21"/>
                    </w:rPr>
                    <w:t>液态</w:t>
                  </w:r>
                </w:p>
              </w:tc>
              <w:tc>
                <w:tcPr>
                  <w:tcW w:w="510" w:type="pct"/>
                  <w:vAlign w:val="center"/>
                </w:tcPr>
                <w:p w14:paraId="12EE3FD4">
                  <w:pPr>
                    <w:adjustRightInd w:val="0"/>
                    <w:snapToGrid w:val="0"/>
                    <w:jc w:val="center"/>
                    <w:rPr>
                      <w:color w:val="auto"/>
                      <w:kern w:val="0"/>
                      <w:szCs w:val="21"/>
                    </w:rPr>
                  </w:pPr>
                  <w:r>
                    <w:rPr>
                      <w:color w:val="auto"/>
                      <w:kern w:val="0"/>
                      <w:szCs w:val="21"/>
                    </w:rPr>
                    <w:t>T，I</w:t>
                  </w:r>
                </w:p>
              </w:tc>
              <w:tc>
                <w:tcPr>
                  <w:tcW w:w="540" w:type="pct"/>
                  <w:vAlign w:val="center"/>
                </w:tcPr>
                <w:p w14:paraId="33CD1589">
                  <w:pPr>
                    <w:spacing w:line="240" w:lineRule="exact"/>
                    <w:jc w:val="center"/>
                    <w:rPr>
                      <w:rFonts w:hint="default" w:eastAsia="宋体"/>
                      <w:color w:val="auto"/>
                      <w:kern w:val="0"/>
                      <w:szCs w:val="21"/>
                      <w:lang w:val="en-US" w:eastAsia="zh-CN"/>
                    </w:rPr>
                  </w:pPr>
                  <w:r>
                    <w:rPr>
                      <w:rFonts w:hint="eastAsia"/>
                      <w:color w:val="auto"/>
                      <w:kern w:val="0"/>
                      <w:szCs w:val="21"/>
                      <w:lang w:val="en-US" w:eastAsia="zh-CN"/>
                    </w:rPr>
                    <w:t>0.5</w:t>
                  </w:r>
                </w:p>
              </w:tc>
              <w:tc>
                <w:tcPr>
                  <w:tcW w:w="281" w:type="pct"/>
                  <w:vAlign w:val="center"/>
                </w:tcPr>
                <w:p w14:paraId="7685C34A">
                  <w:pPr>
                    <w:adjustRightInd w:val="0"/>
                    <w:snapToGrid w:val="0"/>
                    <w:jc w:val="center"/>
                    <w:rPr>
                      <w:color w:val="auto"/>
                      <w:kern w:val="0"/>
                      <w:szCs w:val="21"/>
                    </w:rPr>
                  </w:pPr>
                  <w:r>
                    <w:rPr>
                      <w:color w:val="auto"/>
                      <w:kern w:val="0"/>
                      <w:szCs w:val="21"/>
                    </w:rPr>
                    <w:t>桶装</w:t>
                  </w:r>
                </w:p>
              </w:tc>
              <w:tc>
                <w:tcPr>
                  <w:tcW w:w="524" w:type="pct"/>
                  <w:vAlign w:val="center"/>
                </w:tcPr>
                <w:p w14:paraId="4B01A2E4">
                  <w:pPr>
                    <w:adjustRightInd w:val="0"/>
                    <w:snapToGrid w:val="0"/>
                    <w:jc w:val="center"/>
                    <w:rPr>
                      <w:color w:val="auto"/>
                      <w:kern w:val="0"/>
                      <w:szCs w:val="21"/>
                    </w:rPr>
                  </w:pPr>
                  <w:r>
                    <w:rPr>
                      <w:color w:val="auto"/>
                      <w:kern w:val="0"/>
                      <w:szCs w:val="21"/>
                    </w:rPr>
                    <w:t>委托有资质单位处理</w:t>
                  </w:r>
                </w:p>
              </w:tc>
              <w:tc>
                <w:tcPr>
                  <w:tcW w:w="540" w:type="pct"/>
                  <w:vAlign w:val="center"/>
                </w:tcPr>
                <w:p w14:paraId="27906A8F">
                  <w:pPr>
                    <w:spacing w:line="240" w:lineRule="exact"/>
                    <w:jc w:val="center"/>
                    <w:rPr>
                      <w:rFonts w:hint="default" w:eastAsia="宋体"/>
                      <w:color w:val="auto"/>
                      <w:kern w:val="0"/>
                      <w:szCs w:val="21"/>
                      <w:lang w:val="en-US" w:eastAsia="zh-CN"/>
                    </w:rPr>
                  </w:pPr>
                  <w:r>
                    <w:rPr>
                      <w:rFonts w:hint="eastAsia"/>
                      <w:color w:val="auto"/>
                      <w:kern w:val="0"/>
                      <w:szCs w:val="21"/>
                      <w:lang w:val="en-US" w:eastAsia="zh-CN"/>
                    </w:rPr>
                    <w:t>0.5</w:t>
                  </w:r>
                </w:p>
              </w:tc>
              <w:tc>
                <w:tcPr>
                  <w:tcW w:w="354" w:type="pct"/>
                  <w:vAlign w:val="center"/>
                </w:tcPr>
                <w:p w14:paraId="74419187">
                  <w:pPr>
                    <w:adjustRightInd w:val="0"/>
                    <w:snapToGrid w:val="0"/>
                    <w:jc w:val="center"/>
                    <w:rPr>
                      <w:color w:val="auto"/>
                      <w:kern w:val="0"/>
                      <w:szCs w:val="21"/>
                    </w:rPr>
                  </w:pPr>
                  <w:r>
                    <w:rPr>
                      <w:color w:val="auto"/>
                      <w:kern w:val="0"/>
                      <w:szCs w:val="21"/>
                    </w:rPr>
                    <w:t>危废暂存间</w:t>
                  </w:r>
                </w:p>
              </w:tc>
            </w:tr>
          </w:tbl>
          <w:p w14:paraId="41690023">
            <w:pPr>
              <w:adjustRightInd w:val="0"/>
              <w:snapToGrid w:val="0"/>
              <w:spacing w:before="120" w:beforeLines="50" w:line="360" w:lineRule="auto"/>
              <w:jc w:val="center"/>
              <w:rPr>
                <w:color w:val="auto"/>
              </w:rPr>
            </w:pPr>
            <w:r>
              <w:rPr>
                <w:b/>
                <w:bCs/>
                <w:color w:val="auto"/>
                <w:sz w:val="24"/>
              </w:rPr>
              <w:t>表4</w:t>
            </w:r>
            <w:r>
              <w:rPr>
                <w:rFonts w:hint="eastAsia"/>
                <w:b/>
                <w:bCs/>
                <w:color w:val="auto"/>
                <w:sz w:val="24"/>
                <w:lang w:val="en-US" w:eastAsia="zh-CN"/>
              </w:rPr>
              <w:t>.12</w:t>
            </w:r>
            <w:r>
              <w:rPr>
                <w:rFonts w:hint="eastAsia"/>
                <w:b/>
                <w:bCs/>
                <w:color w:val="auto"/>
                <w:sz w:val="24"/>
              </w:rPr>
              <w:t xml:space="preserve"> </w:t>
            </w:r>
            <w:r>
              <w:rPr>
                <w:b/>
                <w:bCs/>
                <w:color w:val="auto"/>
                <w:sz w:val="24"/>
              </w:rPr>
              <w:t xml:space="preserve"> 项目</w:t>
            </w:r>
            <w:r>
              <w:rPr>
                <w:rFonts w:hint="eastAsia"/>
                <w:b/>
                <w:bCs/>
                <w:color w:val="auto"/>
                <w:sz w:val="24"/>
              </w:rPr>
              <w:t>一般工业固体废物</w:t>
            </w:r>
            <w:r>
              <w:rPr>
                <w:b/>
                <w:bCs/>
                <w:color w:val="auto"/>
                <w:sz w:val="24"/>
              </w:rPr>
              <w:t>产</w:t>
            </w:r>
            <w:r>
              <w:rPr>
                <w:rFonts w:hint="eastAsia"/>
                <w:b/>
                <w:bCs/>
                <w:color w:val="auto"/>
                <w:sz w:val="24"/>
              </w:rPr>
              <w:t>生及处置统计一览</w:t>
            </w:r>
            <w:r>
              <w:rPr>
                <w:b/>
                <w:bCs/>
                <w:color w:val="auto"/>
                <w:sz w:val="24"/>
              </w:rPr>
              <w:t>表</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76"/>
              <w:gridCol w:w="994"/>
              <w:gridCol w:w="1313"/>
              <w:gridCol w:w="846"/>
              <w:gridCol w:w="779"/>
              <w:gridCol w:w="426"/>
              <w:gridCol w:w="719"/>
              <w:gridCol w:w="613"/>
              <w:gridCol w:w="1013"/>
            </w:tblGrid>
            <w:tr w14:paraId="49D8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vAlign w:val="center"/>
                </w:tcPr>
                <w:p w14:paraId="655C72CB">
                  <w:pPr>
                    <w:adjustRightInd w:val="0"/>
                    <w:snapToGrid w:val="0"/>
                    <w:jc w:val="center"/>
                    <w:rPr>
                      <w:color w:val="auto"/>
                      <w:szCs w:val="21"/>
                    </w:rPr>
                  </w:pPr>
                  <w:r>
                    <w:rPr>
                      <w:color w:val="auto"/>
                      <w:szCs w:val="21"/>
                    </w:rPr>
                    <w:t>序号</w:t>
                  </w:r>
                </w:p>
              </w:tc>
              <w:tc>
                <w:tcPr>
                  <w:tcW w:w="687" w:type="pct"/>
                  <w:vAlign w:val="center"/>
                </w:tcPr>
                <w:p w14:paraId="1E1F745C">
                  <w:pPr>
                    <w:adjustRightInd w:val="0"/>
                    <w:snapToGrid w:val="0"/>
                    <w:jc w:val="center"/>
                    <w:rPr>
                      <w:color w:val="auto"/>
                      <w:szCs w:val="21"/>
                    </w:rPr>
                  </w:pPr>
                  <w:r>
                    <w:rPr>
                      <w:color w:val="auto"/>
                      <w:szCs w:val="21"/>
                    </w:rPr>
                    <w:t>一般工业固体废物</w:t>
                  </w:r>
                </w:p>
              </w:tc>
              <w:tc>
                <w:tcPr>
                  <w:tcW w:w="636" w:type="pct"/>
                  <w:vAlign w:val="center"/>
                </w:tcPr>
                <w:p w14:paraId="62D982E9">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废物</w:t>
                  </w:r>
                </w:p>
                <w:p w14:paraId="421C3B91">
                  <w:pPr>
                    <w:adjustRightInd w:val="0"/>
                    <w:snapToGrid w:val="0"/>
                    <w:jc w:val="center"/>
                    <w:rPr>
                      <w:color w:val="auto"/>
                      <w:szCs w:val="21"/>
                    </w:rPr>
                  </w:pPr>
                  <w:r>
                    <w:rPr>
                      <w:rFonts w:hint="eastAsia" w:ascii="Times New Roman" w:hAnsi="Times New Roman" w:eastAsia="宋体" w:cs="Times New Roman"/>
                      <w:color w:val="auto"/>
                      <w:sz w:val="21"/>
                      <w:szCs w:val="21"/>
                      <w:lang w:eastAsia="zh-CN"/>
                    </w:rPr>
                    <w:t>类别</w:t>
                  </w:r>
                </w:p>
              </w:tc>
              <w:tc>
                <w:tcPr>
                  <w:tcW w:w="636" w:type="pct"/>
                  <w:vAlign w:val="center"/>
                </w:tcPr>
                <w:p w14:paraId="1B4A42CC">
                  <w:pPr>
                    <w:adjustRightInd w:val="0"/>
                    <w:snapToGrid w:val="0"/>
                    <w:jc w:val="center"/>
                    <w:rPr>
                      <w:color w:val="auto"/>
                      <w:szCs w:val="21"/>
                    </w:rPr>
                  </w:pPr>
                  <w:r>
                    <w:rPr>
                      <w:color w:val="auto"/>
                      <w:szCs w:val="21"/>
                    </w:rPr>
                    <w:t>废物</w:t>
                  </w:r>
                </w:p>
                <w:p w14:paraId="6A19DF8D">
                  <w:pPr>
                    <w:adjustRightInd w:val="0"/>
                    <w:snapToGrid w:val="0"/>
                    <w:jc w:val="center"/>
                    <w:rPr>
                      <w:color w:val="auto"/>
                      <w:szCs w:val="21"/>
                    </w:rPr>
                  </w:pPr>
                  <w:r>
                    <w:rPr>
                      <w:color w:val="auto"/>
                      <w:szCs w:val="21"/>
                    </w:rPr>
                    <w:t>代码</w:t>
                  </w:r>
                </w:p>
              </w:tc>
              <w:tc>
                <w:tcPr>
                  <w:tcW w:w="511" w:type="pct"/>
                  <w:vAlign w:val="center"/>
                </w:tcPr>
                <w:p w14:paraId="3DA261A1">
                  <w:pPr>
                    <w:adjustRightInd w:val="0"/>
                    <w:snapToGrid w:val="0"/>
                    <w:jc w:val="center"/>
                    <w:rPr>
                      <w:color w:val="auto"/>
                      <w:szCs w:val="21"/>
                    </w:rPr>
                  </w:pPr>
                  <w:r>
                    <w:rPr>
                      <w:color w:val="auto"/>
                      <w:szCs w:val="21"/>
                    </w:rPr>
                    <w:t>产生量（t/a）</w:t>
                  </w:r>
                </w:p>
              </w:tc>
              <w:tc>
                <w:tcPr>
                  <w:tcW w:w="505" w:type="pct"/>
                  <w:vAlign w:val="center"/>
                </w:tcPr>
                <w:p w14:paraId="57E793C8">
                  <w:pPr>
                    <w:adjustRightInd w:val="0"/>
                    <w:snapToGrid w:val="0"/>
                    <w:jc w:val="center"/>
                    <w:rPr>
                      <w:color w:val="auto"/>
                      <w:szCs w:val="21"/>
                    </w:rPr>
                  </w:pPr>
                  <w:r>
                    <w:rPr>
                      <w:color w:val="auto"/>
                      <w:szCs w:val="21"/>
                    </w:rPr>
                    <w:t>产生工序及装置</w:t>
                  </w:r>
                </w:p>
              </w:tc>
              <w:tc>
                <w:tcPr>
                  <w:tcW w:w="253" w:type="pct"/>
                  <w:vAlign w:val="center"/>
                </w:tcPr>
                <w:p w14:paraId="5025B963">
                  <w:pPr>
                    <w:adjustRightInd w:val="0"/>
                    <w:snapToGrid w:val="0"/>
                    <w:jc w:val="center"/>
                    <w:rPr>
                      <w:color w:val="auto"/>
                      <w:szCs w:val="21"/>
                    </w:rPr>
                  </w:pPr>
                  <w:r>
                    <w:rPr>
                      <w:color w:val="auto"/>
                      <w:szCs w:val="21"/>
                    </w:rPr>
                    <w:t>形态</w:t>
                  </w:r>
                </w:p>
              </w:tc>
              <w:tc>
                <w:tcPr>
                  <w:tcW w:w="469" w:type="pct"/>
                  <w:vAlign w:val="center"/>
                </w:tcPr>
                <w:p w14:paraId="5C13CE93">
                  <w:pPr>
                    <w:adjustRightInd w:val="0"/>
                    <w:snapToGrid w:val="0"/>
                    <w:jc w:val="center"/>
                    <w:rPr>
                      <w:color w:val="auto"/>
                      <w:szCs w:val="21"/>
                    </w:rPr>
                  </w:pPr>
                  <w:r>
                    <w:rPr>
                      <w:color w:val="auto"/>
                      <w:szCs w:val="21"/>
                    </w:rPr>
                    <w:t>主要成分</w:t>
                  </w:r>
                </w:p>
              </w:tc>
              <w:tc>
                <w:tcPr>
                  <w:tcW w:w="404" w:type="pct"/>
                  <w:vAlign w:val="center"/>
                </w:tcPr>
                <w:p w14:paraId="22D98529">
                  <w:pPr>
                    <w:adjustRightInd w:val="0"/>
                    <w:snapToGrid w:val="0"/>
                    <w:jc w:val="center"/>
                    <w:rPr>
                      <w:color w:val="auto"/>
                      <w:szCs w:val="21"/>
                    </w:rPr>
                  </w:pPr>
                  <w:r>
                    <w:rPr>
                      <w:color w:val="auto"/>
                      <w:szCs w:val="21"/>
                    </w:rPr>
                    <w:t>产废周期</w:t>
                  </w:r>
                </w:p>
              </w:tc>
              <w:tc>
                <w:tcPr>
                  <w:tcW w:w="648" w:type="pct"/>
                  <w:vAlign w:val="center"/>
                </w:tcPr>
                <w:p w14:paraId="3061EFD6">
                  <w:pPr>
                    <w:adjustRightInd w:val="0"/>
                    <w:snapToGrid w:val="0"/>
                    <w:jc w:val="center"/>
                    <w:rPr>
                      <w:color w:val="auto"/>
                      <w:szCs w:val="21"/>
                    </w:rPr>
                  </w:pPr>
                  <w:r>
                    <w:rPr>
                      <w:color w:val="auto"/>
                      <w:szCs w:val="21"/>
                    </w:rPr>
                    <w:t>防治</w:t>
                  </w:r>
                </w:p>
                <w:p w14:paraId="24705AEF">
                  <w:pPr>
                    <w:adjustRightInd w:val="0"/>
                    <w:snapToGrid w:val="0"/>
                    <w:jc w:val="center"/>
                    <w:rPr>
                      <w:color w:val="auto"/>
                      <w:szCs w:val="21"/>
                    </w:rPr>
                  </w:pPr>
                  <w:r>
                    <w:rPr>
                      <w:color w:val="auto"/>
                      <w:szCs w:val="21"/>
                    </w:rPr>
                    <w:t>措施</w:t>
                  </w:r>
                </w:p>
              </w:tc>
            </w:tr>
            <w:tr w14:paraId="554F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vAlign w:val="center"/>
                </w:tcPr>
                <w:p w14:paraId="6B807539">
                  <w:pPr>
                    <w:adjustRightInd w:val="0"/>
                    <w:snapToGrid w:val="0"/>
                    <w:jc w:val="center"/>
                    <w:rPr>
                      <w:color w:val="auto"/>
                      <w:szCs w:val="21"/>
                    </w:rPr>
                  </w:pPr>
                  <w:r>
                    <w:rPr>
                      <w:color w:val="auto"/>
                      <w:szCs w:val="21"/>
                    </w:rPr>
                    <w:t>1</w:t>
                  </w:r>
                </w:p>
              </w:tc>
              <w:tc>
                <w:tcPr>
                  <w:tcW w:w="687" w:type="pct"/>
                  <w:vAlign w:val="center"/>
                </w:tcPr>
                <w:p w14:paraId="52B9AA0C">
                  <w:pPr>
                    <w:jc w:val="center"/>
                    <w:rPr>
                      <w:color w:val="auto"/>
                      <w:szCs w:val="21"/>
                    </w:rPr>
                  </w:pPr>
                  <w:r>
                    <w:rPr>
                      <w:color w:val="auto"/>
                      <w:szCs w:val="21"/>
                    </w:rPr>
                    <w:t>生活垃圾</w:t>
                  </w:r>
                </w:p>
              </w:tc>
              <w:tc>
                <w:tcPr>
                  <w:tcW w:w="636" w:type="pct"/>
                  <w:vAlign w:val="center"/>
                </w:tcPr>
                <w:p w14:paraId="0C889458">
                  <w:pPr>
                    <w:jc w:val="center"/>
                    <w:rPr>
                      <w:color w:val="auto"/>
                      <w:szCs w:val="21"/>
                    </w:rPr>
                  </w:pPr>
                  <w:r>
                    <w:rPr>
                      <w:rFonts w:hint="default" w:ascii="Times New Roman" w:hAnsi="Times New Roman" w:eastAsia="宋体" w:cs="Times New Roman"/>
                      <w:b w:val="0"/>
                      <w:bCs w:val="0"/>
                      <w:color w:val="auto"/>
                      <w:sz w:val="21"/>
                      <w:szCs w:val="21"/>
                      <w:vertAlign w:val="baseline"/>
                      <w:lang w:eastAsia="zh-CN"/>
                    </w:rPr>
                    <w:t>SW64</w:t>
                  </w:r>
                </w:p>
              </w:tc>
              <w:tc>
                <w:tcPr>
                  <w:tcW w:w="636" w:type="pct"/>
                  <w:vAlign w:val="center"/>
                </w:tcPr>
                <w:p w14:paraId="5B879827">
                  <w:pPr>
                    <w:widowControl/>
                    <w:jc w:val="center"/>
                    <w:rPr>
                      <w:rFonts w:hint="default" w:eastAsia="宋体"/>
                      <w:color w:val="auto"/>
                      <w:lang w:val="en-US" w:eastAsia="zh-CN"/>
                    </w:rPr>
                  </w:pPr>
                  <w:r>
                    <w:rPr>
                      <w:rFonts w:hint="default" w:ascii="Times New Roman" w:hAnsi="Times New Roman" w:eastAsia="宋体" w:cs="Times New Roman"/>
                      <w:color w:val="auto"/>
                      <w:kern w:val="2"/>
                      <w:sz w:val="21"/>
                      <w:szCs w:val="24"/>
                      <w:lang w:val="en-US" w:eastAsia="zh-CN" w:bidi="ar-SA"/>
                    </w:rPr>
                    <w:t>900-001-S64</w:t>
                  </w:r>
                </w:p>
              </w:tc>
              <w:tc>
                <w:tcPr>
                  <w:tcW w:w="511" w:type="pct"/>
                  <w:vAlign w:val="center"/>
                </w:tcPr>
                <w:p w14:paraId="54FD6A82">
                  <w:pPr>
                    <w:jc w:val="center"/>
                    <w:rPr>
                      <w:rFonts w:hint="default" w:eastAsia="宋体"/>
                      <w:color w:val="auto"/>
                      <w:szCs w:val="21"/>
                      <w:lang w:val="en-US" w:eastAsia="zh-CN"/>
                    </w:rPr>
                  </w:pPr>
                  <w:r>
                    <w:rPr>
                      <w:rFonts w:hint="eastAsia" w:ascii="Times New Roman" w:hAnsi="Times New Roman"/>
                      <w:color w:val="auto"/>
                      <w:kern w:val="0"/>
                      <w:lang w:val="en-US" w:eastAsia="zh-CN"/>
                    </w:rPr>
                    <w:t>1.5</w:t>
                  </w:r>
                </w:p>
              </w:tc>
              <w:tc>
                <w:tcPr>
                  <w:tcW w:w="505" w:type="pct"/>
                  <w:vAlign w:val="center"/>
                </w:tcPr>
                <w:p w14:paraId="167475FC">
                  <w:pPr>
                    <w:jc w:val="center"/>
                    <w:rPr>
                      <w:color w:val="auto"/>
                      <w:kern w:val="0"/>
                      <w:szCs w:val="21"/>
                    </w:rPr>
                  </w:pPr>
                  <w:r>
                    <w:rPr>
                      <w:color w:val="auto"/>
                      <w:kern w:val="0"/>
                      <w:szCs w:val="21"/>
                    </w:rPr>
                    <w:t>职工生活</w:t>
                  </w:r>
                </w:p>
              </w:tc>
              <w:tc>
                <w:tcPr>
                  <w:tcW w:w="253" w:type="pct"/>
                  <w:vAlign w:val="center"/>
                </w:tcPr>
                <w:p w14:paraId="6A1773A4">
                  <w:pPr>
                    <w:adjustRightInd w:val="0"/>
                    <w:snapToGrid w:val="0"/>
                    <w:jc w:val="center"/>
                    <w:rPr>
                      <w:color w:val="auto"/>
                      <w:szCs w:val="21"/>
                    </w:rPr>
                  </w:pPr>
                  <w:r>
                    <w:rPr>
                      <w:color w:val="auto"/>
                      <w:szCs w:val="21"/>
                    </w:rPr>
                    <w:t>固态</w:t>
                  </w:r>
                </w:p>
              </w:tc>
              <w:tc>
                <w:tcPr>
                  <w:tcW w:w="469" w:type="pct"/>
                  <w:vAlign w:val="center"/>
                </w:tcPr>
                <w:p w14:paraId="587ABE3D">
                  <w:pPr>
                    <w:adjustRightInd w:val="0"/>
                    <w:snapToGrid w:val="0"/>
                    <w:jc w:val="center"/>
                    <w:rPr>
                      <w:color w:val="auto"/>
                      <w:szCs w:val="21"/>
                    </w:rPr>
                  </w:pPr>
                  <w:r>
                    <w:rPr>
                      <w:color w:val="auto"/>
                      <w:szCs w:val="21"/>
                    </w:rPr>
                    <w:t>废纸等</w:t>
                  </w:r>
                </w:p>
              </w:tc>
              <w:tc>
                <w:tcPr>
                  <w:tcW w:w="404" w:type="pct"/>
                  <w:vAlign w:val="center"/>
                </w:tcPr>
                <w:p w14:paraId="071B1D70">
                  <w:pPr>
                    <w:adjustRightInd w:val="0"/>
                    <w:snapToGrid w:val="0"/>
                    <w:jc w:val="center"/>
                    <w:rPr>
                      <w:color w:val="auto"/>
                      <w:szCs w:val="21"/>
                    </w:rPr>
                  </w:pPr>
                  <w:r>
                    <w:rPr>
                      <w:color w:val="auto"/>
                      <w:szCs w:val="21"/>
                    </w:rPr>
                    <w:t>1天</w:t>
                  </w:r>
                </w:p>
              </w:tc>
              <w:tc>
                <w:tcPr>
                  <w:tcW w:w="648" w:type="pct"/>
                  <w:vAlign w:val="center"/>
                </w:tcPr>
                <w:p w14:paraId="60E3C135">
                  <w:pPr>
                    <w:adjustRightInd w:val="0"/>
                    <w:snapToGrid w:val="0"/>
                    <w:jc w:val="center"/>
                    <w:rPr>
                      <w:color w:val="auto"/>
                      <w:szCs w:val="21"/>
                    </w:rPr>
                  </w:pPr>
                  <w:r>
                    <w:rPr>
                      <w:color w:val="auto"/>
                      <w:szCs w:val="21"/>
                    </w:rPr>
                    <w:t>环卫部门</w:t>
                  </w:r>
                </w:p>
              </w:tc>
            </w:tr>
            <w:tr w14:paraId="6993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vAlign w:val="center"/>
                </w:tcPr>
                <w:p w14:paraId="02D29C1F">
                  <w:pPr>
                    <w:adjustRightInd w:val="0"/>
                    <w:snapToGrid w:val="0"/>
                    <w:jc w:val="center"/>
                    <w:rPr>
                      <w:color w:val="auto"/>
                      <w:szCs w:val="21"/>
                    </w:rPr>
                  </w:pPr>
                  <w:r>
                    <w:rPr>
                      <w:rFonts w:hint="eastAsia"/>
                      <w:color w:val="auto"/>
                      <w:szCs w:val="21"/>
                    </w:rPr>
                    <w:t>2</w:t>
                  </w:r>
                </w:p>
              </w:tc>
              <w:tc>
                <w:tcPr>
                  <w:tcW w:w="687" w:type="pct"/>
                  <w:vAlign w:val="center"/>
                </w:tcPr>
                <w:p w14:paraId="1A97CE5C">
                  <w:pPr>
                    <w:jc w:val="center"/>
                    <w:rPr>
                      <w:color w:val="auto"/>
                      <w:szCs w:val="21"/>
                    </w:rPr>
                  </w:pPr>
                  <w:r>
                    <w:rPr>
                      <w:color w:val="auto"/>
                      <w:szCs w:val="21"/>
                    </w:rPr>
                    <w:t>废包装袋</w:t>
                  </w:r>
                </w:p>
              </w:tc>
              <w:tc>
                <w:tcPr>
                  <w:tcW w:w="636" w:type="pct"/>
                  <w:vAlign w:val="center"/>
                </w:tcPr>
                <w:p w14:paraId="69ACC3B8">
                  <w:pPr>
                    <w:jc w:val="center"/>
                    <w:rPr>
                      <w:color w:val="auto"/>
                      <w:szCs w:val="21"/>
                    </w:rPr>
                  </w:pPr>
                  <w:r>
                    <w:rPr>
                      <w:rFonts w:hint="default" w:ascii="Times New Roman" w:hAnsi="Times New Roman" w:eastAsia="宋体" w:cs="Times New Roman"/>
                      <w:b w:val="0"/>
                      <w:bCs w:val="0"/>
                      <w:color w:val="auto"/>
                      <w:sz w:val="21"/>
                      <w:szCs w:val="21"/>
                      <w:vertAlign w:val="baseline"/>
                      <w:lang w:eastAsia="zh-CN"/>
                    </w:rPr>
                    <w:t>SW</w:t>
                  </w:r>
                  <w:r>
                    <w:rPr>
                      <w:rFonts w:hint="eastAsia" w:eastAsia="宋体" w:cs="Times New Roman"/>
                      <w:b w:val="0"/>
                      <w:bCs w:val="0"/>
                      <w:color w:val="auto"/>
                      <w:sz w:val="21"/>
                      <w:szCs w:val="21"/>
                      <w:vertAlign w:val="baseline"/>
                      <w:lang w:val="en-US" w:eastAsia="zh-CN"/>
                    </w:rPr>
                    <w:t>17</w:t>
                  </w:r>
                </w:p>
              </w:tc>
              <w:tc>
                <w:tcPr>
                  <w:tcW w:w="636" w:type="pct"/>
                  <w:vAlign w:val="center"/>
                </w:tcPr>
                <w:p w14:paraId="3FC0FE21">
                  <w:pPr>
                    <w:adjustRightInd w:val="0"/>
                    <w:snapToGrid w:val="0"/>
                    <w:jc w:val="center"/>
                    <w:rPr>
                      <w:rFonts w:hint="default" w:eastAsia="宋体"/>
                      <w:color w:val="auto"/>
                      <w:lang w:val="en-US" w:eastAsia="zh-CN"/>
                    </w:rPr>
                  </w:pPr>
                  <w:r>
                    <w:rPr>
                      <w:rFonts w:hint="eastAsia" w:ascii="Times New Roman" w:hAnsi="Times New Roman" w:eastAsia="宋体" w:cs="Times New Roman"/>
                      <w:color w:val="auto"/>
                      <w:kern w:val="0"/>
                      <w:sz w:val="21"/>
                      <w:szCs w:val="21"/>
                      <w:lang w:val="en-US" w:eastAsia="zh-CN" w:bidi="ar"/>
                    </w:rPr>
                    <w:t>900-003-S17</w:t>
                  </w:r>
                </w:p>
              </w:tc>
              <w:tc>
                <w:tcPr>
                  <w:tcW w:w="511" w:type="pct"/>
                  <w:vAlign w:val="center"/>
                </w:tcPr>
                <w:p w14:paraId="30B34D1C">
                  <w:pPr>
                    <w:jc w:val="center"/>
                    <w:rPr>
                      <w:rFonts w:hint="default" w:eastAsia="宋体"/>
                      <w:color w:val="auto"/>
                      <w:szCs w:val="21"/>
                      <w:lang w:val="en-US" w:eastAsia="zh-CN"/>
                    </w:rPr>
                  </w:pPr>
                  <w:r>
                    <w:rPr>
                      <w:rFonts w:hint="eastAsia"/>
                      <w:color w:val="auto"/>
                      <w:kern w:val="0"/>
                      <w:szCs w:val="21"/>
                      <w:lang w:val="en-US" w:eastAsia="zh-CN"/>
                    </w:rPr>
                    <w:t>0.1</w:t>
                  </w:r>
                </w:p>
              </w:tc>
              <w:tc>
                <w:tcPr>
                  <w:tcW w:w="505" w:type="pct"/>
                  <w:vAlign w:val="center"/>
                </w:tcPr>
                <w:p w14:paraId="67E998DD">
                  <w:pPr>
                    <w:jc w:val="center"/>
                    <w:rPr>
                      <w:color w:val="auto"/>
                      <w:kern w:val="0"/>
                      <w:szCs w:val="21"/>
                    </w:rPr>
                  </w:pPr>
                  <w:r>
                    <w:rPr>
                      <w:color w:val="auto"/>
                      <w:kern w:val="0"/>
                      <w:szCs w:val="21"/>
                    </w:rPr>
                    <w:t>物料使用</w:t>
                  </w:r>
                </w:p>
              </w:tc>
              <w:tc>
                <w:tcPr>
                  <w:tcW w:w="253" w:type="pct"/>
                  <w:vAlign w:val="center"/>
                </w:tcPr>
                <w:p w14:paraId="5D835F5F">
                  <w:pPr>
                    <w:adjustRightInd w:val="0"/>
                    <w:snapToGrid w:val="0"/>
                    <w:jc w:val="center"/>
                    <w:rPr>
                      <w:color w:val="auto"/>
                      <w:szCs w:val="21"/>
                    </w:rPr>
                  </w:pPr>
                  <w:r>
                    <w:rPr>
                      <w:color w:val="auto"/>
                      <w:szCs w:val="21"/>
                    </w:rPr>
                    <w:t>固态</w:t>
                  </w:r>
                </w:p>
              </w:tc>
              <w:tc>
                <w:tcPr>
                  <w:tcW w:w="469" w:type="pct"/>
                  <w:vAlign w:val="center"/>
                </w:tcPr>
                <w:p w14:paraId="039F0660">
                  <w:pPr>
                    <w:adjustRightInd w:val="0"/>
                    <w:snapToGrid w:val="0"/>
                    <w:jc w:val="center"/>
                    <w:rPr>
                      <w:color w:val="auto"/>
                      <w:szCs w:val="21"/>
                    </w:rPr>
                  </w:pPr>
                  <w:r>
                    <w:rPr>
                      <w:color w:val="auto"/>
                      <w:szCs w:val="21"/>
                    </w:rPr>
                    <w:t>包装袋</w:t>
                  </w:r>
                </w:p>
              </w:tc>
              <w:tc>
                <w:tcPr>
                  <w:tcW w:w="404" w:type="pct"/>
                  <w:vAlign w:val="center"/>
                </w:tcPr>
                <w:p w14:paraId="24E5089E">
                  <w:pPr>
                    <w:adjustRightInd w:val="0"/>
                    <w:snapToGrid w:val="0"/>
                    <w:jc w:val="center"/>
                    <w:rPr>
                      <w:color w:val="auto"/>
                      <w:szCs w:val="21"/>
                    </w:rPr>
                  </w:pPr>
                  <w:r>
                    <w:rPr>
                      <w:color w:val="auto"/>
                      <w:szCs w:val="21"/>
                    </w:rPr>
                    <w:t>1个月</w:t>
                  </w:r>
                </w:p>
              </w:tc>
              <w:tc>
                <w:tcPr>
                  <w:tcW w:w="648" w:type="pct"/>
                  <w:vAlign w:val="center"/>
                </w:tcPr>
                <w:p w14:paraId="5A142E14">
                  <w:pPr>
                    <w:adjustRightInd w:val="0"/>
                    <w:snapToGrid w:val="0"/>
                    <w:jc w:val="center"/>
                    <w:rPr>
                      <w:color w:val="auto"/>
                      <w:szCs w:val="21"/>
                    </w:rPr>
                  </w:pPr>
                  <w:r>
                    <w:rPr>
                      <w:color w:val="auto"/>
                      <w:kern w:val="0"/>
                      <w:szCs w:val="21"/>
                    </w:rPr>
                    <w:t>交由物资回收部门回收利用</w:t>
                  </w:r>
                </w:p>
              </w:tc>
            </w:tr>
            <w:tr w14:paraId="2CE3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vAlign w:val="center"/>
                </w:tcPr>
                <w:p w14:paraId="07D6F699">
                  <w:pPr>
                    <w:adjustRightInd w:val="0"/>
                    <w:snapToGrid w:val="0"/>
                    <w:jc w:val="center"/>
                    <w:rPr>
                      <w:color w:val="auto"/>
                      <w:szCs w:val="21"/>
                    </w:rPr>
                  </w:pPr>
                  <w:r>
                    <w:rPr>
                      <w:rFonts w:hint="eastAsia"/>
                      <w:color w:val="auto"/>
                      <w:szCs w:val="21"/>
                    </w:rPr>
                    <w:t>3</w:t>
                  </w:r>
                </w:p>
              </w:tc>
              <w:tc>
                <w:tcPr>
                  <w:tcW w:w="687" w:type="pct"/>
                  <w:vAlign w:val="center"/>
                </w:tcPr>
                <w:p w14:paraId="27505A44">
                  <w:pPr>
                    <w:jc w:val="center"/>
                    <w:rPr>
                      <w:color w:val="auto"/>
                      <w:szCs w:val="21"/>
                    </w:rPr>
                  </w:pPr>
                  <w:r>
                    <w:rPr>
                      <w:color w:val="auto"/>
                      <w:szCs w:val="21"/>
                    </w:rPr>
                    <w:t>除尘器收</w:t>
                  </w:r>
                </w:p>
                <w:p w14:paraId="0A89BBAF">
                  <w:pPr>
                    <w:jc w:val="center"/>
                    <w:rPr>
                      <w:rFonts w:hint="eastAsia" w:eastAsia="宋体"/>
                      <w:color w:val="auto"/>
                      <w:szCs w:val="21"/>
                      <w:lang w:eastAsia="zh-CN"/>
                    </w:rPr>
                  </w:pPr>
                  <w:r>
                    <w:rPr>
                      <w:color w:val="auto"/>
                      <w:szCs w:val="21"/>
                    </w:rPr>
                    <w:t>集</w:t>
                  </w:r>
                  <w:r>
                    <w:rPr>
                      <w:rFonts w:hint="eastAsia"/>
                      <w:color w:val="auto"/>
                      <w:szCs w:val="21"/>
                      <w:lang w:eastAsia="zh-CN"/>
                    </w:rPr>
                    <w:t>颗粒物</w:t>
                  </w:r>
                </w:p>
              </w:tc>
              <w:tc>
                <w:tcPr>
                  <w:tcW w:w="636" w:type="pct"/>
                  <w:vAlign w:val="center"/>
                </w:tcPr>
                <w:p w14:paraId="4F712CE2">
                  <w:pPr>
                    <w:jc w:val="center"/>
                    <w:rPr>
                      <w:color w:val="auto"/>
                      <w:szCs w:val="21"/>
                    </w:rPr>
                  </w:pPr>
                  <w:r>
                    <w:rPr>
                      <w:rFonts w:hint="default" w:ascii="Times New Roman" w:hAnsi="Times New Roman" w:eastAsia="宋体" w:cs="Times New Roman"/>
                      <w:b w:val="0"/>
                      <w:bCs w:val="0"/>
                      <w:color w:val="auto"/>
                      <w:sz w:val="21"/>
                      <w:szCs w:val="21"/>
                      <w:vertAlign w:val="baseline"/>
                      <w:lang w:eastAsia="zh-CN"/>
                    </w:rPr>
                    <w:t>SW</w:t>
                  </w:r>
                  <w:r>
                    <w:rPr>
                      <w:rFonts w:hint="eastAsia" w:eastAsia="宋体" w:cs="Times New Roman"/>
                      <w:b w:val="0"/>
                      <w:bCs w:val="0"/>
                      <w:color w:val="auto"/>
                      <w:sz w:val="21"/>
                      <w:szCs w:val="21"/>
                      <w:vertAlign w:val="baseline"/>
                      <w:lang w:val="en-US" w:eastAsia="zh-CN"/>
                    </w:rPr>
                    <w:t>17</w:t>
                  </w:r>
                </w:p>
              </w:tc>
              <w:tc>
                <w:tcPr>
                  <w:tcW w:w="636" w:type="pct"/>
                  <w:vAlign w:val="center"/>
                </w:tcPr>
                <w:p w14:paraId="23C38E94">
                  <w:pPr>
                    <w:adjustRightInd w:val="0"/>
                    <w:snapToGrid w:val="0"/>
                    <w:jc w:val="center"/>
                    <w:rPr>
                      <w:color w:val="auto"/>
                      <w:kern w:val="0"/>
                      <w:szCs w:val="21"/>
                      <w:lang w:bidi="ar"/>
                    </w:rPr>
                  </w:pPr>
                  <w:r>
                    <w:rPr>
                      <w:rFonts w:hint="eastAsia" w:ascii="Times New Roman" w:hAnsi="Times New Roman" w:eastAsia="宋体" w:cs="Times New Roman"/>
                      <w:color w:val="auto"/>
                      <w:kern w:val="0"/>
                      <w:sz w:val="21"/>
                      <w:szCs w:val="21"/>
                      <w:lang w:val="en-US" w:eastAsia="zh-CN" w:bidi="ar"/>
                    </w:rPr>
                    <w:t>900-003-S17</w:t>
                  </w:r>
                </w:p>
              </w:tc>
              <w:tc>
                <w:tcPr>
                  <w:tcW w:w="511" w:type="pct"/>
                  <w:vAlign w:val="center"/>
                </w:tcPr>
                <w:p w14:paraId="66E857C0">
                  <w:pPr>
                    <w:spacing w:line="240" w:lineRule="exact"/>
                    <w:jc w:val="center"/>
                    <w:rPr>
                      <w:rFonts w:hint="default" w:eastAsia="宋体"/>
                      <w:color w:val="auto"/>
                      <w:szCs w:val="21"/>
                      <w:lang w:val="en-US" w:eastAsia="zh-CN"/>
                    </w:rPr>
                  </w:pPr>
                  <w:r>
                    <w:rPr>
                      <w:rFonts w:hint="eastAsia"/>
                      <w:color w:val="auto"/>
                      <w:szCs w:val="21"/>
                      <w:lang w:val="en-US" w:eastAsia="zh-CN"/>
                    </w:rPr>
                    <w:t>4.86</w:t>
                  </w:r>
                </w:p>
              </w:tc>
              <w:tc>
                <w:tcPr>
                  <w:tcW w:w="505" w:type="pct"/>
                  <w:vAlign w:val="center"/>
                </w:tcPr>
                <w:p w14:paraId="0FE68BA2">
                  <w:pPr>
                    <w:jc w:val="center"/>
                    <w:rPr>
                      <w:color w:val="auto"/>
                    </w:rPr>
                  </w:pPr>
                  <w:r>
                    <w:rPr>
                      <w:color w:val="auto"/>
                    </w:rPr>
                    <w:t>废气治理</w:t>
                  </w:r>
                </w:p>
              </w:tc>
              <w:tc>
                <w:tcPr>
                  <w:tcW w:w="253" w:type="pct"/>
                  <w:vAlign w:val="center"/>
                </w:tcPr>
                <w:p w14:paraId="3C9B414D">
                  <w:pPr>
                    <w:adjustRightInd w:val="0"/>
                    <w:snapToGrid w:val="0"/>
                    <w:jc w:val="center"/>
                    <w:rPr>
                      <w:color w:val="auto"/>
                    </w:rPr>
                  </w:pPr>
                  <w:r>
                    <w:rPr>
                      <w:color w:val="auto"/>
                    </w:rPr>
                    <w:t>固态</w:t>
                  </w:r>
                </w:p>
              </w:tc>
              <w:tc>
                <w:tcPr>
                  <w:tcW w:w="469" w:type="pct"/>
                  <w:vAlign w:val="center"/>
                </w:tcPr>
                <w:p w14:paraId="324D940B">
                  <w:pPr>
                    <w:jc w:val="both"/>
                    <w:rPr>
                      <w:rFonts w:hint="eastAsia" w:eastAsia="宋体"/>
                      <w:color w:val="auto"/>
                      <w:szCs w:val="21"/>
                      <w:lang w:eastAsia="zh-CN"/>
                    </w:rPr>
                  </w:pPr>
                  <w:r>
                    <w:rPr>
                      <w:rFonts w:hint="eastAsia"/>
                      <w:color w:val="auto"/>
                      <w:szCs w:val="21"/>
                      <w:lang w:eastAsia="zh-CN"/>
                    </w:rPr>
                    <w:t>颗粒物</w:t>
                  </w:r>
                </w:p>
              </w:tc>
              <w:tc>
                <w:tcPr>
                  <w:tcW w:w="404" w:type="pct"/>
                  <w:vAlign w:val="center"/>
                </w:tcPr>
                <w:p w14:paraId="0716C71E">
                  <w:pPr>
                    <w:adjustRightInd w:val="0"/>
                    <w:snapToGrid w:val="0"/>
                    <w:jc w:val="center"/>
                    <w:rPr>
                      <w:color w:val="auto"/>
                      <w:szCs w:val="21"/>
                    </w:rPr>
                  </w:pPr>
                  <w:r>
                    <w:rPr>
                      <w:color w:val="auto"/>
                      <w:szCs w:val="21"/>
                    </w:rPr>
                    <w:t>1个月</w:t>
                  </w:r>
                </w:p>
              </w:tc>
              <w:tc>
                <w:tcPr>
                  <w:tcW w:w="648" w:type="pct"/>
                  <w:vAlign w:val="center"/>
                </w:tcPr>
                <w:p w14:paraId="569D54A2">
                  <w:pPr>
                    <w:adjustRightInd w:val="0"/>
                    <w:snapToGrid w:val="0"/>
                    <w:jc w:val="center"/>
                    <w:rPr>
                      <w:color w:val="auto"/>
                      <w:kern w:val="0"/>
                      <w:szCs w:val="21"/>
                    </w:rPr>
                  </w:pPr>
                  <w:r>
                    <w:rPr>
                      <w:rFonts w:hint="eastAsia"/>
                      <w:color w:val="auto"/>
                      <w:kern w:val="0"/>
                      <w:szCs w:val="21"/>
                    </w:rPr>
                    <w:t>回用</w:t>
                  </w:r>
                </w:p>
              </w:tc>
            </w:tr>
          </w:tbl>
          <w:p w14:paraId="751C5D93">
            <w:pPr>
              <w:adjustRightInd w:val="0"/>
              <w:snapToGrid w:val="0"/>
              <w:spacing w:before="120" w:beforeLines="50" w:line="360" w:lineRule="auto"/>
              <w:jc w:val="center"/>
              <w:rPr>
                <w:color w:val="auto"/>
                <w:kern w:val="0"/>
              </w:rPr>
            </w:pPr>
            <w:r>
              <w:rPr>
                <w:b/>
                <w:bCs/>
                <w:color w:val="auto"/>
                <w:kern w:val="0"/>
                <w:sz w:val="24"/>
              </w:rPr>
              <w:t>表4</w:t>
            </w:r>
            <w:r>
              <w:rPr>
                <w:rFonts w:hint="eastAsia"/>
                <w:b/>
                <w:bCs/>
                <w:color w:val="auto"/>
                <w:kern w:val="0"/>
                <w:sz w:val="24"/>
                <w:lang w:val="en-US" w:eastAsia="zh-CN"/>
              </w:rPr>
              <w:t>.13</w:t>
            </w:r>
            <w:r>
              <w:rPr>
                <w:b/>
                <w:bCs/>
                <w:color w:val="auto"/>
                <w:kern w:val="0"/>
                <w:sz w:val="24"/>
              </w:rPr>
              <w:t xml:space="preserve"> </w:t>
            </w:r>
            <w:r>
              <w:rPr>
                <w:rFonts w:hint="eastAsia"/>
                <w:b/>
                <w:bCs/>
                <w:color w:val="auto"/>
                <w:kern w:val="0"/>
                <w:sz w:val="24"/>
              </w:rPr>
              <w:t xml:space="preserve"> </w:t>
            </w:r>
            <w:r>
              <w:rPr>
                <w:b/>
                <w:bCs/>
                <w:color w:val="auto"/>
                <w:kern w:val="0"/>
                <w:sz w:val="24"/>
              </w:rPr>
              <w:t>项目</w:t>
            </w:r>
            <w:r>
              <w:rPr>
                <w:rFonts w:hint="eastAsia"/>
                <w:b/>
                <w:bCs/>
                <w:color w:val="auto"/>
                <w:kern w:val="0"/>
                <w:sz w:val="24"/>
              </w:rPr>
              <w:t>危险</w:t>
            </w:r>
            <w:r>
              <w:rPr>
                <w:b/>
                <w:bCs/>
                <w:color w:val="auto"/>
                <w:kern w:val="0"/>
                <w:sz w:val="24"/>
              </w:rPr>
              <w:t>废物产</w:t>
            </w:r>
            <w:r>
              <w:rPr>
                <w:rFonts w:hint="eastAsia"/>
                <w:b/>
                <w:bCs/>
                <w:color w:val="auto"/>
                <w:kern w:val="0"/>
                <w:sz w:val="24"/>
              </w:rPr>
              <w:t>生及处置统计一览</w:t>
            </w:r>
            <w:r>
              <w:rPr>
                <w:b/>
                <w:bCs/>
                <w:color w:val="auto"/>
                <w:kern w:val="0"/>
                <w:sz w:val="24"/>
              </w:rPr>
              <w:t>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32"/>
              <w:gridCol w:w="857"/>
              <w:gridCol w:w="1197"/>
              <w:gridCol w:w="847"/>
              <w:gridCol w:w="802"/>
              <w:gridCol w:w="426"/>
              <w:gridCol w:w="743"/>
              <w:gridCol w:w="646"/>
              <w:gridCol w:w="702"/>
              <w:gridCol w:w="834"/>
            </w:tblGrid>
            <w:tr w14:paraId="6E46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 w:type="pct"/>
                  <w:vAlign w:val="center"/>
                </w:tcPr>
                <w:p w14:paraId="360A27B3">
                  <w:pPr>
                    <w:adjustRightInd w:val="0"/>
                    <w:snapToGrid w:val="0"/>
                    <w:jc w:val="center"/>
                    <w:rPr>
                      <w:color w:val="auto"/>
                      <w:kern w:val="0"/>
                      <w:szCs w:val="21"/>
                    </w:rPr>
                  </w:pPr>
                  <w:r>
                    <w:rPr>
                      <w:color w:val="auto"/>
                      <w:kern w:val="0"/>
                      <w:szCs w:val="21"/>
                    </w:rPr>
                    <w:t>序号</w:t>
                  </w:r>
                </w:p>
              </w:tc>
              <w:tc>
                <w:tcPr>
                  <w:tcW w:w="446" w:type="pct"/>
                  <w:vAlign w:val="center"/>
                </w:tcPr>
                <w:p w14:paraId="7CFD8B06">
                  <w:pPr>
                    <w:adjustRightInd w:val="0"/>
                    <w:snapToGrid w:val="0"/>
                    <w:jc w:val="center"/>
                    <w:rPr>
                      <w:color w:val="auto"/>
                      <w:kern w:val="0"/>
                      <w:szCs w:val="21"/>
                    </w:rPr>
                  </w:pPr>
                  <w:r>
                    <w:rPr>
                      <w:color w:val="auto"/>
                      <w:kern w:val="0"/>
                      <w:szCs w:val="21"/>
                    </w:rPr>
                    <w:t>危险废物</w:t>
                  </w:r>
                </w:p>
              </w:tc>
              <w:tc>
                <w:tcPr>
                  <w:tcW w:w="521" w:type="pct"/>
                  <w:vAlign w:val="center"/>
                </w:tcPr>
                <w:p w14:paraId="5564525F">
                  <w:pPr>
                    <w:adjustRightInd w:val="0"/>
                    <w:snapToGrid w:val="0"/>
                    <w:jc w:val="center"/>
                    <w:rPr>
                      <w:color w:val="auto"/>
                      <w:kern w:val="0"/>
                      <w:szCs w:val="21"/>
                    </w:rPr>
                  </w:pPr>
                  <w:r>
                    <w:rPr>
                      <w:color w:val="auto"/>
                      <w:kern w:val="0"/>
                      <w:szCs w:val="21"/>
                    </w:rPr>
                    <w:t>危险废物类别</w:t>
                  </w:r>
                </w:p>
              </w:tc>
              <w:tc>
                <w:tcPr>
                  <w:tcW w:w="728" w:type="pct"/>
                  <w:vAlign w:val="center"/>
                </w:tcPr>
                <w:p w14:paraId="1F0C5242">
                  <w:pPr>
                    <w:adjustRightInd w:val="0"/>
                    <w:snapToGrid w:val="0"/>
                    <w:jc w:val="center"/>
                    <w:rPr>
                      <w:color w:val="auto"/>
                      <w:kern w:val="0"/>
                      <w:szCs w:val="21"/>
                    </w:rPr>
                  </w:pPr>
                  <w:r>
                    <w:rPr>
                      <w:color w:val="auto"/>
                      <w:kern w:val="0"/>
                      <w:szCs w:val="21"/>
                    </w:rPr>
                    <w:t>废物代码</w:t>
                  </w:r>
                </w:p>
              </w:tc>
              <w:tc>
                <w:tcPr>
                  <w:tcW w:w="515" w:type="pct"/>
                  <w:vAlign w:val="center"/>
                </w:tcPr>
                <w:p w14:paraId="38E3F893">
                  <w:pPr>
                    <w:adjustRightInd w:val="0"/>
                    <w:snapToGrid w:val="0"/>
                    <w:jc w:val="center"/>
                    <w:rPr>
                      <w:color w:val="auto"/>
                      <w:kern w:val="0"/>
                      <w:szCs w:val="21"/>
                    </w:rPr>
                  </w:pPr>
                  <w:r>
                    <w:rPr>
                      <w:color w:val="auto"/>
                      <w:kern w:val="0"/>
                      <w:szCs w:val="21"/>
                    </w:rPr>
                    <w:t>产生量（t/a）</w:t>
                  </w:r>
                </w:p>
              </w:tc>
              <w:tc>
                <w:tcPr>
                  <w:tcW w:w="488" w:type="pct"/>
                  <w:vAlign w:val="center"/>
                </w:tcPr>
                <w:p w14:paraId="5AFBB1C1">
                  <w:pPr>
                    <w:adjustRightInd w:val="0"/>
                    <w:snapToGrid w:val="0"/>
                    <w:jc w:val="center"/>
                    <w:rPr>
                      <w:color w:val="auto"/>
                      <w:kern w:val="0"/>
                      <w:szCs w:val="21"/>
                    </w:rPr>
                  </w:pPr>
                  <w:r>
                    <w:rPr>
                      <w:color w:val="auto"/>
                      <w:kern w:val="0"/>
                      <w:szCs w:val="21"/>
                    </w:rPr>
                    <w:t>产生工序及装置</w:t>
                  </w:r>
                </w:p>
              </w:tc>
              <w:tc>
                <w:tcPr>
                  <w:tcW w:w="259" w:type="pct"/>
                  <w:vAlign w:val="center"/>
                </w:tcPr>
                <w:p w14:paraId="38A21DBF">
                  <w:pPr>
                    <w:adjustRightInd w:val="0"/>
                    <w:snapToGrid w:val="0"/>
                    <w:jc w:val="center"/>
                    <w:rPr>
                      <w:color w:val="auto"/>
                      <w:kern w:val="0"/>
                      <w:szCs w:val="21"/>
                    </w:rPr>
                  </w:pPr>
                  <w:r>
                    <w:rPr>
                      <w:color w:val="auto"/>
                      <w:kern w:val="0"/>
                      <w:szCs w:val="21"/>
                    </w:rPr>
                    <w:t>形态</w:t>
                  </w:r>
                </w:p>
              </w:tc>
              <w:tc>
                <w:tcPr>
                  <w:tcW w:w="452" w:type="pct"/>
                  <w:vAlign w:val="center"/>
                </w:tcPr>
                <w:p w14:paraId="7FBDA306">
                  <w:pPr>
                    <w:adjustRightInd w:val="0"/>
                    <w:snapToGrid w:val="0"/>
                    <w:jc w:val="center"/>
                    <w:rPr>
                      <w:color w:val="auto"/>
                      <w:kern w:val="0"/>
                      <w:szCs w:val="21"/>
                    </w:rPr>
                  </w:pPr>
                  <w:r>
                    <w:rPr>
                      <w:color w:val="auto"/>
                      <w:kern w:val="0"/>
                      <w:szCs w:val="21"/>
                    </w:rPr>
                    <w:t>主要成分</w:t>
                  </w:r>
                </w:p>
              </w:tc>
              <w:tc>
                <w:tcPr>
                  <w:tcW w:w="393" w:type="pct"/>
                  <w:vAlign w:val="center"/>
                </w:tcPr>
                <w:p w14:paraId="2FC7DB81">
                  <w:pPr>
                    <w:adjustRightInd w:val="0"/>
                    <w:snapToGrid w:val="0"/>
                    <w:jc w:val="center"/>
                    <w:rPr>
                      <w:color w:val="auto"/>
                      <w:kern w:val="0"/>
                      <w:szCs w:val="21"/>
                    </w:rPr>
                  </w:pPr>
                  <w:r>
                    <w:rPr>
                      <w:color w:val="auto"/>
                      <w:kern w:val="0"/>
                      <w:szCs w:val="21"/>
                    </w:rPr>
                    <w:t>产废周期</w:t>
                  </w:r>
                </w:p>
              </w:tc>
              <w:tc>
                <w:tcPr>
                  <w:tcW w:w="427" w:type="pct"/>
                  <w:vAlign w:val="center"/>
                </w:tcPr>
                <w:p w14:paraId="36A685C0">
                  <w:pPr>
                    <w:adjustRightInd w:val="0"/>
                    <w:snapToGrid w:val="0"/>
                    <w:jc w:val="center"/>
                    <w:rPr>
                      <w:color w:val="auto"/>
                      <w:kern w:val="0"/>
                      <w:szCs w:val="21"/>
                    </w:rPr>
                  </w:pPr>
                  <w:r>
                    <w:rPr>
                      <w:color w:val="auto"/>
                      <w:kern w:val="0"/>
                      <w:szCs w:val="21"/>
                    </w:rPr>
                    <w:t>危险特性</w:t>
                  </w:r>
                </w:p>
              </w:tc>
              <w:tc>
                <w:tcPr>
                  <w:tcW w:w="507" w:type="pct"/>
                  <w:vAlign w:val="center"/>
                </w:tcPr>
                <w:p w14:paraId="10B4906F">
                  <w:pPr>
                    <w:adjustRightInd w:val="0"/>
                    <w:snapToGrid w:val="0"/>
                    <w:jc w:val="center"/>
                    <w:rPr>
                      <w:color w:val="auto"/>
                      <w:kern w:val="0"/>
                      <w:szCs w:val="21"/>
                    </w:rPr>
                  </w:pPr>
                  <w:r>
                    <w:rPr>
                      <w:color w:val="auto"/>
                      <w:kern w:val="0"/>
                      <w:szCs w:val="21"/>
                    </w:rPr>
                    <w:t>防治措施</w:t>
                  </w:r>
                </w:p>
              </w:tc>
            </w:tr>
            <w:tr w14:paraId="158F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 w:type="pct"/>
                  <w:vAlign w:val="center"/>
                </w:tcPr>
                <w:p w14:paraId="183168CA">
                  <w:pPr>
                    <w:adjustRightInd w:val="0"/>
                    <w:snapToGrid w:val="0"/>
                    <w:jc w:val="center"/>
                    <w:rPr>
                      <w:color w:val="auto"/>
                      <w:kern w:val="0"/>
                      <w:szCs w:val="21"/>
                    </w:rPr>
                  </w:pPr>
                  <w:r>
                    <w:rPr>
                      <w:color w:val="auto"/>
                      <w:kern w:val="0"/>
                      <w:szCs w:val="21"/>
                    </w:rPr>
                    <w:t>1</w:t>
                  </w:r>
                </w:p>
              </w:tc>
              <w:tc>
                <w:tcPr>
                  <w:tcW w:w="446" w:type="pct"/>
                  <w:vAlign w:val="center"/>
                </w:tcPr>
                <w:p w14:paraId="06244850">
                  <w:pPr>
                    <w:jc w:val="center"/>
                    <w:rPr>
                      <w:bCs/>
                      <w:color w:val="auto"/>
                      <w:kern w:val="0"/>
                      <w:szCs w:val="21"/>
                    </w:rPr>
                  </w:pPr>
                  <w:r>
                    <w:rPr>
                      <w:bCs/>
                      <w:color w:val="auto"/>
                      <w:kern w:val="0"/>
                      <w:szCs w:val="21"/>
                    </w:rPr>
                    <w:t>废机油</w:t>
                  </w:r>
                </w:p>
              </w:tc>
              <w:tc>
                <w:tcPr>
                  <w:tcW w:w="521" w:type="pct"/>
                  <w:vAlign w:val="center"/>
                </w:tcPr>
                <w:p w14:paraId="57D180B7">
                  <w:pPr>
                    <w:adjustRightInd w:val="0"/>
                    <w:snapToGrid w:val="0"/>
                    <w:jc w:val="center"/>
                    <w:rPr>
                      <w:color w:val="auto"/>
                      <w:kern w:val="0"/>
                      <w:szCs w:val="21"/>
                    </w:rPr>
                  </w:pPr>
                  <w:r>
                    <w:rPr>
                      <w:color w:val="auto"/>
                      <w:kern w:val="0"/>
                      <w:szCs w:val="21"/>
                    </w:rPr>
                    <w:t>HW08废矿物油与含矿物油废物</w:t>
                  </w:r>
                </w:p>
              </w:tc>
              <w:tc>
                <w:tcPr>
                  <w:tcW w:w="728" w:type="pct"/>
                  <w:vAlign w:val="center"/>
                </w:tcPr>
                <w:p w14:paraId="4CC69828">
                  <w:pPr>
                    <w:adjustRightInd w:val="0"/>
                    <w:snapToGrid w:val="0"/>
                    <w:jc w:val="center"/>
                    <w:rPr>
                      <w:color w:val="auto"/>
                      <w:kern w:val="0"/>
                      <w:szCs w:val="21"/>
                    </w:rPr>
                  </w:pPr>
                  <w:r>
                    <w:rPr>
                      <w:color w:val="auto"/>
                      <w:kern w:val="0"/>
                      <w:szCs w:val="21"/>
                    </w:rPr>
                    <w:t>900-249-08</w:t>
                  </w:r>
                </w:p>
              </w:tc>
              <w:tc>
                <w:tcPr>
                  <w:tcW w:w="515" w:type="pct"/>
                  <w:vAlign w:val="center"/>
                </w:tcPr>
                <w:p w14:paraId="0A76027C">
                  <w:pPr>
                    <w:spacing w:line="240" w:lineRule="exact"/>
                    <w:jc w:val="center"/>
                    <w:rPr>
                      <w:rFonts w:hint="default" w:eastAsia="宋体"/>
                      <w:color w:val="auto"/>
                      <w:kern w:val="0"/>
                      <w:szCs w:val="21"/>
                      <w:lang w:val="en-US" w:eastAsia="zh-CN"/>
                    </w:rPr>
                  </w:pPr>
                  <w:r>
                    <w:rPr>
                      <w:rFonts w:hint="eastAsia"/>
                      <w:color w:val="auto"/>
                      <w:kern w:val="0"/>
                      <w:szCs w:val="21"/>
                      <w:lang w:val="en-US" w:eastAsia="zh-CN"/>
                    </w:rPr>
                    <w:t>0.5</w:t>
                  </w:r>
                </w:p>
              </w:tc>
              <w:tc>
                <w:tcPr>
                  <w:tcW w:w="488" w:type="pct"/>
                  <w:vAlign w:val="center"/>
                </w:tcPr>
                <w:p w14:paraId="46A6AFA6">
                  <w:pPr>
                    <w:jc w:val="center"/>
                    <w:rPr>
                      <w:color w:val="auto"/>
                      <w:kern w:val="0"/>
                      <w:szCs w:val="21"/>
                    </w:rPr>
                  </w:pPr>
                  <w:r>
                    <w:rPr>
                      <w:bCs/>
                      <w:color w:val="auto"/>
                      <w:kern w:val="0"/>
                      <w:szCs w:val="21"/>
                    </w:rPr>
                    <w:t>设备运行</w:t>
                  </w:r>
                </w:p>
              </w:tc>
              <w:tc>
                <w:tcPr>
                  <w:tcW w:w="259" w:type="pct"/>
                  <w:vAlign w:val="center"/>
                </w:tcPr>
                <w:p w14:paraId="65024B36">
                  <w:pPr>
                    <w:adjustRightInd w:val="0"/>
                    <w:snapToGrid w:val="0"/>
                    <w:jc w:val="center"/>
                    <w:rPr>
                      <w:color w:val="auto"/>
                      <w:kern w:val="0"/>
                      <w:szCs w:val="21"/>
                    </w:rPr>
                  </w:pPr>
                  <w:r>
                    <w:rPr>
                      <w:color w:val="auto"/>
                      <w:kern w:val="0"/>
                      <w:szCs w:val="21"/>
                    </w:rPr>
                    <w:t>液态</w:t>
                  </w:r>
                </w:p>
              </w:tc>
              <w:tc>
                <w:tcPr>
                  <w:tcW w:w="452" w:type="pct"/>
                  <w:vAlign w:val="center"/>
                </w:tcPr>
                <w:p w14:paraId="37B282AC">
                  <w:pPr>
                    <w:adjustRightInd w:val="0"/>
                    <w:snapToGrid w:val="0"/>
                    <w:jc w:val="center"/>
                    <w:rPr>
                      <w:bCs/>
                      <w:color w:val="auto"/>
                      <w:kern w:val="0"/>
                      <w:szCs w:val="21"/>
                    </w:rPr>
                  </w:pPr>
                  <w:r>
                    <w:rPr>
                      <w:bCs/>
                      <w:color w:val="auto"/>
                      <w:kern w:val="0"/>
                      <w:szCs w:val="21"/>
                    </w:rPr>
                    <w:t>矿物油</w:t>
                  </w:r>
                </w:p>
              </w:tc>
              <w:tc>
                <w:tcPr>
                  <w:tcW w:w="393" w:type="pct"/>
                  <w:vAlign w:val="center"/>
                </w:tcPr>
                <w:p w14:paraId="5A303B13">
                  <w:pPr>
                    <w:adjustRightInd w:val="0"/>
                    <w:snapToGrid w:val="0"/>
                    <w:jc w:val="center"/>
                    <w:rPr>
                      <w:color w:val="auto"/>
                      <w:kern w:val="0"/>
                      <w:szCs w:val="21"/>
                    </w:rPr>
                  </w:pPr>
                  <w:r>
                    <w:rPr>
                      <w:color w:val="auto"/>
                      <w:szCs w:val="21"/>
                    </w:rPr>
                    <w:t>3个月</w:t>
                  </w:r>
                </w:p>
              </w:tc>
              <w:tc>
                <w:tcPr>
                  <w:tcW w:w="427" w:type="pct"/>
                  <w:vAlign w:val="center"/>
                </w:tcPr>
                <w:p w14:paraId="3409034D">
                  <w:pPr>
                    <w:adjustRightInd w:val="0"/>
                    <w:snapToGrid w:val="0"/>
                    <w:jc w:val="center"/>
                    <w:rPr>
                      <w:color w:val="auto"/>
                      <w:kern w:val="0"/>
                      <w:szCs w:val="21"/>
                    </w:rPr>
                  </w:pPr>
                  <w:r>
                    <w:rPr>
                      <w:color w:val="auto"/>
                      <w:kern w:val="0"/>
                      <w:szCs w:val="21"/>
                    </w:rPr>
                    <w:t>T，I</w:t>
                  </w:r>
                </w:p>
              </w:tc>
              <w:tc>
                <w:tcPr>
                  <w:tcW w:w="507" w:type="pct"/>
                  <w:vAlign w:val="center"/>
                </w:tcPr>
                <w:p w14:paraId="14F25CAA">
                  <w:pPr>
                    <w:adjustRightInd w:val="0"/>
                    <w:snapToGrid w:val="0"/>
                    <w:jc w:val="center"/>
                    <w:rPr>
                      <w:color w:val="auto"/>
                      <w:kern w:val="0"/>
                      <w:szCs w:val="21"/>
                    </w:rPr>
                  </w:pPr>
                  <w:r>
                    <w:rPr>
                      <w:color w:val="auto"/>
                      <w:kern w:val="0"/>
                      <w:szCs w:val="21"/>
                    </w:rPr>
                    <w:t>委托有资质单位处理</w:t>
                  </w:r>
                </w:p>
              </w:tc>
            </w:tr>
          </w:tbl>
          <w:p w14:paraId="606AE1C0">
            <w:pPr>
              <w:adjustRightInd w:val="0"/>
              <w:snapToGrid w:val="0"/>
              <w:spacing w:before="120" w:beforeLines="50" w:line="360" w:lineRule="auto"/>
              <w:ind w:firstLine="482" w:firstLineChars="200"/>
              <w:rPr>
                <w:b/>
                <w:bCs/>
                <w:color w:val="auto"/>
                <w:kern w:val="0"/>
                <w:sz w:val="24"/>
              </w:rPr>
            </w:pPr>
            <w:r>
              <w:rPr>
                <w:rFonts w:hint="eastAsia"/>
                <w:b/>
                <w:bCs/>
                <w:color w:val="auto"/>
                <w:kern w:val="0"/>
                <w:sz w:val="24"/>
              </w:rPr>
              <w:t>环境管理要求：</w:t>
            </w:r>
          </w:p>
          <w:p w14:paraId="486509AD">
            <w:pPr>
              <w:adjustRightInd w:val="0"/>
              <w:snapToGrid w:val="0"/>
              <w:spacing w:line="360" w:lineRule="auto"/>
              <w:ind w:firstLine="480" w:firstLineChars="200"/>
              <w:rPr>
                <w:color w:val="auto"/>
                <w:kern w:val="0"/>
                <w:sz w:val="24"/>
              </w:rPr>
            </w:pPr>
            <w:r>
              <w:rPr>
                <w:color w:val="auto"/>
                <w:kern w:val="0"/>
                <w:sz w:val="24"/>
              </w:rPr>
              <w:t>本项目产生的</w:t>
            </w:r>
            <w:r>
              <w:rPr>
                <w:rFonts w:hint="eastAsia"/>
                <w:color w:val="auto"/>
                <w:kern w:val="0"/>
                <w:sz w:val="24"/>
                <w:lang w:eastAsia="zh-CN"/>
              </w:rPr>
              <w:t>除尘器收集粉尘</w:t>
            </w:r>
            <w:r>
              <w:rPr>
                <w:rFonts w:hint="eastAsia"/>
                <w:color w:val="auto"/>
                <w:kern w:val="0"/>
                <w:sz w:val="24"/>
              </w:rPr>
              <w:t>回用于生产，</w:t>
            </w:r>
            <w:r>
              <w:rPr>
                <w:color w:val="auto"/>
                <w:kern w:val="0"/>
                <w:sz w:val="24"/>
              </w:rPr>
              <w:t>废包装袋经</w:t>
            </w:r>
            <w:r>
              <w:rPr>
                <w:rFonts w:hint="eastAsia"/>
                <w:color w:val="auto"/>
                <w:kern w:val="0"/>
                <w:sz w:val="24"/>
              </w:rPr>
              <w:t>厂</w:t>
            </w:r>
            <w:r>
              <w:rPr>
                <w:color w:val="auto"/>
                <w:kern w:val="0"/>
                <w:sz w:val="24"/>
              </w:rPr>
              <w:t>内集中收集后</w:t>
            </w:r>
            <w:r>
              <w:rPr>
                <w:rFonts w:hint="eastAsia"/>
                <w:color w:val="auto"/>
                <w:kern w:val="0"/>
                <w:sz w:val="24"/>
              </w:rPr>
              <w:t>交由物资回收部门回收利用，废机油经</w:t>
            </w:r>
            <w:r>
              <w:rPr>
                <w:color w:val="auto"/>
                <w:kern w:val="0"/>
                <w:sz w:val="24"/>
              </w:rPr>
              <w:t>于厂内危废暂存间暂存后委托有资质单位妥善处置。</w:t>
            </w:r>
            <w:r>
              <w:rPr>
                <w:rFonts w:hint="eastAsia"/>
                <w:color w:val="auto"/>
                <w:sz w:val="24"/>
              </w:rPr>
              <w:t>生活垃圾</w:t>
            </w:r>
            <w:r>
              <w:rPr>
                <w:color w:val="auto"/>
                <w:sz w:val="24"/>
              </w:rPr>
              <w:t>集中收集后交由环卫部门清运处理</w:t>
            </w:r>
            <w:r>
              <w:rPr>
                <w:rFonts w:hint="eastAsia"/>
                <w:color w:val="auto"/>
                <w:sz w:val="24"/>
              </w:rPr>
              <w:t>。</w:t>
            </w:r>
          </w:p>
          <w:p w14:paraId="6FD3C8CE">
            <w:pPr>
              <w:adjustRightInd w:val="0"/>
              <w:snapToGrid w:val="0"/>
              <w:spacing w:line="360" w:lineRule="auto"/>
              <w:ind w:firstLine="480" w:firstLineChars="200"/>
              <w:rPr>
                <w:color w:val="auto"/>
                <w:kern w:val="0"/>
                <w:sz w:val="24"/>
              </w:rPr>
            </w:pPr>
            <w:r>
              <w:rPr>
                <w:color w:val="auto"/>
                <w:sz w:val="24"/>
              </w:rPr>
              <w:t>本次环评要求建设单位在厂区内设置一般工业固体废物暂存间</w:t>
            </w:r>
            <w:r>
              <w:rPr>
                <w:rFonts w:hint="eastAsia"/>
                <w:color w:val="auto"/>
                <w:sz w:val="24"/>
              </w:rPr>
              <w:t>，</w:t>
            </w:r>
            <w:r>
              <w:rPr>
                <w:color w:val="auto"/>
                <w:sz w:val="24"/>
              </w:rPr>
              <w:t>位于</w:t>
            </w:r>
            <w:r>
              <w:rPr>
                <w:rFonts w:hint="eastAsia"/>
                <w:color w:val="auto"/>
                <w:sz w:val="24"/>
                <w:lang w:eastAsia="zh-CN"/>
              </w:rPr>
              <w:t>厂区西北侧</w:t>
            </w:r>
            <w:r>
              <w:rPr>
                <w:color w:val="auto"/>
                <w:sz w:val="24"/>
              </w:rPr>
              <w:t>，占地</w:t>
            </w:r>
            <w:r>
              <w:rPr>
                <w:rFonts w:hint="eastAsia"/>
                <w:color w:val="auto"/>
                <w:sz w:val="24"/>
              </w:rPr>
              <w:t>面积</w:t>
            </w:r>
            <w:r>
              <w:rPr>
                <w:rFonts w:hint="eastAsia"/>
                <w:color w:val="auto"/>
                <w:sz w:val="24"/>
                <w:lang w:val="en-US" w:eastAsia="zh-CN"/>
              </w:rPr>
              <w:t>2</w:t>
            </w:r>
            <w:r>
              <w:rPr>
                <w:rFonts w:hint="eastAsia"/>
                <w:color w:val="auto"/>
                <w:sz w:val="24"/>
              </w:rPr>
              <w:t>0</w:t>
            </w:r>
            <w:r>
              <w:rPr>
                <w:color w:val="auto"/>
                <w:sz w:val="24"/>
              </w:rPr>
              <w:t>m</w:t>
            </w:r>
            <w:r>
              <w:rPr>
                <w:color w:val="auto"/>
                <w:sz w:val="24"/>
                <w:vertAlign w:val="superscript"/>
              </w:rPr>
              <w:t>2</w:t>
            </w:r>
            <w:r>
              <w:rPr>
                <w:rFonts w:hint="eastAsia"/>
                <w:color w:val="auto"/>
                <w:sz w:val="24"/>
              </w:rPr>
              <w:t>，</w:t>
            </w:r>
            <w:r>
              <w:rPr>
                <w:color w:val="auto"/>
                <w:sz w:val="24"/>
              </w:rPr>
              <w:t>应按照《一般工业固体废物贮存</w:t>
            </w:r>
            <w:r>
              <w:rPr>
                <w:rFonts w:hint="eastAsia"/>
                <w:color w:val="auto"/>
                <w:sz w:val="24"/>
              </w:rPr>
              <w:t>和填埋污染控制标准</w:t>
            </w:r>
            <w:r>
              <w:rPr>
                <w:color w:val="auto"/>
                <w:sz w:val="24"/>
              </w:rPr>
              <w:t>》（GB18599-20</w:t>
            </w:r>
            <w:r>
              <w:rPr>
                <w:rFonts w:hint="eastAsia"/>
                <w:color w:val="auto"/>
                <w:sz w:val="24"/>
              </w:rPr>
              <w:t>20</w:t>
            </w:r>
            <w:r>
              <w:rPr>
                <w:color w:val="auto"/>
                <w:sz w:val="24"/>
              </w:rPr>
              <w:t>）进行管理。</w:t>
            </w:r>
          </w:p>
          <w:p w14:paraId="32EABB9E">
            <w:pPr>
              <w:adjustRightInd w:val="0"/>
              <w:snapToGrid w:val="0"/>
              <w:spacing w:line="360" w:lineRule="auto"/>
              <w:ind w:firstLine="480" w:firstLineChars="200"/>
              <w:rPr>
                <w:color w:val="auto"/>
                <w:kern w:val="0"/>
                <w:sz w:val="24"/>
              </w:rPr>
            </w:pPr>
            <w:r>
              <w:rPr>
                <w:color w:val="auto"/>
                <w:kern w:val="0"/>
                <w:sz w:val="24"/>
              </w:rPr>
              <w:t>本项目危险废物暂存于项目区内危废暂存</w:t>
            </w:r>
            <w:r>
              <w:rPr>
                <w:rFonts w:hint="eastAsia"/>
                <w:color w:val="auto"/>
                <w:kern w:val="0"/>
                <w:sz w:val="24"/>
              </w:rPr>
              <w:t>间</w:t>
            </w:r>
            <w:r>
              <w:rPr>
                <w:color w:val="auto"/>
                <w:kern w:val="0"/>
                <w:sz w:val="24"/>
              </w:rPr>
              <w:t>中，占地</w:t>
            </w:r>
            <w:r>
              <w:rPr>
                <w:rFonts w:hint="eastAsia"/>
                <w:color w:val="auto"/>
                <w:kern w:val="0"/>
                <w:sz w:val="24"/>
              </w:rPr>
              <w:t>面积10</w:t>
            </w:r>
            <w:r>
              <w:rPr>
                <w:color w:val="auto"/>
                <w:kern w:val="0"/>
                <w:sz w:val="24"/>
              </w:rPr>
              <w:t>m</w:t>
            </w:r>
            <w:r>
              <w:rPr>
                <w:color w:val="auto"/>
                <w:kern w:val="0"/>
                <w:sz w:val="24"/>
                <w:vertAlign w:val="superscript"/>
              </w:rPr>
              <w:t>2</w:t>
            </w:r>
            <w:r>
              <w:rPr>
                <w:rFonts w:hint="eastAsia"/>
                <w:color w:val="auto"/>
                <w:kern w:val="0"/>
                <w:sz w:val="24"/>
              </w:rPr>
              <w:t>，</w:t>
            </w:r>
            <w:r>
              <w:rPr>
                <w:color w:val="auto"/>
                <w:kern w:val="0"/>
                <w:sz w:val="24"/>
              </w:rPr>
              <w:t>一般固废不得与危险废物混合，需分开存放并及时处置，危险固废定期委托有资质单位处置。根据《危险废物贮存污染控制标准》（GB18597-20</w:t>
            </w:r>
            <w:r>
              <w:rPr>
                <w:rFonts w:hint="eastAsia"/>
                <w:color w:val="auto"/>
                <w:kern w:val="0"/>
                <w:sz w:val="24"/>
              </w:rPr>
              <w:t>23</w:t>
            </w:r>
            <w:r>
              <w:rPr>
                <w:color w:val="auto"/>
                <w:kern w:val="0"/>
                <w:sz w:val="24"/>
              </w:rPr>
              <w:t>）有关规定，危险废物临时贮存的一般要求、危险废物临时贮存容器的选取、危废临时贮存设施的选址与设计原则、危废临时贮存设施的运行与管理、危废临时贮存设施的安全防护与监测、危废临时贮存设施的关闭等均需严格按照规定执行。一般固废不得与危险废物混合，需分开存放并及时处置，危险固废定期委托有资质单位处置。</w:t>
            </w:r>
          </w:p>
          <w:p w14:paraId="3F87FBDA">
            <w:pPr>
              <w:adjustRightInd w:val="0"/>
              <w:snapToGrid w:val="0"/>
              <w:spacing w:line="360" w:lineRule="auto"/>
              <w:ind w:firstLine="480" w:firstLineChars="200"/>
              <w:jc w:val="left"/>
              <w:rPr>
                <w:color w:val="auto"/>
                <w:kern w:val="0"/>
                <w:sz w:val="24"/>
              </w:rPr>
            </w:pPr>
            <w:r>
              <w:rPr>
                <w:color w:val="auto"/>
                <w:kern w:val="0"/>
                <w:sz w:val="24"/>
              </w:rPr>
              <w:t>①危废暂存</w:t>
            </w:r>
            <w:r>
              <w:rPr>
                <w:rFonts w:hint="eastAsia"/>
                <w:color w:val="auto"/>
                <w:kern w:val="0"/>
                <w:sz w:val="24"/>
              </w:rPr>
              <w:t>间</w:t>
            </w:r>
            <w:r>
              <w:rPr>
                <w:color w:val="auto"/>
                <w:kern w:val="0"/>
                <w:sz w:val="24"/>
              </w:rPr>
              <w:t>设计时遵循以下原则：</w:t>
            </w:r>
          </w:p>
          <w:p w14:paraId="2EAD024D">
            <w:pPr>
              <w:adjustRightInd w:val="0"/>
              <w:snapToGrid w:val="0"/>
              <w:spacing w:line="360" w:lineRule="auto"/>
              <w:ind w:firstLine="480" w:firstLineChars="200"/>
              <w:jc w:val="left"/>
              <w:rPr>
                <w:color w:val="auto"/>
                <w:kern w:val="0"/>
                <w:sz w:val="24"/>
              </w:rPr>
            </w:pPr>
            <w:r>
              <w:rPr>
                <w:color w:val="auto"/>
                <w:kern w:val="0"/>
                <w:sz w:val="24"/>
              </w:rPr>
              <w:t>1）危废暂存</w:t>
            </w:r>
            <w:r>
              <w:rPr>
                <w:rFonts w:hint="eastAsia"/>
                <w:color w:val="auto"/>
                <w:kern w:val="0"/>
                <w:sz w:val="24"/>
              </w:rPr>
              <w:t>间内不同贮存分区之间应采取隔离措施。隔离措施可根据危险废物特性采用过道、隔板或隔墙等方式。</w:t>
            </w:r>
          </w:p>
          <w:p w14:paraId="77D51FC1">
            <w:pPr>
              <w:adjustRightInd w:val="0"/>
              <w:snapToGrid w:val="0"/>
              <w:spacing w:line="360" w:lineRule="auto"/>
              <w:ind w:firstLine="480" w:firstLineChars="200"/>
              <w:jc w:val="left"/>
              <w:rPr>
                <w:color w:val="auto"/>
                <w:kern w:val="0"/>
                <w:sz w:val="24"/>
              </w:rPr>
            </w:pPr>
            <w:r>
              <w:rPr>
                <w:color w:val="auto"/>
                <w:kern w:val="0"/>
                <w:sz w:val="24"/>
              </w:rPr>
              <w:t>2）</w:t>
            </w:r>
            <w:r>
              <w:rPr>
                <w:rFonts w:hint="eastAsia"/>
                <w:color w:val="auto"/>
                <w:kern w:val="0"/>
                <w:sz w:val="24"/>
              </w:rPr>
              <w:t>在</w:t>
            </w:r>
            <w:r>
              <w:rPr>
                <w:color w:val="auto"/>
                <w:kern w:val="0"/>
                <w:sz w:val="24"/>
              </w:rPr>
              <w:t>危废暂存</w:t>
            </w:r>
            <w:r>
              <w:rPr>
                <w:rFonts w:hint="eastAsia"/>
                <w:color w:val="auto"/>
                <w:kern w:val="0"/>
                <w:sz w:val="24"/>
              </w:rPr>
              <w:t>间内或通过贮存分区方式贮存液态危险废物的，应具有液体泄漏堵截设施，堵截设施最小容积不应低于对应贮存区域最大液态废物容器容积或液态废物总储量 1/10（二者取较大者）；用于贮存可能产生渗滤液的危险废物的</w:t>
            </w:r>
            <w:r>
              <w:rPr>
                <w:color w:val="auto"/>
                <w:kern w:val="0"/>
                <w:sz w:val="24"/>
              </w:rPr>
              <w:t>危废暂存</w:t>
            </w:r>
            <w:r>
              <w:rPr>
                <w:rFonts w:hint="eastAsia"/>
                <w:color w:val="auto"/>
                <w:kern w:val="0"/>
                <w:sz w:val="24"/>
              </w:rPr>
              <w:t>间或贮存分区应设计渗滤液收集设施，收集设施容积应满足渗滤液的收集要求。</w:t>
            </w:r>
          </w:p>
          <w:p w14:paraId="0FCEC85E">
            <w:pPr>
              <w:adjustRightInd w:val="0"/>
              <w:snapToGrid w:val="0"/>
              <w:spacing w:line="360" w:lineRule="auto"/>
              <w:ind w:firstLine="480" w:firstLineChars="200"/>
              <w:jc w:val="left"/>
              <w:rPr>
                <w:color w:val="auto"/>
                <w:kern w:val="0"/>
                <w:sz w:val="24"/>
              </w:rPr>
            </w:pPr>
            <w:r>
              <w:rPr>
                <w:color w:val="auto"/>
                <w:kern w:val="0"/>
                <w:sz w:val="24"/>
              </w:rPr>
              <w:t>3）</w:t>
            </w:r>
            <w:r>
              <w:rPr>
                <w:rFonts w:hint="eastAsia"/>
                <w:color w:val="auto"/>
                <w:kern w:val="0"/>
                <w:sz w:val="24"/>
              </w:rPr>
              <w:t>贮存易产生</w:t>
            </w:r>
            <w:r>
              <w:rPr>
                <w:rFonts w:hint="eastAsia"/>
                <w:color w:val="auto"/>
                <w:kern w:val="0"/>
                <w:sz w:val="24"/>
                <w:lang w:eastAsia="zh-CN"/>
              </w:rPr>
              <w:t>颗粒物</w:t>
            </w:r>
            <w:r>
              <w:rPr>
                <w:rFonts w:hint="eastAsia"/>
                <w:color w:val="auto"/>
                <w:kern w:val="0"/>
                <w:sz w:val="24"/>
              </w:rPr>
              <w:t>、有毒有害大气污染物和刺激性气味气体的危险废物贮存库，应设置气体收集装置和气体净化设施；气体净化设施的排气筒高度应符合 GB 16297 要求</w:t>
            </w:r>
            <w:r>
              <w:rPr>
                <w:color w:val="auto"/>
                <w:kern w:val="0"/>
                <w:sz w:val="24"/>
              </w:rPr>
              <w:t>。</w:t>
            </w:r>
          </w:p>
          <w:p w14:paraId="0826F636">
            <w:pPr>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 xml:space="preserve"> </w:t>
            </w:r>
            <w:r>
              <w:rPr>
                <w:color w:val="auto"/>
                <w:kern w:val="0"/>
                <w:sz w:val="24"/>
              </w:rPr>
              <w:t>同时应对危险废物存放设施实施严格的管理：</w:t>
            </w:r>
          </w:p>
          <w:p w14:paraId="677E360B">
            <w:pPr>
              <w:adjustRightInd w:val="0"/>
              <w:snapToGrid w:val="0"/>
              <w:spacing w:line="360" w:lineRule="auto"/>
              <w:ind w:firstLine="480" w:firstLineChars="200"/>
              <w:jc w:val="left"/>
              <w:rPr>
                <w:color w:val="auto"/>
                <w:kern w:val="0"/>
                <w:sz w:val="24"/>
              </w:rPr>
            </w:pPr>
            <w:r>
              <w:rPr>
                <w:color w:val="auto"/>
                <w:kern w:val="0"/>
                <w:sz w:val="24"/>
              </w:rPr>
              <w:t>1）</w:t>
            </w:r>
            <w:r>
              <w:rPr>
                <w:rFonts w:hint="eastAsia"/>
                <w:color w:val="auto"/>
                <w:kern w:val="0"/>
                <w:sz w:val="24"/>
              </w:rPr>
              <w:t>危险废物存入贮存设施前应对危险废物类别和特性与危险废物标签等危险废物识别标志的一致性进行核验，不一致的或类别、特性不明的不应存入。</w:t>
            </w:r>
          </w:p>
          <w:p w14:paraId="393CC4E6">
            <w:pPr>
              <w:adjustRightInd w:val="0"/>
              <w:snapToGrid w:val="0"/>
              <w:spacing w:line="360" w:lineRule="auto"/>
              <w:ind w:firstLine="480" w:firstLineChars="200"/>
              <w:jc w:val="left"/>
              <w:rPr>
                <w:color w:val="auto"/>
                <w:kern w:val="0"/>
                <w:sz w:val="24"/>
              </w:rPr>
            </w:pPr>
            <w:r>
              <w:rPr>
                <w:color w:val="auto"/>
                <w:kern w:val="0"/>
                <w:sz w:val="24"/>
              </w:rPr>
              <w:t>2）</w:t>
            </w:r>
            <w:r>
              <w:rPr>
                <w:rFonts w:hint="eastAsia"/>
                <w:color w:val="auto"/>
                <w:kern w:val="0"/>
                <w:sz w:val="24"/>
              </w:rPr>
              <w:t>应定期检查危险废物的贮存状况，及时清理贮存设施地面，更换破损泄漏的危险废物贮存容器和包装物，保证堆存危险废物的防雨、防风、防扬尘等设施功能完好。</w:t>
            </w:r>
          </w:p>
          <w:p w14:paraId="0B14106C">
            <w:pPr>
              <w:adjustRightInd w:val="0"/>
              <w:snapToGrid w:val="0"/>
              <w:spacing w:line="360" w:lineRule="auto"/>
              <w:ind w:firstLine="480" w:firstLineChars="200"/>
              <w:jc w:val="left"/>
              <w:rPr>
                <w:color w:val="auto"/>
                <w:kern w:val="0"/>
                <w:sz w:val="24"/>
              </w:rPr>
            </w:pPr>
            <w:r>
              <w:rPr>
                <w:color w:val="auto"/>
                <w:kern w:val="0"/>
                <w:sz w:val="24"/>
              </w:rPr>
              <w:t>3）</w:t>
            </w:r>
            <w:r>
              <w:rPr>
                <w:rFonts w:hint="eastAsia"/>
                <w:color w:val="auto"/>
                <w:kern w:val="0"/>
                <w:sz w:val="24"/>
              </w:rPr>
              <w:t>作业设备及车辆等结束作业离开贮存设施时，应对其残留的危险废物进行清理，清理的废物或清洗废水应收集处理。</w:t>
            </w:r>
          </w:p>
          <w:p w14:paraId="0881CC31">
            <w:pPr>
              <w:adjustRightInd w:val="0"/>
              <w:snapToGrid w:val="0"/>
              <w:spacing w:line="360" w:lineRule="auto"/>
              <w:ind w:firstLine="480" w:firstLineChars="200"/>
              <w:jc w:val="left"/>
              <w:rPr>
                <w:color w:val="auto"/>
                <w:kern w:val="0"/>
                <w:sz w:val="24"/>
              </w:rPr>
            </w:pPr>
            <w:r>
              <w:rPr>
                <w:color w:val="auto"/>
                <w:kern w:val="0"/>
                <w:sz w:val="24"/>
              </w:rPr>
              <w:t>4）</w:t>
            </w:r>
            <w:r>
              <w:rPr>
                <w:rFonts w:hint="eastAsia"/>
                <w:color w:val="auto"/>
                <w:kern w:val="0"/>
                <w:sz w:val="24"/>
              </w:rPr>
              <w:t>贮存设施运行期间，应按国家有关标准和规定建立危险废物管理台账并保存。</w:t>
            </w:r>
          </w:p>
          <w:p w14:paraId="7FE3F6D1">
            <w:pPr>
              <w:adjustRightInd w:val="0"/>
              <w:snapToGrid w:val="0"/>
              <w:spacing w:line="360" w:lineRule="auto"/>
              <w:ind w:firstLine="480" w:firstLineChars="200"/>
              <w:rPr>
                <w:color w:val="auto"/>
                <w:kern w:val="0"/>
                <w:sz w:val="24"/>
              </w:rPr>
            </w:pPr>
            <w:r>
              <w:rPr>
                <w:color w:val="auto"/>
                <w:kern w:val="0"/>
                <w:sz w:val="24"/>
              </w:rPr>
              <w:t>5）</w:t>
            </w:r>
            <w:r>
              <w:rPr>
                <w:rFonts w:hint="eastAsia"/>
                <w:color w:val="auto"/>
                <w:kern w:val="0"/>
                <w:sz w:val="24"/>
              </w:rPr>
              <w:t>贮存设施所有者或运营者应建立贮存设施环境管理制度、管理人员岗位职责制度、设施运行操作制度、人员岗位培训制度等。</w:t>
            </w:r>
          </w:p>
          <w:p w14:paraId="73D38E41">
            <w:pPr>
              <w:adjustRightInd w:val="0"/>
              <w:snapToGrid w:val="0"/>
              <w:spacing w:line="360" w:lineRule="auto"/>
              <w:ind w:firstLine="480" w:firstLineChars="200"/>
              <w:rPr>
                <w:color w:val="auto"/>
                <w:kern w:val="0"/>
                <w:sz w:val="24"/>
              </w:rPr>
            </w:pPr>
            <w:r>
              <w:rPr>
                <w:rFonts w:hint="eastAsia"/>
                <w:color w:val="auto"/>
                <w:kern w:val="0"/>
                <w:sz w:val="24"/>
              </w:rPr>
              <w:t>6）贮存设施所有者或运营者应依据国家土壤和地下水污染防治的有关规定，结合贮存设施特点建立土壤和地下水污染隐患排查制度，并定期开展隐患排查；发现隐患应及时采取措施消除隐患，并建立档案。</w:t>
            </w:r>
          </w:p>
          <w:p w14:paraId="3E65B4FF">
            <w:pPr>
              <w:adjustRightInd w:val="0"/>
              <w:snapToGrid w:val="0"/>
              <w:spacing w:line="360" w:lineRule="auto"/>
              <w:ind w:firstLine="480" w:firstLineChars="200"/>
              <w:rPr>
                <w:color w:val="auto"/>
                <w:kern w:val="0"/>
                <w:sz w:val="24"/>
              </w:rPr>
            </w:pPr>
            <w:r>
              <w:rPr>
                <w:rFonts w:hint="eastAsia"/>
                <w:color w:val="auto"/>
                <w:kern w:val="0"/>
                <w:sz w:val="24"/>
              </w:rPr>
              <w:t>7）贮存设施所有者或运营者应建立贮存设施全部档案，包括设计、施工、验收、运行、监测和环境应急等，应按国家有关档案管理的法律法规进行整理和归档。</w:t>
            </w:r>
          </w:p>
          <w:p w14:paraId="22FDB7AA">
            <w:pPr>
              <w:widowControl/>
              <w:adjustRightInd w:val="0"/>
              <w:snapToGrid w:val="0"/>
              <w:spacing w:line="360" w:lineRule="auto"/>
              <w:jc w:val="left"/>
              <w:rPr>
                <w:b/>
                <w:bCs/>
                <w:color w:val="auto"/>
                <w:kern w:val="0"/>
                <w:sz w:val="24"/>
              </w:rPr>
            </w:pPr>
            <w:r>
              <w:rPr>
                <w:rFonts w:hint="eastAsia"/>
                <w:b/>
                <w:bCs/>
                <w:color w:val="auto"/>
                <w:kern w:val="0"/>
                <w:sz w:val="24"/>
              </w:rPr>
              <w:t>5、地下水、土壤环境</w:t>
            </w:r>
          </w:p>
          <w:p w14:paraId="61240084">
            <w:pPr>
              <w:pStyle w:val="17"/>
              <w:ind w:left="0" w:leftChars="0" w:firstLine="480" w:firstLineChars="200"/>
              <w:rPr>
                <w:color w:val="auto"/>
              </w:rPr>
            </w:pPr>
            <w:r>
              <w:rPr>
                <w:color w:val="auto"/>
                <w:szCs w:val="24"/>
              </w:rPr>
              <w:t>（1）地下水环境</w:t>
            </w:r>
          </w:p>
          <w:p w14:paraId="5EED28FB">
            <w:pPr>
              <w:widowControl/>
              <w:adjustRightInd w:val="0"/>
              <w:snapToGrid w:val="0"/>
              <w:spacing w:line="360" w:lineRule="auto"/>
              <w:ind w:firstLine="482" w:firstLineChars="200"/>
              <w:jc w:val="left"/>
              <w:rPr>
                <w:b/>
                <w:bCs/>
                <w:color w:val="auto"/>
                <w:kern w:val="0"/>
                <w:sz w:val="24"/>
              </w:rPr>
            </w:pPr>
            <w:r>
              <w:rPr>
                <w:b/>
                <w:bCs/>
                <w:color w:val="auto"/>
                <w:kern w:val="0"/>
                <w:sz w:val="24"/>
              </w:rPr>
              <w:t>地下水污染途径</w:t>
            </w:r>
            <w:r>
              <w:rPr>
                <w:rFonts w:hint="eastAsia"/>
                <w:b/>
                <w:bCs/>
                <w:color w:val="auto"/>
                <w:kern w:val="0"/>
                <w:sz w:val="24"/>
              </w:rPr>
              <w:t>：</w:t>
            </w:r>
          </w:p>
          <w:p w14:paraId="3D78A7DE">
            <w:pPr>
              <w:widowControl/>
              <w:adjustRightInd w:val="0"/>
              <w:snapToGrid w:val="0"/>
              <w:spacing w:line="360" w:lineRule="auto"/>
              <w:ind w:firstLine="480" w:firstLineChars="200"/>
              <w:jc w:val="left"/>
              <w:rPr>
                <w:color w:val="auto"/>
                <w:kern w:val="0"/>
                <w:sz w:val="24"/>
              </w:rPr>
            </w:pPr>
            <w:r>
              <w:rPr>
                <w:color w:val="auto"/>
                <w:kern w:val="0"/>
                <w:sz w:val="24"/>
              </w:rPr>
              <w:t>①危险废物暂存</w:t>
            </w:r>
            <w:r>
              <w:rPr>
                <w:rFonts w:hint="eastAsia"/>
                <w:color w:val="auto"/>
                <w:kern w:val="0"/>
                <w:sz w:val="24"/>
              </w:rPr>
              <w:t>间</w:t>
            </w:r>
            <w:r>
              <w:rPr>
                <w:rFonts w:hint="eastAsia"/>
                <w:color w:val="auto"/>
                <w:kern w:val="0"/>
                <w:sz w:val="24"/>
                <w:lang w:eastAsia="zh-CN"/>
              </w:rPr>
              <w:t>、污泥储存区、矿化区、陈化区、成品区</w:t>
            </w:r>
            <w:r>
              <w:rPr>
                <w:rFonts w:hint="eastAsia"/>
                <w:color w:val="auto"/>
                <w:kern w:val="0"/>
                <w:sz w:val="24"/>
              </w:rPr>
              <w:t>未进行防腐、防渗处理，以跑、冒、滴、漏方式渗入地下水中。</w:t>
            </w:r>
          </w:p>
          <w:p w14:paraId="4BB8688B">
            <w:pPr>
              <w:widowControl/>
              <w:adjustRightInd w:val="0"/>
              <w:snapToGrid w:val="0"/>
              <w:spacing w:line="360" w:lineRule="auto"/>
              <w:ind w:firstLine="480" w:firstLineChars="200"/>
              <w:jc w:val="left"/>
              <w:rPr>
                <w:b/>
                <w:bCs/>
                <w:color w:val="auto"/>
                <w:kern w:val="0"/>
                <w:sz w:val="24"/>
              </w:rPr>
            </w:pPr>
            <w:r>
              <w:rPr>
                <w:color w:val="auto"/>
                <w:kern w:val="0"/>
                <w:sz w:val="24"/>
              </w:rPr>
              <w:t>②危险废物暂存</w:t>
            </w:r>
            <w:r>
              <w:rPr>
                <w:rFonts w:hint="eastAsia"/>
                <w:color w:val="auto"/>
                <w:kern w:val="0"/>
                <w:sz w:val="24"/>
              </w:rPr>
              <w:t>间</w:t>
            </w:r>
            <w:r>
              <w:rPr>
                <w:rFonts w:hint="eastAsia"/>
                <w:color w:val="auto"/>
                <w:kern w:val="0"/>
                <w:sz w:val="24"/>
                <w:lang w:eastAsia="zh-CN"/>
              </w:rPr>
              <w:t>、污泥储存区、矿化区、陈化区、成品区</w:t>
            </w:r>
            <w:r>
              <w:rPr>
                <w:rFonts w:hint="eastAsia"/>
                <w:color w:val="auto"/>
                <w:kern w:val="0"/>
                <w:sz w:val="24"/>
              </w:rPr>
              <w:t>长期使用或工程质量不符合要求出现破损、断裂情况造成废水下渗。</w:t>
            </w:r>
          </w:p>
          <w:p w14:paraId="0AAA5D15">
            <w:pPr>
              <w:widowControl/>
              <w:adjustRightInd w:val="0"/>
              <w:snapToGrid w:val="0"/>
              <w:spacing w:line="360" w:lineRule="auto"/>
              <w:ind w:firstLine="482" w:firstLineChars="200"/>
              <w:jc w:val="left"/>
              <w:rPr>
                <w:b/>
                <w:bCs/>
                <w:color w:val="auto"/>
                <w:kern w:val="0"/>
                <w:sz w:val="24"/>
              </w:rPr>
            </w:pPr>
            <w:r>
              <w:rPr>
                <w:rFonts w:hint="eastAsia"/>
                <w:b/>
                <w:bCs/>
                <w:color w:val="auto"/>
                <w:kern w:val="0"/>
                <w:sz w:val="24"/>
              </w:rPr>
              <w:t>地下水污染防治措施：</w:t>
            </w:r>
          </w:p>
          <w:p w14:paraId="128365C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napToGrid/>
                <w:color w:val="auto"/>
                <w:spacing w:val="0"/>
                <w:kern w:val="0"/>
                <w:position w:val="0"/>
                <w:sz w:val="24"/>
                <w:szCs w:val="24"/>
                <w:lang w:val="en-US" w:eastAsia="zh-CN"/>
              </w:rPr>
            </w:pPr>
            <w:r>
              <w:rPr>
                <w:rFonts w:hint="eastAsia"/>
                <w:b w:val="0"/>
                <w:bCs w:val="0"/>
                <w:snapToGrid/>
                <w:color w:val="auto"/>
                <w:spacing w:val="0"/>
                <w:kern w:val="0"/>
                <w:position w:val="0"/>
                <w:sz w:val="24"/>
                <w:szCs w:val="24"/>
                <w:lang w:val="en-US" w:eastAsia="zh-CN"/>
              </w:rPr>
              <w:t>根据厂区各生产功能单元是否可能对地下水造成污染及其风险程度，将厂区划分为重点防渗区、一般防渗区和简单防渗区。重点防渗区是可能会对地下水造成污染，风险程度较高，需要重点防治的区域，主要为</w:t>
            </w:r>
            <w:r>
              <w:rPr>
                <w:snapToGrid/>
                <w:color w:val="auto"/>
                <w:spacing w:val="0"/>
                <w:kern w:val="0"/>
                <w:position w:val="0"/>
                <w:sz w:val="24"/>
                <w:szCs w:val="24"/>
              </w:rPr>
              <w:t>危险废物暂存</w:t>
            </w:r>
            <w:r>
              <w:rPr>
                <w:rFonts w:hint="eastAsia"/>
                <w:snapToGrid/>
                <w:color w:val="auto"/>
                <w:spacing w:val="0"/>
                <w:kern w:val="0"/>
                <w:position w:val="0"/>
                <w:sz w:val="24"/>
                <w:szCs w:val="24"/>
                <w:lang w:eastAsia="zh-CN"/>
              </w:rPr>
              <w:t>间</w:t>
            </w:r>
            <w:r>
              <w:rPr>
                <w:rFonts w:hint="eastAsia" w:ascii="Times New Roman" w:hAnsi="Times New Roman" w:eastAsia="宋体" w:cs="Times New Roman"/>
                <w:b w:val="0"/>
                <w:bCs w:val="0"/>
                <w:snapToGrid/>
                <w:color w:val="auto"/>
                <w:spacing w:val="0"/>
                <w:kern w:val="0"/>
                <w:position w:val="0"/>
                <w:sz w:val="24"/>
                <w:szCs w:val="24"/>
                <w:lang w:val="en-US" w:eastAsia="zh-CN"/>
              </w:rPr>
              <w:t>区域。一般防渗区是可能会对地下水造成污染，但危害性或风险程度相对较低的区域，包括具有可能污染地下水污染源的生产车间区域，主要包括生产车间、原料</w:t>
            </w:r>
            <w:r>
              <w:rPr>
                <w:rFonts w:hint="eastAsia" w:cs="Times New Roman"/>
                <w:b w:val="0"/>
                <w:bCs w:val="0"/>
                <w:snapToGrid/>
                <w:color w:val="auto"/>
                <w:spacing w:val="0"/>
                <w:kern w:val="0"/>
                <w:position w:val="0"/>
                <w:sz w:val="24"/>
                <w:szCs w:val="24"/>
                <w:lang w:val="en-US" w:eastAsia="zh-CN"/>
              </w:rPr>
              <w:t>区</w:t>
            </w:r>
            <w:r>
              <w:rPr>
                <w:rFonts w:hint="eastAsia" w:ascii="Times New Roman" w:hAnsi="Times New Roman" w:eastAsia="宋体" w:cs="Times New Roman"/>
                <w:b w:val="0"/>
                <w:bCs w:val="0"/>
                <w:snapToGrid/>
                <w:color w:val="auto"/>
                <w:spacing w:val="0"/>
                <w:kern w:val="0"/>
                <w:position w:val="0"/>
                <w:sz w:val="24"/>
                <w:szCs w:val="24"/>
                <w:lang w:val="en-US" w:eastAsia="zh-CN"/>
              </w:rPr>
              <w:t>、成品区等区域。简单防渗区为不会对地下水造成污染的区域，主要包括厂区道路等区域。</w:t>
            </w:r>
          </w:p>
          <w:p w14:paraId="795F8F0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napToGrid/>
                <w:color w:val="auto"/>
                <w:spacing w:val="0"/>
                <w:kern w:val="0"/>
                <w:position w:val="0"/>
                <w:sz w:val="24"/>
                <w:szCs w:val="24"/>
                <w:lang w:val="en-US" w:eastAsia="zh-CN"/>
              </w:rPr>
            </w:pPr>
            <w:r>
              <w:rPr>
                <w:rFonts w:hint="eastAsia" w:ascii="Times New Roman" w:hAnsi="Times New Roman" w:eastAsia="宋体" w:cs="Times New Roman"/>
                <w:b w:val="0"/>
                <w:bCs w:val="0"/>
                <w:snapToGrid/>
                <w:color w:val="auto"/>
                <w:spacing w:val="0"/>
                <w:kern w:val="0"/>
                <w:position w:val="0"/>
                <w:sz w:val="24"/>
                <w:szCs w:val="24"/>
                <w:lang w:val="en-US" w:eastAsia="zh-CN"/>
              </w:rPr>
              <w:t>针对本项目，为避免废水的非正常排放对地下水造成影响，应采取以下防渗措施：</w:t>
            </w:r>
          </w:p>
          <w:p w14:paraId="39EE88B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color w:val="auto"/>
                <w:spacing w:val="0"/>
                <w:kern w:val="0"/>
                <w:position w:val="0"/>
                <w:sz w:val="24"/>
                <w:szCs w:val="24"/>
                <w:lang w:val="en-US" w:eastAsia="zh-CN"/>
              </w:rPr>
            </w:pPr>
            <w:r>
              <w:rPr>
                <w:rFonts w:hint="eastAsia" w:cs="Times New Roman"/>
                <w:b/>
                <w:bCs/>
                <w:snapToGrid/>
                <w:color w:val="auto"/>
                <w:spacing w:val="0"/>
                <w:kern w:val="0"/>
                <w:position w:val="0"/>
                <w:sz w:val="24"/>
                <w:szCs w:val="24"/>
                <w:lang w:val="en-US" w:eastAsia="zh-CN"/>
              </w:rPr>
              <w:t>表4.14  项目地下水污染防治措施一览表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515"/>
              <w:gridCol w:w="3180"/>
              <w:gridCol w:w="2881"/>
            </w:tblGrid>
            <w:tr w14:paraId="772E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noWrap w:val="0"/>
                  <w:vAlign w:val="center"/>
                </w:tcPr>
                <w:p w14:paraId="347693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序号</w:t>
                  </w:r>
                </w:p>
              </w:tc>
              <w:tc>
                <w:tcPr>
                  <w:tcW w:w="4695" w:type="dxa"/>
                  <w:gridSpan w:val="2"/>
                  <w:noWrap w:val="0"/>
                  <w:vAlign w:val="center"/>
                </w:tcPr>
                <w:p w14:paraId="3F564C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区域</w:t>
                  </w:r>
                </w:p>
              </w:tc>
              <w:tc>
                <w:tcPr>
                  <w:tcW w:w="2881" w:type="dxa"/>
                  <w:noWrap w:val="0"/>
                  <w:vAlign w:val="center"/>
                </w:tcPr>
                <w:p w14:paraId="44C3D5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保护措施</w:t>
                  </w:r>
                </w:p>
              </w:tc>
            </w:tr>
            <w:tr w14:paraId="5306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noWrap w:val="0"/>
                  <w:vAlign w:val="center"/>
                </w:tcPr>
                <w:p w14:paraId="645A0D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1</w:t>
                  </w:r>
                </w:p>
              </w:tc>
              <w:tc>
                <w:tcPr>
                  <w:tcW w:w="1515" w:type="dxa"/>
                  <w:noWrap w:val="0"/>
                  <w:vAlign w:val="center"/>
                </w:tcPr>
                <w:p w14:paraId="4A156D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重点防渗区</w:t>
                  </w:r>
                </w:p>
              </w:tc>
              <w:tc>
                <w:tcPr>
                  <w:tcW w:w="3180" w:type="dxa"/>
                  <w:noWrap w:val="0"/>
                  <w:vAlign w:val="center"/>
                </w:tcPr>
                <w:p w14:paraId="71A4B7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color w:val="auto"/>
                      <w:kern w:val="0"/>
                      <w:sz w:val="21"/>
                      <w:szCs w:val="21"/>
                    </w:rPr>
                    <w:t>危险废物暂存</w:t>
                  </w:r>
                  <w:r>
                    <w:rPr>
                      <w:rFonts w:hint="eastAsia"/>
                      <w:color w:val="auto"/>
                      <w:kern w:val="0"/>
                      <w:sz w:val="21"/>
                      <w:szCs w:val="21"/>
                    </w:rPr>
                    <w:t>间</w:t>
                  </w:r>
                  <w:r>
                    <w:rPr>
                      <w:rFonts w:hint="eastAsia"/>
                      <w:color w:val="auto"/>
                      <w:kern w:val="0"/>
                      <w:sz w:val="21"/>
                      <w:szCs w:val="21"/>
                      <w:lang w:eastAsia="zh-CN"/>
                    </w:rPr>
                    <w:t>、污泥储存区、矿化区、陈化区、成品区</w:t>
                  </w:r>
                </w:p>
              </w:tc>
              <w:tc>
                <w:tcPr>
                  <w:tcW w:w="2881" w:type="dxa"/>
                  <w:noWrap w:val="0"/>
                  <w:vAlign w:val="center"/>
                </w:tcPr>
                <w:p w14:paraId="276C9CC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本项目厂房</w:t>
                  </w:r>
                  <w:r>
                    <w:rPr>
                      <w:rFonts w:hint="eastAsia" w:cs="Times New Roman"/>
                      <w:b w:val="0"/>
                      <w:bCs w:val="0"/>
                      <w:color w:val="auto"/>
                      <w:sz w:val="21"/>
                      <w:szCs w:val="21"/>
                      <w:lang w:val="en-US" w:eastAsia="zh-CN"/>
                    </w:rPr>
                    <w:t>已</w:t>
                  </w:r>
                  <w:r>
                    <w:rPr>
                      <w:rFonts w:hint="eastAsia" w:ascii="Times New Roman" w:hAnsi="Times New Roman" w:eastAsia="宋体" w:cs="Times New Roman"/>
                      <w:b w:val="0"/>
                      <w:bCs w:val="0"/>
                      <w:color w:val="auto"/>
                      <w:sz w:val="21"/>
                      <w:szCs w:val="21"/>
                      <w:lang w:val="en-US" w:eastAsia="zh-CN"/>
                    </w:rPr>
                    <w:t>进行地面硬化。本环评要求</w:t>
                  </w:r>
                  <w:r>
                    <w:rPr>
                      <w:rFonts w:hint="eastAsia" w:ascii="Times New Roman" w:hAnsi="Times New Roman" w:eastAsia="宋体" w:cs="Times New Roman"/>
                      <w:b w:val="0"/>
                      <w:bCs w:val="0"/>
                      <w:snapToGrid/>
                      <w:color w:val="auto"/>
                      <w:spacing w:val="0"/>
                      <w:kern w:val="0"/>
                      <w:position w:val="0"/>
                      <w:sz w:val="21"/>
                      <w:szCs w:val="21"/>
                      <w:lang w:val="en-US" w:eastAsia="zh-CN"/>
                    </w:rPr>
                    <w:t>重点防渗区</w:t>
                  </w:r>
                  <w:r>
                    <w:rPr>
                      <w:rFonts w:hint="eastAsia" w:ascii="Times New Roman" w:hAnsi="Times New Roman" w:eastAsia="宋体" w:cs="Times New Roman"/>
                      <w:b w:val="0"/>
                      <w:bCs w:val="0"/>
                      <w:color w:val="auto"/>
                      <w:sz w:val="21"/>
                      <w:szCs w:val="21"/>
                      <w:lang w:val="en-US" w:eastAsia="zh-CN"/>
                    </w:rPr>
                    <w:t>采取</w:t>
                  </w:r>
                  <w:r>
                    <w:rPr>
                      <w:rFonts w:hint="default" w:ascii="Times New Roman" w:hAnsi="Times New Roman" w:eastAsia="宋体" w:cs="Times New Roman"/>
                      <w:b w:val="0"/>
                      <w:bCs w:val="0"/>
                      <w:color w:val="auto"/>
                      <w:sz w:val="21"/>
                      <w:szCs w:val="21"/>
                      <w:lang w:val="en-US" w:eastAsia="zh-CN"/>
                    </w:rPr>
                    <w:t>200mm防渗混凝土</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1.5mm环氧树脂漆</w:t>
                  </w:r>
                  <w:r>
                    <w:rPr>
                      <w:rFonts w:hint="eastAsia"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snapToGrid/>
                      <w:color w:val="auto"/>
                      <w:spacing w:val="0"/>
                      <w:kern w:val="0"/>
                      <w:position w:val="0"/>
                      <w:sz w:val="21"/>
                      <w:szCs w:val="21"/>
                      <w:lang w:val="en-US" w:eastAsia="zh-CN"/>
                    </w:rPr>
                    <w:t>防渗层渗透系数达到1.0</w:t>
                  </w:r>
                  <w:r>
                    <w:rPr>
                      <w:rFonts w:hint="default" w:ascii="Arial" w:hAnsi="Arial" w:eastAsia="宋体" w:cs="Arial"/>
                      <w:b w:val="0"/>
                      <w:bCs w:val="0"/>
                      <w:snapToGrid/>
                      <w:color w:val="auto"/>
                      <w:spacing w:val="0"/>
                      <w:kern w:val="0"/>
                      <w:position w:val="0"/>
                      <w:sz w:val="21"/>
                      <w:szCs w:val="21"/>
                      <w:lang w:val="en-US" w:eastAsia="zh-CN"/>
                    </w:rPr>
                    <w:t>×</w:t>
                  </w:r>
                  <w:r>
                    <w:rPr>
                      <w:rFonts w:hint="eastAsia" w:ascii="Times New Roman" w:hAnsi="Times New Roman" w:eastAsia="宋体" w:cs="Times New Roman"/>
                      <w:b w:val="0"/>
                      <w:bCs w:val="0"/>
                      <w:snapToGrid/>
                      <w:color w:val="auto"/>
                      <w:spacing w:val="0"/>
                      <w:kern w:val="0"/>
                      <w:position w:val="0"/>
                      <w:sz w:val="21"/>
                      <w:szCs w:val="21"/>
                      <w:lang w:val="en-US" w:eastAsia="zh-CN"/>
                    </w:rPr>
                    <w:t>10</w:t>
                  </w:r>
                  <w:r>
                    <w:rPr>
                      <w:rFonts w:hint="eastAsia" w:cs="Times New Roman"/>
                      <w:b w:val="0"/>
                      <w:bCs w:val="0"/>
                      <w:snapToGrid/>
                      <w:color w:val="auto"/>
                      <w:spacing w:val="0"/>
                      <w:kern w:val="0"/>
                      <w:position w:val="0"/>
                      <w:sz w:val="21"/>
                      <w:szCs w:val="21"/>
                      <w:vertAlign w:val="superscript"/>
                      <w:lang w:val="en-US" w:eastAsia="zh-CN"/>
                    </w:rPr>
                    <w:t>-10</w:t>
                  </w:r>
                  <w:r>
                    <w:rPr>
                      <w:rFonts w:hint="eastAsia" w:ascii="Times New Roman" w:hAnsi="Times New Roman" w:eastAsia="宋体" w:cs="Times New Roman"/>
                      <w:b w:val="0"/>
                      <w:bCs w:val="0"/>
                      <w:snapToGrid/>
                      <w:color w:val="auto"/>
                      <w:spacing w:val="0"/>
                      <w:kern w:val="0"/>
                      <w:position w:val="0"/>
                      <w:sz w:val="21"/>
                      <w:szCs w:val="21"/>
                      <w:lang w:val="en-US" w:eastAsia="zh-CN"/>
                    </w:rPr>
                    <w:t>cm/s</w:t>
                  </w:r>
                </w:p>
              </w:tc>
            </w:tr>
            <w:tr w14:paraId="3B41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noWrap w:val="0"/>
                  <w:vAlign w:val="center"/>
                </w:tcPr>
                <w:p w14:paraId="1A9B5A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2</w:t>
                  </w:r>
                </w:p>
              </w:tc>
              <w:tc>
                <w:tcPr>
                  <w:tcW w:w="1515" w:type="dxa"/>
                  <w:noWrap w:val="0"/>
                  <w:vAlign w:val="center"/>
                </w:tcPr>
                <w:p w14:paraId="0BA83BC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一般防渗区</w:t>
                  </w:r>
                </w:p>
              </w:tc>
              <w:tc>
                <w:tcPr>
                  <w:tcW w:w="3180" w:type="dxa"/>
                  <w:noWrap w:val="0"/>
                  <w:vAlign w:val="center"/>
                </w:tcPr>
                <w:p w14:paraId="18AEB0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投料、研磨、搅拌区</w:t>
                  </w:r>
                </w:p>
              </w:tc>
              <w:tc>
                <w:tcPr>
                  <w:tcW w:w="2881" w:type="dxa"/>
                  <w:noWrap w:val="0"/>
                  <w:vAlign w:val="center"/>
                </w:tcPr>
                <w:p w14:paraId="318CF02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color w:val="auto"/>
                      <w:sz w:val="21"/>
                      <w:szCs w:val="21"/>
                      <w:lang w:val="en-US" w:eastAsia="zh-CN"/>
                    </w:rPr>
                    <w:t>本项目</w:t>
                  </w:r>
                  <w:r>
                    <w:rPr>
                      <w:rFonts w:hint="eastAsia" w:ascii="Times New Roman" w:hAnsi="Times New Roman" w:eastAsia="宋体" w:cs="Times New Roman"/>
                      <w:b w:val="0"/>
                      <w:bCs w:val="0"/>
                      <w:color w:val="auto"/>
                      <w:sz w:val="21"/>
                      <w:szCs w:val="21"/>
                      <w:lang w:val="en-US" w:eastAsia="zh-CN"/>
                    </w:rPr>
                    <w:t>厂房</w:t>
                  </w:r>
                  <w:r>
                    <w:rPr>
                      <w:rFonts w:hint="eastAsia" w:cs="Times New Roman"/>
                      <w:b w:val="0"/>
                      <w:bCs w:val="0"/>
                      <w:color w:val="auto"/>
                      <w:sz w:val="21"/>
                      <w:szCs w:val="21"/>
                      <w:lang w:val="en-US" w:eastAsia="zh-CN"/>
                    </w:rPr>
                    <w:t>已</w:t>
                  </w:r>
                  <w:r>
                    <w:rPr>
                      <w:rFonts w:hint="eastAsia" w:ascii="Times New Roman" w:hAnsi="Times New Roman" w:eastAsia="宋体" w:cs="Times New Roman"/>
                      <w:b w:val="0"/>
                      <w:bCs w:val="0"/>
                      <w:color w:val="auto"/>
                      <w:sz w:val="21"/>
                      <w:szCs w:val="21"/>
                      <w:lang w:val="en-US" w:eastAsia="zh-CN"/>
                    </w:rPr>
                    <w:t>进行地面硬化。本环评要求</w:t>
                  </w:r>
                  <w:r>
                    <w:rPr>
                      <w:rFonts w:hint="eastAsia" w:ascii="Times New Roman" w:hAnsi="Times New Roman" w:eastAsia="宋体" w:cs="Times New Roman"/>
                      <w:b w:val="0"/>
                      <w:bCs w:val="0"/>
                      <w:snapToGrid/>
                      <w:color w:val="auto"/>
                      <w:spacing w:val="0"/>
                      <w:kern w:val="0"/>
                      <w:position w:val="0"/>
                      <w:sz w:val="21"/>
                      <w:szCs w:val="21"/>
                      <w:lang w:val="en-US" w:eastAsia="zh-CN"/>
                    </w:rPr>
                    <w:t>一般防渗区采取粘土铺底+10～15cm的防渗水泥进行硬化，防渗层渗透系数达到1.0×10</w:t>
                  </w:r>
                  <w:r>
                    <w:rPr>
                      <w:rFonts w:hint="eastAsia" w:cs="Times New Roman"/>
                      <w:b w:val="0"/>
                      <w:bCs w:val="0"/>
                      <w:snapToGrid/>
                      <w:color w:val="auto"/>
                      <w:spacing w:val="0"/>
                      <w:kern w:val="0"/>
                      <w:position w:val="0"/>
                      <w:sz w:val="21"/>
                      <w:szCs w:val="21"/>
                      <w:vertAlign w:val="superscript"/>
                      <w:lang w:val="en-US" w:eastAsia="zh-CN"/>
                    </w:rPr>
                    <w:t>-</w:t>
                  </w:r>
                  <w:r>
                    <w:rPr>
                      <w:rFonts w:hint="eastAsia" w:ascii="Times New Roman" w:hAnsi="Times New Roman" w:eastAsia="宋体" w:cs="Times New Roman"/>
                      <w:b w:val="0"/>
                      <w:bCs w:val="0"/>
                      <w:snapToGrid/>
                      <w:color w:val="auto"/>
                      <w:spacing w:val="0"/>
                      <w:kern w:val="0"/>
                      <w:position w:val="0"/>
                      <w:sz w:val="21"/>
                      <w:szCs w:val="21"/>
                      <w:vertAlign w:val="superscript"/>
                      <w:lang w:val="en-US" w:eastAsia="zh-CN"/>
                    </w:rPr>
                    <w:t>7</w:t>
                  </w:r>
                  <w:r>
                    <w:rPr>
                      <w:rFonts w:hint="eastAsia" w:ascii="Times New Roman" w:hAnsi="Times New Roman" w:eastAsia="宋体" w:cs="Times New Roman"/>
                      <w:b w:val="0"/>
                      <w:bCs w:val="0"/>
                      <w:snapToGrid/>
                      <w:color w:val="auto"/>
                      <w:spacing w:val="0"/>
                      <w:kern w:val="0"/>
                      <w:position w:val="0"/>
                      <w:sz w:val="21"/>
                      <w:szCs w:val="21"/>
                      <w:lang w:val="en-US" w:eastAsia="zh-CN"/>
                    </w:rPr>
                    <w:t>cm/s。</w:t>
                  </w:r>
                </w:p>
              </w:tc>
            </w:tr>
            <w:tr w14:paraId="605A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noWrap w:val="0"/>
                  <w:vAlign w:val="center"/>
                </w:tcPr>
                <w:p w14:paraId="2EED25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3</w:t>
                  </w:r>
                </w:p>
              </w:tc>
              <w:tc>
                <w:tcPr>
                  <w:tcW w:w="1515" w:type="dxa"/>
                  <w:noWrap w:val="0"/>
                  <w:vAlign w:val="center"/>
                </w:tcPr>
                <w:p w14:paraId="3D95F42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简单防渗区</w:t>
                  </w:r>
                </w:p>
              </w:tc>
              <w:tc>
                <w:tcPr>
                  <w:tcW w:w="3180" w:type="dxa"/>
                  <w:noWrap w:val="0"/>
                  <w:vAlign w:val="center"/>
                </w:tcPr>
                <w:p w14:paraId="5E305F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项目厂区内的绿化区和</w:t>
                  </w:r>
                </w:p>
                <w:p w14:paraId="04B1187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厂区道路等</w:t>
                  </w:r>
                </w:p>
              </w:tc>
              <w:tc>
                <w:tcPr>
                  <w:tcW w:w="2881" w:type="dxa"/>
                  <w:noWrap w:val="0"/>
                  <w:vAlign w:val="center"/>
                </w:tcPr>
                <w:p w14:paraId="20261F7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t>混凝土硬化处理</w:t>
                  </w:r>
                </w:p>
              </w:tc>
            </w:tr>
          </w:tbl>
          <w:p w14:paraId="631F62A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napToGrid/>
                <w:color w:val="auto"/>
                <w:spacing w:val="0"/>
                <w:kern w:val="0"/>
                <w:position w:val="0"/>
                <w:sz w:val="24"/>
                <w:szCs w:val="24"/>
                <w:lang w:val="en-US" w:eastAsia="zh-CN"/>
              </w:rPr>
            </w:pPr>
            <w:r>
              <w:rPr>
                <w:rFonts w:hint="eastAsia" w:ascii="Times New Roman" w:hAnsi="Times New Roman" w:eastAsia="宋体" w:cs="Times New Roman"/>
                <w:b w:val="0"/>
                <w:bCs w:val="0"/>
                <w:snapToGrid/>
                <w:color w:val="auto"/>
                <w:spacing w:val="0"/>
                <w:kern w:val="0"/>
                <w:position w:val="0"/>
                <w:sz w:val="24"/>
                <w:szCs w:val="24"/>
                <w:lang w:val="en-US" w:eastAsia="zh-CN"/>
              </w:rPr>
              <w:t>本环评要求危险废物暂存间、污泥储存区、矿化区、陈化区、成品区</w:t>
            </w:r>
            <w:r>
              <w:rPr>
                <w:rFonts w:hint="eastAsia" w:eastAsia="宋体" w:cs="Times New Roman"/>
                <w:b w:val="0"/>
                <w:bCs w:val="0"/>
                <w:snapToGrid/>
                <w:color w:val="auto"/>
                <w:spacing w:val="0"/>
                <w:kern w:val="0"/>
                <w:position w:val="0"/>
                <w:sz w:val="24"/>
                <w:szCs w:val="24"/>
                <w:lang w:val="en-US" w:eastAsia="zh-CN"/>
              </w:rPr>
              <w:t>等</w:t>
            </w:r>
            <w:r>
              <w:rPr>
                <w:rFonts w:hint="eastAsia" w:ascii="Times New Roman" w:hAnsi="Times New Roman" w:eastAsia="宋体" w:cs="Times New Roman"/>
                <w:b w:val="0"/>
                <w:bCs w:val="0"/>
                <w:snapToGrid/>
                <w:color w:val="auto"/>
                <w:spacing w:val="0"/>
                <w:kern w:val="0"/>
                <w:position w:val="0"/>
                <w:sz w:val="24"/>
                <w:szCs w:val="24"/>
                <w:lang w:val="en-US" w:eastAsia="zh-CN"/>
              </w:rPr>
              <w:t>重点防渗区采用抗渗混凝土（0.2m）+环氧树脂漆（1.5mm）进行重点防渗，渗透系数≤1×10</w:t>
            </w:r>
            <w:r>
              <w:rPr>
                <w:rFonts w:hint="eastAsia" w:ascii="Times New Roman" w:hAnsi="Times New Roman" w:eastAsia="宋体" w:cs="Times New Roman"/>
                <w:b w:val="0"/>
                <w:bCs w:val="0"/>
                <w:snapToGrid/>
                <w:color w:val="auto"/>
                <w:spacing w:val="0"/>
                <w:kern w:val="0"/>
                <w:position w:val="0"/>
                <w:sz w:val="24"/>
                <w:szCs w:val="24"/>
                <w:vertAlign w:val="superscript"/>
                <w:lang w:val="en-US" w:eastAsia="zh-CN"/>
              </w:rPr>
              <w:t>-10</w:t>
            </w:r>
            <w:r>
              <w:rPr>
                <w:rFonts w:hint="eastAsia" w:ascii="Times New Roman" w:hAnsi="Times New Roman" w:eastAsia="宋体" w:cs="Times New Roman"/>
                <w:b w:val="0"/>
                <w:bCs w:val="0"/>
                <w:snapToGrid/>
                <w:color w:val="auto"/>
                <w:spacing w:val="0"/>
                <w:kern w:val="0"/>
                <w:position w:val="0"/>
                <w:sz w:val="24"/>
                <w:szCs w:val="24"/>
                <w:lang w:val="en-US" w:eastAsia="zh-CN"/>
              </w:rPr>
              <w:t>cm/s；一般防渗区采取粘土铺底+10～15cm的防渗水泥进行硬化，防渗层渗透系数达到1.0×10</w:t>
            </w:r>
            <w:r>
              <w:rPr>
                <w:rFonts w:hint="eastAsia" w:ascii="Times New Roman" w:hAnsi="Times New Roman" w:eastAsia="宋体" w:cs="Times New Roman"/>
                <w:b w:val="0"/>
                <w:bCs w:val="0"/>
                <w:snapToGrid/>
                <w:color w:val="auto"/>
                <w:spacing w:val="0"/>
                <w:kern w:val="0"/>
                <w:position w:val="0"/>
                <w:sz w:val="24"/>
                <w:szCs w:val="24"/>
                <w:vertAlign w:val="superscript"/>
                <w:lang w:val="en-US" w:eastAsia="zh-CN"/>
              </w:rPr>
              <w:t>-7</w:t>
            </w:r>
            <w:r>
              <w:rPr>
                <w:rFonts w:hint="eastAsia" w:ascii="Times New Roman" w:hAnsi="Times New Roman" w:eastAsia="宋体" w:cs="Times New Roman"/>
                <w:b w:val="0"/>
                <w:bCs w:val="0"/>
                <w:snapToGrid/>
                <w:color w:val="auto"/>
                <w:spacing w:val="0"/>
                <w:kern w:val="0"/>
                <w:position w:val="0"/>
                <w:sz w:val="24"/>
                <w:szCs w:val="24"/>
                <w:lang w:val="en-US" w:eastAsia="zh-CN"/>
              </w:rPr>
              <w:t>cm/s。</w:t>
            </w:r>
          </w:p>
          <w:p w14:paraId="49F09FD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napToGrid/>
                <w:color w:val="auto"/>
                <w:spacing w:val="0"/>
                <w:kern w:val="0"/>
                <w:position w:val="0"/>
                <w:sz w:val="24"/>
                <w:szCs w:val="24"/>
                <w:lang w:val="en-US" w:eastAsia="zh-CN"/>
              </w:rPr>
            </w:pPr>
            <w:r>
              <w:rPr>
                <w:rFonts w:hint="eastAsia" w:ascii="Times New Roman" w:hAnsi="Times New Roman" w:eastAsia="宋体" w:cs="Times New Roman"/>
                <w:b w:val="0"/>
                <w:bCs w:val="0"/>
                <w:snapToGrid/>
                <w:color w:val="auto"/>
                <w:spacing w:val="0"/>
                <w:kern w:val="0"/>
                <w:position w:val="0"/>
                <w:sz w:val="24"/>
                <w:szCs w:val="24"/>
                <w:lang w:val="en-US" w:eastAsia="zh-CN"/>
              </w:rPr>
              <w:t>综上，由污染途径及对应措施分析可知，项目对可能产生地下水影响的各项途径均进行有效预防；在确保各项防渗措施得以落实，并加强维护和厂区环境管理的前提下，可有效控制厂区内的废水污染物下渗现象，避免污染地下水。</w:t>
            </w:r>
          </w:p>
          <w:p w14:paraId="5FDFD03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napToGrid/>
                <w:color w:val="auto"/>
                <w:spacing w:val="0"/>
                <w:kern w:val="0"/>
                <w:position w:val="0"/>
                <w:sz w:val="24"/>
                <w:szCs w:val="24"/>
                <w:lang w:val="en-US" w:eastAsia="zh-CN"/>
              </w:rPr>
            </w:pPr>
            <w:r>
              <w:rPr>
                <w:rFonts w:hint="eastAsia" w:ascii="Times New Roman" w:hAnsi="Times New Roman" w:eastAsia="宋体" w:cs="Times New Roman"/>
                <w:b w:val="0"/>
                <w:bCs w:val="0"/>
                <w:snapToGrid/>
                <w:color w:val="auto"/>
                <w:spacing w:val="0"/>
                <w:kern w:val="0"/>
                <w:position w:val="0"/>
                <w:sz w:val="24"/>
                <w:szCs w:val="24"/>
                <w:lang w:val="en-US" w:eastAsia="zh-CN"/>
              </w:rPr>
              <w:t>因此，采取以上措施后正常状态下，厂区的地表与地下的水力联系基本被切断，污染物不会规模性渗入地下水，本项目不会对区域地下水环境产生影响。</w:t>
            </w:r>
          </w:p>
          <w:p w14:paraId="275E6A8E">
            <w:pPr>
              <w:pStyle w:val="13"/>
              <w:adjustRightInd w:val="0"/>
              <w:spacing w:before="0" w:after="0" w:line="360" w:lineRule="auto"/>
              <w:ind w:right="0" w:firstLine="482" w:firstLineChars="200"/>
              <w:rPr>
                <w:b/>
                <w:bCs/>
                <w:color w:val="auto"/>
                <w:sz w:val="24"/>
                <w:szCs w:val="24"/>
              </w:rPr>
            </w:pPr>
            <w:r>
              <w:rPr>
                <w:b/>
                <w:bCs/>
                <w:color w:val="auto"/>
                <w:sz w:val="24"/>
                <w:szCs w:val="24"/>
              </w:rPr>
              <w:t>跟踪监测要求</w:t>
            </w:r>
            <w:r>
              <w:rPr>
                <w:rFonts w:hint="eastAsia"/>
                <w:b/>
                <w:bCs/>
                <w:color w:val="auto"/>
                <w:sz w:val="24"/>
                <w:szCs w:val="24"/>
              </w:rPr>
              <w:t>：</w:t>
            </w:r>
          </w:p>
          <w:p w14:paraId="02EFC757">
            <w:pPr>
              <w:widowControl/>
              <w:adjustRightInd w:val="0"/>
              <w:snapToGrid w:val="0"/>
              <w:spacing w:line="360" w:lineRule="auto"/>
              <w:ind w:firstLine="480" w:firstLineChars="200"/>
              <w:jc w:val="left"/>
              <w:rPr>
                <w:color w:val="auto"/>
                <w:kern w:val="0"/>
                <w:sz w:val="24"/>
              </w:rPr>
            </w:pPr>
            <w:r>
              <w:rPr>
                <w:rFonts w:hint="eastAsia"/>
                <w:color w:val="auto"/>
                <w:kern w:val="0"/>
                <w:sz w:val="24"/>
              </w:rPr>
              <w:t>本项目不对地下水环境进行跟踪监测。</w:t>
            </w:r>
          </w:p>
          <w:p w14:paraId="0578B192">
            <w:pPr>
              <w:widowControl/>
              <w:numPr>
                <w:ilvl w:val="0"/>
                <w:numId w:val="2"/>
              </w:numPr>
              <w:adjustRightInd w:val="0"/>
              <w:snapToGrid w:val="0"/>
              <w:spacing w:line="360" w:lineRule="auto"/>
              <w:ind w:firstLine="480" w:firstLineChars="200"/>
              <w:jc w:val="left"/>
              <w:rPr>
                <w:color w:val="auto"/>
                <w:kern w:val="0"/>
                <w:sz w:val="24"/>
              </w:rPr>
            </w:pPr>
            <w:r>
              <w:rPr>
                <w:color w:val="auto"/>
                <w:kern w:val="0"/>
                <w:sz w:val="24"/>
              </w:rPr>
              <w:t>土壤环境</w:t>
            </w:r>
          </w:p>
          <w:p w14:paraId="559F4A53">
            <w:pPr>
              <w:widowControl/>
              <w:adjustRightInd w:val="0"/>
              <w:snapToGrid w:val="0"/>
              <w:spacing w:line="360" w:lineRule="auto"/>
              <w:ind w:firstLine="482" w:firstLineChars="200"/>
              <w:jc w:val="left"/>
              <w:rPr>
                <w:b/>
                <w:bCs/>
                <w:color w:val="auto"/>
                <w:kern w:val="0"/>
                <w:sz w:val="24"/>
              </w:rPr>
            </w:pPr>
            <w:r>
              <w:rPr>
                <w:rFonts w:hint="eastAsia"/>
                <w:b/>
                <w:bCs/>
                <w:color w:val="auto"/>
                <w:kern w:val="0"/>
                <w:sz w:val="24"/>
              </w:rPr>
              <w:t>土壤污染途径：</w:t>
            </w:r>
          </w:p>
          <w:p w14:paraId="7D46AB2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napToGrid/>
                <w:color w:val="auto"/>
                <w:spacing w:val="0"/>
                <w:kern w:val="0"/>
                <w:position w:val="0"/>
                <w:sz w:val="24"/>
                <w:szCs w:val="24"/>
                <w:lang w:val="en-US" w:eastAsia="zh-CN"/>
              </w:rPr>
            </w:pPr>
            <w:r>
              <w:rPr>
                <w:rFonts w:hint="eastAsia"/>
                <w:b w:val="0"/>
                <w:bCs w:val="0"/>
                <w:snapToGrid/>
                <w:color w:val="auto"/>
                <w:spacing w:val="0"/>
                <w:kern w:val="0"/>
                <w:position w:val="0"/>
                <w:sz w:val="24"/>
                <w:szCs w:val="24"/>
                <w:lang w:val="en-US" w:eastAsia="zh-CN"/>
              </w:rPr>
              <w:t>项目建设地点位于</w:t>
            </w:r>
            <w:r>
              <w:rPr>
                <w:rFonts w:hint="default" w:ascii="Times New Roman" w:hAnsi="Times New Roman" w:eastAsia="宋体" w:cs="Times New Roman"/>
                <w:sz w:val="24"/>
                <w:szCs w:val="24"/>
                <w:lang w:eastAsia="zh-CN"/>
              </w:rPr>
              <w:t>安徽省宿州市埇桥区</w:t>
            </w:r>
            <w:r>
              <w:rPr>
                <w:rFonts w:hint="default" w:ascii="Times New Roman" w:hAnsi="Times New Roman" w:eastAsia="宋体" w:cs="Times New Roman"/>
                <w:sz w:val="24"/>
                <w:szCs w:val="24"/>
              </w:rPr>
              <w:t>顺河镇魏庄村魏武路北侧17号</w:t>
            </w:r>
            <w:r>
              <w:rPr>
                <w:rFonts w:hint="eastAsia"/>
                <w:color w:val="auto"/>
                <w:sz w:val="24"/>
                <w:u w:val="none"/>
                <w:lang w:val="en-US" w:eastAsia="zh-CN"/>
              </w:rPr>
              <w:t>，土壤环境影响途径主要有大气</w:t>
            </w:r>
            <w:r>
              <w:rPr>
                <w:rFonts w:hint="eastAsia"/>
                <w:b w:val="0"/>
                <w:bCs w:val="0"/>
                <w:snapToGrid/>
                <w:color w:val="auto"/>
                <w:spacing w:val="0"/>
                <w:kern w:val="0"/>
                <w:position w:val="0"/>
                <w:sz w:val="24"/>
                <w:szCs w:val="24"/>
                <w:lang w:val="en-US" w:eastAsia="zh-CN"/>
              </w:rPr>
              <w:t>沉降、地面漫流、垂直入渗及地下水位等。本项目土壤影响类型及途径主要有废气污染物通过降水、扩散和重力作用降落至地面，渗透进入土壤，进而污染土壤环境；固体废物尤其是危险废物及危险物质在厂区内储存过程中渗出液进入土壤，危害土壤环境。</w:t>
            </w:r>
          </w:p>
          <w:p w14:paraId="1AD1B66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snapToGrid/>
                <w:color w:val="auto"/>
                <w:spacing w:val="0"/>
                <w:kern w:val="0"/>
                <w:position w:val="0"/>
                <w:sz w:val="24"/>
                <w:szCs w:val="24"/>
                <w:lang w:val="en-US" w:eastAsia="zh-CN"/>
              </w:rPr>
            </w:pPr>
            <w:r>
              <w:rPr>
                <w:rFonts w:hint="eastAsia"/>
                <w:b/>
                <w:bCs/>
                <w:snapToGrid/>
                <w:color w:val="auto"/>
                <w:spacing w:val="0"/>
                <w:kern w:val="0"/>
                <w:position w:val="0"/>
                <w:sz w:val="24"/>
                <w:szCs w:val="24"/>
                <w:lang w:val="en-US" w:eastAsia="zh-CN"/>
              </w:rPr>
              <w:t>土壤污染防治措施：</w:t>
            </w:r>
          </w:p>
          <w:p w14:paraId="08D6F21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napToGrid/>
                <w:color w:val="auto"/>
                <w:spacing w:val="0"/>
                <w:kern w:val="0"/>
                <w:position w:val="0"/>
                <w:sz w:val="24"/>
                <w:szCs w:val="24"/>
                <w:lang w:val="en-US" w:eastAsia="zh-CN"/>
              </w:rPr>
            </w:pPr>
            <w:r>
              <w:rPr>
                <w:rFonts w:hint="eastAsia"/>
                <w:b w:val="0"/>
                <w:bCs w:val="0"/>
                <w:snapToGrid/>
                <w:color w:val="auto"/>
                <w:spacing w:val="0"/>
                <w:kern w:val="0"/>
                <w:position w:val="0"/>
                <w:sz w:val="24"/>
                <w:szCs w:val="24"/>
                <w:lang w:val="en-US" w:eastAsia="zh-CN"/>
              </w:rPr>
              <w:t>为减少项目对土壤的污染，应采取以下防治措施：</w:t>
            </w:r>
          </w:p>
          <w:p w14:paraId="14CFC2C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napToGrid/>
                <w:color w:val="auto"/>
                <w:spacing w:val="0"/>
                <w:kern w:val="0"/>
                <w:position w:val="0"/>
                <w:sz w:val="24"/>
                <w:szCs w:val="24"/>
                <w:lang w:val="en-US" w:eastAsia="zh-CN"/>
              </w:rPr>
            </w:pPr>
            <w:r>
              <w:rPr>
                <w:rFonts w:hint="eastAsia"/>
                <w:b w:val="0"/>
                <w:bCs w:val="0"/>
                <w:snapToGrid/>
                <w:color w:val="auto"/>
                <w:spacing w:val="0"/>
                <w:kern w:val="0"/>
                <w:position w:val="0"/>
                <w:sz w:val="24"/>
                <w:szCs w:val="24"/>
                <w:lang w:val="en-US" w:eastAsia="zh-CN"/>
              </w:rPr>
              <w:t>（1）源头控制：严格控制项目生产过程中废气的产生量，应严格控制污染物排放，按照废气处理措施要求处理，确保废气处理达到相应的标准要求。土壤的污染多半是大气沉降影响，因此还应杜绝废气事故排放的发生。</w:t>
            </w:r>
          </w:p>
          <w:p w14:paraId="595E841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napToGrid/>
                <w:color w:val="auto"/>
                <w:spacing w:val="0"/>
                <w:kern w:val="0"/>
                <w:position w:val="0"/>
                <w:sz w:val="24"/>
                <w:szCs w:val="24"/>
                <w:lang w:val="en-US" w:eastAsia="zh-CN"/>
              </w:rPr>
            </w:pPr>
            <w:r>
              <w:rPr>
                <w:rFonts w:hint="eastAsia"/>
                <w:b w:val="0"/>
                <w:bCs w:val="0"/>
                <w:snapToGrid/>
                <w:color w:val="auto"/>
                <w:spacing w:val="0"/>
                <w:kern w:val="0"/>
                <w:position w:val="0"/>
                <w:sz w:val="24"/>
                <w:szCs w:val="24"/>
                <w:lang w:val="en-US" w:eastAsia="zh-CN"/>
              </w:rPr>
              <w:t>（2）过程防控措施：做好厂区防渗措施，按照防渗要求，采取严格的基础防渗措施，重点防渗区防渗层厚度相当于防渗透系数</w:t>
            </w:r>
            <w:r>
              <w:rPr>
                <w:rFonts w:hint="default" w:ascii="Times New Roman" w:hAnsi="Times New Roman" w:cs="Times New Roman"/>
                <w:b w:val="0"/>
                <w:bCs w:val="0"/>
                <w:snapToGrid/>
                <w:color w:val="auto"/>
                <w:spacing w:val="0"/>
                <w:kern w:val="0"/>
                <w:position w:val="0"/>
                <w:sz w:val="24"/>
                <w:szCs w:val="24"/>
                <w:lang w:val="en-US" w:eastAsia="zh-CN"/>
              </w:rPr>
              <w:t>≤</w:t>
            </w:r>
            <w:r>
              <w:rPr>
                <w:rFonts w:hint="eastAsia"/>
                <w:b w:val="0"/>
                <w:bCs w:val="0"/>
                <w:snapToGrid/>
                <w:color w:val="auto"/>
                <w:spacing w:val="0"/>
                <w:kern w:val="0"/>
                <w:position w:val="0"/>
                <w:sz w:val="24"/>
                <w:szCs w:val="24"/>
                <w:lang w:val="en-US" w:eastAsia="zh-CN"/>
              </w:rPr>
              <w:t>10</w:t>
            </w:r>
            <w:r>
              <w:rPr>
                <w:rFonts w:hint="eastAsia"/>
                <w:b w:val="0"/>
                <w:bCs w:val="0"/>
                <w:snapToGrid/>
                <w:color w:val="auto"/>
                <w:spacing w:val="0"/>
                <w:kern w:val="0"/>
                <w:position w:val="0"/>
                <w:sz w:val="24"/>
                <w:szCs w:val="24"/>
                <w:vertAlign w:val="superscript"/>
                <w:lang w:val="en-US" w:eastAsia="zh-CN"/>
              </w:rPr>
              <w:t>-7</w:t>
            </w:r>
            <w:r>
              <w:rPr>
                <w:rFonts w:hint="eastAsia"/>
                <w:b w:val="0"/>
                <w:bCs w:val="0"/>
                <w:snapToGrid/>
                <w:color w:val="auto"/>
                <w:spacing w:val="0"/>
                <w:kern w:val="0"/>
                <w:position w:val="0"/>
                <w:sz w:val="24"/>
                <w:szCs w:val="24"/>
                <w:lang w:val="en-US" w:eastAsia="zh-CN"/>
              </w:rPr>
              <w:t>cm/s和厚度6m的黏土层的防渗性能。其他区域做好水泥防渗处理，以防止土壤环境污染；加强管理，防止意外事故发生，以防止土壤环境污染。</w:t>
            </w:r>
          </w:p>
          <w:p w14:paraId="4A61627A">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0" w:firstLine="482" w:firstLineChars="200"/>
              <w:textAlignment w:val="auto"/>
              <w:rPr>
                <w:rFonts w:hint="default"/>
                <w:b/>
                <w:bCs/>
                <w:snapToGrid/>
                <w:color w:val="auto"/>
                <w:spacing w:val="0"/>
                <w:kern w:val="0"/>
                <w:position w:val="0"/>
                <w:sz w:val="24"/>
                <w:szCs w:val="24"/>
                <w:lang w:val="en-US" w:eastAsia="zh-CN"/>
              </w:rPr>
            </w:pPr>
            <w:r>
              <w:rPr>
                <w:rFonts w:hint="default"/>
                <w:b/>
                <w:bCs/>
                <w:snapToGrid/>
                <w:color w:val="auto"/>
                <w:spacing w:val="0"/>
                <w:kern w:val="0"/>
                <w:position w:val="0"/>
                <w:sz w:val="24"/>
                <w:szCs w:val="24"/>
                <w:lang w:val="en-US" w:eastAsia="zh-CN"/>
              </w:rPr>
              <w:t>跟踪监测要求</w:t>
            </w:r>
            <w:r>
              <w:rPr>
                <w:rFonts w:hint="eastAsia"/>
                <w:b/>
                <w:bCs/>
                <w:snapToGrid/>
                <w:color w:val="auto"/>
                <w:spacing w:val="0"/>
                <w:kern w:val="0"/>
                <w:position w:val="0"/>
                <w:sz w:val="24"/>
                <w:szCs w:val="24"/>
                <w:lang w:val="en-US" w:eastAsia="zh-CN"/>
              </w:rPr>
              <w:t>：</w:t>
            </w:r>
          </w:p>
          <w:p w14:paraId="0D3949C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napToGrid/>
                <w:color w:val="auto"/>
                <w:spacing w:val="0"/>
                <w:kern w:val="0"/>
                <w:position w:val="0"/>
                <w:sz w:val="24"/>
                <w:szCs w:val="24"/>
                <w:lang w:val="en-US" w:eastAsia="zh-CN"/>
              </w:rPr>
            </w:pPr>
            <w:r>
              <w:rPr>
                <w:rFonts w:hint="eastAsia"/>
                <w:b w:val="0"/>
                <w:bCs w:val="0"/>
                <w:snapToGrid/>
                <w:color w:val="auto"/>
                <w:spacing w:val="0"/>
                <w:kern w:val="0"/>
                <w:position w:val="0"/>
                <w:sz w:val="24"/>
                <w:szCs w:val="24"/>
                <w:lang w:val="en-US" w:eastAsia="zh-CN"/>
              </w:rPr>
              <w:t>本项目不对土壤环境进行跟踪监测。</w:t>
            </w:r>
          </w:p>
          <w:p w14:paraId="1DF1E48F">
            <w:pPr>
              <w:pStyle w:val="13"/>
              <w:adjustRightInd w:val="0"/>
              <w:spacing w:before="0" w:after="0" w:line="360" w:lineRule="auto"/>
              <w:ind w:right="0" w:firstLine="482" w:firstLineChars="200"/>
              <w:rPr>
                <w:b/>
                <w:bCs/>
                <w:color w:val="auto"/>
                <w:sz w:val="24"/>
                <w:szCs w:val="24"/>
              </w:rPr>
            </w:pPr>
            <w:r>
              <w:rPr>
                <w:b/>
                <w:bCs/>
                <w:color w:val="auto"/>
                <w:sz w:val="24"/>
                <w:szCs w:val="24"/>
              </w:rPr>
              <w:t>跟踪监测要求</w:t>
            </w:r>
            <w:r>
              <w:rPr>
                <w:rFonts w:hint="eastAsia"/>
                <w:b/>
                <w:bCs/>
                <w:color w:val="auto"/>
                <w:sz w:val="24"/>
                <w:szCs w:val="24"/>
              </w:rPr>
              <w:t>：</w:t>
            </w:r>
          </w:p>
          <w:p w14:paraId="60F6AC51">
            <w:pPr>
              <w:widowControl/>
              <w:adjustRightInd w:val="0"/>
              <w:snapToGrid w:val="0"/>
              <w:spacing w:line="360" w:lineRule="auto"/>
              <w:ind w:firstLine="480" w:firstLineChars="200"/>
              <w:jc w:val="left"/>
              <w:rPr>
                <w:color w:val="auto"/>
                <w:kern w:val="0"/>
                <w:sz w:val="24"/>
              </w:rPr>
            </w:pPr>
            <w:r>
              <w:rPr>
                <w:rFonts w:hint="eastAsia"/>
                <w:color w:val="auto"/>
                <w:kern w:val="0"/>
                <w:sz w:val="24"/>
              </w:rPr>
              <w:t>本项目不对土壤环境进行跟踪监测。</w:t>
            </w:r>
          </w:p>
          <w:p w14:paraId="4D950A9D">
            <w:pPr>
              <w:adjustRightInd w:val="0"/>
              <w:snapToGrid w:val="0"/>
              <w:spacing w:line="360" w:lineRule="auto"/>
              <w:rPr>
                <w:b/>
                <w:bCs/>
                <w:color w:val="auto"/>
                <w:kern w:val="0"/>
                <w:sz w:val="24"/>
              </w:rPr>
            </w:pPr>
            <w:r>
              <w:rPr>
                <w:rFonts w:hint="eastAsia"/>
                <w:b/>
                <w:bCs/>
                <w:color w:val="auto"/>
                <w:kern w:val="0"/>
                <w:sz w:val="24"/>
              </w:rPr>
              <w:t>6、</w:t>
            </w:r>
            <w:r>
              <w:rPr>
                <w:b/>
                <w:bCs/>
                <w:color w:val="auto"/>
                <w:kern w:val="0"/>
                <w:sz w:val="24"/>
              </w:rPr>
              <w:t>环境风险</w:t>
            </w:r>
          </w:p>
          <w:p w14:paraId="5252503D">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cs="Times New Roman"/>
                <w:b/>
                <w:bCs/>
                <w:snapToGrid/>
                <w:color w:val="auto"/>
                <w:spacing w:val="0"/>
                <w:kern w:val="0"/>
                <w:position w:val="0"/>
                <w:sz w:val="24"/>
                <w:szCs w:val="24"/>
                <w:highlight w:val="none"/>
                <w:lang w:val="en-US" w:eastAsia="zh-CN"/>
              </w:rPr>
            </w:pPr>
            <w:r>
              <w:rPr>
                <w:rFonts w:hint="default" w:ascii="Times New Roman" w:hAnsi="Times New Roman" w:cs="Times New Roman"/>
                <w:b/>
                <w:bCs/>
                <w:snapToGrid/>
                <w:color w:val="auto"/>
                <w:spacing w:val="0"/>
                <w:kern w:val="0"/>
                <w:position w:val="0"/>
                <w:sz w:val="24"/>
                <w:szCs w:val="24"/>
                <w:highlight w:val="none"/>
                <w:lang w:val="en-US" w:eastAsia="zh-CN"/>
              </w:rPr>
              <w:t>评价依据</w:t>
            </w:r>
            <w:r>
              <w:rPr>
                <w:rFonts w:hint="eastAsia" w:ascii="Times New Roman" w:hAnsi="Times New Roman" w:cs="Times New Roman"/>
                <w:b/>
                <w:bCs/>
                <w:snapToGrid/>
                <w:color w:val="auto"/>
                <w:spacing w:val="0"/>
                <w:kern w:val="0"/>
                <w:position w:val="0"/>
                <w:sz w:val="24"/>
                <w:szCs w:val="24"/>
                <w:highlight w:val="none"/>
                <w:lang w:val="en-US" w:eastAsia="zh-CN"/>
              </w:rPr>
              <w:t>：</w:t>
            </w:r>
          </w:p>
          <w:p w14:paraId="0CA05D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lang w:val="en-US" w:eastAsia="zh-CN"/>
              </w:rPr>
            </w:pPr>
            <w:r>
              <w:rPr>
                <w:rFonts w:hint="eastAsia" w:ascii="Times New Roman" w:hAnsi="Times New Roman" w:cs="Times New Roman"/>
                <w:snapToGrid/>
                <w:color w:val="auto"/>
                <w:spacing w:val="0"/>
                <w:kern w:val="0"/>
                <w:position w:val="0"/>
                <w:sz w:val="24"/>
                <w:szCs w:val="24"/>
                <w:highlight w:val="none"/>
                <w:lang w:val="en-US" w:eastAsia="zh-CN"/>
              </w:rPr>
              <w:t>（1）</w:t>
            </w:r>
            <w:r>
              <w:rPr>
                <w:rFonts w:hint="default" w:ascii="Times New Roman" w:hAnsi="Times New Roman" w:cs="Times New Roman"/>
                <w:snapToGrid/>
                <w:color w:val="auto"/>
                <w:spacing w:val="0"/>
                <w:kern w:val="0"/>
                <w:position w:val="0"/>
                <w:sz w:val="24"/>
                <w:szCs w:val="24"/>
                <w:highlight w:val="none"/>
                <w:lang w:val="en-US" w:eastAsia="zh-CN"/>
              </w:rPr>
              <w:t>风险调查</w:t>
            </w:r>
          </w:p>
          <w:p w14:paraId="2485A5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color w:val="auto"/>
                <w:spacing w:val="0"/>
                <w:kern w:val="0"/>
                <w:position w:val="0"/>
                <w:sz w:val="24"/>
                <w:szCs w:val="24"/>
                <w:highlight w:val="none"/>
                <w:lang w:val="en-US" w:eastAsia="zh-CN"/>
              </w:rPr>
            </w:pPr>
            <w:r>
              <w:rPr>
                <w:rFonts w:hint="eastAsia" w:ascii="Times New Roman" w:hAnsi="Times New Roman" w:cs="Times New Roman"/>
                <w:snapToGrid/>
                <w:color w:val="auto"/>
                <w:spacing w:val="0"/>
                <w:kern w:val="0"/>
                <w:position w:val="0"/>
                <w:sz w:val="24"/>
                <w:szCs w:val="24"/>
                <w:highlight w:val="none"/>
                <w:lang w:val="en-US" w:eastAsia="zh-CN"/>
              </w:rPr>
              <w:t>1）</w:t>
            </w:r>
            <w:r>
              <w:rPr>
                <w:rFonts w:hint="default" w:ascii="Times New Roman" w:hAnsi="Times New Roman" w:cs="Times New Roman"/>
                <w:snapToGrid/>
                <w:color w:val="auto"/>
                <w:spacing w:val="0"/>
                <w:kern w:val="0"/>
                <w:position w:val="0"/>
                <w:sz w:val="24"/>
                <w:szCs w:val="24"/>
                <w:highlight w:val="none"/>
                <w:lang w:val="en-US" w:eastAsia="zh-CN"/>
              </w:rPr>
              <w:t>物质风险性调查</w:t>
            </w:r>
          </w:p>
          <w:p w14:paraId="51B2EF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color w:val="auto"/>
                <w:spacing w:val="0"/>
                <w:kern w:val="0"/>
                <w:position w:val="0"/>
                <w:sz w:val="24"/>
                <w:szCs w:val="24"/>
                <w:highlight w:val="none"/>
                <w:lang w:val="en-US" w:eastAsia="zh-CN"/>
              </w:rPr>
            </w:pPr>
            <w:r>
              <w:rPr>
                <w:rFonts w:hint="eastAsia" w:ascii="Times New Roman" w:hAnsi="Times New Roman" w:eastAsia="宋体"/>
                <w:color w:val="auto"/>
                <w:sz w:val="24"/>
              </w:rPr>
              <w:t>本次评价将针对项目涉及的原辅材料、三废、产品等进行物质危险性识别，根据《建设项目环境风险评价技术导则》（HJ/T169-2018）附录B及《重大危险源辨识》（GB18218-2018），</w:t>
            </w:r>
            <w:r>
              <w:rPr>
                <w:rFonts w:hint="eastAsia" w:cs="Times New Roman"/>
                <w:snapToGrid/>
                <w:color w:val="auto"/>
                <w:spacing w:val="0"/>
                <w:kern w:val="0"/>
                <w:position w:val="0"/>
                <w:sz w:val="24"/>
                <w:szCs w:val="24"/>
                <w:highlight w:val="none"/>
                <w:lang w:val="en-US" w:eastAsia="zh-CN"/>
              </w:rPr>
              <w:t>本项目</w:t>
            </w:r>
            <w:r>
              <w:rPr>
                <w:rFonts w:hint="default" w:ascii="Times New Roman" w:hAnsi="Times New Roman" w:cs="Times New Roman"/>
                <w:color w:val="auto"/>
                <w:sz w:val="24"/>
                <w:szCs w:val="24"/>
                <w:lang w:val="en-US" w:eastAsia="zh-CN"/>
              </w:rPr>
              <w:t>的危险物质为</w:t>
            </w:r>
            <w:r>
              <w:rPr>
                <w:rFonts w:hint="eastAsia" w:cs="Times New Roman"/>
                <w:snapToGrid/>
                <w:color w:val="auto"/>
                <w:spacing w:val="0"/>
                <w:kern w:val="0"/>
                <w:position w:val="0"/>
                <w:sz w:val="24"/>
                <w:szCs w:val="24"/>
                <w:highlight w:val="none"/>
                <w:lang w:val="en-US" w:eastAsia="zh-CN"/>
              </w:rPr>
              <w:t>机油</w:t>
            </w:r>
            <w:r>
              <w:rPr>
                <w:rFonts w:hint="default" w:ascii="Times New Roman" w:hAnsi="Times New Roman" w:cs="Times New Roman"/>
                <w:snapToGrid/>
                <w:color w:val="auto"/>
                <w:spacing w:val="0"/>
                <w:kern w:val="0"/>
                <w:position w:val="0"/>
                <w:sz w:val="24"/>
                <w:szCs w:val="24"/>
                <w:highlight w:val="none"/>
                <w:lang w:val="en-US" w:eastAsia="zh-CN"/>
              </w:rPr>
              <w:t>。</w:t>
            </w:r>
          </w:p>
          <w:p w14:paraId="1F14D7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color w:val="auto"/>
                <w:spacing w:val="0"/>
                <w:kern w:val="0"/>
                <w:position w:val="0"/>
                <w:sz w:val="24"/>
                <w:szCs w:val="24"/>
                <w:highlight w:val="none"/>
                <w:lang w:val="en-US" w:eastAsia="zh-CN"/>
              </w:rPr>
            </w:pPr>
            <w:r>
              <w:rPr>
                <w:rFonts w:hint="default" w:ascii="Times New Roman" w:hAnsi="Times New Roman" w:cs="Times New Roman"/>
                <w:snapToGrid/>
                <w:color w:val="auto"/>
                <w:spacing w:val="0"/>
                <w:kern w:val="0"/>
                <w:position w:val="0"/>
                <w:sz w:val="24"/>
                <w:szCs w:val="24"/>
                <w:highlight w:val="none"/>
                <w:lang w:val="en-US" w:eastAsia="zh-CN"/>
              </w:rPr>
              <w:t>2）生产工艺危险性调查</w:t>
            </w:r>
          </w:p>
          <w:p w14:paraId="2AB396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color w:val="auto"/>
                <w:spacing w:val="0"/>
                <w:kern w:val="0"/>
                <w:position w:val="0"/>
                <w:sz w:val="24"/>
                <w:szCs w:val="24"/>
                <w:highlight w:val="none"/>
                <w:lang w:val="en-US" w:eastAsia="zh-CN"/>
              </w:rPr>
            </w:pPr>
            <w:r>
              <w:rPr>
                <w:rFonts w:hint="default" w:ascii="Times New Roman" w:hAnsi="Times New Roman" w:cs="Times New Roman"/>
                <w:snapToGrid/>
                <w:color w:val="auto"/>
                <w:spacing w:val="0"/>
                <w:kern w:val="0"/>
                <w:position w:val="0"/>
                <w:sz w:val="24"/>
                <w:szCs w:val="24"/>
                <w:highlight w:val="none"/>
                <w:lang w:val="en-US" w:eastAsia="zh-CN"/>
              </w:rPr>
              <w:t>本项目主要生产工艺为</w:t>
            </w:r>
            <w:r>
              <w:rPr>
                <w:rFonts w:hint="eastAsia" w:cs="Times New Roman"/>
                <w:snapToGrid/>
                <w:color w:val="auto"/>
                <w:spacing w:val="0"/>
                <w:kern w:val="0"/>
                <w:position w:val="0"/>
                <w:sz w:val="24"/>
                <w:szCs w:val="24"/>
                <w:highlight w:val="none"/>
                <w:lang w:val="en-US" w:eastAsia="zh-CN"/>
              </w:rPr>
              <w:t>粉碎搅拌</w:t>
            </w:r>
            <w:r>
              <w:rPr>
                <w:rFonts w:hint="eastAsia" w:ascii="Times New Roman" w:hAnsi="Times New Roman" w:cs="Times New Roman"/>
                <w:snapToGrid/>
                <w:color w:val="auto"/>
                <w:spacing w:val="0"/>
                <w:kern w:val="0"/>
                <w:position w:val="0"/>
                <w:sz w:val="24"/>
                <w:szCs w:val="24"/>
                <w:highlight w:val="none"/>
                <w:lang w:val="en-US" w:eastAsia="zh-CN"/>
              </w:rPr>
              <w:t>、</w:t>
            </w:r>
            <w:r>
              <w:rPr>
                <w:rFonts w:hint="eastAsia" w:cs="Times New Roman"/>
                <w:snapToGrid/>
                <w:color w:val="auto"/>
                <w:spacing w:val="0"/>
                <w:kern w:val="0"/>
                <w:position w:val="0"/>
                <w:sz w:val="24"/>
                <w:szCs w:val="24"/>
                <w:highlight w:val="none"/>
                <w:lang w:val="en-US" w:eastAsia="zh-CN"/>
              </w:rPr>
              <w:t>低温闪急干化、矿化、干化、陈化</w:t>
            </w:r>
            <w:r>
              <w:rPr>
                <w:rFonts w:hint="default" w:ascii="Times New Roman" w:hAnsi="Times New Roman" w:cs="Times New Roman"/>
                <w:snapToGrid/>
                <w:color w:val="auto"/>
                <w:spacing w:val="0"/>
                <w:kern w:val="0"/>
                <w:position w:val="0"/>
                <w:sz w:val="24"/>
                <w:szCs w:val="24"/>
                <w:highlight w:val="none"/>
                <w:lang w:val="en-US" w:eastAsia="zh-CN"/>
              </w:rPr>
              <w:t>等工艺过程，且不涉及危险物质的使用及贮存，无《建设项目环境风险评价技术导则》（HJ/T169-2018）附录C，表C.1中列明的工艺过程。</w:t>
            </w:r>
          </w:p>
          <w:p w14:paraId="041500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lang w:val="en-US" w:eastAsia="zh-CN"/>
              </w:rPr>
            </w:pPr>
            <w:r>
              <w:rPr>
                <w:rFonts w:hint="default" w:ascii="Times New Roman" w:hAnsi="Times New Roman" w:cs="Times New Roman"/>
                <w:snapToGrid/>
                <w:color w:val="auto"/>
                <w:spacing w:val="0"/>
                <w:kern w:val="0"/>
                <w:position w:val="0"/>
                <w:sz w:val="24"/>
                <w:szCs w:val="24"/>
                <w:highlight w:val="none"/>
                <w:lang w:val="en-US" w:eastAsia="zh-CN"/>
              </w:rPr>
              <w:t>故本项目生产工艺不存在重大危险性。</w:t>
            </w:r>
          </w:p>
          <w:p w14:paraId="3D0196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风险潜势初判</w:t>
            </w:r>
          </w:p>
          <w:p w14:paraId="3AF5C4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计算所涉及的每种危险物质在厂界内的最大存在总量与其在《建设项目环境风险评价技术导则》（HJ169-2018）附录B中对应临界量的比值Q。在不同厂区的同一种物质，按其在厂界内的最大存在总量计算。</w:t>
            </w:r>
          </w:p>
          <w:p w14:paraId="4B8A6F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当只涉及一种危险物质时，计算该物质的总量与其临界量比值，即为Q；</w:t>
            </w:r>
          </w:p>
          <w:p w14:paraId="7DFCC2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当存在多种危险物质时，则按下式计算物质总量与其临界量比值Q；</w:t>
            </w:r>
          </w:p>
          <w:p w14:paraId="02D2E84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position w:val="-30"/>
                <w:sz w:val="24"/>
                <w:szCs w:val="24"/>
                <w:highlight w:val="none"/>
                <w:lang w:val="en-US" w:eastAsia="zh-CN"/>
              </w:rPr>
              <w:object>
                <v:shape id="_x0000_i1030" o:spt="75" type="#_x0000_t75" style="height:34pt;width:100pt;" o:ole="t" filled="f" o:preferrelative="t" stroked="f" coordsize="21600,21600">
                  <v:path/>
                  <v:fill on="f" focussize="0,0"/>
                  <v:stroke on="f"/>
                  <v:imagedata r:id="rId26" o:title=""/>
                  <o:lock v:ext="edit" aspectratio="t"/>
                  <w10:wrap type="none"/>
                  <w10:anchorlock/>
                </v:shape>
                <o:OLEObject Type="Embed" ProgID="Equation.KSEE3" ShapeID="_x0000_i1030" DrawAspect="Content" ObjectID="_1468075730" r:id="rId25">
                  <o:LockedField>false</o:LockedField>
                </o:OLEObject>
              </w:object>
            </w:r>
          </w:p>
          <w:p w14:paraId="64EFEA8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式中：q</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n</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每种危险废物实际存在量，</w:t>
            </w:r>
            <w:r>
              <w:rPr>
                <w:rFonts w:hint="default" w:ascii="Times New Roman" w:hAnsi="Times New Roman" w:cs="Times New Roman"/>
                <w:color w:val="auto"/>
                <w:sz w:val="24"/>
                <w:szCs w:val="24"/>
                <w:highlight w:val="none"/>
                <w:lang w:val="en-US" w:eastAsia="zh-CN"/>
              </w:rPr>
              <w:t>t。</w:t>
            </w:r>
          </w:p>
          <w:p w14:paraId="2E954752">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n</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——与各危险物质相对应的生产场所或贮存区的临界量，t。</w:t>
            </w:r>
          </w:p>
          <w:p w14:paraId="2C8D178D">
            <w:pPr>
              <w:pStyle w:val="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当</w:t>
            </w:r>
            <w:r>
              <w:rPr>
                <w:rFonts w:hint="default" w:ascii="Times New Roman" w:hAnsi="Times New Roman" w:eastAsia="宋体" w:cs="Times New Roman"/>
                <w:color w:val="auto"/>
                <w:sz w:val="24"/>
                <w:szCs w:val="24"/>
                <w:highlight w:val="none"/>
                <w:lang w:val="en-US" w:eastAsia="zh-CN"/>
              </w:rPr>
              <w:t>Q&lt;1时，该项目风险潜势为Ⅰ。</w:t>
            </w:r>
          </w:p>
          <w:p w14:paraId="5AE463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当Q≥1时，将Q值划分为：（1）1≤Q&lt;10；（2）10≤Q&lt;100；（3）Q≥100。</w:t>
            </w:r>
          </w:p>
          <w:p w14:paraId="472AC3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kern w:val="2"/>
                <w:sz w:val="24"/>
                <w:szCs w:val="28"/>
                <w:lang w:val="en-US" w:eastAsia="zh-CN" w:bidi="ar-SA"/>
              </w:rPr>
            </w:pPr>
            <w:r>
              <w:rPr>
                <w:rFonts w:hint="default" w:ascii="Times New Roman" w:hAnsi="Times New Roman" w:cs="Times New Roman"/>
                <w:color w:val="auto"/>
                <w:sz w:val="24"/>
                <w:szCs w:val="24"/>
                <w:lang w:val="en-US" w:eastAsia="zh-CN"/>
              </w:rPr>
              <w:t>《建设项目环境风险评价技术导则》（HJ</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169-2018）中附录B表B.1、B.2</w:t>
            </w:r>
            <w:r>
              <w:rPr>
                <w:rFonts w:hint="default" w:ascii="Times New Roman" w:hAnsi="Times New Roman" w:eastAsia="宋体" w:cs="Times New Roman"/>
                <w:b w:val="0"/>
                <w:bCs w:val="0"/>
                <w:color w:val="auto"/>
                <w:kern w:val="2"/>
                <w:sz w:val="24"/>
                <w:szCs w:val="28"/>
                <w:lang w:val="en-US" w:eastAsia="zh-CN" w:bidi="ar-SA"/>
              </w:rPr>
              <w:t>，</w:t>
            </w:r>
            <w:r>
              <w:rPr>
                <w:rFonts w:hint="default" w:ascii="Times New Roman" w:hAnsi="Times New Roman" w:cs="Times New Roman"/>
                <w:color w:val="auto"/>
                <w:sz w:val="24"/>
                <w:szCs w:val="24"/>
                <w:lang w:val="en-US" w:eastAsia="zh-CN"/>
              </w:rPr>
              <w:t>确定本项目的危险物质为</w:t>
            </w:r>
            <w:r>
              <w:rPr>
                <w:rFonts w:hint="eastAsia" w:cs="Times New Roman"/>
                <w:color w:val="auto"/>
                <w:sz w:val="24"/>
                <w:szCs w:val="24"/>
                <w:lang w:val="en-US" w:eastAsia="zh-CN"/>
              </w:rPr>
              <w:t>润滑油及胶黏剂</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b w:val="0"/>
                <w:bCs w:val="0"/>
                <w:color w:val="auto"/>
                <w:kern w:val="2"/>
                <w:sz w:val="24"/>
                <w:szCs w:val="28"/>
                <w:lang w:val="en-US" w:eastAsia="zh-CN" w:bidi="ar-SA"/>
              </w:rPr>
              <w:t>其贮存量对应的临界量的对比情况见</w:t>
            </w:r>
            <w:r>
              <w:rPr>
                <w:rFonts w:hint="eastAsia" w:ascii="Times New Roman" w:hAnsi="Times New Roman" w:eastAsia="宋体" w:cs="Times New Roman"/>
                <w:b w:val="0"/>
                <w:bCs w:val="0"/>
                <w:color w:val="auto"/>
                <w:kern w:val="2"/>
                <w:sz w:val="24"/>
                <w:szCs w:val="28"/>
                <w:lang w:val="en-US" w:eastAsia="zh-CN" w:bidi="ar-SA"/>
              </w:rPr>
              <w:t>下表：</w:t>
            </w:r>
          </w:p>
          <w:p w14:paraId="59F1638A">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Times New Roman" w:hAnsi="Times New Roman" w:eastAsia="宋体" w:cs="Times New Roman"/>
                <w:b/>
                <w:bCs/>
                <w:color w:val="auto"/>
                <w:kern w:val="2"/>
                <w:sz w:val="24"/>
                <w:szCs w:val="28"/>
                <w:lang w:val="en-US" w:eastAsia="zh-CN" w:bidi="ar-SA"/>
              </w:rPr>
            </w:pPr>
            <w:r>
              <w:rPr>
                <w:rFonts w:hint="eastAsia" w:ascii="Times New Roman" w:hAnsi="Times New Roman" w:eastAsia="宋体" w:cs="Times New Roman"/>
                <w:b/>
                <w:bCs/>
                <w:color w:val="auto"/>
                <w:kern w:val="2"/>
                <w:sz w:val="24"/>
                <w:szCs w:val="28"/>
                <w:lang w:val="en-US" w:eastAsia="zh-CN" w:bidi="ar-SA"/>
              </w:rPr>
              <w:t>表</w:t>
            </w:r>
            <w:r>
              <w:rPr>
                <w:rFonts w:hint="eastAsia" w:ascii="Times New Roman" w:hAnsi="Times New Roman" w:cs="Times New Roman"/>
                <w:b/>
                <w:bCs/>
                <w:color w:val="auto"/>
                <w:kern w:val="2"/>
                <w:sz w:val="24"/>
                <w:szCs w:val="28"/>
                <w:lang w:val="en-US" w:eastAsia="zh-CN" w:bidi="ar-SA"/>
              </w:rPr>
              <w:t>4.</w:t>
            </w:r>
            <w:r>
              <w:rPr>
                <w:rFonts w:hint="eastAsia" w:cs="Times New Roman"/>
                <w:b/>
                <w:bCs/>
                <w:color w:val="auto"/>
                <w:kern w:val="2"/>
                <w:sz w:val="24"/>
                <w:szCs w:val="28"/>
                <w:lang w:val="en-US" w:eastAsia="zh-CN" w:bidi="ar-SA"/>
              </w:rPr>
              <w:t xml:space="preserve">15 </w:t>
            </w:r>
            <w:r>
              <w:rPr>
                <w:rFonts w:hint="eastAsia" w:ascii="Times New Roman" w:hAnsi="Times New Roman" w:eastAsia="宋体" w:cs="Times New Roman"/>
                <w:b/>
                <w:bCs/>
                <w:color w:val="auto"/>
                <w:kern w:val="2"/>
                <w:sz w:val="24"/>
                <w:szCs w:val="28"/>
                <w:lang w:val="en-US" w:eastAsia="zh-CN" w:bidi="ar-SA"/>
              </w:rPr>
              <w:t xml:space="preserve"> 危险物质</w:t>
            </w:r>
            <w:r>
              <w:rPr>
                <w:rFonts w:hint="default" w:ascii="Times New Roman" w:hAnsi="Times New Roman" w:eastAsia="宋体" w:cs="Times New Roman"/>
                <w:b/>
                <w:bCs/>
                <w:color w:val="auto"/>
                <w:kern w:val="2"/>
                <w:sz w:val="24"/>
                <w:szCs w:val="28"/>
                <w:lang w:val="en-US" w:eastAsia="zh-CN" w:bidi="ar-SA"/>
              </w:rPr>
              <w:t>临界量</w:t>
            </w:r>
            <w:r>
              <w:rPr>
                <w:rFonts w:hint="eastAsia" w:ascii="Times New Roman" w:hAnsi="Times New Roman" w:eastAsia="宋体" w:cs="Times New Roman"/>
                <w:b/>
                <w:bCs/>
                <w:color w:val="auto"/>
                <w:kern w:val="2"/>
                <w:sz w:val="24"/>
                <w:szCs w:val="28"/>
                <w:lang w:val="en-US" w:eastAsia="zh-CN" w:bidi="ar-SA"/>
              </w:rPr>
              <w:t>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1252"/>
              <w:gridCol w:w="1062"/>
              <w:gridCol w:w="1065"/>
              <w:gridCol w:w="1426"/>
              <w:gridCol w:w="1223"/>
            </w:tblGrid>
            <w:tr w14:paraId="5B20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4" w:type="dxa"/>
                  <w:tcBorders>
                    <w:tl2br w:val="nil"/>
                    <w:tr2bl w:val="nil"/>
                  </w:tcBorders>
                  <w:noWrap w:val="0"/>
                  <w:vAlign w:val="center"/>
                </w:tcPr>
                <w:p w14:paraId="763AF6E1">
                  <w:pPr>
                    <w:pStyle w:val="2"/>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物质名称</w:t>
                  </w:r>
                </w:p>
              </w:tc>
              <w:tc>
                <w:tcPr>
                  <w:tcW w:w="1252" w:type="dxa"/>
                  <w:tcBorders>
                    <w:tl2br w:val="nil"/>
                    <w:tr2bl w:val="nil"/>
                  </w:tcBorders>
                  <w:noWrap w:val="0"/>
                  <w:vAlign w:val="center"/>
                </w:tcPr>
                <w:p w14:paraId="53594D83">
                  <w:pPr>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zh-CN" w:eastAsia="zh-CN"/>
                    </w:rPr>
                    <w:t>CAS号</w:t>
                  </w:r>
                </w:p>
              </w:tc>
              <w:tc>
                <w:tcPr>
                  <w:tcW w:w="2127" w:type="dxa"/>
                  <w:gridSpan w:val="2"/>
                  <w:tcBorders>
                    <w:tl2br w:val="nil"/>
                    <w:tr2bl w:val="nil"/>
                  </w:tcBorders>
                  <w:noWrap w:val="0"/>
                  <w:vAlign w:val="center"/>
                </w:tcPr>
                <w:p w14:paraId="34A61B01">
                  <w:pPr>
                    <w:pStyle w:val="2"/>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本项目最大储存量，t</w:t>
                  </w:r>
                </w:p>
              </w:tc>
              <w:tc>
                <w:tcPr>
                  <w:tcW w:w="1426" w:type="dxa"/>
                  <w:tcBorders>
                    <w:tl2br w:val="nil"/>
                    <w:tr2bl w:val="nil"/>
                  </w:tcBorders>
                  <w:noWrap w:val="0"/>
                  <w:vAlign w:val="center"/>
                </w:tcPr>
                <w:p w14:paraId="6B01ED51">
                  <w:pPr>
                    <w:pStyle w:val="2"/>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临界量，t</w:t>
                  </w:r>
                </w:p>
              </w:tc>
              <w:tc>
                <w:tcPr>
                  <w:tcW w:w="1223" w:type="dxa"/>
                  <w:tcBorders>
                    <w:tl2br w:val="nil"/>
                    <w:tr2bl w:val="nil"/>
                  </w:tcBorders>
                  <w:noWrap w:val="0"/>
                  <w:vAlign w:val="center"/>
                </w:tcPr>
                <w:p w14:paraId="6E853A65">
                  <w:pPr>
                    <w:pStyle w:val="2"/>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Times New Roman" w:cs="Times New Roman"/>
                      <w:color w:val="auto"/>
                      <w:sz w:val="21"/>
                      <w:szCs w:val="21"/>
                    </w:rPr>
                    <w:t>q/Q</w:t>
                  </w:r>
                </w:p>
              </w:tc>
            </w:tr>
            <w:tr w14:paraId="79A5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4" w:type="dxa"/>
                  <w:tcBorders>
                    <w:tl2br w:val="nil"/>
                    <w:tr2bl w:val="nil"/>
                  </w:tcBorders>
                  <w:noWrap w:val="0"/>
                  <w:vAlign w:val="center"/>
                </w:tcPr>
                <w:p w14:paraId="4E246977">
                  <w:pPr>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油类物质（矿物油类，如石油、汽油、柴油等；生物柴油等）</w:t>
                  </w:r>
                </w:p>
              </w:tc>
              <w:tc>
                <w:tcPr>
                  <w:tcW w:w="1252" w:type="dxa"/>
                  <w:tcBorders>
                    <w:tl2br w:val="nil"/>
                    <w:tr2bl w:val="nil"/>
                  </w:tcBorders>
                  <w:noWrap w:val="0"/>
                  <w:vAlign w:val="center"/>
                </w:tcPr>
                <w:p w14:paraId="6CAFFE13">
                  <w:pPr>
                    <w:keepNext w:val="0"/>
                    <w:keepLines w:val="0"/>
                    <w:pageBreakBefore w:val="0"/>
                    <w:widowControl w:val="0"/>
                    <w:kinsoku/>
                    <w:wordWrap/>
                    <w:overflowPunct/>
                    <w:topLinePunct w:val="0"/>
                    <w:bidi w:val="0"/>
                    <w:adjustRightInd w:val="0"/>
                    <w:snapToGrid w:val="0"/>
                    <w:spacing w:before="63" w:beforeLines="20" w:line="240" w:lineRule="auto"/>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w:t>
                  </w:r>
                </w:p>
              </w:tc>
              <w:tc>
                <w:tcPr>
                  <w:tcW w:w="1062" w:type="dxa"/>
                  <w:tcBorders>
                    <w:tl2br w:val="nil"/>
                    <w:tr2bl w:val="nil"/>
                  </w:tcBorders>
                  <w:noWrap w:val="0"/>
                  <w:vAlign w:val="center"/>
                </w:tcPr>
                <w:p w14:paraId="29AA83D1">
                  <w:pPr>
                    <w:pStyle w:val="2"/>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机油</w:t>
                  </w:r>
                </w:p>
              </w:tc>
              <w:tc>
                <w:tcPr>
                  <w:tcW w:w="1065" w:type="dxa"/>
                  <w:tcBorders>
                    <w:tl2br w:val="nil"/>
                    <w:tr2bl w:val="nil"/>
                  </w:tcBorders>
                  <w:noWrap w:val="0"/>
                  <w:vAlign w:val="center"/>
                </w:tcPr>
                <w:p w14:paraId="3D070C35">
                  <w:pPr>
                    <w:pStyle w:val="2"/>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0.1</w:t>
                  </w:r>
                </w:p>
              </w:tc>
              <w:tc>
                <w:tcPr>
                  <w:tcW w:w="1426" w:type="dxa"/>
                  <w:tcBorders>
                    <w:tl2br w:val="nil"/>
                    <w:tr2bl w:val="nil"/>
                  </w:tcBorders>
                  <w:noWrap w:val="0"/>
                  <w:vAlign w:val="center"/>
                </w:tcPr>
                <w:p w14:paraId="37A88400">
                  <w:pPr>
                    <w:pStyle w:val="2"/>
                    <w:keepNext w:val="0"/>
                    <w:keepLines w:val="0"/>
                    <w:pageBreakBefore w:val="0"/>
                    <w:widowControl w:val="0"/>
                    <w:kinsoku/>
                    <w:wordWrap/>
                    <w:overflowPunct/>
                    <w:topLinePunct w:val="0"/>
                    <w:autoSpaceDE w:val="0"/>
                    <w:autoSpaceDN w:val="0"/>
                    <w:bidi w:val="0"/>
                    <w:adjustRightInd w:val="0"/>
                    <w:snapToGrid w:val="0"/>
                    <w:spacing w:before="63" w:beforeLines="2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2500</w:t>
                  </w:r>
                </w:p>
              </w:tc>
              <w:tc>
                <w:tcPr>
                  <w:tcW w:w="1223" w:type="dxa"/>
                  <w:tcBorders>
                    <w:tl2br w:val="nil"/>
                    <w:tr2bl w:val="nil"/>
                  </w:tcBorders>
                  <w:noWrap w:val="0"/>
                  <w:vAlign w:val="center"/>
                </w:tcPr>
                <w:p w14:paraId="61F7A907">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0.0001</w:t>
                  </w:r>
                </w:p>
              </w:tc>
            </w:tr>
          </w:tbl>
          <w:p w14:paraId="31F370C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经计算</w:t>
            </w:r>
            <w:r>
              <w:rPr>
                <w:rFonts w:hint="eastAsia"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lang w:val="en-US" w:eastAsia="zh-CN"/>
              </w:rPr>
              <w:t>Q=0.0</w:t>
            </w:r>
            <w:r>
              <w:rPr>
                <w:rFonts w:hint="eastAsia" w:cs="Times New Roman"/>
                <w:color w:val="auto"/>
                <w:sz w:val="24"/>
                <w:szCs w:val="24"/>
                <w:highlight w:val="none"/>
                <w:lang w:val="en-US" w:eastAsia="zh-CN"/>
              </w:rPr>
              <w:t>001</w:t>
            </w:r>
            <w:r>
              <w:rPr>
                <w:rFonts w:hint="default" w:ascii="Times New Roman" w:hAnsi="Times New Roman" w:cs="Times New Roman"/>
                <w:b/>
                <w:bCs/>
                <w:color w:val="auto"/>
                <w:sz w:val="24"/>
                <w:szCs w:val="24"/>
                <w:highlight w:val="none"/>
                <w:lang w:val="en-US" w:eastAsia="zh-CN"/>
              </w:rPr>
              <w:t>&lt;</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根据《建设项目环境风险评价技术导则》（HJ/T169-2018），当Q&lt;1时，该项目</w:t>
            </w:r>
            <w:r>
              <w:rPr>
                <w:rFonts w:hint="eastAsia" w:ascii="Times New Roman" w:hAnsi="Times New Roman" w:cs="Times New Roman"/>
                <w:color w:val="auto"/>
                <w:sz w:val="24"/>
                <w:szCs w:val="24"/>
                <w:highlight w:val="none"/>
                <w:lang w:val="en-US" w:eastAsia="zh-CN"/>
              </w:rPr>
              <w:t>环境</w:t>
            </w:r>
            <w:r>
              <w:rPr>
                <w:rFonts w:hint="default" w:ascii="Times New Roman" w:hAnsi="Times New Roman" w:cs="Times New Roman"/>
                <w:color w:val="auto"/>
                <w:sz w:val="24"/>
                <w:szCs w:val="24"/>
                <w:highlight w:val="none"/>
                <w:lang w:val="en-US" w:eastAsia="zh-CN"/>
              </w:rPr>
              <w:t>风险潜势为</w:t>
            </w:r>
            <w:r>
              <w:rPr>
                <w:rFonts w:hint="default" w:ascii="Times New Roman" w:hAnsi="Times New Roman" w:eastAsia="宋体" w:cs="Times New Roman"/>
                <w:color w:val="auto"/>
                <w:sz w:val="24"/>
                <w:szCs w:val="24"/>
                <w:highlight w:val="none"/>
                <w:lang w:val="en-US" w:eastAsia="zh-CN"/>
              </w:rPr>
              <w:t>Ⅰ</w:t>
            </w:r>
            <w:r>
              <w:rPr>
                <w:rFonts w:hint="eastAsia" w:ascii="Times New Roman" w:hAnsi="Times New Roman" w:eastAsia="宋体" w:cs="Times New Roman"/>
                <w:color w:val="auto"/>
                <w:sz w:val="24"/>
                <w:szCs w:val="24"/>
                <w:highlight w:val="none"/>
                <w:lang w:val="en-US" w:eastAsia="zh-CN"/>
              </w:rPr>
              <w:t>，进行简单分析</w:t>
            </w:r>
            <w:r>
              <w:rPr>
                <w:rFonts w:hint="default" w:ascii="Times New Roman" w:hAnsi="Times New Roman" w:eastAsia="宋体" w:cs="Times New Roman"/>
                <w:color w:val="auto"/>
                <w:sz w:val="24"/>
                <w:szCs w:val="24"/>
                <w:highlight w:val="none"/>
                <w:lang w:val="en-US" w:eastAsia="zh-CN"/>
              </w:rPr>
              <w:t>。</w:t>
            </w:r>
          </w:p>
          <w:p w14:paraId="5718B58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snapToGrid/>
                <w:color w:val="auto"/>
                <w:spacing w:val="0"/>
                <w:kern w:val="0"/>
                <w:position w:val="0"/>
                <w:sz w:val="24"/>
                <w:szCs w:val="24"/>
                <w:highlight w:val="none"/>
                <w:lang w:eastAsia="zh-CN"/>
              </w:rPr>
            </w:pPr>
            <w:r>
              <w:rPr>
                <w:rFonts w:hint="default" w:ascii="Times New Roman" w:hAnsi="Times New Roman" w:eastAsia="宋体" w:cs="Times New Roman"/>
                <w:b/>
                <w:bCs/>
                <w:snapToGrid/>
                <w:color w:val="auto"/>
                <w:spacing w:val="0"/>
                <w:kern w:val="0"/>
                <w:position w:val="0"/>
                <w:sz w:val="24"/>
                <w:szCs w:val="24"/>
                <w:highlight w:val="none"/>
              </w:rPr>
              <w:t>环境风险防范措施</w:t>
            </w:r>
            <w:r>
              <w:rPr>
                <w:rFonts w:hint="eastAsia" w:ascii="Times New Roman" w:hAnsi="Times New Roman" w:eastAsia="宋体" w:cs="Times New Roman"/>
                <w:b/>
                <w:bCs/>
                <w:snapToGrid/>
                <w:color w:val="auto"/>
                <w:spacing w:val="0"/>
                <w:kern w:val="0"/>
                <w:position w:val="0"/>
                <w:sz w:val="24"/>
                <w:szCs w:val="24"/>
                <w:highlight w:val="none"/>
                <w:lang w:eastAsia="zh-CN"/>
              </w:rPr>
              <w:t>：</w:t>
            </w:r>
          </w:p>
          <w:p w14:paraId="5ADA6A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40" w:firstLineChars="100"/>
              <w:textAlignment w:val="auto"/>
              <w:rPr>
                <w:rFonts w:hint="default" w:ascii="Times New Roman" w:hAnsi="Times New Roman" w:eastAsia="宋体" w:cs="Times New Roman"/>
                <w:b w:val="0"/>
                <w:i w:val="0"/>
                <w:color w:val="auto"/>
                <w:sz w:val="24"/>
                <w:szCs w:val="24"/>
                <w:highlight w:val="none"/>
                <w:lang w:val="en-US" w:eastAsia="zh-CN"/>
              </w:rPr>
            </w:pPr>
            <w:r>
              <w:rPr>
                <w:rFonts w:hint="eastAsia" w:ascii="Times New Roman" w:hAnsi="Times New Roman" w:eastAsia="宋体" w:cs="Times New Roman"/>
                <w:b w:val="0"/>
                <w:i w:val="0"/>
                <w:color w:val="auto"/>
                <w:sz w:val="24"/>
                <w:szCs w:val="24"/>
                <w:highlight w:val="none"/>
                <w:lang w:val="en-US" w:eastAsia="zh-CN"/>
              </w:rPr>
              <w:t>（1）</w:t>
            </w:r>
            <w:r>
              <w:rPr>
                <w:rFonts w:hint="default" w:ascii="Times New Roman" w:hAnsi="Times New Roman" w:eastAsia="宋体" w:cs="Times New Roman"/>
                <w:b w:val="0"/>
                <w:i w:val="0"/>
                <w:color w:val="auto"/>
                <w:sz w:val="24"/>
                <w:szCs w:val="24"/>
                <w:highlight w:val="none"/>
                <w:lang w:val="en-US" w:eastAsia="zh-CN"/>
              </w:rPr>
              <w:t>环境风险防范措施及应急要求</w:t>
            </w:r>
          </w:p>
          <w:p w14:paraId="213AE4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为了减轻危险物品发生泄漏事故的危害后果、频率、影响程度和范围，达到同行业可接受水平，建设单位必须采取相应的风险防范措施，本评价提出以下建议：</w:t>
            </w:r>
          </w:p>
          <w:p w14:paraId="41D025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val="0"/>
                <w:bCs w:val="0"/>
                <w:i w:val="0"/>
                <w:color w:val="auto"/>
                <w:kern w:val="2"/>
                <w:sz w:val="24"/>
                <w:szCs w:val="24"/>
                <w:lang w:val="en-US" w:eastAsia="zh-CN" w:bidi="ar-SA"/>
              </w:rPr>
            </w:pPr>
            <w:r>
              <w:rPr>
                <w:rFonts w:hint="default" w:ascii="Times New Roman" w:hAnsi="Times New Roman" w:cs="Times New Roman" w:eastAsiaTheme="minorEastAsia"/>
                <w:b w:val="0"/>
                <w:bCs w:val="0"/>
                <w:i w:val="0"/>
                <w:color w:val="auto"/>
                <w:kern w:val="2"/>
                <w:sz w:val="24"/>
                <w:szCs w:val="24"/>
                <w:lang w:val="en-US" w:eastAsia="zh-CN" w:bidi="ar-SA"/>
              </w:rPr>
              <w:t>①总平面布置中，充分考虑总体布置的安全性，顺应生产流程布置，严格执行有关标准、规范和规定，并考虑各类工艺生产装置之间的防火间距，以及工艺生产装置与重要辅助设施、道路、行政设施等的防火间距。厂区内道路和厂外道路相连，以利于事故状态下人员疏散和抢救。</w:t>
            </w:r>
          </w:p>
          <w:p w14:paraId="52C374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val="0"/>
                <w:bCs w:val="0"/>
                <w:i w:val="0"/>
                <w:color w:val="auto"/>
                <w:kern w:val="2"/>
                <w:sz w:val="24"/>
                <w:szCs w:val="24"/>
                <w:lang w:val="en-US" w:eastAsia="zh-CN" w:bidi="ar-SA"/>
              </w:rPr>
            </w:pPr>
            <w:r>
              <w:rPr>
                <w:rFonts w:hint="default" w:ascii="Times New Roman" w:hAnsi="Times New Roman" w:cs="Times New Roman"/>
                <w:color w:val="auto"/>
                <w:kern w:val="0"/>
                <w:sz w:val="24"/>
              </w:rPr>
              <w:t>②</w:t>
            </w:r>
            <w:r>
              <w:rPr>
                <w:rFonts w:hint="default" w:ascii="Times New Roman" w:hAnsi="Times New Roman" w:cs="Times New Roman" w:eastAsiaTheme="minorEastAsia"/>
                <w:b w:val="0"/>
                <w:bCs w:val="0"/>
                <w:i w:val="0"/>
                <w:color w:val="auto"/>
                <w:kern w:val="2"/>
                <w:sz w:val="24"/>
                <w:szCs w:val="24"/>
                <w:lang w:val="en-US" w:eastAsia="zh-CN" w:bidi="ar-SA"/>
              </w:rPr>
              <w:t>配备火灾自动报警系统，减小危险物质发生泄漏或火灾时对外环境的影响。</w:t>
            </w:r>
          </w:p>
          <w:p w14:paraId="0E4ED7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val="0"/>
                <w:bCs w:val="0"/>
                <w:i w:val="0"/>
                <w:color w:val="auto"/>
                <w:kern w:val="2"/>
                <w:sz w:val="24"/>
                <w:szCs w:val="24"/>
                <w:lang w:val="en-US" w:eastAsia="zh-CN" w:bidi="ar-SA"/>
              </w:rPr>
            </w:pPr>
            <w:r>
              <w:rPr>
                <w:rFonts w:hint="default" w:ascii="Times New Roman" w:hAnsi="Times New Roman" w:cs="Times New Roman" w:eastAsiaTheme="minorEastAsia"/>
                <w:b w:val="0"/>
                <w:bCs w:val="0"/>
                <w:i w:val="0"/>
                <w:color w:val="auto"/>
                <w:kern w:val="2"/>
                <w:sz w:val="24"/>
                <w:szCs w:val="24"/>
                <w:lang w:val="en-US" w:eastAsia="zh-CN" w:bidi="ar-SA"/>
              </w:rPr>
              <w:t>③加强设备、管道、管件的巡查和维修，防止“跑、冒、滴、漏”等现象的发生，以避免造成人身和设备事故。</w:t>
            </w:r>
          </w:p>
          <w:p w14:paraId="3344B970">
            <w:pPr>
              <w:pStyle w:val="72"/>
              <w:spacing w:line="360" w:lineRule="auto"/>
              <w:ind w:firstLine="0"/>
              <w:rPr>
                <w:color w:val="auto"/>
              </w:rPr>
            </w:pPr>
            <w:r>
              <w:rPr>
                <w:rFonts w:hint="eastAsia" w:ascii="Times New Roman" w:hAnsi="Times New Roman" w:eastAsia="宋体" w:cs="Times New Roman"/>
                <w:b/>
                <w:bCs/>
                <w:color w:val="auto"/>
                <w:kern w:val="2"/>
                <w:sz w:val="24"/>
                <w:szCs w:val="28"/>
                <w:lang w:val="en-US" w:eastAsia="zh-CN" w:bidi="ar-SA"/>
              </w:rPr>
              <w:t>表</w:t>
            </w:r>
            <w:r>
              <w:rPr>
                <w:rFonts w:hint="eastAsia" w:ascii="Times New Roman" w:hAnsi="Times New Roman" w:cs="Times New Roman"/>
                <w:b/>
                <w:bCs/>
                <w:color w:val="auto"/>
                <w:kern w:val="2"/>
                <w:sz w:val="24"/>
                <w:szCs w:val="28"/>
                <w:lang w:val="en-US" w:eastAsia="zh-CN" w:bidi="ar-SA"/>
              </w:rPr>
              <w:t>4.</w:t>
            </w:r>
            <w:r>
              <w:rPr>
                <w:rFonts w:hint="eastAsia" w:cs="Times New Roman"/>
                <w:b/>
                <w:bCs/>
                <w:color w:val="auto"/>
                <w:kern w:val="2"/>
                <w:sz w:val="24"/>
                <w:szCs w:val="28"/>
                <w:lang w:val="en-US" w:eastAsia="zh-CN" w:bidi="ar-SA"/>
              </w:rPr>
              <w:t xml:space="preserve">16 </w:t>
            </w:r>
            <w:r>
              <w:rPr>
                <w:rFonts w:hint="eastAsia" w:ascii="Times New Roman" w:hAnsi="Times New Roman" w:eastAsia="宋体" w:cs="Times New Roman"/>
                <w:b/>
                <w:bCs/>
                <w:color w:val="auto"/>
                <w:kern w:val="2"/>
                <w:sz w:val="24"/>
                <w:szCs w:val="28"/>
                <w:lang w:val="en-US" w:eastAsia="zh-CN" w:bidi="ar-SA"/>
              </w:rPr>
              <w:t xml:space="preserve"> </w:t>
            </w:r>
            <w:r>
              <w:rPr>
                <w:color w:val="auto"/>
                <w:sz w:val="24"/>
              </w:rPr>
              <w:t>建设项目环境风险简单分析内容表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340"/>
              <w:gridCol w:w="1279"/>
              <w:gridCol w:w="903"/>
              <w:gridCol w:w="1252"/>
              <w:gridCol w:w="2131"/>
            </w:tblGrid>
            <w:tr w14:paraId="4626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96" w:type="pct"/>
                  <w:noWrap w:val="0"/>
                  <w:vAlign w:val="center"/>
                </w:tcPr>
                <w:p w14:paraId="42F122AA">
                  <w:pPr>
                    <w:pStyle w:val="73"/>
                    <w:rPr>
                      <w:color w:val="auto"/>
                    </w:rPr>
                  </w:pPr>
                  <w:r>
                    <w:rPr>
                      <w:color w:val="auto"/>
                    </w:rPr>
                    <w:t>建设项目</w:t>
                  </w:r>
                </w:p>
                <w:p w14:paraId="7FCEC3EF">
                  <w:pPr>
                    <w:pStyle w:val="73"/>
                    <w:rPr>
                      <w:color w:val="auto"/>
                    </w:rPr>
                  </w:pPr>
                  <w:r>
                    <w:rPr>
                      <w:color w:val="auto"/>
                    </w:rPr>
                    <w:t>名称</w:t>
                  </w:r>
                </w:p>
              </w:tc>
              <w:tc>
                <w:tcPr>
                  <w:tcW w:w="4203" w:type="pct"/>
                  <w:gridSpan w:val="5"/>
                  <w:noWrap w:val="0"/>
                  <w:vAlign w:val="center"/>
                </w:tcPr>
                <w:p w14:paraId="37152260">
                  <w:pPr>
                    <w:pStyle w:val="73"/>
                    <w:rPr>
                      <w:rFonts w:hint="eastAsia"/>
                      <w:color w:val="auto"/>
                    </w:rPr>
                  </w:pPr>
                  <w:r>
                    <w:rPr>
                      <w:rFonts w:hint="eastAsia"/>
                      <w:color w:val="auto"/>
                    </w:rPr>
                    <w:t>安徽省固废邦环保科技有限公司新型材料生产项目</w:t>
                  </w:r>
                </w:p>
              </w:tc>
            </w:tr>
            <w:tr w14:paraId="5D06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noWrap w:val="0"/>
                  <w:vAlign w:val="center"/>
                </w:tcPr>
                <w:p w14:paraId="6E5A54F4">
                  <w:pPr>
                    <w:pStyle w:val="73"/>
                    <w:rPr>
                      <w:color w:val="auto"/>
                    </w:rPr>
                  </w:pPr>
                  <w:r>
                    <w:rPr>
                      <w:color w:val="auto"/>
                    </w:rPr>
                    <w:t>建设地点</w:t>
                  </w:r>
                </w:p>
              </w:tc>
              <w:tc>
                <w:tcPr>
                  <w:tcW w:w="816" w:type="pct"/>
                  <w:noWrap w:val="0"/>
                  <w:vAlign w:val="center"/>
                </w:tcPr>
                <w:p w14:paraId="0C786F19">
                  <w:pPr>
                    <w:pStyle w:val="73"/>
                    <w:rPr>
                      <w:rFonts w:hint="eastAsia"/>
                      <w:color w:val="auto"/>
                    </w:rPr>
                  </w:pPr>
                  <w:r>
                    <w:rPr>
                      <w:rFonts w:hint="eastAsia"/>
                      <w:color w:val="auto"/>
                    </w:rPr>
                    <w:t>（安徽）省</w:t>
                  </w:r>
                </w:p>
              </w:tc>
              <w:tc>
                <w:tcPr>
                  <w:tcW w:w="779" w:type="pct"/>
                  <w:noWrap w:val="0"/>
                  <w:vAlign w:val="center"/>
                </w:tcPr>
                <w:p w14:paraId="473814B1">
                  <w:pPr>
                    <w:pStyle w:val="73"/>
                    <w:rPr>
                      <w:rFonts w:hint="eastAsia"/>
                      <w:color w:val="auto"/>
                    </w:rPr>
                  </w:pPr>
                  <w:r>
                    <w:rPr>
                      <w:rFonts w:hint="eastAsia"/>
                      <w:color w:val="auto"/>
                    </w:rPr>
                    <w:t>（</w:t>
                  </w:r>
                  <w:r>
                    <w:rPr>
                      <w:rFonts w:hint="eastAsia"/>
                      <w:color w:val="auto"/>
                      <w:lang w:eastAsia="zh-CN"/>
                    </w:rPr>
                    <w:t>宿州</w:t>
                  </w:r>
                  <w:r>
                    <w:rPr>
                      <w:rFonts w:hint="eastAsia"/>
                      <w:color w:val="auto"/>
                    </w:rPr>
                    <w:t>）市</w:t>
                  </w:r>
                </w:p>
              </w:tc>
              <w:tc>
                <w:tcPr>
                  <w:tcW w:w="549" w:type="pct"/>
                  <w:noWrap w:val="0"/>
                  <w:vAlign w:val="center"/>
                </w:tcPr>
                <w:p w14:paraId="7428CEE3">
                  <w:pPr>
                    <w:pStyle w:val="73"/>
                    <w:rPr>
                      <w:rFonts w:hint="eastAsia"/>
                      <w:color w:val="auto"/>
                    </w:rPr>
                  </w:pPr>
                  <w:r>
                    <w:rPr>
                      <w:rFonts w:hint="eastAsia"/>
                      <w:color w:val="auto"/>
                    </w:rPr>
                    <w:t>（</w:t>
                  </w:r>
                  <w:r>
                    <w:rPr>
                      <w:rFonts w:hint="eastAsia"/>
                      <w:color w:val="auto"/>
                      <w:lang w:val="en-US" w:eastAsia="zh-CN"/>
                    </w:rPr>
                    <w:t>埇桥</w:t>
                  </w:r>
                  <w:r>
                    <w:rPr>
                      <w:rFonts w:hint="eastAsia"/>
                      <w:color w:val="auto"/>
                    </w:rPr>
                    <w:t>）区</w:t>
                  </w:r>
                </w:p>
              </w:tc>
              <w:tc>
                <w:tcPr>
                  <w:tcW w:w="762" w:type="pct"/>
                  <w:noWrap w:val="0"/>
                  <w:vAlign w:val="center"/>
                </w:tcPr>
                <w:p w14:paraId="401F8F08">
                  <w:pPr>
                    <w:pStyle w:val="73"/>
                    <w:rPr>
                      <w:rFonts w:hint="eastAsia"/>
                      <w:color w:val="auto"/>
                    </w:rPr>
                  </w:pPr>
                  <w:r>
                    <w:rPr>
                      <w:rFonts w:hint="eastAsia"/>
                      <w:color w:val="auto"/>
                    </w:rPr>
                    <w:t>（</w:t>
                  </w:r>
                  <w:r>
                    <w:rPr>
                      <w:rFonts w:hint="eastAsia"/>
                      <w:color w:val="auto"/>
                      <w:lang w:val="en-US" w:eastAsia="zh-CN"/>
                    </w:rPr>
                    <w:t>/</w:t>
                  </w:r>
                  <w:r>
                    <w:rPr>
                      <w:rFonts w:hint="eastAsia"/>
                      <w:color w:val="auto"/>
                    </w:rPr>
                    <w:t>）县</w:t>
                  </w:r>
                </w:p>
              </w:tc>
              <w:tc>
                <w:tcPr>
                  <w:tcW w:w="1294" w:type="pct"/>
                  <w:noWrap w:val="0"/>
                  <w:vAlign w:val="center"/>
                </w:tcPr>
                <w:p w14:paraId="221BD177">
                  <w:pPr>
                    <w:pStyle w:val="73"/>
                    <w:rPr>
                      <w:rFonts w:hint="eastAsia" w:eastAsia="宋体"/>
                      <w:color w:val="auto"/>
                      <w:lang w:eastAsia="zh-CN"/>
                    </w:rPr>
                  </w:pPr>
                  <w:r>
                    <w:rPr>
                      <w:rFonts w:hint="eastAsia" w:eastAsia="宋体"/>
                      <w:color w:val="auto"/>
                      <w:lang w:eastAsia="zh-CN"/>
                    </w:rPr>
                    <w:t>顺河镇魏庄村魏武路北侧17号</w:t>
                  </w:r>
                </w:p>
              </w:tc>
            </w:tr>
            <w:tr w14:paraId="196F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noWrap w:val="0"/>
                  <w:vAlign w:val="center"/>
                </w:tcPr>
                <w:p w14:paraId="7270CA4F">
                  <w:pPr>
                    <w:pStyle w:val="73"/>
                    <w:rPr>
                      <w:color w:val="auto"/>
                    </w:rPr>
                  </w:pPr>
                  <w:r>
                    <w:rPr>
                      <w:color w:val="auto"/>
                    </w:rPr>
                    <w:t>地理坐标</w:t>
                  </w:r>
                </w:p>
              </w:tc>
              <w:tc>
                <w:tcPr>
                  <w:tcW w:w="816" w:type="pct"/>
                  <w:noWrap w:val="0"/>
                  <w:vAlign w:val="center"/>
                </w:tcPr>
                <w:p w14:paraId="3BF27508">
                  <w:pPr>
                    <w:pStyle w:val="73"/>
                    <w:rPr>
                      <w:color w:val="auto"/>
                    </w:rPr>
                  </w:pPr>
                  <w:r>
                    <w:rPr>
                      <w:color w:val="auto"/>
                    </w:rPr>
                    <w:t>经度</w:t>
                  </w:r>
                </w:p>
              </w:tc>
              <w:tc>
                <w:tcPr>
                  <w:tcW w:w="1329" w:type="pct"/>
                  <w:gridSpan w:val="2"/>
                  <w:noWrap w:val="0"/>
                  <w:vAlign w:val="center"/>
                </w:tcPr>
                <w:p w14:paraId="3D0A29F4">
                  <w:pPr>
                    <w:pStyle w:val="73"/>
                    <w:rPr>
                      <w:color w:val="auto"/>
                    </w:rPr>
                  </w:pPr>
                  <w:r>
                    <w:rPr>
                      <w:color w:val="auto"/>
                    </w:rPr>
                    <w:t>11</w:t>
                  </w:r>
                  <w:r>
                    <w:rPr>
                      <w:rFonts w:hint="eastAsia"/>
                      <w:color w:val="auto"/>
                      <w:lang w:val="en-US" w:eastAsia="zh-CN"/>
                    </w:rPr>
                    <w:t>7</w:t>
                  </w:r>
                  <w:r>
                    <w:rPr>
                      <w:color w:val="auto"/>
                    </w:rPr>
                    <w:t>度</w:t>
                  </w:r>
                  <w:r>
                    <w:rPr>
                      <w:rFonts w:hint="eastAsia"/>
                      <w:color w:val="auto"/>
                      <w:lang w:val="en-US" w:eastAsia="zh-CN"/>
                    </w:rPr>
                    <w:t>2</w:t>
                  </w:r>
                  <w:r>
                    <w:rPr>
                      <w:color w:val="auto"/>
                    </w:rPr>
                    <w:t>分</w:t>
                  </w:r>
                  <w:r>
                    <w:rPr>
                      <w:rFonts w:hint="eastAsia"/>
                      <w:color w:val="auto"/>
                      <w:lang w:val="en-US" w:eastAsia="zh-CN"/>
                    </w:rPr>
                    <w:t>12.087</w:t>
                  </w:r>
                  <w:r>
                    <w:rPr>
                      <w:color w:val="auto"/>
                    </w:rPr>
                    <w:t>秒</w:t>
                  </w:r>
                </w:p>
              </w:tc>
              <w:tc>
                <w:tcPr>
                  <w:tcW w:w="762" w:type="pct"/>
                  <w:noWrap w:val="0"/>
                  <w:vAlign w:val="center"/>
                </w:tcPr>
                <w:p w14:paraId="737B1CFB">
                  <w:pPr>
                    <w:pStyle w:val="73"/>
                    <w:rPr>
                      <w:color w:val="auto"/>
                    </w:rPr>
                  </w:pPr>
                  <w:r>
                    <w:rPr>
                      <w:color w:val="auto"/>
                    </w:rPr>
                    <w:t>纬度</w:t>
                  </w:r>
                </w:p>
              </w:tc>
              <w:tc>
                <w:tcPr>
                  <w:tcW w:w="1294" w:type="pct"/>
                  <w:noWrap w:val="0"/>
                  <w:vAlign w:val="center"/>
                </w:tcPr>
                <w:p w14:paraId="4FF37624">
                  <w:pPr>
                    <w:pStyle w:val="73"/>
                    <w:rPr>
                      <w:color w:val="auto"/>
                    </w:rPr>
                  </w:pPr>
                  <w:r>
                    <w:rPr>
                      <w:rFonts w:hint="eastAsia"/>
                      <w:color w:val="auto"/>
                      <w:lang w:val="en-US" w:eastAsia="zh-CN"/>
                    </w:rPr>
                    <w:t>33</w:t>
                  </w:r>
                  <w:r>
                    <w:rPr>
                      <w:color w:val="auto"/>
                    </w:rPr>
                    <w:t>度</w:t>
                  </w:r>
                  <w:r>
                    <w:rPr>
                      <w:rFonts w:hint="eastAsia"/>
                      <w:color w:val="auto"/>
                      <w:lang w:val="en-US" w:eastAsia="zh-CN"/>
                    </w:rPr>
                    <w:t>45</w:t>
                  </w:r>
                  <w:r>
                    <w:rPr>
                      <w:color w:val="auto"/>
                    </w:rPr>
                    <w:t>分</w:t>
                  </w:r>
                  <w:r>
                    <w:rPr>
                      <w:rFonts w:hint="eastAsia"/>
                      <w:color w:val="auto"/>
                      <w:lang w:val="en-US" w:eastAsia="zh-CN"/>
                    </w:rPr>
                    <w:t>3.404</w:t>
                  </w:r>
                  <w:r>
                    <w:rPr>
                      <w:color w:val="auto"/>
                    </w:rPr>
                    <w:t>秒</w:t>
                  </w:r>
                </w:p>
              </w:tc>
            </w:tr>
            <w:tr w14:paraId="3853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noWrap w:val="0"/>
                  <w:vAlign w:val="center"/>
                </w:tcPr>
                <w:p w14:paraId="512301E0">
                  <w:pPr>
                    <w:pStyle w:val="73"/>
                    <w:rPr>
                      <w:color w:val="auto"/>
                    </w:rPr>
                  </w:pPr>
                  <w:r>
                    <w:rPr>
                      <w:color w:val="auto"/>
                    </w:rPr>
                    <w:t>主要危险物质分布</w:t>
                  </w:r>
                </w:p>
              </w:tc>
              <w:tc>
                <w:tcPr>
                  <w:tcW w:w="4203" w:type="pct"/>
                  <w:gridSpan w:val="5"/>
                  <w:noWrap w:val="0"/>
                  <w:vAlign w:val="center"/>
                </w:tcPr>
                <w:p w14:paraId="4C71D18D">
                  <w:pPr>
                    <w:pStyle w:val="73"/>
                    <w:rPr>
                      <w:rFonts w:hint="eastAsia" w:eastAsia="宋体"/>
                      <w:color w:val="auto"/>
                      <w:lang w:eastAsia="zh-CN"/>
                    </w:rPr>
                  </w:pPr>
                  <w:r>
                    <w:rPr>
                      <w:rFonts w:hint="eastAsia"/>
                      <w:color w:val="auto"/>
                      <w:lang w:eastAsia="zh-CN"/>
                    </w:rPr>
                    <w:t>危废间</w:t>
                  </w:r>
                </w:p>
              </w:tc>
            </w:tr>
            <w:tr w14:paraId="42E4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6" w:type="pct"/>
                  <w:noWrap w:val="0"/>
                  <w:vAlign w:val="center"/>
                </w:tcPr>
                <w:p w14:paraId="6608C819">
                  <w:pPr>
                    <w:pStyle w:val="73"/>
                    <w:rPr>
                      <w:color w:val="auto"/>
                    </w:rPr>
                  </w:pPr>
                  <w:r>
                    <w:rPr>
                      <w:color w:val="auto"/>
                    </w:rPr>
                    <w:t>环境影响途径及危害后果（大气、地表水、地下水等）</w:t>
                  </w:r>
                </w:p>
              </w:tc>
              <w:tc>
                <w:tcPr>
                  <w:tcW w:w="4203" w:type="pct"/>
                  <w:gridSpan w:val="5"/>
                  <w:noWrap w:val="0"/>
                  <w:vAlign w:val="center"/>
                </w:tcPr>
                <w:p w14:paraId="20A309D4">
                  <w:pPr>
                    <w:pStyle w:val="73"/>
                    <w:rPr>
                      <w:rFonts w:hint="eastAsia"/>
                      <w:color w:val="auto"/>
                      <w:lang w:val="en-US" w:eastAsia="zh-CN"/>
                    </w:rPr>
                  </w:pPr>
                  <w:r>
                    <w:rPr>
                      <w:rFonts w:hint="eastAsia"/>
                      <w:color w:val="auto"/>
                      <w:lang w:val="en-US" w:eastAsia="zh-CN"/>
                    </w:rPr>
                    <w:t>大气环境：燃烧发生火灾引起的大气二次污染物主要为一氧化碳，浓度范围在数十至数百毫克</w:t>
                  </w:r>
                  <w:r>
                    <w:rPr>
                      <w:rFonts w:hint="default"/>
                      <w:color w:val="auto"/>
                      <w:lang w:val="en-US" w:eastAsia="zh-CN"/>
                    </w:rPr>
                    <w:t>/</w:t>
                  </w:r>
                  <w:r>
                    <w:rPr>
                      <w:rFonts w:hint="eastAsia"/>
                      <w:color w:val="auto"/>
                      <w:lang w:val="en-US" w:eastAsia="zh-CN"/>
                    </w:rPr>
                    <w:t>立方米之间，对于下风向的环境空气质量在短时间内</w:t>
                  </w:r>
                </w:p>
                <w:p w14:paraId="6950C8A1">
                  <w:pPr>
                    <w:pStyle w:val="73"/>
                    <w:jc w:val="both"/>
                    <w:rPr>
                      <w:color w:val="auto"/>
                    </w:rPr>
                  </w:pPr>
                  <w:r>
                    <w:rPr>
                      <w:rFonts w:hint="eastAsia"/>
                      <w:color w:val="auto"/>
                      <w:lang w:val="en-US" w:eastAsia="zh-CN"/>
                    </w:rPr>
                    <w:t>有较小影响，长期影响甚微。</w:t>
                  </w:r>
                </w:p>
                <w:p w14:paraId="1DC53EA5">
                  <w:pPr>
                    <w:pStyle w:val="73"/>
                    <w:jc w:val="left"/>
                    <w:rPr>
                      <w:color w:val="auto"/>
                    </w:rPr>
                  </w:pPr>
                  <w:r>
                    <w:rPr>
                      <w:rFonts w:hint="eastAsia"/>
                      <w:color w:val="auto"/>
                      <w:lang w:val="en-US" w:eastAsia="zh-CN"/>
                    </w:rPr>
                    <w:t>水环境：</w:t>
                  </w:r>
                  <w:r>
                    <w:rPr>
                      <w:rFonts w:hint="default" w:eastAsia="宋体"/>
                      <w:color w:val="auto"/>
                    </w:rPr>
                    <w:t>项目</w:t>
                  </w:r>
                  <w:r>
                    <w:rPr>
                      <w:rFonts w:hint="eastAsia" w:eastAsia="宋体"/>
                      <w:color w:val="auto"/>
                      <w:lang w:eastAsia="zh-CN"/>
                    </w:rPr>
                    <w:t>无生产废水排放</w:t>
                  </w:r>
                  <w:r>
                    <w:rPr>
                      <w:rFonts w:hint="eastAsia"/>
                      <w:color w:val="auto"/>
                      <w:lang w:eastAsia="zh-CN"/>
                    </w:rPr>
                    <w:t>；</w:t>
                  </w:r>
                  <w:r>
                    <w:rPr>
                      <w:rFonts w:hint="eastAsia" w:eastAsia="宋体"/>
                      <w:color w:val="auto"/>
                      <w:lang w:eastAsia="zh-CN"/>
                    </w:rPr>
                    <w:t>生活污水经</w:t>
                  </w:r>
                  <w:r>
                    <w:rPr>
                      <w:rFonts w:hint="default" w:cs="Times New Roman"/>
                      <w:color w:val="auto"/>
                      <w:szCs w:val="21"/>
                      <w:lang w:val="en-US" w:eastAsia="zh-CN"/>
                    </w:rPr>
                    <w:t>化粪池预处理后</w:t>
                  </w:r>
                  <w:r>
                    <w:rPr>
                      <w:rFonts w:hint="eastAsia" w:cs="Times New Roman"/>
                      <w:color w:val="auto"/>
                      <w:szCs w:val="21"/>
                      <w:lang w:val="en-US" w:eastAsia="zh-CN"/>
                    </w:rPr>
                    <w:t>定期清掏不外排</w:t>
                  </w:r>
                  <w:r>
                    <w:rPr>
                      <w:rFonts w:hint="eastAsia" w:eastAsia="宋体"/>
                      <w:color w:val="auto"/>
                      <w:lang w:eastAsia="zh-CN"/>
                    </w:rPr>
                    <w:t>。</w:t>
                  </w:r>
                  <w:r>
                    <w:rPr>
                      <w:rFonts w:eastAsia="宋体"/>
                      <w:color w:val="auto"/>
                    </w:rPr>
                    <w:t>不会直接流入周围地表水，不会对周边水体构成影响。</w:t>
                  </w:r>
                </w:p>
                <w:p w14:paraId="07330F27">
                  <w:pPr>
                    <w:pStyle w:val="73"/>
                    <w:jc w:val="left"/>
                    <w:rPr>
                      <w:color w:val="auto"/>
                    </w:rPr>
                  </w:pPr>
                  <w:r>
                    <w:rPr>
                      <w:rFonts w:hint="eastAsia"/>
                      <w:color w:val="auto"/>
                      <w:lang w:val="en-US" w:eastAsia="zh-CN"/>
                    </w:rPr>
                    <w:t>地下水：项目危废暂存间地面做防腐防渗处理，故本项目对地下水影响较小。</w:t>
                  </w:r>
                </w:p>
              </w:tc>
            </w:tr>
            <w:tr w14:paraId="19CA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noWrap w:val="0"/>
                  <w:vAlign w:val="center"/>
                </w:tcPr>
                <w:p w14:paraId="59F1A513">
                  <w:pPr>
                    <w:pStyle w:val="73"/>
                    <w:rPr>
                      <w:color w:val="auto"/>
                    </w:rPr>
                  </w:pPr>
                  <w:r>
                    <w:rPr>
                      <w:color w:val="auto"/>
                    </w:rPr>
                    <w:t>风险防范措施要求</w:t>
                  </w:r>
                </w:p>
              </w:tc>
              <w:tc>
                <w:tcPr>
                  <w:tcW w:w="4203" w:type="pct"/>
                  <w:gridSpan w:val="5"/>
                  <w:noWrap w:val="0"/>
                  <w:vAlign w:val="center"/>
                </w:tcPr>
                <w:p w14:paraId="594EBA0D">
                  <w:pPr>
                    <w:pStyle w:val="73"/>
                    <w:jc w:val="both"/>
                    <w:rPr>
                      <w:color w:val="auto"/>
                    </w:rPr>
                  </w:pPr>
                  <w:r>
                    <w:rPr>
                      <w:color w:val="auto"/>
                    </w:rPr>
                    <w:t>（1）</w:t>
                  </w:r>
                  <w:r>
                    <w:rPr>
                      <w:rFonts w:hint="eastAsia"/>
                      <w:color w:val="auto"/>
                    </w:rPr>
                    <w:t>生产</w:t>
                  </w:r>
                  <w:r>
                    <w:rPr>
                      <w:color w:val="auto"/>
                    </w:rPr>
                    <w:t>厂房、危废</w:t>
                  </w:r>
                  <w:r>
                    <w:rPr>
                      <w:rFonts w:hint="eastAsia"/>
                      <w:color w:val="auto"/>
                      <w:lang w:eastAsia="zh-CN"/>
                    </w:rPr>
                    <w:t>暂存间、</w:t>
                  </w:r>
                  <w:r>
                    <w:rPr>
                      <w:color w:val="auto"/>
                    </w:rPr>
                    <w:t>禁止吸烟，远离火源、热源、电源，无产生火花的条件，禁止明火作业；</w:t>
                  </w:r>
                </w:p>
                <w:p w14:paraId="6DA0616F">
                  <w:pPr>
                    <w:pStyle w:val="73"/>
                    <w:jc w:val="both"/>
                    <w:rPr>
                      <w:color w:val="auto"/>
                    </w:rPr>
                  </w:pPr>
                  <w:r>
                    <w:rPr>
                      <w:color w:val="auto"/>
                    </w:rPr>
                    <w:t>（2）配备完善的消防器材如灭火器、</w:t>
                  </w:r>
                  <w:r>
                    <w:rPr>
                      <w:rFonts w:hint="eastAsia"/>
                      <w:color w:val="auto"/>
                      <w:lang w:eastAsia="zh-CN"/>
                    </w:rPr>
                    <w:t>消防栓</w:t>
                  </w:r>
                  <w:r>
                    <w:rPr>
                      <w:color w:val="auto"/>
                    </w:rPr>
                    <w:t>和通风设备消防器材定期检查；</w:t>
                  </w:r>
                </w:p>
                <w:p w14:paraId="40C8BEE0">
                  <w:pPr>
                    <w:pStyle w:val="73"/>
                    <w:jc w:val="both"/>
                    <w:rPr>
                      <w:color w:val="auto"/>
                    </w:rPr>
                  </w:pPr>
                  <w:r>
                    <w:rPr>
                      <w:color w:val="auto"/>
                    </w:rPr>
                    <w:t>（3）加强管理，确保废气处理设施正常运行，防止出现风机失效；如处理设备出现故障，应立即停止所有生产以减少废气排放，由专人检查、维修后恢复运行。</w:t>
                  </w:r>
                </w:p>
                <w:p w14:paraId="316FCB9D">
                  <w:pPr>
                    <w:pStyle w:val="73"/>
                    <w:jc w:val="left"/>
                    <w:rPr>
                      <w:color w:val="auto"/>
                    </w:rPr>
                  </w:pPr>
                  <w:r>
                    <w:rPr>
                      <w:color w:val="auto"/>
                    </w:rPr>
                    <w:t>（4）危废仓库严格按照《危险废物贮存污染控制标准》（GB18597-20</w:t>
                  </w:r>
                  <w:r>
                    <w:rPr>
                      <w:rFonts w:hint="eastAsia"/>
                      <w:color w:val="auto"/>
                    </w:rPr>
                    <w:t>23</w:t>
                  </w:r>
                  <w:r>
                    <w:rPr>
                      <w:color w:val="auto"/>
                    </w:rPr>
                    <w:t>）的要求进行设计、建设和管理以防危险废物事故排放污染环境。定期对所贮存的危险废物包装容器及贮存设施进行检查，发现破损，应及时采取措施清理更换。</w:t>
                  </w:r>
                </w:p>
              </w:tc>
            </w:tr>
            <w:tr w14:paraId="6239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7181BDF6">
                  <w:pPr>
                    <w:pStyle w:val="73"/>
                    <w:jc w:val="left"/>
                    <w:rPr>
                      <w:rFonts w:hint="eastAsia"/>
                      <w:color w:val="auto"/>
                    </w:rPr>
                  </w:pPr>
                  <w:r>
                    <w:rPr>
                      <w:rFonts w:hint="eastAsia"/>
                      <w:color w:val="auto"/>
                    </w:rPr>
                    <w:t>填表说明：项目环境风险潜势为Ⅰ，只需要进行简单分析。</w:t>
                  </w:r>
                </w:p>
                <w:p w14:paraId="1989FB9E">
                  <w:pPr>
                    <w:pStyle w:val="73"/>
                    <w:jc w:val="left"/>
                    <w:rPr>
                      <w:color w:val="auto"/>
                    </w:rPr>
                  </w:pPr>
                  <w:r>
                    <w:rPr>
                      <w:rFonts w:hint="eastAsia"/>
                      <w:color w:val="auto"/>
                    </w:rPr>
                    <w:t>本项目建成后，通过加强风险管理后，该项目的环境风险可降至最低，通过加强防范措施及配备相应的应急预案，可以最大限度地减少风险事故的发生以及风险事故发生时造成的环境和人身安全的伤害。为保证生产的正常、安全，建设单位须建立必要的安全生产规章制度措施，加强个人安全防护知识和职工操作技能的教育培训工作。同时在厂区原料堆放区配置灭火器，制定相应的应急预案，确保厂区发生环境风险时，及时应对。在认真落实工程拟采取的措施及评价所提出的设施和对策后，项目对周围影响是可以接受的。</w:t>
                  </w:r>
                </w:p>
              </w:tc>
            </w:tr>
          </w:tbl>
          <w:p w14:paraId="4726BBB5">
            <w:pPr>
              <w:snapToGrid w:val="0"/>
              <w:spacing w:line="360" w:lineRule="auto"/>
              <w:rPr>
                <w:rFonts w:hint="eastAsia"/>
                <w:b/>
                <w:bCs/>
                <w:color w:val="auto"/>
                <w:kern w:val="0"/>
                <w:sz w:val="24"/>
              </w:rPr>
            </w:pPr>
          </w:p>
          <w:p w14:paraId="6BB309C3">
            <w:pPr>
              <w:snapToGrid w:val="0"/>
              <w:spacing w:line="360" w:lineRule="auto"/>
              <w:rPr>
                <w:rFonts w:hint="eastAsia"/>
                <w:b/>
                <w:bCs/>
                <w:color w:val="auto"/>
                <w:kern w:val="0"/>
                <w:sz w:val="24"/>
              </w:rPr>
            </w:pPr>
          </w:p>
          <w:p w14:paraId="1E15A315">
            <w:pPr>
              <w:snapToGrid w:val="0"/>
              <w:spacing w:line="360" w:lineRule="auto"/>
              <w:rPr>
                <w:rFonts w:hint="eastAsia"/>
                <w:b/>
                <w:bCs/>
                <w:color w:val="auto"/>
                <w:kern w:val="0"/>
                <w:sz w:val="24"/>
              </w:rPr>
            </w:pPr>
          </w:p>
          <w:p w14:paraId="2BBCA741">
            <w:pPr>
              <w:snapToGrid w:val="0"/>
              <w:spacing w:line="360" w:lineRule="auto"/>
              <w:rPr>
                <w:rFonts w:hint="eastAsia"/>
                <w:b/>
                <w:bCs/>
                <w:color w:val="auto"/>
                <w:kern w:val="0"/>
                <w:sz w:val="24"/>
              </w:rPr>
            </w:pPr>
          </w:p>
          <w:p w14:paraId="3835C2E2">
            <w:pPr>
              <w:snapToGrid w:val="0"/>
              <w:spacing w:line="360" w:lineRule="auto"/>
              <w:rPr>
                <w:rFonts w:hint="eastAsia"/>
                <w:b/>
                <w:bCs/>
                <w:color w:val="auto"/>
                <w:kern w:val="0"/>
                <w:sz w:val="24"/>
              </w:rPr>
            </w:pPr>
          </w:p>
          <w:p w14:paraId="2747BD26">
            <w:pPr>
              <w:snapToGrid w:val="0"/>
              <w:spacing w:line="360" w:lineRule="auto"/>
              <w:rPr>
                <w:rFonts w:hint="eastAsia"/>
                <w:b/>
                <w:bCs/>
                <w:color w:val="auto"/>
                <w:kern w:val="0"/>
                <w:sz w:val="24"/>
              </w:rPr>
            </w:pPr>
          </w:p>
          <w:p w14:paraId="6285DF78">
            <w:pPr>
              <w:snapToGrid w:val="0"/>
              <w:spacing w:line="360" w:lineRule="auto"/>
              <w:rPr>
                <w:rFonts w:hint="eastAsia"/>
                <w:b/>
                <w:bCs/>
                <w:color w:val="auto"/>
                <w:kern w:val="0"/>
                <w:sz w:val="24"/>
              </w:rPr>
            </w:pPr>
          </w:p>
          <w:p w14:paraId="7C45751F">
            <w:pPr>
              <w:snapToGrid w:val="0"/>
              <w:spacing w:line="360" w:lineRule="auto"/>
              <w:rPr>
                <w:rFonts w:hint="eastAsia"/>
                <w:b/>
                <w:bCs/>
                <w:color w:val="auto"/>
                <w:kern w:val="0"/>
                <w:sz w:val="24"/>
              </w:rPr>
            </w:pPr>
          </w:p>
          <w:p w14:paraId="1D75C1B2">
            <w:pPr>
              <w:snapToGrid w:val="0"/>
              <w:spacing w:line="360" w:lineRule="auto"/>
              <w:rPr>
                <w:rFonts w:hint="eastAsia"/>
                <w:b/>
                <w:bCs/>
                <w:color w:val="auto"/>
                <w:kern w:val="0"/>
                <w:sz w:val="24"/>
              </w:rPr>
            </w:pPr>
          </w:p>
          <w:p w14:paraId="23CD8449">
            <w:pPr>
              <w:snapToGrid w:val="0"/>
              <w:spacing w:line="360" w:lineRule="auto"/>
              <w:rPr>
                <w:rFonts w:hint="eastAsia"/>
                <w:b/>
                <w:bCs/>
                <w:color w:val="auto"/>
                <w:kern w:val="0"/>
                <w:sz w:val="24"/>
              </w:rPr>
            </w:pPr>
          </w:p>
          <w:p w14:paraId="59BFB80C">
            <w:pPr>
              <w:snapToGrid w:val="0"/>
              <w:spacing w:line="360" w:lineRule="auto"/>
              <w:rPr>
                <w:rFonts w:hint="eastAsia"/>
                <w:b/>
                <w:bCs/>
                <w:color w:val="auto"/>
                <w:kern w:val="0"/>
                <w:sz w:val="24"/>
              </w:rPr>
            </w:pPr>
          </w:p>
          <w:p w14:paraId="6C4DEA19">
            <w:pPr>
              <w:snapToGrid w:val="0"/>
              <w:spacing w:line="360" w:lineRule="auto"/>
              <w:rPr>
                <w:rFonts w:hint="eastAsia"/>
                <w:b/>
                <w:bCs/>
                <w:color w:val="auto"/>
                <w:kern w:val="0"/>
                <w:sz w:val="24"/>
              </w:rPr>
            </w:pPr>
          </w:p>
          <w:p w14:paraId="597A4C62">
            <w:pPr>
              <w:snapToGrid w:val="0"/>
              <w:spacing w:line="360" w:lineRule="auto"/>
              <w:rPr>
                <w:rFonts w:hint="eastAsia"/>
                <w:b/>
                <w:bCs/>
                <w:color w:val="auto"/>
                <w:kern w:val="0"/>
                <w:sz w:val="24"/>
              </w:rPr>
            </w:pPr>
          </w:p>
          <w:p w14:paraId="2D887718">
            <w:pPr>
              <w:snapToGrid w:val="0"/>
              <w:spacing w:line="360" w:lineRule="auto"/>
              <w:rPr>
                <w:rFonts w:hint="eastAsia"/>
                <w:b/>
                <w:bCs/>
                <w:color w:val="auto"/>
                <w:kern w:val="0"/>
                <w:sz w:val="24"/>
              </w:rPr>
            </w:pPr>
          </w:p>
          <w:p w14:paraId="5F1F20D2">
            <w:pPr>
              <w:snapToGrid w:val="0"/>
              <w:spacing w:line="360" w:lineRule="auto"/>
              <w:rPr>
                <w:rFonts w:hint="eastAsia"/>
                <w:b/>
                <w:bCs/>
                <w:color w:val="auto"/>
                <w:kern w:val="0"/>
                <w:sz w:val="24"/>
              </w:rPr>
            </w:pPr>
          </w:p>
          <w:p w14:paraId="32C97667">
            <w:pPr>
              <w:snapToGrid w:val="0"/>
              <w:spacing w:line="360" w:lineRule="auto"/>
              <w:rPr>
                <w:rFonts w:hint="eastAsia"/>
                <w:b/>
                <w:bCs/>
                <w:color w:val="auto"/>
                <w:kern w:val="0"/>
                <w:sz w:val="24"/>
              </w:rPr>
            </w:pPr>
          </w:p>
          <w:p w14:paraId="6B2802A0">
            <w:pPr>
              <w:snapToGrid w:val="0"/>
              <w:spacing w:line="360" w:lineRule="auto"/>
              <w:rPr>
                <w:rFonts w:hint="eastAsia"/>
                <w:b/>
                <w:bCs/>
                <w:color w:val="auto"/>
                <w:kern w:val="0"/>
                <w:sz w:val="24"/>
              </w:rPr>
            </w:pPr>
          </w:p>
          <w:p w14:paraId="43B81E74">
            <w:pPr>
              <w:snapToGrid w:val="0"/>
              <w:spacing w:line="360" w:lineRule="auto"/>
              <w:rPr>
                <w:rFonts w:hint="eastAsia"/>
                <w:b/>
                <w:bCs/>
                <w:color w:val="auto"/>
                <w:kern w:val="0"/>
                <w:sz w:val="24"/>
              </w:rPr>
            </w:pPr>
          </w:p>
          <w:p w14:paraId="541FCF9A">
            <w:pPr>
              <w:snapToGrid w:val="0"/>
              <w:spacing w:line="360" w:lineRule="auto"/>
              <w:rPr>
                <w:rFonts w:hint="eastAsia"/>
                <w:b/>
                <w:bCs/>
                <w:color w:val="auto"/>
                <w:kern w:val="0"/>
                <w:sz w:val="24"/>
              </w:rPr>
            </w:pPr>
          </w:p>
          <w:p w14:paraId="0BBA782D">
            <w:pPr>
              <w:snapToGrid w:val="0"/>
              <w:spacing w:line="360" w:lineRule="auto"/>
              <w:rPr>
                <w:rFonts w:hint="eastAsia"/>
                <w:b/>
                <w:bCs/>
                <w:color w:val="auto"/>
                <w:kern w:val="0"/>
                <w:sz w:val="24"/>
              </w:rPr>
            </w:pPr>
          </w:p>
          <w:p w14:paraId="258523AD">
            <w:pPr>
              <w:snapToGrid w:val="0"/>
              <w:spacing w:line="360" w:lineRule="auto"/>
              <w:rPr>
                <w:rFonts w:hint="eastAsia"/>
                <w:b/>
                <w:bCs/>
                <w:color w:val="auto"/>
                <w:kern w:val="0"/>
                <w:sz w:val="24"/>
              </w:rPr>
            </w:pPr>
          </w:p>
          <w:p w14:paraId="6294095A">
            <w:pPr>
              <w:snapToGrid w:val="0"/>
              <w:spacing w:line="360" w:lineRule="auto"/>
              <w:rPr>
                <w:rFonts w:hint="eastAsia"/>
                <w:b/>
                <w:bCs/>
                <w:color w:val="auto"/>
                <w:kern w:val="0"/>
                <w:sz w:val="24"/>
              </w:rPr>
            </w:pPr>
          </w:p>
          <w:p w14:paraId="1E23583D">
            <w:pPr>
              <w:snapToGrid w:val="0"/>
              <w:spacing w:line="360" w:lineRule="auto"/>
              <w:rPr>
                <w:b/>
                <w:bCs/>
                <w:color w:val="auto"/>
                <w:kern w:val="0"/>
                <w:sz w:val="24"/>
              </w:rPr>
            </w:pPr>
            <w:r>
              <w:rPr>
                <w:rFonts w:hint="eastAsia"/>
                <w:b/>
                <w:bCs/>
                <w:color w:val="auto"/>
                <w:kern w:val="0"/>
                <w:sz w:val="24"/>
              </w:rPr>
              <w:t>7、</w:t>
            </w:r>
            <w:r>
              <w:rPr>
                <w:b/>
                <w:bCs/>
                <w:color w:val="auto"/>
                <w:kern w:val="0"/>
                <w:sz w:val="24"/>
              </w:rPr>
              <w:t>环保投资估算</w:t>
            </w:r>
          </w:p>
          <w:p w14:paraId="595DE7DC">
            <w:pPr>
              <w:snapToGrid w:val="0"/>
              <w:spacing w:line="360" w:lineRule="auto"/>
              <w:ind w:firstLine="480" w:firstLineChars="200"/>
              <w:rPr>
                <w:b/>
                <w:color w:val="auto"/>
                <w:kern w:val="0"/>
                <w:sz w:val="24"/>
                <w:lang w:val="zh-CN"/>
              </w:rPr>
            </w:pPr>
            <w:r>
              <w:rPr>
                <w:bCs/>
                <w:color w:val="auto"/>
                <w:kern w:val="0"/>
                <w:sz w:val="24"/>
              </w:rPr>
              <w:t>项目总投资</w:t>
            </w:r>
            <w:r>
              <w:rPr>
                <w:rFonts w:hint="eastAsia"/>
                <w:bCs/>
                <w:color w:val="auto"/>
                <w:kern w:val="0"/>
                <w:sz w:val="24"/>
                <w:lang w:val="en-US" w:eastAsia="zh-CN"/>
              </w:rPr>
              <w:t>11000</w:t>
            </w:r>
            <w:r>
              <w:rPr>
                <w:bCs/>
                <w:color w:val="auto"/>
                <w:kern w:val="0"/>
                <w:sz w:val="24"/>
              </w:rPr>
              <w:t>万元，其中环保投资</w:t>
            </w:r>
            <w:r>
              <w:rPr>
                <w:rFonts w:hint="eastAsia"/>
                <w:bCs/>
                <w:color w:val="auto"/>
                <w:kern w:val="0"/>
                <w:sz w:val="24"/>
                <w:lang w:val="en-US" w:eastAsia="zh-CN"/>
              </w:rPr>
              <w:t>60</w:t>
            </w:r>
            <w:r>
              <w:rPr>
                <w:bCs/>
                <w:color w:val="auto"/>
                <w:kern w:val="0"/>
                <w:sz w:val="24"/>
              </w:rPr>
              <w:t>万元，约占总投资</w:t>
            </w:r>
            <w:r>
              <w:rPr>
                <w:rFonts w:hint="eastAsia"/>
                <w:bCs/>
                <w:color w:val="auto"/>
                <w:kern w:val="0"/>
                <w:sz w:val="24"/>
                <w:lang w:val="en-US" w:eastAsia="zh-CN"/>
              </w:rPr>
              <w:t>0.55</w:t>
            </w:r>
            <w:r>
              <w:rPr>
                <w:bCs/>
                <w:color w:val="auto"/>
                <w:kern w:val="0"/>
                <w:sz w:val="24"/>
              </w:rPr>
              <w:t>%，主要用于废水、废气、固体废物和噪声污染的治理。</w:t>
            </w:r>
          </w:p>
          <w:p w14:paraId="52783D4E">
            <w:pPr>
              <w:autoSpaceDE w:val="0"/>
              <w:autoSpaceDN w:val="0"/>
              <w:adjustRightInd w:val="0"/>
              <w:snapToGrid w:val="0"/>
              <w:spacing w:line="360" w:lineRule="auto"/>
              <w:jc w:val="center"/>
              <w:rPr>
                <w:b/>
                <w:color w:val="auto"/>
                <w:kern w:val="0"/>
                <w:sz w:val="24"/>
                <w:lang w:val="zh-CN"/>
              </w:rPr>
            </w:pPr>
            <w:r>
              <w:rPr>
                <w:b/>
                <w:color w:val="auto"/>
                <w:kern w:val="0"/>
                <w:sz w:val="24"/>
                <w:lang w:val="zh-CN"/>
              </w:rPr>
              <w:t>表</w:t>
            </w:r>
            <w:r>
              <w:rPr>
                <w:rFonts w:hint="eastAsia"/>
                <w:b/>
                <w:color w:val="auto"/>
                <w:kern w:val="0"/>
                <w:sz w:val="24"/>
              </w:rPr>
              <w:t>4</w:t>
            </w:r>
            <w:r>
              <w:rPr>
                <w:rFonts w:hint="eastAsia"/>
                <w:b/>
                <w:color w:val="auto"/>
                <w:kern w:val="0"/>
                <w:sz w:val="24"/>
                <w:lang w:val="en-US" w:eastAsia="zh-CN"/>
              </w:rPr>
              <w:t>.17</w:t>
            </w:r>
            <w:r>
              <w:rPr>
                <w:b/>
                <w:color w:val="auto"/>
                <w:kern w:val="0"/>
                <w:sz w:val="24"/>
              </w:rPr>
              <w:t xml:space="preserve">  </w:t>
            </w:r>
            <w:r>
              <w:rPr>
                <w:b/>
                <w:color w:val="auto"/>
                <w:kern w:val="0"/>
                <w:sz w:val="24"/>
                <w:lang w:val="zh-CN"/>
              </w:rPr>
              <w:t>项目环保防治措施及投资估算表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2202"/>
              <w:gridCol w:w="3401"/>
              <w:gridCol w:w="1602"/>
            </w:tblGrid>
            <w:tr w14:paraId="238F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Align w:val="center"/>
                </w:tcPr>
                <w:p w14:paraId="38E84264">
                  <w:pPr>
                    <w:adjustRightInd w:val="0"/>
                    <w:snapToGrid w:val="0"/>
                    <w:jc w:val="center"/>
                    <w:rPr>
                      <w:color w:val="auto"/>
                      <w:kern w:val="0"/>
                      <w:szCs w:val="21"/>
                    </w:rPr>
                  </w:pPr>
                  <w:r>
                    <w:rPr>
                      <w:color w:val="auto"/>
                      <w:kern w:val="0"/>
                      <w:szCs w:val="21"/>
                    </w:rPr>
                    <w:t>污染类别</w:t>
                  </w:r>
                </w:p>
              </w:tc>
              <w:tc>
                <w:tcPr>
                  <w:tcW w:w="2202" w:type="dxa"/>
                  <w:vAlign w:val="center"/>
                </w:tcPr>
                <w:p w14:paraId="7655EAD2">
                  <w:pPr>
                    <w:adjustRightInd w:val="0"/>
                    <w:snapToGrid w:val="0"/>
                    <w:jc w:val="center"/>
                    <w:rPr>
                      <w:color w:val="auto"/>
                      <w:kern w:val="0"/>
                      <w:szCs w:val="21"/>
                    </w:rPr>
                  </w:pPr>
                  <w:r>
                    <w:rPr>
                      <w:color w:val="auto"/>
                      <w:kern w:val="0"/>
                      <w:szCs w:val="21"/>
                    </w:rPr>
                    <w:t>污染防治对象</w:t>
                  </w:r>
                </w:p>
              </w:tc>
              <w:tc>
                <w:tcPr>
                  <w:tcW w:w="3401" w:type="dxa"/>
                  <w:vAlign w:val="center"/>
                </w:tcPr>
                <w:p w14:paraId="705B3A09">
                  <w:pPr>
                    <w:adjustRightInd w:val="0"/>
                    <w:snapToGrid w:val="0"/>
                    <w:jc w:val="center"/>
                    <w:rPr>
                      <w:color w:val="auto"/>
                      <w:kern w:val="0"/>
                      <w:szCs w:val="21"/>
                    </w:rPr>
                  </w:pPr>
                  <w:r>
                    <w:rPr>
                      <w:color w:val="auto"/>
                      <w:kern w:val="0"/>
                      <w:szCs w:val="21"/>
                    </w:rPr>
                    <w:t>治理措施</w:t>
                  </w:r>
                </w:p>
              </w:tc>
              <w:tc>
                <w:tcPr>
                  <w:tcW w:w="1602" w:type="dxa"/>
                  <w:vAlign w:val="center"/>
                </w:tcPr>
                <w:p w14:paraId="37FB074D">
                  <w:pPr>
                    <w:adjustRightInd w:val="0"/>
                    <w:snapToGrid w:val="0"/>
                    <w:jc w:val="center"/>
                    <w:rPr>
                      <w:color w:val="auto"/>
                      <w:kern w:val="0"/>
                      <w:szCs w:val="21"/>
                    </w:rPr>
                  </w:pPr>
                  <w:r>
                    <w:rPr>
                      <w:color w:val="auto"/>
                      <w:kern w:val="0"/>
                      <w:szCs w:val="21"/>
                    </w:rPr>
                    <w:t>投资估算（万元）</w:t>
                  </w:r>
                </w:p>
              </w:tc>
            </w:tr>
            <w:tr w14:paraId="7E66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Align w:val="center"/>
                </w:tcPr>
                <w:p w14:paraId="38D32620">
                  <w:pPr>
                    <w:adjustRightInd w:val="0"/>
                    <w:snapToGrid w:val="0"/>
                    <w:jc w:val="center"/>
                    <w:rPr>
                      <w:color w:val="auto"/>
                      <w:kern w:val="0"/>
                      <w:szCs w:val="21"/>
                    </w:rPr>
                  </w:pPr>
                  <w:r>
                    <w:rPr>
                      <w:color w:val="auto"/>
                      <w:kern w:val="0"/>
                      <w:szCs w:val="21"/>
                    </w:rPr>
                    <w:t>废水</w:t>
                  </w:r>
                </w:p>
              </w:tc>
              <w:tc>
                <w:tcPr>
                  <w:tcW w:w="2202" w:type="dxa"/>
                  <w:vAlign w:val="center"/>
                </w:tcPr>
                <w:p w14:paraId="70FDBBE3">
                  <w:pPr>
                    <w:adjustRightInd w:val="0"/>
                    <w:snapToGrid w:val="0"/>
                    <w:jc w:val="center"/>
                    <w:rPr>
                      <w:color w:val="auto"/>
                      <w:kern w:val="0"/>
                      <w:szCs w:val="21"/>
                    </w:rPr>
                  </w:pPr>
                  <w:r>
                    <w:rPr>
                      <w:color w:val="auto"/>
                      <w:kern w:val="0"/>
                      <w:szCs w:val="21"/>
                    </w:rPr>
                    <w:t>生活污水</w:t>
                  </w:r>
                </w:p>
              </w:tc>
              <w:tc>
                <w:tcPr>
                  <w:tcW w:w="3401" w:type="dxa"/>
                  <w:vAlign w:val="center"/>
                </w:tcPr>
                <w:p w14:paraId="4045994F">
                  <w:pPr>
                    <w:adjustRightInd w:val="0"/>
                    <w:snapToGrid w:val="0"/>
                    <w:jc w:val="center"/>
                    <w:rPr>
                      <w:color w:val="auto"/>
                      <w:kern w:val="0"/>
                      <w:szCs w:val="21"/>
                    </w:rPr>
                  </w:pPr>
                  <w:r>
                    <w:rPr>
                      <w:color w:val="auto"/>
                      <w:kern w:val="0"/>
                      <w:szCs w:val="21"/>
                    </w:rPr>
                    <w:t>化粪池</w:t>
                  </w:r>
                </w:p>
              </w:tc>
              <w:tc>
                <w:tcPr>
                  <w:tcW w:w="1602" w:type="dxa"/>
                  <w:vAlign w:val="center"/>
                </w:tcPr>
                <w:p w14:paraId="0810F44D">
                  <w:pPr>
                    <w:adjustRightInd w:val="0"/>
                    <w:snapToGrid w:val="0"/>
                    <w:jc w:val="center"/>
                    <w:rPr>
                      <w:rFonts w:hint="eastAsia" w:eastAsia="宋体"/>
                      <w:color w:val="auto"/>
                      <w:kern w:val="0"/>
                      <w:szCs w:val="21"/>
                      <w:lang w:eastAsia="zh-CN"/>
                    </w:rPr>
                  </w:pPr>
                  <w:r>
                    <w:rPr>
                      <w:rFonts w:hint="eastAsia"/>
                      <w:color w:val="auto"/>
                      <w:kern w:val="0"/>
                      <w:szCs w:val="21"/>
                      <w:lang w:val="en-US" w:eastAsia="zh-CN"/>
                    </w:rPr>
                    <w:t>1</w:t>
                  </w:r>
                </w:p>
              </w:tc>
            </w:tr>
            <w:tr w14:paraId="4D31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restart"/>
                  <w:vAlign w:val="center"/>
                </w:tcPr>
                <w:p w14:paraId="183F63F9">
                  <w:pPr>
                    <w:adjustRightInd w:val="0"/>
                    <w:snapToGrid w:val="0"/>
                    <w:jc w:val="center"/>
                    <w:rPr>
                      <w:color w:val="auto"/>
                      <w:kern w:val="0"/>
                      <w:szCs w:val="21"/>
                    </w:rPr>
                  </w:pPr>
                  <w:r>
                    <w:rPr>
                      <w:rFonts w:hint="eastAsia"/>
                      <w:color w:val="auto"/>
                      <w:kern w:val="0"/>
                      <w:szCs w:val="21"/>
                    </w:rPr>
                    <w:t>废气</w:t>
                  </w:r>
                </w:p>
              </w:tc>
              <w:tc>
                <w:tcPr>
                  <w:tcW w:w="2202" w:type="dxa"/>
                  <w:vAlign w:val="center"/>
                </w:tcPr>
                <w:p w14:paraId="35729A3A">
                  <w:pPr>
                    <w:adjustRightInd w:val="0"/>
                    <w:snapToGrid w:val="0"/>
                    <w:jc w:val="center"/>
                    <w:rPr>
                      <w:rFonts w:hint="default"/>
                      <w:color w:val="auto"/>
                      <w:kern w:val="0"/>
                      <w:szCs w:val="21"/>
                      <w:lang w:val="en-US" w:eastAsia="zh-CN"/>
                    </w:rPr>
                  </w:pPr>
                  <w:r>
                    <w:rPr>
                      <w:rFonts w:hint="eastAsia" w:cs="Times New Roman"/>
                      <w:color w:val="auto"/>
                      <w:szCs w:val="21"/>
                      <w:lang w:val="en-US" w:eastAsia="zh-CN"/>
                    </w:rPr>
                    <w:t>水泥筒仓呼吸废气</w:t>
                  </w:r>
                </w:p>
              </w:tc>
              <w:tc>
                <w:tcPr>
                  <w:tcW w:w="3401" w:type="dxa"/>
                  <w:vAlign w:val="center"/>
                </w:tcPr>
                <w:p w14:paraId="5155544B">
                  <w:pPr>
                    <w:adjustRightInd w:val="0"/>
                    <w:snapToGrid w:val="0"/>
                    <w:jc w:val="center"/>
                    <w:rPr>
                      <w:rFonts w:hint="eastAsia"/>
                      <w:color w:val="auto"/>
                      <w:kern w:val="0"/>
                      <w:szCs w:val="21"/>
                      <w:lang w:val="en-US" w:eastAsia="zh-CN"/>
                    </w:rPr>
                  </w:pPr>
                  <w:r>
                    <w:rPr>
                      <w:rFonts w:hint="eastAsia" w:cs="Times New Roman"/>
                      <w:color w:val="auto"/>
                      <w:szCs w:val="21"/>
                      <w:lang w:val="en-US" w:eastAsia="zh-CN"/>
                    </w:rPr>
                    <w:t>脉冲式除尘器+15m高排气筒（DA001）排放</w:t>
                  </w:r>
                </w:p>
              </w:tc>
              <w:tc>
                <w:tcPr>
                  <w:tcW w:w="1602" w:type="dxa"/>
                  <w:vAlign w:val="center"/>
                </w:tcPr>
                <w:p w14:paraId="1F4DC88C">
                  <w:pPr>
                    <w:adjustRightInd w:val="0"/>
                    <w:snapToGrid w:val="0"/>
                    <w:jc w:val="center"/>
                    <w:rPr>
                      <w:rFonts w:hint="eastAsia"/>
                      <w:color w:val="auto"/>
                      <w:kern w:val="0"/>
                      <w:szCs w:val="21"/>
                      <w:lang w:val="en-US" w:eastAsia="zh-CN"/>
                    </w:rPr>
                  </w:pPr>
                  <w:r>
                    <w:rPr>
                      <w:rFonts w:hint="eastAsia"/>
                      <w:color w:val="auto"/>
                      <w:kern w:val="0"/>
                      <w:szCs w:val="21"/>
                      <w:lang w:val="en-US" w:eastAsia="zh-CN"/>
                    </w:rPr>
                    <w:t>5</w:t>
                  </w:r>
                </w:p>
              </w:tc>
            </w:tr>
            <w:tr w14:paraId="6826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2A474C9F">
                  <w:pPr>
                    <w:adjustRightInd w:val="0"/>
                    <w:snapToGrid w:val="0"/>
                    <w:jc w:val="center"/>
                    <w:rPr>
                      <w:color w:val="auto"/>
                      <w:kern w:val="0"/>
                      <w:szCs w:val="21"/>
                    </w:rPr>
                  </w:pPr>
                </w:p>
              </w:tc>
              <w:tc>
                <w:tcPr>
                  <w:tcW w:w="2202" w:type="dxa"/>
                  <w:vAlign w:val="center"/>
                </w:tcPr>
                <w:p w14:paraId="1F11B060">
                  <w:pPr>
                    <w:adjustRightInd w:val="0"/>
                    <w:snapToGrid w:val="0"/>
                    <w:jc w:val="center"/>
                    <w:rPr>
                      <w:rFonts w:hint="eastAsia" w:eastAsia="宋体"/>
                      <w:color w:val="auto"/>
                      <w:kern w:val="0"/>
                      <w:szCs w:val="21"/>
                      <w:lang w:eastAsia="zh-CN"/>
                    </w:rPr>
                  </w:pPr>
                  <w:r>
                    <w:rPr>
                      <w:rFonts w:hint="eastAsia" w:cs="Times New Roman"/>
                      <w:color w:val="auto"/>
                      <w:szCs w:val="21"/>
                      <w:lang w:val="en-US" w:eastAsia="zh-CN"/>
                    </w:rPr>
                    <w:t>粉煤灰筒仓呼吸废气</w:t>
                  </w:r>
                </w:p>
              </w:tc>
              <w:tc>
                <w:tcPr>
                  <w:tcW w:w="3401" w:type="dxa"/>
                  <w:vAlign w:val="center"/>
                </w:tcPr>
                <w:p w14:paraId="5407EA52">
                  <w:pPr>
                    <w:adjustRightInd w:val="0"/>
                    <w:snapToGrid w:val="0"/>
                    <w:jc w:val="center"/>
                    <w:rPr>
                      <w:color w:val="auto"/>
                      <w:kern w:val="0"/>
                      <w:szCs w:val="21"/>
                    </w:rPr>
                  </w:pPr>
                  <w:r>
                    <w:rPr>
                      <w:rFonts w:hint="eastAsia" w:cs="Times New Roman"/>
                      <w:color w:val="auto"/>
                      <w:szCs w:val="21"/>
                      <w:lang w:val="en-US" w:eastAsia="zh-CN"/>
                    </w:rPr>
                    <w:t>脉冲式除尘器+15m高排气筒（DA002）排放</w:t>
                  </w:r>
                </w:p>
              </w:tc>
              <w:tc>
                <w:tcPr>
                  <w:tcW w:w="1602" w:type="dxa"/>
                  <w:vAlign w:val="center"/>
                </w:tcPr>
                <w:p w14:paraId="5B309F7B">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5</w:t>
                  </w:r>
                </w:p>
              </w:tc>
            </w:tr>
            <w:tr w14:paraId="796F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16CA9E70">
                  <w:pPr>
                    <w:adjustRightInd w:val="0"/>
                    <w:snapToGrid w:val="0"/>
                    <w:jc w:val="center"/>
                    <w:rPr>
                      <w:color w:val="auto"/>
                      <w:kern w:val="0"/>
                      <w:szCs w:val="21"/>
                    </w:rPr>
                  </w:pPr>
                </w:p>
              </w:tc>
              <w:tc>
                <w:tcPr>
                  <w:tcW w:w="2202" w:type="dxa"/>
                  <w:vAlign w:val="center"/>
                </w:tcPr>
                <w:p w14:paraId="7B56317C">
                  <w:pPr>
                    <w:adjustRightInd w:val="0"/>
                    <w:snapToGrid w:val="0"/>
                    <w:jc w:val="center"/>
                    <w:rPr>
                      <w:rFonts w:hint="eastAsia" w:eastAsia="宋体"/>
                      <w:color w:val="auto"/>
                      <w:kern w:val="0"/>
                      <w:szCs w:val="21"/>
                      <w:lang w:eastAsia="zh-CN"/>
                    </w:rPr>
                  </w:pPr>
                  <w:r>
                    <w:rPr>
                      <w:rFonts w:hint="eastAsia" w:cs="Times New Roman"/>
                      <w:b w:val="0"/>
                      <w:bCs w:val="0"/>
                      <w:color w:val="auto"/>
                      <w:kern w:val="2"/>
                      <w:sz w:val="21"/>
                      <w:szCs w:val="21"/>
                      <w:lang w:val="en-US" w:eastAsia="zh-CN" w:bidi="ar-SA"/>
                    </w:rPr>
                    <w:t>建筑掺和料筒仓</w:t>
                  </w:r>
                  <w:r>
                    <w:rPr>
                      <w:rFonts w:hint="eastAsia" w:ascii="Times New Roman" w:hAnsi="Times New Roman" w:eastAsia="宋体" w:cs="Times New Roman"/>
                      <w:b w:val="0"/>
                      <w:bCs w:val="0"/>
                      <w:color w:val="auto"/>
                      <w:kern w:val="2"/>
                      <w:sz w:val="21"/>
                      <w:szCs w:val="21"/>
                      <w:lang w:val="en-US" w:eastAsia="zh-CN" w:bidi="ar-SA"/>
                    </w:rPr>
                    <w:t>呼吸废气</w:t>
                  </w:r>
                </w:p>
              </w:tc>
              <w:tc>
                <w:tcPr>
                  <w:tcW w:w="3401" w:type="dxa"/>
                  <w:vAlign w:val="center"/>
                </w:tcPr>
                <w:p w14:paraId="28521BC0">
                  <w:pPr>
                    <w:adjustRightInd w:val="0"/>
                    <w:snapToGrid w:val="0"/>
                    <w:jc w:val="center"/>
                    <w:rPr>
                      <w:color w:val="auto"/>
                      <w:szCs w:val="21"/>
                    </w:rPr>
                  </w:pPr>
                  <w:r>
                    <w:rPr>
                      <w:rFonts w:hint="eastAsia" w:cs="Times New Roman"/>
                      <w:color w:val="auto"/>
                      <w:szCs w:val="21"/>
                      <w:lang w:val="en-US" w:eastAsia="zh-CN"/>
                    </w:rPr>
                    <w:t>脉冲式除尘器+15m高排气筒（DA003）排放</w:t>
                  </w:r>
                </w:p>
              </w:tc>
              <w:tc>
                <w:tcPr>
                  <w:tcW w:w="1602" w:type="dxa"/>
                  <w:vAlign w:val="center"/>
                </w:tcPr>
                <w:p w14:paraId="240B8AD7">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5</w:t>
                  </w:r>
                </w:p>
              </w:tc>
            </w:tr>
            <w:tr w14:paraId="005F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24D2C980">
                  <w:pPr>
                    <w:adjustRightInd w:val="0"/>
                    <w:snapToGrid w:val="0"/>
                    <w:jc w:val="center"/>
                    <w:rPr>
                      <w:color w:val="auto"/>
                      <w:kern w:val="0"/>
                      <w:szCs w:val="21"/>
                    </w:rPr>
                  </w:pPr>
                </w:p>
              </w:tc>
              <w:tc>
                <w:tcPr>
                  <w:tcW w:w="2202" w:type="dxa"/>
                  <w:vAlign w:val="center"/>
                </w:tcPr>
                <w:p w14:paraId="2A57FE3A">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草木灰</w:t>
                  </w:r>
                  <w:r>
                    <w:rPr>
                      <w:rFonts w:hint="eastAsia" w:cs="Times New Roman"/>
                      <w:b w:val="0"/>
                      <w:bCs w:val="0"/>
                      <w:color w:val="auto"/>
                      <w:kern w:val="2"/>
                      <w:sz w:val="21"/>
                      <w:szCs w:val="21"/>
                      <w:lang w:val="en-US" w:eastAsia="zh-CN" w:bidi="ar-SA"/>
                    </w:rPr>
                    <w:t>筒仓</w:t>
                  </w:r>
                  <w:r>
                    <w:rPr>
                      <w:rFonts w:hint="eastAsia" w:ascii="Times New Roman" w:hAnsi="Times New Roman" w:eastAsia="宋体" w:cs="Times New Roman"/>
                      <w:b w:val="0"/>
                      <w:bCs w:val="0"/>
                      <w:color w:val="auto"/>
                      <w:kern w:val="2"/>
                      <w:sz w:val="21"/>
                      <w:szCs w:val="21"/>
                      <w:lang w:val="en-US" w:eastAsia="zh-CN" w:bidi="ar-SA"/>
                    </w:rPr>
                    <w:t>呼吸废气</w:t>
                  </w:r>
                </w:p>
              </w:tc>
              <w:tc>
                <w:tcPr>
                  <w:tcW w:w="3401" w:type="dxa"/>
                  <w:vAlign w:val="center"/>
                </w:tcPr>
                <w:p w14:paraId="068178A0">
                  <w:pPr>
                    <w:adjustRightInd w:val="0"/>
                    <w:snapToGrid w:val="0"/>
                    <w:jc w:val="center"/>
                    <w:rPr>
                      <w:rFonts w:hint="eastAsia"/>
                      <w:color w:val="auto"/>
                      <w:kern w:val="0"/>
                      <w:szCs w:val="21"/>
                    </w:rPr>
                  </w:pPr>
                  <w:r>
                    <w:rPr>
                      <w:rFonts w:hint="eastAsia" w:cs="Times New Roman"/>
                      <w:color w:val="auto"/>
                      <w:szCs w:val="21"/>
                      <w:lang w:val="en-US" w:eastAsia="zh-CN"/>
                    </w:rPr>
                    <w:t>脉冲式除尘器+15m高排气筒（DA004）排放</w:t>
                  </w:r>
                </w:p>
              </w:tc>
              <w:tc>
                <w:tcPr>
                  <w:tcW w:w="1602" w:type="dxa"/>
                  <w:vAlign w:val="center"/>
                </w:tcPr>
                <w:p w14:paraId="1EB7F950">
                  <w:pPr>
                    <w:adjustRightInd w:val="0"/>
                    <w:snapToGrid w:val="0"/>
                    <w:jc w:val="center"/>
                    <w:rPr>
                      <w:rFonts w:hint="default"/>
                      <w:color w:val="auto"/>
                      <w:kern w:val="0"/>
                      <w:szCs w:val="21"/>
                      <w:lang w:val="en-US" w:eastAsia="zh-CN"/>
                    </w:rPr>
                  </w:pPr>
                  <w:r>
                    <w:rPr>
                      <w:rFonts w:hint="eastAsia"/>
                      <w:color w:val="auto"/>
                      <w:kern w:val="0"/>
                      <w:szCs w:val="21"/>
                      <w:lang w:val="en-US" w:eastAsia="zh-CN"/>
                    </w:rPr>
                    <w:t>5</w:t>
                  </w:r>
                </w:p>
              </w:tc>
            </w:tr>
            <w:tr w14:paraId="6C0F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1CA62575">
                  <w:pPr>
                    <w:adjustRightInd w:val="0"/>
                    <w:snapToGrid w:val="0"/>
                    <w:jc w:val="center"/>
                    <w:rPr>
                      <w:color w:val="auto"/>
                      <w:kern w:val="0"/>
                      <w:szCs w:val="21"/>
                    </w:rPr>
                  </w:pPr>
                </w:p>
              </w:tc>
              <w:tc>
                <w:tcPr>
                  <w:tcW w:w="2202" w:type="dxa"/>
                  <w:vAlign w:val="center"/>
                </w:tcPr>
                <w:p w14:paraId="717A11A6">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投料废气</w:t>
                  </w:r>
                </w:p>
              </w:tc>
              <w:tc>
                <w:tcPr>
                  <w:tcW w:w="3401" w:type="dxa"/>
                  <w:vAlign w:val="center"/>
                </w:tcPr>
                <w:p w14:paraId="547FA5E8">
                  <w:pPr>
                    <w:adjustRightInd w:val="0"/>
                    <w:snapToGrid w:val="0"/>
                    <w:jc w:val="center"/>
                    <w:rPr>
                      <w:rFonts w:hint="eastAsia"/>
                      <w:color w:val="auto"/>
                      <w:kern w:val="0"/>
                      <w:szCs w:val="21"/>
                    </w:rPr>
                  </w:pPr>
                  <w:r>
                    <w:rPr>
                      <w:rFonts w:hint="eastAsia" w:cs="Times New Roman"/>
                      <w:color w:val="auto"/>
                      <w:sz w:val="21"/>
                      <w:szCs w:val="21"/>
                      <w:lang w:eastAsia="zh-CN"/>
                    </w:rPr>
                    <w:t>布袋除尘器</w:t>
                  </w:r>
                  <w:r>
                    <w:rPr>
                      <w:rFonts w:hint="eastAsia" w:cs="Times New Roman"/>
                      <w:color w:val="auto"/>
                      <w:sz w:val="21"/>
                      <w:szCs w:val="21"/>
                      <w:lang w:val="en-US" w:eastAsia="zh-CN"/>
                    </w:rPr>
                    <w:t>+</w:t>
                  </w:r>
                  <w:r>
                    <w:rPr>
                      <w:rFonts w:hint="eastAsia"/>
                      <w:color w:val="auto"/>
                      <w:sz w:val="21"/>
                      <w:szCs w:val="21"/>
                    </w:rPr>
                    <w:t>15</w:t>
                  </w:r>
                  <w:r>
                    <w:rPr>
                      <w:rFonts w:hint="eastAsia"/>
                      <w:color w:val="auto"/>
                      <w:sz w:val="21"/>
                      <w:szCs w:val="21"/>
                      <w:lang w:val="en-US" w:eastAsia="zh-CN"/>
                    </w:rPr>
                    <w:t>m</w:t>
                  </w:r>
                  <w:r>
                    <w:rPr>
                      <w:rFonts w:hint="eastAsia"/>
                      <w:color w:val="auto"/>
                      <w:sz w:val="21"/>
                      <w:szCs w:val="21"/>
                    </w:rPr>
                    <w:t>高排气筒（DA00</w:t>
                  </w:r>
                  <w:r>
                    <w:rPr>
                      <w:rFonts w:hint="eastAsia"/>
                      <w:color w:val="auto"/>
                      <w:sz w:val="21"/>
                      <w:szCs w:val="21"/>
                      <w:lang w:val="en-US" w:eastAsia="zh-CN"/>
                    </w:rPr>
                    <w:t>5</w:t>
                  </w:r>
                  <w:r>
                    <w:rPr>
                      <w:rFonts w:hint="eastAsia"/>
                      <w:color w:val="auto"/>
                      <w:sz w:val="21"/>
                      <w:szCs w:val="21"/>
                    </w:rPr>
                    <w:t>）</w:t>
                  </w:r>
                </w:p>
              </w:tc>
              <w:tc>
                <w:tcPr>
                  <w:tcW w:w="1602" w:type="dxa"/>
                  <w:vAlign w:val="center"/>
                </w:tcPr>
                <w:p w14:paraId="387B426D">
                  <w:pPr>
                    <w:adjustRightInd w:val="0"/>
                    <w:snapToGrid w:val="0"/>
                    <w:jc w:val="center"/>
                    <w:rPr>
                      <w:rFonts w:hint="eastAsia"/>
                      <w:color w:val="auto"/>
                      <w:kern w:val="0"/>
                      <w:szCs w:val="21"/>
                      <w:lang w:val="en-US" w:eastAsia="zh-CN"/>
                    </w:rPr>
                  </w:pPr>
                  <w:r>
                    <w:rPr>
                      <w:rFonts w:hint="eastAsia"/>
                      <w:color w:val="auto"/>
                      <w:kern w:val="0"/>
                      <w:szCs w:val="21"/>
                      <w:lang w:val="en-US" w:eastAsia="zh-CN"/>
                    </w:rPr>
                    <w:t>5</w:t>
                  </w:r>
                </w:p>
              </w:tc>
            </w:tr>
            <w:tr w14:paraId="0FDC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6088D8F2">
                  <w:pPr>
                    <w:adjustRightInd w:val="0"/>
                    <w:snapToGrid w:val="0"/>
                    <w:jc w:val="center"/>
                    <w:rPr>
                      <w:color w:val="auto"/>
                      <w:kern w:val="0"/>
                      <w:szCs w:val="21"/>
                    </w:rPr>
                  </w:pPr>
                </w:p>
              </w:tc>
              <w:tc>
                <w:tcPr>
                  <w:tcW w:w="2202" w:type="dxa"/>
                  <w:vAlign w:val="center"/>
                </w:tcPr>
                <w:p w14:paraId="36A1CEC6">
                  <w:pPr>
                    <w:adjustRightInd w:val="0"/>
                    <w:snapToGrid w:val="0"/>
                    <w:jc w:val="center"/>
                    <w:rPr>
                      <w:rFonts w:hint="eastAsia" w:eastAsia="宋体"/>
                      <w:color w:val="auto"/>
                      <w:kern w:val="0"/>
                      <w:szCs w:val="21"/>
                      <w:lang w:eastAsia="zh-CN"/>
                    </w:rPr>
                  </w:pPr>
                  <w:r>
                    <w:rPr>
                      <w:rFonts w:hint="eastAsia" w:eastAsia="宋体"/>
                      <w:color w:val="auto"/>
                      <w:kern w:val="0"/>
                      <w:szCs w:val="21"/>
                      <w:lang w:eastAsia="zh-CN"/>
                    </w:rPr>
                    <w:t>污泥贮存、矿化、陈化废气</w:t>
                  </w:r>
                </w:p>
              </w:tc>
              <w:tc>
                <w:tcPr>
                  <w:tcW w:w="3401" w:type="dxa"/>
                  <w:vAlign w:val="center"/>
                </w:tcPr>
                <w:p w14:paraId="18CAAFE5">
                  <w:pPr>
                    <w:adjustRightInd w:val="0"/>
                    <w:snapToGrid w:val="0"/>
                    <w:jc w:val="center"/>
                    <w:rPr>
                      <w:rFonts w:hint="default" w:eastAsia="宋体"/>
                      <w:color w:val="auto"/>
                      <w:kern w:val="0"/>
                      <w:szCs w:val="21"/>
                      <w:lang w:val="en-US" w:eastAsia="zh-CN"/>
                    </w:rPr>
                  </w:pPr>
                  <w:r>
                    <w:rPr>
                      <w:rFonts w:hint="eastAsia"/>
                      <w:b w:val="0"/>
                      <w:bCs w:val="0"/>
                      <w:color w:val="auto"/>
                      <w:sz w:val="21"/>
                      <w:szCs w:val="21"/>
                      <w:lang w:eastAsia="zh-CN"/>
                    </w:rPr>
                    <w:t>生物除臭塔除臭</w:t>
                  </w:r>
                  <w:r>
                    <w:rPr>
                      <w:rFonts w:hint="eastAsia"/>
                      <w:b w:val="0"/>
                      <w:bCs w:val="0"/>
                      <w:color w:val="auto"/>
                      <w:sz w:val="21"/>
                      <w:szCs w:val="21"/>
                      <w:lang w:val="en-US" w:eastAsia="zh-CN"/>
                    </w:rPr>
                    <w:t>+</w:t>
                  </w:r>
                  <w:r>
                    <w:rPr>
                      <w:rFonts w:hint="eastAsia" w:cs="Times New Roman"/>
                      <w:color w:val="auto"/>
                      <w:sz w:val="21"/>
                      <w:szCs w:val="21"/>
                      <w:lang w:val="en-US" w:eastAsia="zh-CN"/>
                    </w:rPr>
                    <w:t>15m高排气筒（DA006）排放</w:t>
                  </w:r>
                </w:p>
              </w:tc>
              <w:tc>
                <w:tcPr>
                  <w:tcW w:w="1602" w:type="dxa"/>
                  <w:vAlign w:val="center"/>
                </w:tcPr>
                <w:p w14:paraId="15046D67">
                  <w:pPr>
                    <w:adjustRightInd w:val="0"/>
                    <w:snapToGrid w:val="0"/>
                    <w:jc w:val="center"/>
                    <w:rPr>
                      <w:rFonts w:hint="default"/>
                      <w:color w:val="auto"/>
                      <w:kern w:val="0"/>
                      <w:szCs w:val="21"/>
                      <w:lang w:val="en-US" w:eastAsia="zh-CN"/>
                    </w:rPr>
                  </w:pPr>
                  <w:r>
                    <w:rPr>
                      <w:rFonts w:hint="eastAsia"/>
                      <w:color w:val="auto"/>
                      <w:kern w:val="0"/>
                      <w:szCs w:val="21"/>
                      <w:lang w:val="en-US" w:eastAsia="zh-CN"/>
                    </w:rPr>
                    <w:t>5</w:t>
                  </w:r>
                </w:p>
              </w:tc>
            </w:tr>
            <w:tr w14:paraId="6BF5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2B793F83">
                  <w:pPr>
                    <w:adjustRightInd w:val="0"/>
                    <w:snapToGrid w:val="0"/>
                    <w:jc w:val="center"/>
                    <w:rPr>
                      <w:color w:val="auto"/>
                      <w:kern w:val="0"/>
                      <w:szCs w:val="21"/>
                    </w:rPr>
                  </w:pPr>
                </w:p>
              </w:tc>
              <w:tc>
                <w:tcPr>
                  <w:tcW w:w="2202" w:type="dxa"/>
                  <w:vAlign w:val="center"/>
                </w:tcPr>
                <w:p w14:paraId="2FC1CB89">
                  <w:pPr>
                    <w:adjustRightInd w:val="0"/>
                    <w:snapToGrid w:val="0"/>
                    <w:jc w:val="center"/>
                    <w:rPr>
                      <w:rFonts w:hint="eastAsia"/>
                      <w:color w:val="auto"/>
                      <w:kern w:val="0"/>
                      <w:szCs w:val="21"/>
                      <w:lang w:eastAsia="zh-CN"/>
                    </w:rPr>
                  </w:pPr>
                  <w:r>
                    <w:rPr>
                      <w:rFonts w:hint="eastAsia"/>
                      <w:color w:val="auto"/>
                      <w:kern w:val="0"/>
                      <w:szCs w:val="21"/>
                      <w:lang w:eastAsia="zh-CN"/>
                    </w:rPr>
                    <w:t>运输扬尘</w:t>
                  </w:r>
                </w:p>
              </w:tc>
              <w:tc>
                <w:tcPr>
                  <w:tcW w:w="3401" w:type="dxa"/>
                  <w:vAlign w:val="center"/>
                </w:tcPr>
                <w:p w14:paraId="0FCF853E">
                  <w:pPr>
                    <w:adjustRightInd w:val="0"/>
                    <w:snapToGrid w:val="0"/>
                    <w:jc w:val="center"/>
                    <w:rPr>
                      <w:rFonts w:hint="eastAsia" w:eastAsia="宋体"/>
                      <w:color w:val="auto"/>
                      <w:kern w:val="0"/>
                      <w:szCs w:val="21"/>
                      <w:lang w:eastAsia="zh-CN"/>
                    </w:rPr>
                  </w:pPr>
                  <w:r>
                    <w:rPr>
                      <w:rFonts w:hint="eastAsia" w:eastAsia="宋体"/>
                      <w:color w:val="auto"/>
                      <w:kern w:val="0"/>
                      <w:szCs w:val="21"/>
                      <w:lang w:eastAsia="zh-CN"/>
                    </w:rPr>
                    <w:t>车辆篷布覆盖，运输过程限速按规定线路行驶</w:t>
                  </w:r>
                </w:p>
              </w:tc>
              <w:tc>
                <w:tcPr>
                  <w:tcW w:w="1602" w:type="dxa"/>
                  <w:vAlign w:val="center"/>
                </w:tcPr>
                <w:p w14:paraId="1EFB02A0">
                  <w:pPr>
                    <w:adjustRightInd w:val="0"/>
                    <w:snapToGrid w:val="0"/>
                    <w:jc w:val="center"/>
                    <w:rPr>
                      <w:rFonts w:hint="default"/>
                      <w:color w:val="auto"/>
                      <w:kern w:val="0"/>
                      <w:szCs w:val="21"/>
                      <w:lang w:val="en-US" w:eastAsia="zh-CN"/>
                    </w:rPr>
                  </w:pPr>
                  <w:r>
                    <w:rPr>
                      <w:rFonts w:hint="eastAsia"/>
                      <w:color w:val="auto"/>
                      <w:kern w:val="0"/>
                      <w:szCs w:val="21"/>
                      <w:lang w:val="en-US" w:eastAsia="zh-CN"/>
                    </w:rPr>
                    <w:t>1</w:t>
                  </w:r>
                </w:p>
              </w:tc>
            </w:tr>
            <w:tr w14:paraId="251F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09431892">
                  <w:pPr>
                    <w:adjustRightInd w:val="0"/>
                    <w:snapToGrid w:val="0"/>
                    <w:jc w:val="center"/>
                    <w:rPr>
                      <w:color w:val="auto"/>
                      <w:kern w:val="0"/>
                      <w:szCs w:val="21"/>
                    </w:rPr>
                  </w:pPr>
                </w:p>
              </w:tc>
              <w:tc>
                <w:tcPr>
                  <w:tcW w:w="2202" w:type="dxa"/>
                  <w:vAlign w:val="center"/>
                </w:tcPr>
                <w:p w14:paraId="0CB09982">
                  <w:pPr>
                    <w:adjustRightInd w:val="0"/>
                    <w:snapToGrid w:val="0"/>
                    <w:jc w:val="center"/>
                    <w:rPr>
                      <w:rFonts w:hint="eastAsia"/>
                      <w:color w:val="auto"/>
                      <w:kern w:val="0"/>
                      <w:szCs w:val="21"/>
                      <w:lang w:eastAsia="zh-CN"/>
                    </w:rPr>
                  </w:pPr>
                  <w:r>
                    <w:rPr>
                      <w:rFonts w:hint="eastAsia"/>
                      <w:color w:val="auto"/>
                      <w:kern w:val="0"/>
                      <w:szCs w:val="21"/>
                      <w:lang w:eastAsia="zh-CN"/>
                    </w:rPr>
                    <w:t>卸料起尘</w:t>
                  </w:r>
                </w:p>
              </w:tc>
              <w:tc>
                <w:tcPr>
                  <w:tcW w:w="3401" w:type="dxa"/>
                  <w:vAlign w:val="center"/>
                </w:tcPr>
                <w:p w14:paraId="0544D1B5">
                  <w:pPr>
                    <w:adjustRightInd w:val="0"/>
                    <w:snapToGrid w:val="0"/>
                    <w:jc w:val="center"/>
                    <w:rPr>
                      <w:rFonts w:hint="eastAsia" w:eastAsia="宋体"/>
                      <w:color w:val="auto"/>
                      <w:kern w:val="0"/>
                      <w:szCs w:val="21"/>
                      <w:lang w:eastAsia="zh-CN"/>
                    </w:rPr>
                  </w:pPr>
                  <w:r>
                    <w:rPr>
                      <w:rFonts w:hint="eastAsia"/>
                      <w:color w:val="auto"/>
                      <w:kern w:val="0"/>
                      <w:szCs w:val="21"/>
                      <w:lang w:eastAsia="zh-CN"/>
                    </w:rPr>
                    <w:t>降低卸料高度、开启雾炮除尘</w:t>
                  </w:r>
                </w:p>
              </w:tc>
              <w:tc>
                <w:tcPr>
                  <w:tcW w:w="1602" w:type="dxa"/>
                  <w:vAlign w:val="center"/>
                </w:tcPr>
                <w:p w14:paraId="380D6356">
                  <w:pPr>
                    <w:adjustRightInd w:val="0"/>
                    <w:snapToGrid w:val="0"/>
                    <w:jc w:val="center"/>
                    <w:rPr>
                      <w:rFonts w:hint="default"/>
                      <w:color w:val="auto"/>
                      <w:kern w:val="0"/>
                      <w:szCs w:val="21"/>
                      <w:lang w:val="en-US" w:eastAsia="zh-CN"/>
                    </w:rPr>
                  </w:pPr>
                  <w:r>
                    <w:rPr>
                      <w:rFonts w:hint="eastAsia"/>
                      <w:color w:val="auto"/>
                      <w:kern w:val="0"/>
                      <w:szCs w:val="21"/>
                      <w:lang w:val="en-US" w:eastAsia="zh-CN"/>
                    </w:rPr>
                    <w:t>2</w:t>
                  </w:r>
                </w:p>
              </w:tc>
            </w:tr>
            <w:tr w14:paraId="4659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Align w:val="center"/>
                </w:tcPr>
                <w:p w14:paraId="1FF30981">
                  <w:pPr>
                    <w:adjustRightInd w:val="0"/>
                    <w:snapToGrid w:val="0"/>
                    <w:jc w:val="center"/>
                    <w:rPr>
                      <w:color w:val="auto"/>
                      <w:kern w:val="0"/>
                      <w:szCs w:val="21"/>
                    </w:rPr>
                  </w:pPr>
                  <w:r>
                    <w:rPr>
                      <w:color w:val="auto"/>
                      <w:kern w:val="0"/>
                      <w:szCs w:val="21"/>
                    </w:rPr>
                    <w:t>噪声</w:t>
                  </w:r>
                </w:p>
              </w:tc>
              <w:tc>
                <w:tcPr>
                  <w:tcW w:w="2202" w:type="dxa"/>
                  <w:vAlign w:val="center"/>
                </w:tcPr>
                <w:p w14:paraId="3C6911B5">
                  <w:pPr>
                    <w:adjustRightInd w:val="0"/>
                    <w:snapToGrid w:val="0"/>
                    <w:jc w:val="center"/>
                    <w:rPr>
                      <w:color w:val="auto"/>
                      <w:kern w:val="0"/>
                      <w:szCs w:val="21"/>
                    </w:rPr>
                  </w:pPr>
                  <w:r>
                    <w:rPr>
                      <w:color w:val="auto"/>
                      <w:kern w:val="0"/>
                      <w:szCs w:val="21"/>
                    </w:rPr>
                    <w:t>设备噪声等</w:t>
                  </w:r>
                </w:p>
              </w:tc>
              <w:tc>
                <w:tcPr>
                  <w:tcW w:w="3401" w:type="dxa"/>
                  <w:vAlign w:val="center"/>
                </w:tcPr>
                <w:p w14:paraId="5FDD883C">
                  <w:pPr>
                    <w:adjustRightInd w:val="0"/>
                    <w:snapToGrid w:val="0"/>
                    <w:jc w:val="center"/>
                    <w:rPr>
                      <w:color w:val="auto"/>
                      <w:kern w:val="0"/>
                      <w:szCs w:val="21"/>
                    </w:rPr>
                  </w:pPr>
                  <w:r>
                    <w:rPr>
                      <w:color w:val="auto"/>
                      <w:kern w:val="0"/>
                      <w:szCs w:val="21"/>
                    </w:rPr>
                    <w:t>选用低噪声设备、建筑隔声等</w:t>
                  </w:r>
                </w:p>
              </w:tc>
              <w:tc>
                <w:tcPr>
                  <w:tcW w:w="1602" w:type="dxa"/>
                  <w:vAlign w:val="center"/>
                </w:tcPr>
                <w:p w14:paraId="460CCC20">
                  <w:pPr>
                    <w:adjustRightInd w:val="0"/>
                    <w:snapToGrid w:val="0"/>
                    <w:jc w:val="center"/>
                    <w:rPr>
                      <w:rFonts w:hint="default"/>
                      <w:color w:val="auto"/>
                      <w:kern w:val="0"/>
                      <w:szCs w:val="21"/>
                      <w:lang w:val="en-US"/>
                    </w:rPr>
                  </w:pPr>
                  <w:r>
                    <w:rPr>
                      <w:rFonts w:hint="eastAsia"/>
                      <w:color w:val="auto"/>
                      <w:kern w:val="0"/>
                      <w:szCs w:val="21"/>
                      <w:lang w:val="en-US" w:eastAsia="zh-CN"/>
                    </w:rPr>
                    <w:t>10</w:t>
                  </w:r>
                </w:p>
              </w:tc>
            </w:tr>
            <w:tr w14:paraId="09D5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restart"/>
                  <w:vAlign w:val="center"/>
                </w:tcPr>
                <w:p w14:paraId="3E07606D">
                  <w:pPr>
                    <w:adjustRightInd w:val="0"/>
                    <w:snapToGrid w:val="0"/>
                    <w:jc w:val="center"/>
                    <w:rPr>
                      <w:color w:val="auto"/>
                      <w:kern w:val="0"/>
                      <w:szCs w:val="21"/>
                    </w:rPr>
                  </w:pPr>
                  <w:r>
                    <w:rPr>
                      <w:color w:val="auto"/>
                      <w:kern w:val="0"/>
                      <w:szCs w:val="21"/>
                    </w:rPr>
                    <w:t>固废</w:t>
                  </w:r>
                </w:p>
              </w:tc>
              <w:tc>
                <w:tcPr>
                  <w:tcW w:w="2202" w:type="dxa"/>
                  <w:vAlign w:val="center"/>
                </w:tcPr>
                <w:p w14:paraId="4CB383AC">
                  <w:pPr>
                    <w:adjustRightInd w:val="0"/>
                    <w:snapToGrid w:val="0"/>
                    <w:jc w:val="center"/>
                    <w:rPr>
                      <w:color w:val="auto"/>
                      <w:kern w:val="0"/>
                      <w:szCs w:val="21"/>
                    </w:rPr>
                  </w:pPr>
                  <w:r>
                    <w:rPr>
                      <w:color w:val="auto"/>
                      <w:kern w:val="0"/>
                      <w:szCs w:val="21"/>
                    </w:rPr>
                    <w:t>一般工业固体废物</w:t>
                  </w:r>
                </w:p>
              </w:tc>
              <w:tc>
                <w:tcPr>
                  <w:tcW w:w="3401" w:type="dxa"/>
                  <w:vAlign w:val="center"/>
                </w:tcPr>
                <w:p w14:paraId="61A4B2CE">
                  <w:pPr>
                    <w:adjustRightInd w:val="0"/>
                    <w:snapToGrid w:val="0"/>
                    <w:jc w:val="center"/>
                    <w:rPr>
                      <w:color w:val="auto"/>
                      <w:kern w:val="0"/>
                      <w:szCs w:val="21"/>
                    </w:rPr>
                  </w:pPr>
                  <w:r>
                    <w:rPr>
                      <w:color w:val="auto"/>
                      <w:kern w:val="0"/>
                      <w:szCs w:val="21"/>
                    </w:rPr>
                    <w:t>规范化一般固废暂存间</w:t>
                  </w:r>
                </w:p>
              </w:tc>
              <w:tc>
                <w:tcPr>
                  <w:tcW w:w="1602" w:type="dxa"/>
                  <w:vAlign w:val="center"/>
                </w:tcPr>
                <w:p w14:paraId="31D57DCF">
                  <w:pPr>
                    <w:adjustRightInd w:val="0"/>
                    <w:snapToGrid w:val="0"/>
                    <w:jc w:val="center"/>
                    <w:rPr>
                      <w:color w:val="auto"/>
                      <w:kern w:val="0"/>
                      <w:szCs w:val="21"/>
                    </w:rPr>
                  </w:pPr>
                  <w:r>
                    <w:rPr>
                      <w:rFonts w:hint="eastAsia"/>
                      <w:color w:val="auto"/>
                      <w:kern w:val="0"/>
                      <w:szCs w:val="21"/>
                      <w:lang w:val="en-US" w:eastAsia="zh-CN"/>
                    </w:rPr>
                    <w:t>5</w:t>
                  </w:r>
                </w:p>
              </w:tc>
            </w:tr>
            <w:tr w14:paraId="5F2C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35B2D06A">
                  <w:pPr>
                    <w:adjustRightInd w:val="0"/>
                    <w:snapToGrid w:val="0"/>
                    <w:jc w:val="center"/>
                    <w:rPr>
                      <w:color w:val="auto"/>
                      <w:kern w:val="0"/>
                      <w:szCs w:val="21"/>
                    </w:rPr>
                  </w:pPr>
                </w:p>
              </w:tc>
              <w:tc>
                <w:tcPr>
                  <w:tcW w:w="2202" w:type="dxa"/>
                  <w:vAlign w:val="center"/>
                </w:tcPr>
                <w:p w14:paraId="78571278">
                  <w:pPr>
                    <w:adjustRightInd w:val="0"/>
                    <w:snapToGrid w:val="0"/>
                    <w:jc w:val="center"/>
                    <w:rPr>
                      <w:color w:val="auto"/>
                      <w:kern w:val="0"/>
                      <w:szCs w:val="21"/>
                    </w:rPr>
                  </w:pPr>
                  <w:r>
                    <w:rPr>
                      <w:color w:val="auto"/>
                      <w:kern w:val="0"/>
                      <w:szCs w:val="21"/>
                    </w:rPr>
                    <w:t>危险废物</w:t>
                  </w:r>
                </w:p>
              </w:tc>
              <w:tc>
                <w:tcPr>
                  <w:tcW w:w="3401" w:type="dxa"/>
                  <w:vAlign w:val="center"/>
                </w:tcPr>
                <w:p w14:paraId="20FA6CAA">
                  <w:pPr>
                    <w:adjustRightInd w:val="0"/>
                    <w:snapToGrid w:val="0"/>
                    <w:jc w:val="center"/>
                    <w:rPr>
                      <w:color w:val="auto"/>
                      <w:kern w:val="0"/>
                      <w:szCs w:val="21"/>
                    </w:rPr>
                  </w:pPr>
                  <w:r>
                    <w:rPr>
                      <w:color w:val="auto"/>
                      <w:kern w:val="0"/>
                      <w:szCs w:val="21"/>
                    </w:rPr>
                    <w:t>规范化危险废物暂存间</w:t>
                  </w:r>
                </w:p>
              </w:tc>
              <w:tc>
                <w:tcPr>
                  <w:tcW w:w="1602" w:type="dxa"/>
                  <w:vAlign w:val="center"/>
                </w:tcPr>
                <w:p w14:paraId="3C3BFD51">
                  <w:pPr>
                    <w:adjustRightInd w:val="0"/>
                    <w:snapToGrid w:val="0"/>
                    <w:jc w:val="center"/>
                    <w:rPr>
                      <w:rFonts w:hint="eastAsia" w:eastAsia="宋体"/>
                      <w:color w:val="auto"/>
                      <w:kern w:val="0"/>
                      <w:szCs w:val="21"/>
                      <w:lang w:eastAsia="zh-CN"/>
                    </w:rPr>
                  </w:pPr>
                  <w:r>
                    <w:rPr>
                      <w:rFonts w:hint="eastAsia"/>
                      <w:color w:val="auto"/>
                      <w:kern w:val="0"/>
                      <w:szCs w:val="21"/>
                      <w:lang w:val="en-US" w:eastAsia="zh-CN"/>
                    </w:rPr>
                    <w:t>5</w:t>
                  </w:r>
                </w:p>
              </w:tc>
            </w:tr>
            <w:tr w14:paraId="5BAF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1C125219">
                  <w:pPr>
                    <w:adjustRightInd w:val="0"/>
                    <w:snapToGrid w:val="0"/>
                    <w:jc w:val="center"/>
                    <w:rPr>
                      <w:color w:val="auto"/>
                      <w:kern w:val="0"/>
                      <w:szCs w:val="21"/>
                    </w:rPr>
                  </w:pPr>
                </w:p>
              </w:tc>
              <w:tc>
                <w:tcPr>
                  <w:tcW w:w="2202" w:type="dxa"/>
                  <w:vAlign w:val="center"/>
                </w:tcPr>
                <w:p w14:paraId="63C0EBF5">
                  <w:pPr>
                    <w:adjustRightInd w:val="0"/>
                    <w:snapToGrid w:val="0"/>
                    <w:jc w:val="center"/>
                    <w:rPr>
                      <w:color w:val="auto"/>
                      <w:kern w:val="0"/>
                      <w:szCs w:val="21"/>
                    </w:rPr>
                  </w:pPr>
                  <w:r>
                    <w:rPr>
                      <w:color w:val="auto"/>
                      <w:kern w:val="0"/>
                      <w:szCs w:val="21"/>
                    </w:rPr>
                    <w:t>生活垃圾</w:t>
                  </w:r>
                </w:p>
              </w:tc>
              <w:tc>
                <w:tcPr>
                  <w:tcW w:w="3401" w:type="dxa"/>
                  <w:vAlign w:val="center"/>
                </w:tcPr>
                <w:p w14:paraId="2EEB78C1">
                  <w:pPr>
                    <w:adjustRightInd w:val="0"/>
                    <w:snapToGrid w:val="0"/>
                    <w:jc w:val="center"/>
                    <w:rPr>
                      <w:color w:val="auto"/>
                      <w:kern w:val="0"/>
                      <w:szCs w:val="21"/>
                    </w:rPr>
                  </w:pPr>
                  <w:r>
                    <w:rPr>
                      <w:color w:val="auto"/>
                      <w:kern w:val="0"/>
                      <w:szCs w:val="21"/>
                    </w:rPr>
                    <w:t>垃圾桶等</w:t>
                  </w:r>
                </w:p>
              </w:tc>
              <w:tc>
                <w:tcPr>
                  <w:tcW w:w="1602" w:type="dxa"/>
                  <w:vAlign w:val="center"/>
                </w:tcPr>
                <w:p w14:paraId="79D13F50">
                  <w:pPr>
                    <w:adjustRightInd w:val="0"/>
                    <w:snapToGrid w:val="0"/>
                    <w:jc w:val="center"/>
                    <w:rPr>
                      <w:color w:val="auto"/>
                      <w:kern w:val="0"/>
                      <w:szCs w:val="21"/>
                    </w:rPr>
                  </w:pPr>
                  <w:r>
                    <w:rPr>
                      <w:rFonts w:hint="eastAsia"/>
                      <w:color w:val="auto"/>
                      <w:kern w:val="0"/>
                      <w:szCs w:val="21"/>
                    </w:rPr>
                    <w:t>1</w:t>
                  </w:r>
                </w:p>
              </w:tc>
            </w:tr>
            <w:tr w14:paraId="304A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9" w:type="dxa"/>
                  <w:gridSpan w:val="2"/>
                  <w:vAlign w:val="center"/>
                </w:tcPr>
                <w:p w14:paraId="72E40C7F">
                  <w:pPr>
                    <w:spacing w:line="240" w:lineRule="atLeast"/>
                    <w:jc w:val="center"/>
                    <w:rPr>
                      <w:rFonts w:hint="eastAsia" w:eastAsia="宋体"/>
                      <w:color w:val="auto"/>
                      <w:kern w:val="0"/>
                      <w:szCs w:val="21"/>
                      <w:lang w:eastAsia="zh-CN"/>
                    </w:rPr>
                  </w:pPr>
                  <w:r>
                    <w:rPr>
                      <w:color w:val="auto"/>
                      <w:szCs w:val="21"/>
                    </w:rPr>
                    <w:t>地下水</w:t>
                  </w:r>
                  <w:r>
                    <w:rPr>
                      <w:rFonts w:hint="eastAsia"/>
                      <w:color w:val="auto"/>
                      <w:szCs w:val="21"/>
                      <w:lang w:eastAsia="zh-CN"/>
                    </w:rPr>
                    <w:t>、土壤</w:t>
                  </w:r>
                </w:p>
              </w:tc>
              <w:tc>
                <w:tcPr>
                  <w:tcW w:w="3401" w:type="dxa"/>
                  <w:vAlign w:val="center"/>
                </w:tcPr>
                <w:p w14:paraId="6D4EE2BB">
                  <w:pPr>
                    <w:adjustRightInd w:val="0"/>
                    <w:snapToGrid w:val="0"/>
                    <w:spacing w:before="48" w:beforeLines="20"/>
                    <w:jc w:val="center"/>
                    <w:rPr>
                      <w:rFonts w:hint="eastAsia" w:eastAsia="宋体"/>
                      <w:color w:val="auto"/>
                      <w:kern w:val="0"/>
                      <w:szCs w:val="21"/>
                      <w:lang w:eastAsia="zh-CN"/>
                    </w:rPr>
                  </w:pPr>
                  <w:r>
                    <w:rPr>
                      <w:color w:val="auto"/>
                      <w:szCs w:val="21"/>
                    </w:rPr>
                    <w:t>一般防渗、重点防渗</w:t>
                  </w:r>
                  <w:r>
                    <w:rPr>
                      <w:rFonts w:hint="eastAsia"/>
                      <w:color w:val="auto"/>
                      <w:szCs w:val="21"/>
                      <w:lang w:eastAsia="zh-CN"/>
                    </w:rPr>
                    <w:t>、污泥储存区设置导流沟、导流槽</w:t>
                  </w:r>
                </w:p>
              </w:tc>
              <w:tc>
                <w:tcPr>
                  <w:tcW w:w="1602" w:type="dxa"/>
                  <w:vAlign w:val="center"/>
                </w:tcPr>
                <w:p w14:paraId="3F0F972F">
                  <w:pPr>
                    <w:spacing w:line="240" w:lineRule="atLeast"/>
                    <w:jc w:val="center"/>
                    <w:rPr>
                      <w:color w:val="auto"/>
                      <w:kern w:val="0"/>
                      <w:szCs w:val="21"/>
                    </w:rPr>
                  </w:pPr>
                  <w:r>
                    <w:rPr>
                      <w:rFonts w:hint="eastAsia"/>
                      <w:color w:val="auto"/>
                      <w:kern w:val="0"/>
                      <w:szCs w:val="21"/>
                    </w:rPr>
                    <w:t>3</w:t>
                  </w:r>
                </w:p>
              </w:tc>
            </w:tr>
            <w:tr w14:paraId="04FC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9" w:type="dxa"/>
                  <w:gridSpan w:val="2"/>
                  <w:vAlign w:val="center"/>
                </w:tcPr>
                <w:p w14:paraId="1BA0C1E5">
                  <w:pPr>
                    <w:spacing w:line="240" w:lineRule="atLeast"/>
                    <w:jc w:val="center"/>
                    <w:rPr>
                      <w:color w:val="auto"/>
                      <w:kern w:val="0"/>
                      <w:szCs w:val="21"/>
                    </w:rPr>
                  </w:pPr>
                  <w:r>
                    <w:rPr>
                      <w:color w:val="auto"/>
                      <w:szCs w:val="21"/>
                    </w:rPr>
                    <w:t>环境风险</w:t>
                  </w:r>
                </w:p>
              </w:tc>
              <w:tc>
                <w:tcPr>
                  <w:tcW w:w="3401" w:type="dxa"/>
                  <w:vAlign w:val="center"/>
                </w:tcPr>
                <w:p w14:paraId="7CE8C886">
                  <w:pPr>
                    <w:adjustRightInd w:val="0"/>
                    <w:snapToGrid w:val="0"/>
                    <w:spacing w:before="48" w:beforeLines="20"/>
                    <w:jc w:val="center"/>
                    <w:rPr>
                      <w:color w:val="auto"/>
                      <w:kern w:val="0"/>
                      <w:szCs w:val="21"/>
                    </w:rPr>
                  </w:pPr>
                  <w:r>
                    <w:rPr>
                      <w:color w:val="auto"/>
                      <w:szCs w:val="21"/>
                    </w:rPr>
                    <w:t>设置室外消火栓、灭火器、制定风险应急预案等。</w:t>
                  </w:r>
                </w:p>
              </w:tc>
              <w:tc>
                <w:tcPr>
                  <w:tcW w:w="1602" w:type="dxa"/>
                  <w:vAlign w:val="center"/>
                </w:tcPr>
                <w:p w14:paraId="564AB5A9">
                  <w:pPr>
                    <w:spacing w:line="240" w:lineRule="atLeast"/>
                    <w:jc w:val="center"/>
                    <w:rPr>
                      <w:color w:val="auto"/>
                      <w:kern w:val="0"/>
                      <w:szCs w:val="21"/>
                    </w:rPr>
                  </w:pPr>
                  <w:r>
                    <w:rPr>
                      <w:rFonts w:hint="eastAsia"/>
                      <w:color w:val="auto"/>
                      <w:kern w:val="0"/>
                      <w:szCs w:val="21"/>
                    </w:rPr>
                    <w:t>2</w:t>
                  </w:r>
                </w:p>
              </w:tc>
            </w:tr>
            <w:tr w14:paraId="1F15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0" w:type="dxa"/>
                  <w:gridSpan w:val="3"/>
                  <w:vAlign w:val="center"/>
                </w:tcPr>
                <w:p w14:paraId="74597762">
                  <w:pPr>
                    <w:adjustRightInd w:val="0"/>
                    <w:snapToGrid w:val="0"/>
                    <w:jc w:val="center"/>
                    <w:rPr>
                      <w:color w:val="auto"/>
                      <w:kern w:val="0"/>
                      <w:szCs w:val="21"/>
                    </w:rPr>
                  </w:pPr>
                  <w:r>
                    <w:rPr>
                      <w:color w:val="auto"/>
                      <w:kern w:val="0"/>
                      <w:szCs w:val="21"/>
                    </w:rPr>
                    <w:t>合计</w:t>
                  </w:r>
                </w:p>
              </w:tc>
              <w:tc>
                <w:tcPr>
                  <w:tcW w:w="1602" w:type="dxa"/>
                  <w:vAlign w:val="center"/>
                </w:tcPr>
                <w:p w14:paraId="2F1E4674">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60</w:t>
                  </w:r>
                </w:p>
              </w:tc>
            </w:tr>
          </w:tbl>
          <w:p w14:paraId="7CC78092">
            <w:pPr>
              <w:adjustRightInd w:val="0"/>
              <w:snapToGrid w:val="0"/>
              <w:spacing w:line="360" w:lineRule="auto"/>
              <w:rPr>
                <w:color w:val="auto"/>
                <w:kern w:val="0"/>
                <w:sz w:val="24"/>
              </w:rPr>
            </w:pPr>
          </w:p>
        </w:tc>
      </w:tr>
    </w:tbl>
    <w:p w14:paraId="3EA1419E">
      <w:pPr>
        <w:rPr>
          <w:color w:val="auto"/>
          <w:kern w:val="0"/>
        </w:rPr>
        <w:sectPr>
          <w:pgSz w:w="11906" w:h="16838"/>
          <w:pgMar w:top="1440" w:right="1803" w:bottom="1440" w:left="1803" w:header="851" w:footer="851" w:gutter="0"/>
          <w:cols w:space="720" w:num="1"/>
          <w:docGrid w:linePitch="312" w:charSpace="0"/>
        </w:sectPr>
      </w:pPr>
    </w:p>
    <w:p w14:paraId="71376EDA">
      <w:pPr>
        <w:pStyle w:val="26"/>
        <w:snapToGrid w:val="0"/>
        <w:spacing w:before="0" w:beforeAutospacing="0" w:after="0" w:afterAutospacing="0" w:line="360" w:lineRule="auto"/>
        <w:jc w:val="center"/>
        <w:outlineLvl w:val="0"/>
        <w:rPr>
          <w:rFonts w:ascii="Times New Roman" w:hAnsi="Times New Roman"/>
          <w:b/>
          <w:bCs/>
          <w:color w:val="auto"/>
          <w:sz w:val="30"/>
          <w:szCs w:val="30"/>
        </w:rPr>
      </w:pPr>
      <w:r>
        <w:rPr>
          <w:rFonts w:ascii="Times New Roman" w:hAnsi="Times New Roman"/>
          <w:b/>
          <w:bCs/>
          <w:color w:val="auto"/>
          <w:sz w:val="30"/>
          <w:szCs w:val="30"/>
        </w:rPr>
        <w:t>五、</w:t>
      </w:r>
      <w:bookmarkStart w:id="1" w:name="_Hlk54167917"/>
      <w:r>
        <w:rPr>
          <w:rFonts w:ascii="Times New Roman" w:hAnsi="Times New Roman"/>
          <w:b/>
          <w:bCs/>
          <w:color w:val="auto"/>
          <w:sz w:val="30"/>
          <w:szCs w:val="30"/>
        </w:rPr>
        <w:t>环境保护措施监督检查清单</w:t>
      </w:r>
      <w:bookmarkEnd w:id="1"/>
    </w:p>
    <w:tbl>
      <w:tblPr>
        <w:tblStyle w:val="29"/>
        <w:tblW w:w="89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1895"/>
        <w:gridCol w:w="1494"/>
        <w:gridCol w:w="2011"/>
        <w:gridCol w:w="1877"/>
      </w:tblGrid>
      <w:tr w14:paraId="0C0AA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4" w:type="dxa"/>
            <w:tcBorders>
              <w:tl2br w:val="single" w:color="auto" w:sz="8" w:space="0"/>
            </w:tcBorders>
          </w:tcPr>
          <w:p w14:paraId="1B3FD5C7">
            <w:pPr>
              <w:adjustRightInd w:val="0"/>
              <w:snapToGrid w:val="0"/>
              <w:ind w:firstLine="840"/>
              <w:rPr>
                <w:color w:val="auto"/>
                <w:kern w:val="0"/>
                <w:sz w:val="24"/>
              </w:rPr>
            </w:pPr>
            <w:r>
              <w:rPr>
                <w:color w:val="auto"/>
                <w:kern w:val="0"/>
                <w:sz w:val="24"/>
              </w:rPr>
              <w:t>内容</w:t>
            </w:r>
          </w:p>
          <w:p w14:paraId="3B88E291">
            <w:pPr>
              <w:adjustRightInd w:val="0"/>
              <w:snapToGrid w:val="0"/>
              <w:rPr>
                <w:color w:val="auto"/>
                <w:kern w:val="0"/>
                <w:sz w:val="24"/>
              </w:rPr>
            </w:pPr>
            <w:r>
              <w:rPr>
                <w:color w:val="auto"/>
                <w:kern w:val="0"/>
                <w:sz w:val="24"/>
              </w:rPr>
              <w:t>要素</w:t>
            </w:r>
          </w:p>
        </w:tc>
        <w:tc>
          <w:tcPr>
            <w:tcW w:w="1895" w:type="dxa"/>
            <w:tcBorders>
              <w:tl2br w:val="nil"/>
              <w:tr2bl w:val="nil"/>
            </w:tcBorders>
            <w:vAlign w:val="center"/>
          </w:tcPr>
          <w:p w14:paraId="1C8C2775">
            <w:pPr>
              <w:adjustRightInd w:val="0"/>
              <w:snapToGrid w:val="0"/>
              <w:jc w:val="center"/>
              <w:rPr>
                <w:color w:val="auto"/>
                <w:kern w:val="0"/>
                <w:sz w:val="24"/>
              </w:rPr>
            </w:pPr>
            <w:r>
              <w:rPr>
                <w:color w:val="auto"/>
                <w:kern w:val="0"/>
                <w:sz w:val="24"/>
              </w:rPr>
              <w:t>排放口(编号、</w:t>
            </w:r>
          </w:p>
          <w:p w14:paraId="53F6F71C">
            <w:pPr>
              <w:adjustRightInd w:val="0"/>
              <w:snapToGrid w:val="0"/>
              <w:jc w:val="center"/>
              <w:rPr>
                <w:color w:val="auto"/>
                <w:kern w:val="0"/>
                <w:sz w:val="24"/>
              </w:rPr>
            </w:pPr>
            <w:r>
              <w:rPr>
                <w:color w:val="auto"/>
                <w:kern w:val="0"/>
                <w:sz w:val="24"/>
              </w:rPr>
              <w:t>名称)/污染源</w:t>
            </w:r>
          </w:p>
        </w:tc>
        <w:tc>
          <w:tcPr>
            <w:tcW w:w="1494" w:type="dxa"/>
            <w:tcBorders>
              <w:tl2br w:val="nil"/>
              <w:tr2bl w:val="nil"/>
            </w:tcBorders>
            <w:vAlign w:val="center"/>
          </w:tcPr>
          <w:p w14:paraId="179D6447">
            <w:pPr>
              <w:adjustRightInd w:val="0"/>
              <w:snapToGrid w:val="0"/>
              <w:jc w:val="center"/>
              <w:rPr>
                <w:color w:val="auto"/>
                <w:kern w:val="0"/>
                <w:sz w:val="24"/>
              </w:rPr>
            </w:pPr>
            <w:r>
              <w:rPr>
                <w:color w:val="auto"/>
                <w:kern w:val="0"/>
                <w:sz w:val="24"/>
              </w:rPr>
              <w:t>污染物项目</w:t>
            </w:r>
          </w:p>
        </w:tc>
        <w:tc>
          <w:tcPr>
            <w:tcW w:w="2011" w:type="dxa"/>
            <w:tcBorders>
              <w:tl2br w:val="nil"/>
              <w:tr2bl w:val="nil"/>
            </w:tcBorders>
            <w:vAlign w:val="center"/>
          </w:tcPr>
          <w:p w14:paraId="715C303C">
            <w:pPr>
              <w:adjustRightInd w:val="0"/>
              <w:snapToGrid w:val="0"/>
              <w:jc w:val="center"/>
              <w:rPr>
                <w:color w:val="auto"/>
                <w:kern w:val="0"/>
                <w:sz w:val="24"/>
              </w:rPr>
            </w:pPr>
            <w:r>
              <w:rPr>
                <w:color w:val="auto"/>
                <w:kern w:val="0"/>
                <w:sz w:val="24"/>
              </w:rPr>
              <w:t>环境保护措施</w:t>
            </w:r>
          </w:p>
        </w:tc>
        <w:tc>
          <w:tcPr>
            <w:tcW w:w="1877" w:type="dxa"/>
            <w:tcBorders>
              <w:tl2br w:val="nil"/>
              <w:tr2bl w:val="nil"/>
            </w:tcBorders>
            <w:vAlign w:val="center"/>
          </w:tcPr>
          <w:p w14:paraId="1774639C">
            <w:pPr>
              <w:adjustRightInd w:val="0"/>
              <w:snapToGrid w:val="0"/>
              <w:jc w:val="center"/>
              <w:rPr>
                <w:color w:val="auto"/>
                <w:kern w:val="0"/>
                <w:sz w:val="24"/>
              </w:rPr>
            </w:pPr>
            <w:r>
              <w:rPr>
                <w:color w:val="auto"/>
                <w:kern w:val="0"/>
                <w:sz w:val="24"/>
              </w:rPr>
              <w:t>执行标准</w:t>
            </w:r>
          </w:p>
        </w:tc>
      </w:tr>
      <w:tr w14:paraId="52356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1714" w:type="dxa"/>
            <w:vMerge w:val="restart"/>
            <w:tcBorders>
              <w:tl2br w:val="nil"/>
              <w:tr2bl w:val="nil"/>
            </w:tcBorders>
            <w:vAlign w:val="center"/>
          </w:tcPr>
          <w:p w14:paraId="3C52FE88">
            <w:pPr>
              <w:adjustRightInd w:val="0"/>
              <w:snapToGrid w:val="0"/>
              <w:jc w:val="center"/>
              <w:rPr>
                <w:color w:val="auto"/>
                <w:sz w:val="24"/>
              </w:rPr>
            </w:pPr>
            <w:r>
              <w:rPr>
                <w:color w:val="auto"/>
                <w:sz w:val="24"/>
              </w:rPr>
              <w:t>大气环境</w:t>
            </w:r>
          </w:p>
        </w:tc>
        <w:tc>
          <w:tcPr>
            <w:tcW w:w="1895" w:type="dxa"/>
            <w:tcBorders>
              <w:tl2br w:val="nil"/>
              <w:tr2bl w:val="nil"/>
            </w:tcBorders>
            <w:vAlign w:val="center"/>
          </w:tcPr>
          <w:p w14:paraId="6924701B">
            <w:pPr>
              <w:adjustRightInd w:val="0"/>
              <w:snapToGrid w:val="0"/>
              <w:jc w:val="center"/>
              <w:rPr>
                <w:rFonts w:hint="eastAsia" w:eastAsia="宋体"/>
                <w:color w:val="auto"/>
                <w:kern w:val="0"/>
                <w:sz w:val="24"/>
                <w:lang w:eastAsia="zh-CN"/>
              </w:rPr>
            </w:pPr>
            <w:r>
              <w:rPr>
                <w:rFonts w:hint="eastAsia"/>
                <w:color w:val="auto"/>
                <w:kern w:val="0"/>
                <w:sz w:val="24"/>
                <w:lang w:eastAsia="zh-CN"/>
              </w:rPr>
              <w:t>颗粒物</w:t>
            </w:r>
            <w:r>
              <w:rPr>
                <w:rFonts w:hint="eastAsia"/>
                <w:color w:val="auto"/>
                <w:kern w:val="0"/>
                <w:sz w:val="24"/>
              </w:rPr>
              <w:t>排放口</w:t>
            </w:r>
            <w:r>
              <w:rPr>
                <w:color w:val="auto"/>
                <w:kern w:val="0"/>
                <w:sz w:val="24"/>
              </w:rPr>
              <w:t>（DA00</w:t>
            </w:r>
            <w:r>
              <w:rPr>
                <w:rFonts w:hint="eastAsia"/>
                <w:color w:val="auto"/>
                <w:kern w:val="0"/>
                <w:sz w:val="24"/>
                <w:lang w:val="en-US" w:eastAsia="zh-CN"/>
              </w:rPr>
              <w:t>1</w:t>
            </w:r>
            <w:r>
              <w:rPr>
                <w:color w:val="auto"/>
                <w:kern w:val="0"/>
                <w:sz w:val="24"/>
              </w:rPr>
              <w:t>）</w:t>
            </w:r>
            <w:r>
              <w:rPr>
                <w:rFonts w:hint="eastAsia"/>
                <w:color w:val="auto"/>
                <w:kern w:val="0"/>
                <w:sz w:val="24"/>
              </w:rPr>
              <w:t>/</w:t>
            </w:r>
            <w:r>
              <w:rPr>
                <w:rFonts w:hint="eastAsia"/>
                <w:color w:val="auto"/>
                <w:kern w:val="0"/>
                <w:sz w:val="24"/>
                <w:lang w:eastAsia="zh-CN"/>
              </w:rPr>
              <w:t>水泥筒仓</w:t>
            </w:r>
            <w:r>
              <w:rPr>
                <w:color w:val="auto"/>
                <w:kern w:val="0"/>
                <w:sz w:val="24"/>
              </w:rPr>
              <w:t>呼吸</w:t>
            </w:r>
            <w:r>
              <w:rPr>
                <w:rFonts w:hint="eastAsia"/>
                <w:color w:val="auto"/>
                <w:kern w:val="0"/>
                <w:sz w:val="24"/>
                <w:lang w:eastAsia="zh-CN"/>
              </w:rPr>
              <w:t>废气</w:t>
            </w:r>
          </w:p>
        </w:tc>
        <w:tc>
          <w:tcPr>
            <w:tcW w:w="1494" w:type="dxa"/>
            <w:tcBorders>
              <w:tl2br w:val="nil"/>
              <w:tr2bl w:val="nil"/>
            </w:tcBorders>
            <w:vAlign w:val="center"/>
          </w:tcPr>
          <w:p w14:paraId="7D99BE2E">
            <w:pPr>
              <w:autoSpaceDE w:val="0"/>
              <w:autoSpaceDN w:val="0"/>
              <w:adjustRightInd w:val="0"/>
              <w:jc w:val="center"/>
              <w:rPr>
                <w:rFonts w:hint="eastAsia"/>
                <w:color w:val="auto"/>
                <w:kern w:val="0"/>
                <w:sz w:val="24"/>
                <w:lang w:eastAsia="zh-CN"/>
              </w:rPr>
            </w:pPr>
            <w:r>
              <w:rPr>
                <w:rFonts w:hint="eastAsia"/>
                <w:color w:val="auto"/>
                <w:kern w:val="0"/>
                <w:sz w:val="24"/>
                <w:lang w:eastAsia="zh-CN"/>
              </w:rPr>
              <w:t>颗粒物</w:t>
            </w:r>
          </w:p>
        </w:tc>
        <w:tc>
          <w:tcPr>
            <w:tcW w:w="2011" w:type="dxa"/>
            <w:tcBorders>
              <w:tl2br w:val="nil"/>
              <w:tr2bl w:val="nil"/>
            </w:tcBorders>
            <w:vAlign w:val="center"/>
          </w:tcPr>
          <w:p w14:paraId="53ACE78B">
            <w:pPr>
              <w:adjustRightInd w:val="0"/>
              <w:snapToGrid w:val="0"/>
              <w:jc w:val="center"/>
              <w:rPr>
                <w:rFonts w:hint="eastAsia"/>
                <w:color w:val="auto"/>
                <w:kern w:val="0"/>
                <w:sz w:val="24"/>
                <w:lang w:eastAsia="zh-CN"/>
              </w:rPr>
            </w:pPr>
            <w:r>
              <w:rPr>
                <w:rFonts w:hint="eastAsia"/>
                <w:color w:val="auto"/>
                <w:kern w:val="0"/>
                <w:sz w:val="24"/>
                <w:lang w:eastAsia="zh-CN"/>
              </w:rPr>
              <w:t>密闭收集</w:t>
            </w:r>
            <w:r>
              <w:rPr>
                <w:rFonts w:hint="eastAsia"/>
                <w:color w:val="auto"/>
                <w:kern w:val="0"/>
                <w:sz w:val="24"/>
              </w:rPr>
              <w:t>+</w:t>
            </w:r>
            <w:r>
              <w:rPr>
                <w:rFonts w:hint="eastAsia"/>
                <w:color w:val="auto"/>
                <w:kern w:val="0"/>
                <w:sz w:val="24"/>
                <w:lang w:eastAsia="zh-CN"/>
              </w:rPr>
              <w:t>脉冲式布袋</w:t>
            </w:r>
            <w:r>
              <w:rPr>
                <w:rFonts w:hint="eastAsia"/>
                <w:color w:val="auto"/>
                <w:kern w:val="0"/>
                <w:sz w:val="24"/>
              </w:rPr>
              <w:t>除尘器</w:t>
            </w:r>
            <w:r>
              <w:rPr>
                <w:color w:val="auto"/>
                <w:kern w:val="0"/>
                <w:sz w:val="24"/>
              </w:rPr>
              <w:t>+15m高排气筒（DA00</w:t>
            </w:r>
            <w:r>
              <w:rPr>
                <w:rFonts w:hint="eastAsia"/>
                <w:color w:val="auto"/>
                <w:kern w:val="0"/>
                <w:sz w:val="24"/>
                <w:lang w:val="en-US" w:eastAsia="zh-CN"/>
              </w:rPr>
              <w:t>1</w:t>
            </w:r>
            <w:r>
              <w:rPr>
                <w:color w:val="auto"/>
                <w:kern w:val="0"/>
                <w:sz w:val="24"/>
              </w:rPr>
              <w:t>）</w:t>
            </w:r>
          </w:p>
        </w:tc>
        <w:tc>
          <w:tcPr>
            <w:tcW w:w="1877" w:type="dxa"/>
            <w:tcBorders>
              <w:tl2br w:val="nil"/>
              <w:tr2bl w:val="nil"/>
            </w:tcBorders>
            <w:vAlign w:val="center"/>
          </w:tcPr>
          <w:p w14:paraId="05912904">
            <w:pPr>
              <w:keepNext w:val="0"/>
              <w:keepLines w:val="0"/>
              <w:pageBreakBefore w:val="0"/>
              <w:widowControl w:val="0"/>
              <w:kinsoku/>
              <w:wordWrap/>
              <w:overflowPunct/>
              <w:topLinePunct w:val="0"/>
              <w:autoSpaceDE/>
              <w:autoSpaceDN/>
              <w:bidi w:val="0"/>
              <w:adjustRightInd w:val="0"/>
              <w:snapToGrid w:val="0"/>
              <w:spacing w:line="216" w:lineRule="auto"/>
              <w:jc w:val="center"/>
              <w:textAlignment w:val="auto"/>
              <w:rPr>
                <w:rFonts w:hint="default" w:ascii="Times New Roman" w:hAnsi="Times New Roman" w:eastAsia="宋体" w:cs="Times New Roman"/>
                <w:snapToGrid/>
                <w:color w:val="auto"/>
                <w:spacing w:val="0"/>
                <w:kern w:val="0"/>
                <w:position w:val="0"/>
                <w:sz w:val="24"/>
                <w:szCs w:val="24"/>
                <w:lang w:val="en-US" w:eastAsia="zh-CN"/>
              </w:rPr>
            </w:pPr>
            <w:r>
              <w:rPr>
                <w:rFonts w:hint="default" w:ascii="Times New Roman" w:hAnsi="Times New Roman" w:eastAsia="宋体" w:cs="Times New Roman"/>
                <w:snapToGrid/>
                <w:color w:val="auto"/>
                <w:spacing w:val="0"/>
                <w:kern w:val="0"/>
                <w:position w:val="0"/>
                <w:sz w:val="24"/>
                <w:szCs w:val="24"/>
                <w:lang w:val="en-US" w:eastAsia="zh-CN"/>
              </w:rPr>
              <w:t>《水泥工业大气污染物排放标准》（DB34/3576-2020）</w:t>
            </w:r>
          </w:p>
        </w:tc>
      </w:tr>
      <w:tr w14:paraId="33CD5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1714" w:type="dxa"/>
            <w:vMerge w:val="continue"/>
            <w:tcBorders>
              <w:tl2br w:val="nil"/>
              <w:tr2bl w:val="nil"/>
            </w:tcBorders>
            <w:vAlign w:val="center"/>
          </w:tcPr>
          <w:p w14:paraId="4E6F05F0">
            <w:pPr>
              <w:adjustRightInd w:val="0"/>
              <w:snapToGrid w:val="0"/>
              <w:jc w:val="center"/>
              <w:rPr>
                <w:color w:val="auto"/>
                <w:sz w:val="24"/>
              </w:rPr>
            </w:pPr>
          </w:p>
        </w:tc>
        <w:tc>
          <w:tcPr>
            <w:tcW w:w="1895" w:type="dxa"/>
            <w:tcBorders>
              <w:tl2br w:val="nil"/>
              <w:tr2bl w:val="nil"/>
            </w:tcBorders>
            <w:vAlign w:val="center"/>
          </w:tcPr>
          <w:p w14:paraId="16D8B6E5">
            <w:pPr>
              <w:adjustRightInd w:val="0"/>
              <w:snapToGrid w:val="0"/>
              <w:jc w:val="center"/>
              <w:rPr>
                <w:rFonts w:hint="eastAsia" w:eastAsia="宋体"/>
                <w:color w:val="auto"/>
                <w:kern w:val="0"/>
                <w:sz w:val="24"/>
                <w:lang w:eastAsia="zh-CN"/>
              </w:rPr>
            </w:pPr>
            <w:r>
              <w:rPr>
                <w:rFonts w:hint="eastAsia"/>
                <w:color w:val="auto"/>
                <w:kern w:val="0"/>
                <w:sz w:val="24"/>
                <w:lang w:eastAsia="zh-CN"/>
              </w:rPr>
              <w:t>颗粒物</w:t>
            </w:r>
            <w:r>
              <w:rPr>
                <w:rFonts w:hint="eastAsia"/>
                <w:color w:val="auto"/>
                <w:kern w:val="0"/>
                <w:sz w:val="24"/>
              </w:rPr>
              <w:t>排放口</w:t>
            </w:r>
            <w:r>
              <w:rPr>
                <w:color w:val="auto"/>
                <w:kern w:val="0"/>
                <w:sz w:val="24"/>
              </w:rPr>
              <w:t>（DA00</w:t>
            </w:r>
            <w:r>
              <w:rPr>
                <w:rFonts w:hint="eastAsia"/>
                <w:color w:val="auto"/>
                <w:kern w:val="0"/>
                <w:sz w:val="24"/>
                <w:lang w:val="en-US" w:eastAsia="zh-CN"/>
              </w:rPr>
              <w:t>2</w:t>
            </w:r>
            <w:r>
              <w:rPr>
                <w:color w:val="auto"/>
                <w:kern w:val="0"/>
                <w:sz w:val="24"/>
              </w:rPr>
              <w:t>）</w:t>
            </w:r>
            <w:r>
              <w:rPr>
                <w:rFonts w:hint="eastAsia"/>
                <w:color w:val="auto"/>
                <w:kern w:val="0"/>
                <w:sz w:val="24"/>
              </w:rPr>
              <w:t>/</w:t>
            </w:r>
            <w:r>
              <w:rPr>
                <w:rFonts w:hint="eastAsia"/>
                <w:color w:val="auto"/>
                <w:kern w:val="0"/>
                <w:sz w:val="24"/>
                <w:lang w:eastAsia="zh-CN"/>
              </w:rPr>
              <w:t>粉煤灰筒仓</w:t>
            </w:r>
            <w:r>
              <w:rPr>
                <w:color w:val="auto"/>
                <w:kern w:val="0"/>
                <w:sz w:val="24"/>
              </w:rPr>
              <w:t>呼吸</w:t>
            </w:r>
            <w:r>
              <w:rPr>
                <w:rFonts w:hint="eastAsia"/>
                <w:color w:val="auto"/>
                <w:kern w:val="0"/>
                <w:sz w:val="24"/>
                <w:lang w:eastAsia="zh-CN"/>
              </w:rPr>
              <w:t>废气</w:t>
            </w:r>
          </w:p>
        </w:tc>
        <w:tc>
          <w:tcPr>
            <w:tcW w:w="1494" w:type="dxa"/>
            <w:tcBorders>
              <w:tl2br w:val="nil"/>
              <w:tr2bl w:val="nil"/>
            </w:tcBorders>
            <w:vAlign w:val="center"/>
          </w:tcPr>
          <w:p w14:paraId="375C1749">
            <w:pPr>
              <w:autoSpaceDE w:val="0"/>
              <w:autoSpaceDN w:val="0"/>
              <w:adjustRightInd w:val="0"/>
              <w:jc w:val="center"/>
              <w:rPr>
                <w:color w:val="auto"/>
                <w:kern w:val="0"/>
                <w:sz w:val="24"/>
              </w:rPr>
            </w:pPr>
            <w:r>
              <w:rPr>
                <w:rFonts w:hint="eastAsia"/>
                <w:color w:val="auto"/>
                <w:kern w:val="0"/>
                <w:sz w:val="24"/>
                <w:lang w:eastAsia="zh-CN"/>
              </w:rPr>
              <w:t>颗粒物</w:t>
            </w:r>
          </w:p>
        </w:tc>
        <w:tc>
          <w:tcPr>
            <w:tcW w:w="2011" w:type="dxa"/>
            <w:tcBorders>
              <w:tl2br w:val="nil"/>
              <w:tr2bl w:val="nil"/>
            </w:tcBorders>
            <w:vAlign w:val="center"/>
          </w:tcPr>
          <w:p w14:paraId="595FF68A">
            <w:pPr>
              <w:adjustRightInd w:val="0"/>
              <w:snapToGrid w:val="0"/>
              <w:jc w:val="center"/>
              <w:rPr>
                <w:color w:val="auto"/>
                <w:kern w:val="0"/>
                <w:sz w:val="24"/>
              </w:rPr>
            </w:pPr>
            <w:r>
              <w:rPr>
                <w:rFonts w:hint="eastAsia"/>
                <w:color w:val="auto"/>
                <w:kern w:val="0"/>
                <w:sz w:val="24"/>
                <w:lang w:eastAsia="zh-CN"/>
              </w:rPr>
              <w:t>密闭收集</w:t>
            </w:r>
            <w:r>
              <w:rPr>
                <w:rFonts w:hint="eastAsia"/>
                <w:color w:val="auto"/>
                <w:kern w:val="0"/>
                <w:sz w:val="24"/>
              </w:rPr>
              <w:t>+</w:t>
            </w:r>
            <w:r>
              <w:rPr>
                <w:rFonts w:hint="eastAsia"/>
                <w:color w:val="auto"/>
                <w:kern w:val="0"/>
                <w:sz w:val="24"/>
                <w:lang w:eastAsia="zh-CN"/>
              </w:rPr>
              <w:t>脉冲式布袋</w:t>
            </w:r>
            <w:r>
              <w:rPr>
                <w:rFonts w:hint="eastAsia"/>
                <w:color w:val="auto"/>
                <w:kern w:val="0"/>
                <w:sz w:val="24"/>
              </w:rPr>
              <w:t>除尘器</w:t>
            </w:r>
            <w:r>
              <w:rPr>
                <w:color w:val="auto"/>
                <w:kern w:val="0"/>
                <w:sz w:val="24"/>
              </w:rPr>
              <w:t>+15m高排气筒（DA00</w:t>
            </w:r>
            <w:r>
              <w:rPr>
                <w:rFonts w:hint="eastAsia"/>
                <w:color w:val="auto"/>
                <w:kern w:val="0"/>
                <w:sz w:val="24"/>
                <w:lang w:val="en-US" w:eastAsia="zh-CN"/>
              </w:rPr>
              <w:t>2</w:t>
            </w:r>
            <w:r>
              <w:rPr>
                <w:color w:val="auto"/>
                <w:kern w:val="0"/>
                <w:sz w:val="24"/>
              </w:rPr>
              <w:t>）</w:t>
            </w:r>
          </w:p>
        </w:tc>
        <w:tc>
          <w:tcPr>
            <w:tcW w:w="1877" w:type="dxa"/>
            <w:vMerge w:val="restart"/>
            <w:tcBorders>
              <w:tl2br w:val="nil"/>
              <w:tr2bl w:val="nil"/>
            </w:tcBorders>
            <w:vAlign w:val="center"/>
          </w:tcPr>
          <w:p w14:paraId="7397A01A">
            <w:pPr>
              <w:adjustRightInd w:val="0"/>
              <w:snapToGrid w:val="0"/>
              <w:jc w:val="center"/>
              <w:rPr>
                <w:color w:val="auto"/>
                <w:kern w:val="0"/>
                <w:sz w:val="24"/>
              </w:rPr>
            </w:pPr>
            <w:r>
              <w:rPr>
                <w:rFonts w:hint="eastAsia"/>
                <w:color w:val="auto"/>
                <w:kern w:val="0"/>
                <w:sz w:val="24"/>
              </w:rPr>
              <w:t>《大气污染物综合排放标准》（GB 16297-1996）</w:t>
            </w:r>
          </w:p>
        </w:tc>
      </w:tr>
      <w:tr w14:paraId="12949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714" w:type="dxa"/>
            <w:vMerge w:val="continue"/>
            <w:tcBorders>
              <w:tl2br w:val="nil"/>
              <w:tr2bl w:val="nil"/>
            </w:tcBorders>
            <w:vAlign w:val="center"/>
          </w:tcPr>
          <w:p w14:paraId="7C25585F">
            <w:pPr>
              <w:adjustRightInd w:val="0"/>
              <w:snapToGrid w:val="0"/>
              <w:jc w:val="center"/>
              <w:rPr>
                <w:color w:val="auto"/>
                <w:sz w:val="24"/>
              </w:rPr>
            </w:pPr>
          </w:p>
        </w:tc>
        <w:tc>
          <w:tcPr>
            <w:tcW w:w="1895" w:type="dxa"/>
            <w:tcBorders>
              <w:tl2br w:val="nil"/>
              <w:tr2bl w:val="nil"/>
            </w:tcBorders>
            <w:vAlign w:val="center"/>
          </w:tcPr>
          <w:p w14:paraId="78F72C25">
            <w:pPr>
              <w:adjustRightInd w:val="0"/>
              <w:snapToGrid w:val="0"/>
              <w:jc w:val="center"/>
              <w:rPr>
                <w:rFonts w:hint="eastAsia" w:eastAsia="宋体"/>
                <w:color w:val="auto"/>
                <w:kern w:val="0"/>
                <w:sz w:val="24"/>
                <w:lang w:eastAsia="zh-CN"/>
              </w:rPr>
            </w:pPr>
            <w:r>
              <w:rPr>
                <w:rFonts w:hint="eastAsia"/>
                <w:color w:val="auto"/>
                <w:kern w:val="0"/>
                <w:sz w:val="24"/>
                <w:lang w:eastAsia="zh-CN"/>
              </w:rPr>
              <w:t>颗粒物</w:t>
            </w:r>
            <w:r>
              <w:rPr>
                <w:rFonts w:hint="eastAsia"/>
                <w:color w:val="auto"/>
                <w:kern w:val="0"/>
                <w:sz w:val="24"/>
              </w:rPr>
              <w:t>排放口</w:t>
            </w:r>
            <w:r>
              <w:rPr>
                <w:color w:val="auto"/>
                <w:kern w:val="0"/>
                <w:sz w:val="24"/>
              </w:rPr>
              <w:t>（DA00</w:t>
            </w:r>
            <w:r>
              <w:rPr>
                <w:rFonts w:hint="eastAsia"/>
                <w:color w:val="auto"/>
                <w:kern w:val="0"/>
                <w:sz w:val="24"/>
                <w:lang w:val="en-US" w:eastAsia="zh-CN"/>
              </w:rPr>
              <w:t>3</w:t>
            </w:r>
            <w:r>
              <w:rPr>
                <w:color w:val="auto"/>
                <w:kern w:val="0"/>
                <w:sz w:val="24"/>
              </w:rPr>
              <w:t>）</w:t>
            </w:r>
            <w:r>
              <w:rPr>
                <w:rFonts w:hint="eastAsia"/>
                <w:color w:val="auto"/>
                <w:kern w:val="0"/>
                <w:sz w:val="24"/>
              </w:rPr>
              <w:t>/</w:t>
            </w:r>
            <w:r>
              <w:rPr>
                <w:rFonts w:hint="eastAsia"/>
                <w:color w:val="auto"/>
                <w:kern w:val="0"/>
                <w:sz w:val="24"/>
                <w:lang w:eastAsia="zh-CN"/>
              </w:rPr>
              <w:t>建筑掺和料筒仓</w:t>
            </w:r>
            <w:r>
              <w:rPr>
                <w:rFonts w:hint="eastAsia"/>
                <w:color w:val="auto"/>
                <w:kern w:val="0"/>
                <w:sz w:val="24"/>
              </w:rPr>
              <w:t>呼吸废气</w:t>
            </w:r>
          </w:p>
        </w:tc>
        <w:tc>
          <w:tcPr>
            <w:tcW w:w="1494" w:type="dxa"/>
            <w:tcBorders>
              <w:tl2br w:val="nil"/>
              <w:tr2bl w:val="nil"/>
            </w:tcBorders>
            <w:vAlign w:val="center"/>
          </w:tcPr>
          <w:p w14:paraId="73E0521A">
            <w:pPr>
              <w:autoSpaceDE w:val="0"/>
              <w:autoSpaceDN w:val="0"/>
              <w:adjustRightInd w:val="0"/>
              <w:jc w:val="center"/>
              <w:rPr>
                <w:color w:val="auto"/>
                <w:kern w:val="0"/>
                <w:sz w:val="24"/>
              </w:rPr>
            </w:pPr>
            <w:r>
              <w:rPr>
                <w:rFonts w:hint="eastAsia"/>
                <w:color w:val="auto"/>
                <w:kern w:val="0"/>
                <w:sz w:val="24"/>
                <w:lang w:eastAsia="zh-CN"/>
              </w:rPr>
              <w:t>颗粒物</w:t>
            </w:r>
          </w:p>
        </w:tc>
        <w:tc>
          <w:tcPr>
            <w:tcW w:w="2011" w:type="dxa"/>
            <w:tcBorders>
              <w:tl2br w:val="nil"/>
              <w:tr2bl w:val="nil"/>
            </w:tcBorders>
            <w:vAlign w:val="center"/>
          </w:tcPr>
          <w:p w14:paraId="661BE985">
            <w:pPr>
              <w:adjustRightInd w:val="0"/>
              <w:snapToGrid w:val="0"/>
              <w:jc w:val="center"/>
              <w:rPr>
                <w:color w:val="auto"/>
                <w:kern w:val="0"/>
                <w:sz w:val="24"/>
              </w:rPr>
            </w:pPr>
            <w:r>
              <w:rPr>
                <w:rFonts w:hint="eastAsia"/>
                <w:color w:val="auto"/>
                <w:kern w:val="0"/>
                <w:sz w:val="24"/>
              </w:rPr>
              <w:t>集气罩+</w:t>
            </w:r>
            <w:r>
              <w:rPr>
                <w:rFonts w:hint="eastAsia"/>
                <w:color w:val="auto"/>
                <w:kern w:val="0"/>
                <w:sz w:val="24"/>
                <w:lang w:eastAsia="zh-CN"/>
              </w:rPr>
              <w:t>脉冲式布袋</w:t>
            </w:r>
            <w:r>
              <w:rPr>
                <w:rFonts w:hint="eastAsia"/>
                <w:color w:val="auto"/>
                <w:kern w:val="0"/>
                <w:sz w:val="24"/>
              </w:rPr>
              <w:t>除尘器</w:t>
            </w:r>
            <w:r>
              <w:rPr>
                <w:color w:val="auto"/>
                <w:kern w:val="0"/>
                <w:sz w:val="24"/>
              </w:rPr>
              <w:t>+15m高排气筒（DA00</w:t>
            </w:r>
            <w:r>
              <w:rPr>
                <w:rFonts w:hint="eastAsia"/>
                <w:color w:val="auto"/>
                <w:kern w:val="0"/>
                <w:sz w:val="24"/>
                <w:lang w:val="en-US" w:eastAsia="zh-CN"/>
              </w:rPr>
              <w:t>4</w:t>
            </w:r>
            <w:r>
              <w:rPr>
                <w:color w:val="auto"/>
                <w:kern w:val="0"/>
                <w:sz w:val="24"/>
              </w:rPr>
              <w:t>）</w:t>
            </w:r>
          </w:p>
        </w:tc>
        <w:tc>
          <w:tcPr>
            <w:tcW w:w="1877" w:type="dxa"/>
            <w:vMerge w:val="continue"/>
            <w:tcBorders>
              <w:tl2br w:val="nil"/>
              <w:tr2bl w:val="nil"/>
            </w:tcBorders>
            <w:vAlign w:val="center"/>
          </w:tcPr>
          <w:p w14:paraId="60652591">
            <w:pPr>
              <w:adjustRightInd w:val="0"/>
              <w:snapToGrid w:val="0"/>
              <w:jc w:val="center"/>
              <w:rPr>
                <w:color w:val="auto"/>
                <w:kern w:val="0"/>
                <w:sz w:val="24"/>
              </w:rPr>
            </w:pPr>
          </w:p>
        </w:tc>
      </w:tr>
      <w:tr w14:paraId="78213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714" w:type="dxa"/>
            <w:vMerge w:val="continue"/>
            <w:tcBorders>
              <w:tl2br w:val="nil"/>
              <w:tr2bl w:val="nil"/>
            </w:tcBorders>
            <w:vAlign w:val="center"/>
          </w:tcPr>
          <w:p w14:paraId="0A4B9E4E">
            <w:pPr>
              <w:adjustRightInd w:val="0"/>
              <w:snapToGrid w:val="0"/>
              <w:jc w:val="center"/>
              <w:rPr>
                <w:color w:val="auto"/>
                <w:sz w:val="24"/>
              </w:rPr>
            </w:pPr>
          </w:p>
        </w:tc>
        <w:tc>
          <w:tcPr>
            <w:tcW w:w="1895" w:type="dxa"/>
            <w:tcBorders>
              <w:tl2br w:val="nil"/>
              <w:tr2bl w:val="nil"/>
            </w:tcBorders>
            <w:vAlign w:val="center"/>
          </w:tcPr>
          <w:p w14:paraId="4BFDA4B0">
            <w:pPr>
              <w:adjustRightInd w:val="0"/>
              <w:snapToGrid w:val="0"/>
              <w:jc w:val="center"/>
              <w:rPr>
                <w:rFonts w:hint="eastAsia"/>
                <w:color w:val="auto"/>
                <w:kern w:val="0"/>
                <w:sz w:val="24"/>
                <w:lang w:eastAsia="zh-CN"/>
              </w:rPr>
            </w:pPr>
            <w:r>
              <w:rPr>
                <w:rFonts w:hint="eastAsia"/>
                <w:color w:val="auto"/>
                <w:kern w:val="0"/>
                <w:sz w:val="24"/>
                <w:lang w:eastAsia="zh-CN"/>
              </w:rPr>
              <w:t>颗粒物</w:t>
            </w:r>
            <w:r>
              <w:rPr>
                <w:rFonts w:hint="eastAsia"/>
                <w:color w:val="auto"/>
                <w:kern w:val="0"/>
                <w:sz w:val="24"/>
              </w:rPr>
              <w:t>排放口</w:t>
            </w:r>
            <w:r>
              <w:rPr>
                <w:color w:val="auto"/>
                <w:kern w:val="0"/>
                <w:sz w:val="24"/>
              </w:rPr>
              <w:t>（DA00</w:t>
            </w:r>
            <w:r>
              <w:rPr>
                <w:rFonts w:hint="eastAsia"/>
                <w:color w:val="auto"/>
                <w:kern w:val="0"/>
                <w:sz w:val="24"/>
                <w:lang w:val="en-US" w:eastAsia="zh-CN"/>
              </w:rPr>
              <w:t>4</w:t>
            </w:r>
            <w:r>
              <w:rPr>
                <w:color w:val="auto"/>
                <w:kern w:val="0"/>
                <w:sz w:val="24"/>
              </w:rPr>
              <w:t>）</w:t>
            </w:r>
            <w:r>
              <w:rPr>
                <w:rFonts w:hint="eastAsia"/>
                <w:color w:val="auto"/>
                <w:kern w:val="0"/>
                <w:sz w:val="24"/>
              </w:rPr>
              <w:t>/草木灰</w:t>
            </w:r>
            <w:r>
              <w:rPr>
                <w:rFonts w:hint="eastAsia"/>
                <w:color w:val="auto"/>
                <w:kern w:val="0"/>
                <w:sz w:val="24"/>
                <w:lang w:eastAsia="zh-CN"/>
              </w:rPr>
              <w:t>筒仓</w:t>
            </w:r>
            <w:r>
              <w:rPr>
                <w:rFonts w:hint="eastAsia"/>
                <w:color w:val="auto"/>
                <w:kern w:val="0"/>
                <w:sz w:val="24"/>
              </w:rPr>
              <w:t>呼吸废气</w:t>
            </w:r>
          </w:p>
        </w:tc>
        <w:tc>
          <w:tcPr>
            <w:tcW w:w="1494" w:type="dxa"/>
            <w:tcBorders>
              <w:tl2br w:val="nil"/>
              <w:tr2bl w:val="nil"/>
            </w:tcBorders>
            <w:vAlign w:val="center"/>
          </w:tcPr>
          <w:p w14:paraId="6D752ACB">
            <w:pPr>
              <w:autoSpaceDE w:val="0"/>
              <w:autoSpaceDN w:val="0"/>
              <w:adjustRightInd w:val="0"/>
              <w:jc w:val="center"/>
              <w:rPr>
                <w:rFonts w:hint="eastAsia"/>
                <w:color w:val="auto"/>
                <w:kern w:val="0"/>
                <w:sz w:val="24"/>
                <w:lang w:eastAsia="zh-CN"/>
              </w:rPr>
            </w:pPr>
            <w:r>
              <w:rPr>
                <w:rFonts w:hint="eastAsia"/>
                <w:color w:val="auto"/>
                <w:kern w:val="0"/>
                <w:sz w:val="24"/>
                <w:lang w:eastAsia="zh-CN"/>
              </w:rPr>
              <w:t>颗粒物</w:t>
            </w:r>
          </w:p>
        </w:tc>
        <w:tc>
          <w:tcPr>
            <w:tcW w:w="2011" w:type="dxa"/>
            <w:tcBorders>
              <w:tl2br w:val="nil"/>
              <w:tr2bl w:val="nil"/>
            </w:tcBorders>
            <w:vAlign w:val="center"/>
          </w:tcPr>
          <w:p w14:paraId="270CE141">
            <w:pPr>
              <w:adjustRightInd w:val="0"/>
              <w:snapToGrid w:val="0"/>
              <w:jc w:val="center"/>
              <w:rPr>
                <w:rFonts w:hint="eastAsia"/>
                <w:color w:val="auto"/>
                <w:kern w:val="0"/>
                <w:sz w:val="24"/>
              </w:rPr>
            </w:pPr>
            <w:r>
              <w:rPr>
                <w:rFonts w:hint="eastAsia"/>
                <w:color w:val="auto"/>
                <w:kern w:val="0"/>
                <w:sz w:val="24"/>
              </w:rPr>
              <w:t>除尘器+15m高排气筒（DA005）</w:t>
            </w:r>
          </w:p>
        </w:tc>
        <w:tc>
          <w:tcPr>
            <w:tcW w:w="1877" w:type="dxa"/>
            <w:vMerge w:val="continue"/>
            <w:tcBorders>
              <w:tl2br w:val="nil"/>
              <w:tr2bl w:val="nil"/>
            </w:tcBorders>
            <w:vAlign w:val="center"/>
          </w:tcPr>
          <w:p w14:paraId="0476F0B6">
            <w:pPr>
              <w:adjustRightInd w:val="0"/>
              <w:snapToGrid w:val="0"/>
              <w:jc w:val="center"/>
              <w:rPr>
                <w:rFonts w:hint="eastAsia"/>
                <w:color w:val="auto"/>
                <w:kern w:val="0"/>
                <w:sz w:val="24"/>
              </w:rPr>
            </w:pPr>
          </w:p>
        </w:tc>
      </w:tr>
      <w:tr w14:paraId="69415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714" w:type="dxa"/>
            <w:vMerge w:val="continue"/>
            <w:tcBorders>
              <w:tl2br w:val="nil"/>
              <w:tr2bl w:val="nil"/>
            </w:tcBorders>
            <w:vAlign w:val="center"/>
          </w:tcPr>
          <w:p w14:paraId="51AB3DBD">
            <w:pPr>
              <w:adjustRightInd w:val="0"/>
              <w:snapToGrid w:val="0"/>
              <w:jc w:val="center"/>
              <w:rPr>
                <w:color w:val="auto"/>
                <w:sz w:val="24"/>
              </w:rPr>
            </w:pPr>
          </w:p>
        </w:tc>
        <w:tc>
          <w:tcPr>
            <w:tcW w:w="1895" w:type="dxa"/>
            <w:tcBorders>
              <w:tl2br w:val="nil"/>
              <w:tr2bl w:val="nil"/>
            </w:tcBorders>
            <w:vAlign w:val="center"/>
          </w:tcPr>
          <w:p w14:paraId="74FA7C9B">
            <w:pPr>
              <w:adjustRightInd w:val="0"/>
              <w:snapToGrid w:val="0"/>
              <w:jc w:val="center"/>
              <w:rPr>
                <w:rFonts w:hint="eastAsia"/>
                <w:color w:val="auto"/>
                <w:kern w:val="0"/>
                <w:sz w:val="24"/>
                <w:lang w:eastAsia="zh-CN"/>
              </w:rPr>
            </w:pPr>
            <w:r>
              <w:rPr>
                <w:rFonts w:hint="eastAsia"/>
                <w:color w:val="auto"/>
                <w:kern w:val="0"/>
                <w:sz w:val="24"/>
                <w:lang w:eastAsia="zh-CN"/>
              </w:rPr>
              <w:t>颗粒物</w:t>
            </w:r>
            <w:r>
              <w:rPr>
                <w:rFonts w:hint="eastAsia"/>
                <w:color w:val="auto"/>
                <w:kern w:val="0"/>
                <w:sz w:val="24"/>
              </w:rPr>
              <w:t>排放口</w:t>
            </w:r>
            <w:r>
              <w:rPr>
                <w:color w:val="auto"/>
                <w:kern w:val="0"/>
                <w:sz w:val="24"/>
              </w:rPr>
              <w:t>（DA00</w:t>
            </w:r>
            <w:r>
              <w:rPr>
                <w:rFonts w:hint="eastAsia"/>
                <w:color w:val="auto"/>
                <w:kern w:val="0"/>
                <w:sz w:val="24"/>
                <w:lang w:val="en-US" w:eastAsia="zh-CN"/>
              </w:rPr>
              <w:t>5</w:t>
            </w:r>
            <w:r>
              <w:rPr>
                <w:color w:val="auto"/>
                <w:kern w:val="0"/>
                <w:sz w:val="24"/>
              </w:rPr>
              <w:t>）</w:t>
            </w:r>
            <w:r>
              <w:rPr>
                <w:rFonts w:hint="eastAsia"/>
                <w:color w:val="auto"/>
                <w:kern w:val="0"/>
                <w:sz w:val="24"/>
              </w:rPr>
              <w:t>/投料废气</w:t>
            </w:r>
          </w:p>
        </w:tc>
        <w:tc>
          <w:tcPr>
            <w:tcW w:w="1494" w:type="dxa"/>
            <w:tcBorders>
              <w:tl2br w:val="nil"/>
              <w:tr2bl w:val="nil"/>
            </w:tcBorders>
            <w:vAlign w:val="center"/>
          </w:tcPr>
          <w:p w14:paraId="75F5AD50">
            <w:pPr>
              <w:autoSpaceDE w:val="0"/>
              <w:autoSpaceDN w:val="0"/>
              <w:adjustRightInd w:val="0"/>
              <w:jc w:val="center"/>
              <w:rPr>
                <w:rFonts w:hint="eastAsia"/>
                <w:color w:val="auto"/>
                <w:kern w:val="0"/>
                <w:sz w:val="24"/>
                <w:lang w:eastAsia="zh-CN"/>
              </w:rPr>
            </w:pPr>
            <w:r>
              <w:rPr>
                <w:rFonts w:hint="eastAsia"/>
                <w:color w:val="auto"/>
                <w:kern w:val="0"/>
                <w:sz w:val="24"/>
                <w:lang w:eastAsia="zh-CN"/>
              </w:rPr>
              <w:t>颗粒物</w:t>
            </w:r>
          </w:p>
        </w:tc>
        <w:tc>
          <w:tcPr>
            <w:tcW w:w="2011" w:type="dxa"/>
            <w:tcBorders>
              <w:tl2br w:val="nil"/>
              <w:tr2bl w:val="nil"/>
            </w:tcBorders>
            <w:vAlign w:val="center"/>
          </w:tcPr>
          <w:p w14:paraId="1CC80CB4">
            <w:pPr>
              <w:adjustRightInd w:val="0"/>
              <w:snapToGrid w:val="0"/>
              <w:jc w:val="center"/>
              <w:rPr>
                <w:rFonts w:hint="eastAsia"/>
                <w:color w:val="auto"/>
                <w:kern w:val="0"/>
                <w:sz w:val="24"/>
              </w:rPr>
            </w:pPr>
            <w:r>
              <w:rPr>
                <w:rFonts w:hint="eastAsia"/>
                <w:color w:val="auto"/>
                <w:kern w:val="0"/>
                <w:sz w:val="24"/>
              </w:rPr>
              <w:t>脉冲式布袋除尘器+15m高排气筒（DA006）</w:t>
            </w:r>
          </w:p>
        </w:tc>
        <w:tc>
          <w:tcPr>
            <w:tcW w:w="1877" w:type="dxa"/>
            <w:vMerge w:val="continue"/>
            <w:tcBorders>
              <w:tl2br w:val="nil"/>
              <w:tr2bl w:val="nil"/>
            </w:tcBorders>
            <w:vAlign w:val="center"/>
          </w:tcPr>
          <w:p w14:paraId="54075440">
            <w:pPr>
              <w:adjustRightInd w:val="0"/>
              <w:snapToGrid w:val="0"/>
              <w:jc w:val="center"/>
              <w:rPr>
                <w:rFonts w:hint="eastAsia"/>
                <w:color w:val="auto"/>
                <w:kern w:val="0"/>
                <w:sz w:val="24"/>
              </w:rPr>
            </w:pPr>
          </w:p>
        </w:tc>
      </w:tr>
      <w:tr w14:paraId="0B8959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436BC5E4">
            <w:pPr>
              <w:adjustRightInd w:val="0"/>
              <w:snapToGrid w:val="0"/>
              <w:jc w:val="center"/>
              <w:rPr>
                <w:color w:val="auto"/>
                <w:sz w:val="24"/>
              </w:rPr>
            </w:pPr>
          </w:p>
        </w:tc>
        <w:tc>
          <w:tcPr>
            <w:tcW w:w="1895" w:type="dxa"/>
            <w:vMerge w:val="restart"/>
            <w:tcBorders>
              <w:tl2br w:val="nil"/>
              <w:tr2bl w:val="nil"/>
            </w:tcBorders>
            <w:vAlign w:val="center"/>
          </w:tcPr>
          <w:p w14:paraId="4FBD3863">
            <w:pPr>
              <w:adjustRightInd w:val="0"/>
              <w:snapToGrid w:val="0"/>
              <w:jc w:val="center"/>
              <w:rPr>
                <w:rFonts w:hint="default" w:eastAsia="宋体"/>
                <w:color w:val="auto"/>
                <w:kern w:val="0"/>
                <w:sz w:val="24"/>
                <w:lang w:val="en-US" w:eastAsia="zh-CN"/>
              </w:rPr>
            </w:pPr>
            <w:r>
              <w:rPr>
                <w:rFonts w:hint="eastAsia"/>
                <w:color w:val="auto"/>
                <w:kern w:val="0"/>
                <w:sz w:val="24"/>
                <w:lang w:eastAsia="zh-CN"/>
              </w:rPr>
              <w:t>氨气、硫化氢排放口（</w:t>
            </w:r>
            <w:r>
              <w:rPr>
                <w:rFonts w:hint="eastAsia"/>
                <w:color w:val="auto"/>
                <w:kern w:val="0"/>
                <w:sz w:val="24"/>
                <w:lang w:val="en-US" w:eastAsia="zh-CN"/>
              </w:rPr>
              <w:t>DA006</w:t>
            </w:r>
            <w:r>
              <w:rPr>
                <w:rFonts w:hint="eastAsia"/>
                <w:color w:val="auto"/>
                <w:kern w:val="0"/>
                <w:sz w:val="24"/>
                <w:lang w:eastAsia="zh-CN"/>
              </w:rPr>
              <w:t>）</w:t>
            </w:r>
            <w:r>
              <w:rPr>
                <w:rFonts w:hint="eastAsia"/>
                <w:color w:val="auto"/>
                <w:kern w:val="0"/>
                <w:sz w:val="24"/>
                <w:lang w:val="en-US" w:eastAsia="zh-CN"/>
              </w:rPr>
              <w:t>/污泥贮存、矿化、陈化废气</w:t>
            </w:r>
          </w:p>
        </w:tc>
        <w:tc>
          <w:tcPr>
            <w:tcW w:w="1494" w:type="dxa"/>
            <w:tcBorders>
              <w:tl2br w:val="nil"/>
              <w:tr2bl w:val="nil"/>
            </w:tcBorders>
            <w:vAlign w:val="center"/>
          </w:tcPr>
          <w:p w14:paraId="6B6FB8CA">
            <w:pPr>
              <w:autoSpaceDE w:val="0"/>
              <w:autoSpaceDN w:val="0"/>
              <w:adjustRightInd w:val="0"/>
              <w:jc w:val="center"/>
              <w:rPr>
                <w:rFonts w:hint="eastAsia"/>
                <w:color w:val="auto"/>
                <w:kern w:val="0"/>
                <w:sz w:val="24"/>
                <w:lang w:eastAsia="zh-CN"/>
              </w:rPr>
            </w:pPr>
            <w:r>
              <w:rPr>
                <w:rFonts w:hint="eastAsia"/>
                <w:color w:val="auto"/>
                <w:kern w:val="0"/>
                <w:sz w:val="24"/>
                <w:lang w:eastAsia="zh-CN"/>
              </w:rPr>
              <w:t>硫化氢</w:t>
            </w:r>
          </w:p>
        </w:tc>
        <w:tc>
          <w:tcPr>
            <w:tcW w:w="2011" w:type="dxa"/>
            <w:vMerge w:val="restart"/>
            <w:tcBorders>
              <w:tl2br w:val="nil"/>
              <w:tr2bl w:val="nil"/>
            </w:tcBorders>
            <w:vAlign w:val="center"/>
          </w:tcPr>
          <w:p w14:paraId="0FFE8C89">
            <w:pPr>
              <w:adjustRightInd w:val="0"/>
              <w:snapToGrid w:val="0"/>
              <w:jc w:val="center"/>
              <w:rPr>
                <w:rFonts w:hint="eastAsia" w:eastAsia="宋体"/>
                <w:color w:val="auto"/>
                <w:kern w:val="0"/>
                <w:sz w:val="24"/>
                <w:lang w:eastAsia="zh-CN"/>
              </w:rPr>
            </w:pPr>
            <w:r>
              <w:rPr>
                <w:rFonts w:hint="eastAsia"/>
                <w:color w:val="auto"/>
                <w:kern w:val="0"/>
                <w:sz w:val="24"/>
                <w:lang w:eastAsia="zh-CN"/>
              </w:rPr>
              <w:t>密闭收集</w:t>
            </w:r>
            <w:r>
              <w:rPr>
                <w:rFonts w:hint="eastAsia"/>
                <w:color w:val="auto"/>
                <w:kern w:val="0"/>
                <w:sz w:val="24"/>
                <w:lang w:val="en-US" w:eastAsia="zh-CN"/>
              </w:rPr>
              <w:t>+</w:t>
            </w:r>
            <w:r>
              <w:rPr>
                <w:rFonts w:hint="eastAsia" w:eastAsia="宋体"/>
                <w:color w:val="auto"/>
                <w:kern w:val="0"/>
                <w:sz w:val="24"/>
                <w:lang w:eastAsia="zh-CN"/>
              </w:rPr>
              <w:t>生物除臭塔+15</w:t>
            </w:r>
            <w:r>
              <w:rPr>
                <w:rFonts w:hint="eastAsia" w:eastAsia="宋体"/>
                <w:color w:val="auto"/>
                <w:kern w:val="0"/>
                <w:sz w:val="24"/>
                <w:lang w:val="en-US" w:eastAsia="zh-CN"/>
              </w:rPr>
              <w:t>m</w:t>
            </w:r>
            <w:r>
              <w:rPr>
                <w:rFonts w:hint="eastAsia" w:eastAsia="宋体"/>
                <w:color w:val="auto"/>
                <w:kern w:val="0"/>
                <w:sz w:val="24"/>
                <w:lang w:eastAsia="zh-CN"/>
              </w:rPr>
              <w:t>高排气筒（DA00</w:t>
            </w:r>
            <w:r>
              <w:rPr>
                <w:rFonts w:hint="eastAsia" w:eastAsia="宋体"/>
                <w:color w:val="auto"/>
                <w:kern w:val="0"/>
                <w:sz w:val="24"/>
                <w:lang w:val="en-US" w:eastAsia="zh-CN"/>
              </w:rPr>
              <w:t>5</w:t>
            </w:r>
            <w:r>
              <w:rPr>
                <w:rFonts w:hint="eastAsia" w:eastAsia="宋体"/>
                <w:color w:val="auto"/>
                <w:kern w:val="0"/>
                <w:sz w:val="24"/>
                <w:lang w:eastAsia="zh-CN"/>
              </w:rPr>
              <w:t>）</w:t>
            </w:r>
          </w:p>
        </w:tc>
        <w:tc>
          <w:tcPr>
            <w:tcW w:w="1877" w:type="dxa"/>
            <w:vMerge w:val="restart"/>
            <w:tcBorders>
              <w:tl2br w:val="nil"/>
              <w:tr2bl w:val="nil"/>
            </w:tcBorders>
            <w:vAlign w:val="center"/>
          </w:tcPr>
          <w:p w14:paraId="55A4057A">
            <w:pPr>
              <w:adjustRightInd w:val="0"/>
              <w:snapToGrid w:val="0"/>
              <w:jc w:val="center"/>
              <w:rPr>
                <w:color w:val="auto"/>
                <w:kern w:val="0"/>
                <w:sz w:val="24"/>
              </w:rPr>
            </w:pPr>
            <w:r>
              <w:rPr>
                <w:rFonts w:hint="eastAsia"/>
                <w:color w:val="auto"/>
                <w:kern w:val="0"/>
                <w:sz w:val="24"/>
              </w:rPr>
              <w:t>《恶臭污染物排放标准》（GB14554-93）</w:t>
            </w:r>
          </w:p>
        </w:tc>
      </w:tr>
      <w:tr w14:paraId="590DF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3970E3F1">
            <w:pPr>
              <w:autoSpaceDE w:val="0"/>
              <w:autoSpaceDN w:val="0"/>
              <w:adjustRightInd w:val="0"/>
              <w:jc w:val="center"/>
              <w:rPr>
                <w:color w:val="auto"/>
              </w:rPr>
            </w:pPr>
          </w:p>
        </w:tc>
        <w:tc>
          <w:tcPr>
            <w:tcW w:w="1895" w:type="dxa"/>
            <w:vMerge w:val="continue"/>
            <w:tcBorders>
              <w:tl2br w:val="nil"/>
              <w:tr2bl w:val="nil"/>
            </w:tcBorders>
            <w:vAlign w:val="center"/>
          </w:tcPr>
          <w:p w14:paraId="34C32416">
            <w:pPr>
              <w:autoSpaceDE w:val="0"/>
              <w:autoSpaceDN w:val="0"/>
              <w:adjustRightInd w:val="0"/>
              <w:jc w:val="center"/>
              <w:rPr>
                <w:color w:val="auto"/>
              </w:rPr>
            </w:pPr>
          </w:p>
        </w:tc>
        <w:tc>
          <w:tcPr>
            <w:tcW w:w="1494" w:type="dxa"/>
            <w:tcBorders>
              <w:tl2br w:val="nil"/>
              <w:tr2bl w:val="nil"/>
            </w:tcBorders>
            <w:vAlign w:val="center"/>
          </w:tcPr>
          <w:p w14:paraId="016615CE">
            <w:pPr>
              <w:autoSpaceDE w:val="0"/>
              <w:autoSpaceDN w:val="0"/>
              <w:adjustRightInd w:val="0"/>
              <w:jc w:val="center"/>
              <w:rPr>
                <w:rFonts w:hint="eastAsia"/>
                <w:color w:val="auto"/>
                <w:kern w:val="0"/>
                <w:sz w:val="24"/>
                <w:lang w:eastAsia="zh-CN"/>
              </w:rPr>
            </w:pPr>
            <w:r>
              <w:rPr>
                <w:rFonts w:hint="eastAsia"/>
                <w:color w:val="auto"/>
                <w:kern w:val="0"/>
                <w:sz w:val="24"/>
                <w:lang w:eastAsia="zh-CN"/>
              </w:rPr>
              <w:t>氨气</w:t>
            </w:r>
          </w:p>
        </w:tc>
        <w:tc>
          <w:tcPr>
            <w:tcW w:w="2011" w:type="dxa"/>
            <w:vMerge w:val="continue"/>
            <w:tcBorders>
              <w:tl2br w:val="nil"/>
              <w:tr2bl w:val="nil"/>
            </w:tcBorders>
            <w:vAlign w:val="center"/>
          </w:tcPr>
          <w:p w14:paraId="183E3F99">
            <w:pPr>
              <w:autoSpaceDE w:val="0"/>
              <w:autoSpaceDN w:val="0"/>
              <w:adjustRightInd w:val="0"/>
              <w:jc w:val="center"/>
              <w:rPr>
                <w:rFonts w:hint="eastAsia"/>
                <w:color w:val="auto"/>
                <w:kern w:val="0"/>
                <w:sz w:val="24"/>
                <w:lang w:eastAsia="zh-CN"/>
              </w:rPr>
            </w:pPr>
          </w:p>
        </w:tc>
        <w:tc>
          <w:tcPr>
            <w:tcW w:w="1877" w:type="dxa"/>
            <w:vMerge w:val="continue"/>
            <w:tcBorders>
              <w:tl2br w:val="nil"/>
              <w:tr2bl w:val="nil"/>
            </w:tcBorders>
            <w:vAlign w:val="center"/>
          </w:tcPr>
          <w:p w14:paraId="66358CD1">
            <w:pPr>
              <w:autoSpaceDE w:val="0"/>
              <w:autoSpaceDN w:val="0"/>
              <w:adjustRightInd w:val="0"/>
              <w:jc w:val="center"/>
              <w:rPr>
                <w:rFonts w:hint="eastAsia"/>
                <w:color w:val="auto"/>
                <w:kern w:val="0"/>
                <w:sz w:val="24"/>
                <w:lang w:eastAsia="zh-CN"/>
              </w:rPr>
            </w:pPr>
          </w:p>
        </w:tc>
      </w:tr>
      <w:tr w14:paraId="072C2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774C2AD0">
            <w:pPr>
              <w:autoSpaceDE w:val="0"/>
              <w:autoSpaceDN w:val="0"/>
              <w:adjustRightInd w:val="0"/>
              <w:jc w:val="center"/>
              <w:rPr>
                <w:rFonts w:hint="eastAsia"/>
                <w:color w:val="auto"/>
                <w:kern w:val="0"/>
                <w:sz w:val="24"/>
                <w:lang w:eastAsia="zh-CN"/>
              </w:rPr>
            </w:pPr>
          </w:p>
        </w:tc>
        <w:tc>
          <w:tcPr>
            <w:tcW w:w="1895" w:type="dxa"/>
            <w:vMerge w:val="continue"/>
            <w:tcBorders>
              <w:tl2br w:val="nil"/>
              <w:tr2bl w:val="nil"/>
            </w:tcBorders>
            <w:vAlign w:val="center"/>
          </w:tcPr>
          <w:p w14:paraId="291E11A9">
            <w:pPr>
              <w:autoSpaceDE w:val="0"/>
              <w:autoSpaceDN w:val="0"/>
              <w:adjustRightInd w:val="0"/>
              <w:jc w:val="center"/>
              <w:rPr>
                <w:rFonts w:hint="eastAsia"/>
                <w:color w:val="auto"/>
                <w:kern w:val="0"/>
                <w:sz w:val="24"/>
                <w:lang w:eastAsia="zh-CN"/>
              </w:rPr>
            </w:pPr>
          </w:p>
        </w:tc>
        <w:tc>
          <w:tcPr>
            <w:tcW w:w="1494" w:type="dxa"/>
            <w:tcBorders>
              <w:tl2br w:val="nil"/>
              <w:tr2bl w:val="nil"/>
            </w:tcBorders>
            <w:vAlign w:val="center"/>
          </w:tcPr>
          <w:p w14:paraId="417E23E3">
            <w:pPr>
              <w:autoSpaceDE w:val="0"/>
              <w:autoSpaceDN w:val="0"/>
              <w:adjustRightInd w:val="0"/>
              <w:jc w:val="center"/>
              <w:rPr>
                <w:rFonts w:hint="eastAsia"/>
                <w:color w:val="auto"/>
                <w:kern w:val="0"/>
                <w:sz w:val="24"/>
                <w:lang w:eastAsia="zh-CN"/>
              </w:rPr>
            </w:pPr>
            <w:r>
              <w:rPr>
                <w:rFonts w:hint="eastAsia"/>
                <w:color w:val="auto"/>
                <w:kern w:val="0"/>
                <w:sz w:val="24"/>
                <w:lang w:eastAsia="zh-CN"/>
              </w:rPr>
              <w:t>臭气浓度</w:t>
            </w:r>
          </w:p>
        </w:tc>
        <w:tc>
          <w:tcPr>
            <w:tcW w:w="2011" w:type="dxa"/>
            <w:vMerge w:val="continue"/>
            <w:tcBorders>
              <w:tl2br w:val="nil"/>
              <w:tr2bl w:val="nil"/>
            </w:tcBorders>
            <w:vAlign w:val="center"/>
          </w:tcPr>
          <w:p w14:paraId="503F13D3">
            <w:pPr>
              <w:autoSpaceDE w:val="0"/>
              <w:autoSpaceDN w:val="0"/>
              <w:adjustRightInd w:val="0"/>
              <w:jc w:val="center"/>
              <w:rPr>
                <w:rFonts w:hint="eastAsia"/>
                <w:color w:val="auto"/>
                <w:kern w:val="0"/>
                <w:sz w:val="24"/>
                <w:lang w:eastAsia="zh-CN"/>
              </w:rPr>
            </w:pPr>
          </w:p>
        </w:tc>
        <w:tc>
          <w:tcPr>
            <w:tcW w:w="1877" w:type="dxa"/>
            <w:vMerge w:val="continue"/>
            <w:tcBorders>
              <w:tl2br w:val="nil"/>
              <w:tr2bl w:val="nil"/>
            </w:tcBorders>
            <w:vAlign w:val="center"/>
          </w:tcPr>
          <w:p w14:paraId="016CC71A">
            <w:pPr>
              <w:autoSpaceDE w:val="0"/>
              <w:autoSpaceDN w:val="0"/>
              <w:adjustRightInd w:val="0"/>
              <w:jc w:val="center"/>
              <w:rPr>
                <w:rFonts w:hint="eastAsia"/>
                <w:color w:val="auto"/>
                <w:kern w:val="0"/>
                <w:sz w:val="24"/>
                <w:lang w:eastAsia="zh-CN"/>
              </w:rPr>
            </w:pPr>
          </w:p>
        </w:tc>
      </w:tr>
      <w:tr w14:paraId="33453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7ADC8E21">
            <w:pPr>
              <w:autoSpaceDE w:val="0"/>
              <w:autoSpaceDN w:val="0"/>
              <w:adjustRightInd w:val="0"/>
              <w:jc w:val="center"/>
              <w:rPr>
                <w:rFonts w:hint="eastAsia"/>
                <w:color w:val="auto"/>
                <w:kern w:val="0"/>
                <w:sz w:val="24"/>
                <w:lang w:eastAsia="zh-CN"/>
              </w:rPr>
            </w:pPr>
          </w:p>
        </w:tc>
        <w:tc>
          <w:tcPr>
            <w:tcW w:w="1895" w:type="dxa"/>
            <w:tcBorders>
              <w:tl2br w:val="nil"/>
              <w:tr2bl w:val="nil"/>
            </w:tcBorders>
            <w:vAlign w:val="center"/>
          </w:tcPr>
          <w:p w14:paraId="70ADC8DA">
            <w:pPr>
              <w:autoSpaceDE w:val="0"/>
              <w:autoSpaceDN w:val="0"/>
              <w:adjustRightInd w:val="0"/>
              <w:jc w:val="center"/>
              <w:rPr>
                <w:rFonts w:hint="eastAsia"/>
                <w:color w:val="auto"/>
                <w:kern w:val="0"/>
                <w:sz w:val="24"/>
                <w:szCs w:val="24"/>
                <w:lang w:eastAsia="zh-CN"/>
              </w:rPr>
            </w:pPr>
            <w:r>
              <w:rPr>
                <w:rFonts w:hint="eastAsia"/>
                <w:color w:val="auto"/>
                <w:kern w:val="0"/>
                <w:sz w:val="24"/>
                <w:szCs w:val="24"/>
                <w:lang w:eastAsia="zh-CN"/>
              </w:rPr>
              <w:t>运输扬尘</w:t>
            </w:r>
          </w:p>
        </w:tc>
        <w:tc>
          <w:tcPr>
            <w:tcW w:w="1494" w:type="dxa"/>
            <w:tcBorders>
              <w:tl2br w:val="nil"/>
              <w:tr2bl w:val="nil"/>
            </w:tcBorders>
            <w:vAlign w:val="center"/>
          </w:tcPr>
          <w:p w14:paraId="56FBC772">
            <w:pPr>
              <w:autoSpaceDE w:val="0"/>
              <w:autoSpaceDN w:val="0"/>
              <w:adjustRightInd w:val="0"/>
              <w:jc w:val="center"/>
              <w:rPr>
                <w:rFonts w:hint="eastAsia"/>
                <w:color w:val="auto"/>
                <w:kern w:val="0"/>
                <w:sz w:val="24"/>
                <w:szCs w:val="24"/>
                <w:lang w:eastAsia="zh-CN"/>
              </w:rPr>
            </w:pPr>
            <w:r>
              <w:rPr>
                <w:rFonts w:hint="eastAsia"/>
                <w:color w:val="auto"/>
                <w:kern w:val="0"/>
                <w:sz w:val="24"/>
                <w:szCs w:val="24"/>
                <w:lang w:eastAsia="zh-CN"/>
              </w:rPr>
              <w:t>颗粒物</w:t>
            </w:r>
          </w:p>
        </w:tc>
        <w:tc>
          <w:tcPr>
            <w:tcW w:w="2011" w:type="dxa"/>
            <w:tcBorders>
              <w:tl2br w:val="nil"/>
              <w:tr2bl w:val="nil"/>
            </w:tcBorders>
            <w:vAlign w:val="center"/>
          </w:tcPr>
          <w:p w14:paraId="009CF018">
            <w:pPr>
              <w:autoSpaceDE w:val="0"/>
              <w:autoSpaceDN w:val="0"/>
              <w:adjustRightInd w:val="0"/>
              <w:jc w:val="center"/>
              <w:rPr>
                <w:rFonts w:hint="eastAsia"/>
                <w:color w:val="auto"/>
                <w:kern w:val="0"/>
                <w:sz w:val="24"/>
                <w:szCs w:val="24"/>
                <w:lang w:eastAsia="zh-CN"/>
              </w:rPr>
            </w:pPr>
            <w:r>
              <w:rPr>
                <w:rFonts w:hint="eastAsia" w:eastAsia="宋体"/>
                <w:color w:val="auto"/>
                <w:kern w:val="0"/>
                <w:sz w:val="24"/>
                <w:szCs w:val="24"/>
                <w:lang w:eastAsia="zh-CN"/>
              </w:rPr>
              <w:t>车辆篷布覆盖，运输过程限速按规定线路行驶</w:t>
            </w:r>
          </w:p>
        </w:tc>
        <w:tc>
          <w:tcPr>
            <w:tcW w:w="1877" w:type="dxa"/>
            <w:vMerge w:val="restart"/>
            <w:tcBorders>
              <w:tl2br w:val="nil"/>
              <w:tr2bl w:val="nil"/>
            </w:tcBorders>
            <w:vAlign w:val="center"/>
          </w:tcPr>
          <w:p w14:paraId="36046FAF">
            <w:pPr>
              <w:autoSpaceDE w:val="0"/>
              <w:autoSpaceDN w:val="0"/>
              <w:adjustRightInd w:val="0"/>
              <w:jc w:val="center"/>
              <w:rPr>
                <w:rFonts w:hint="eastAsia"/>
                <w:color w:val="auto"/>
                <w:kern w:val="0"/>
                <w:sz w:val="24"/>
                <w:lang w:eastAsia="zh-CN"/>
              </w:rPr>
            </w:pPr>
            <w:r>
              <w:rPr>
                <w:rFonts w:hint="default" w:ascii="Times New Roman" w:hAnsi="Times New Roman" w:eastAsia="宋体" w:cs="Times New Roman"/>
                <w:snapToGrid/>
                <w:color w:val="auto"/>
                <w:spacing w:val="0"/>
                <w:kern w:val="0"/>
                <w:position w:val="0"/>
                <w:sz w:val="24"/>
                <w:szCs w:val="24"/>
                <w:lang w:val="en-US" w:eastAsia="zh-CN"/>
              </w:rPr>
              <w:t>《水泥工业大气污染物排放标准》（DB34/3576-2020）</w:t>
            </w:r>
          </w:p>
        </w:tc>
      </w:tr>
      <w:tr w14:paraId="051E9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0703AC32">
            <w:pPr>
              <w:autoSpaceDE w:val="0"/>
              <w:autoSpaceDN w:val="0"/>
              <w:adjustRightInd w:val="0"/>
              <w:jc w:val="center"/>
              <w:rPr>
                <w:rFonts w:hint="eastAsia"/>
                <w:color w:val="auto"/>
                <w:kern w:val="0"/>
                <w:sz w:val="24"/>
                <w:lang w:eastAsia="zh-CN"/>
              </w:rPr>
            </w:pPr>
          </w:p>
        </w:tc>
        <w:tc>
          <w:tcPr>
            <w:tcW w:w="1895" w:type="dxa"/>
            <w:tcBorders>
              <w:tl2br w:val="nil"/>
              <w:tr2bl w:val="nil"/>
            </w:tcBorders>
            <w:vAlign w:val="center"/>
          </w:tcPr>
          <w:p w14:paraId="6D84DBBF">
            <w:pPr>
              <w:autoSpaceDE w:val="0"/>
              <w:autoSpaceDN w:val="0"/>
              <w:adjustRightInd w:val="0"/>
              <w:jc w:val="center"/>
              <w:rPr>
                <w:rFonts w:hint="eastAsia"/>
                <w:color w:val="auto"/>
                <w:kern w:val="0"/>
                <w:sz w:val="24"/>
                <w:szCs w:val="24"/>
                <w:lang w:eastAsia="zh-CN"/>
              </w:rPr>
            </w:pPr>
            <w:r>
              <w:rPr>
                <w:rFonts w:hint="eastAsia"/>
                <w:color w:val="auto"/>
                <w:kern w:val="0"/>
                <w:sz w:val="24"/>
                <w:szCs w:val="24"/>
                <w:lang w:eastAsia="zh-CN"/>
              </w:rPr>
              <w:t>卸料起尘</w:t>
            </w:r>
          </w:p>
        </w:tc>
        <w:tc>
          <w:tcPr>
            <w:tcW w:w="1494" w:type="dxa"/>
            <w:tcBorders>
              <w:tl2br w:val="nil"/>
              <w:tr2bl w:val="nil"/>
            </w:tcBorders>
            <w:vAlign w:val="center"/>
          </w:tcPr>
          <w:p w14:paraId="5A832D75">
            <w:pPr>
              <w:autoSpaceDE w:val="0"/>
              <w:autoSpaceDN w:val="0"/>
              <w:adjustRightInd w:val="0"/>
              <w:jc w:val="center"/>
              <w:rPr>
                <w:rFonts w:hint="eastAsia"/>
                <w:color w:val="auto"/>
                <w:kern w:val="0"/>
                <w:sz w:val="24"/>
                <w:szCs w:val="24"/>
                <w:lang w:eastAsia="zh-CN"/>
              </w:rPr>
            </w:pPr>
            <w:r>
              <w:rPr>
                <w:rFonts w:hint="eastAsia"/>
                <w:color w:val="auto"/>
                <w:kern w:val="0"/>
                <w:sz w:val="24"/>
                <w:szCs w:val="24"/>
                <w:lang w:eastAsia="zh-CN"/>
              </w:rPr>
              <w:t>颗粒物</w:t>
            </w:r>
          </w:p>
        </w:tc>
        <w:tc>
          <w:tcPr>
            <w:tcW w:w="2011" w:type="dxa"/>
            <w:tcBorders>
              <w:tl2br w:val="nil"/>
              <w:tr2bl w:val="nil"/>
            </w:tcBorders>
            <w:vAlign w:val="center"/>
          </w:tcPr>
          <w:p w14:paraId="05672026">
            <w:pPr>
              <w:autoSpaceDE w:val="0"/>
              <w:autoSpaceDN w:val="0"/>
              <w:adjustRightInd w:val="0"/>
              <w:jc w:val="center"/>
              <w:rPr>
                <w:rFonts w:hint="eastAsia" w:eastAsia="宋体"/>
                <w:color w:val="auto"/>
                <w:kern w:val="0"/>
                <w:sz w:val="24"/>
                <w:szCs w:val="24"/>
                <w:lang w:eastAsia="zh-CN"/>
              </w:rPr>
            </w:pPr>
            <w:r>
              <w:rPr>
                <w:rFonts w:hint="eastAsia"/>
                <w:color w:val="auto"/>
                <w:kern w:val="0"/>
                <w:sz w:val="24"/>
                <w:szCs w:val="24"/>
                <w:lang w:eastAsia="zh-CN"/>
              </w:rPr>
              <w:t>降低抛洒高度、开启雾炮除尘</w:t>
            </w:r>
          </w:p>
        </w:tc>
        <w:tc>
          <w:tcPr>
            <w:tcW w:w="1877" w:type="dxa"/>
            <w:vMerge w:val="continue"/>
            <w:tcBorders>
              <w:tl2br w:val="nil"/>
              <w:tr2bl w:val="nil"/>
            </w:tcBorders>
            <w:vAlign w:val="center"/>
          </w:tcPr>
          <w:p w14:paraId="4672E1AD">
            <w:pPr>
              <w:autoSpaceDE w:val="0"/>
              <w:autoSpaceDN w:val="0"/>
              <w:adjustRightInd w:val="0"/>
              <w:jc w:val="center"/>
              <w:rPr>
                <w:rFonts w:hint="eastAsia"/>
                <w:color w:val="auto"/>
                <w:kern w:val="0"/>
                <w:sz w:val="24"/>
                <w:lang w:eastAsia="zh-CN"/>
              </w:rPr>
            </w:pPr>
          </w:p>
        </w:tc>
      </w:tr>
      <w:tr w14:paraId="0CACE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50A0EEFA">
            <w:pPr>
              <w:autoSpaceDE w:val="0"/>
              <w:autoSpaceDN w:val="0"/>
              <w:adjustRightInd w:val="0"/>
              <w:jc w:val="center"/>
              <w:rPr>
                <w:rFonts w:hint="eastAsia"/>
                <w:color w:val="auto"/>
                <w:kern w:val="0"/>
                <w:sz w:val="24"/>
                <w:lang w:eastAsia="zh-CN"/>
              </w:rPr>
            </w:pPr>
          </w:p>
        </w:tc>
        <w:tc>
          <w:tcPr>
            <w:tcW w:w="1895" w:type="dxa"/>
            <w:tcBorders>
              <w:tl2br w:val="nil"/>
              <w:tr2bl w:val="nil"/>
            </w:tcBorders>
            <w:vAlign w:val="center"/>
          </w:tcPr>
          <w:p w14:paraId="7C1B8962">
            <w:pPr>
              <w:autoSpaceDE w:val="0"/>
              <w:autoSpaceDN w:val="0"/>
              <w:adjustRightInd w:val="0"/>
              <w:jc w:val="center"/>
              <w:rPr>
                <w:rFonts w:hint="eastAsia"/>
                <w:color w:val="auto"/>
                <w:kern w:val="0"/>
                <w:sz w:val="24"/>
                <w:szCs w:val="24"/>
                <w:lang w:eastAsia="zh-CN"/>
              </w:rPr>
            </w:pPr>
            <w:r>
              <w:rPr>
                <w:rFonts w:hint="eastAsia"/>
                <w:color w:val="auto"/>
                <w:kern w:val="0"/>
                <w:sz w:val="24"/>
                <w:szCs w:val="24"/>
                <w:lang w:eastAsia="zh-CN"/>
              </w:rPr>
              <w:t>厂界</w:t>
            </w:r>
          </w:p>
        </w:tc>
        <w:tc>
          <w:tcPr>
            <w:tcW w:w="1494" w:type="dxa"/>
            <w:tcBorders>
              <w:tl2br w:val="nil"/>
              <w:tr2bl w:val="nil"/>
            </w:tcBorders>
            <w:vAlign w:val="center"/>
          </w:tcPr>
          <w:p w14:paraId="23A178DE">
            <w:pPr>
              <w:autoSpaceDE w:val="0"/>
              <w:autoSpaceDN w:val="0"/>
              <w:adjustRightInd w:val="0"/>
              <w:jc w:val="center"/>
              <w:rPr>
                <w:rFonts w:hint="eastAsia"/>
                <w:color w:val="auto"/>
                <w:kern w:val="0"/>
                <w:sz w:val="24"/>
                <w:szCs w:val="24"/>
                <w:lang w:eastAsia="zh-CN"/>
              </w:rPr>
            </w:pPr>
            <w:r>
              <w:rPr>
                <w:rFonts w:hint="eastAsia"/>
                <w:color w:val="auto"/>
                <w:kern w:val="0"/>
                <w:sz w:val="24"/>
                <w:szCs w:val="24"/>
                <w:lang w:eastAsia="zh-CN"/>
              </w:rPr>
              <w:t>颗粒物、</w:t>
            </w:r>
            <w:r>
              <w:rPr>
                <w:rFonts w:hint="eastAsia"/>
                <w:color w:val="auto"/>
                <w:sz w:val="24"/>
                <w:szCs w:val="24"/>
                <w:lang w:val="en-US" w:eastAsia="zh-CN"/>
              </w:rPr>
              <w:t>NH</w:t>
            </w:r>
            <w:r>
              <w:rPr>
                <w:rFonts w:hint="eastAsia"/>
                <w:color w:val="auto"/>
                <w:sz w:val="24"/>
                <w:szCs w:val="24"/>
                <w:vertAlign w:val="subscript"/>
                <w:lang w:val="en-US" w:eastAsia="zh-CN"/>
              </w:rPr>
              <w:t>3</w:t>
            </w:r>
            <w:r>
              <w:rPr>
                <w:rFonts w:hint="eastAsia"/>
                <w:color w:val="auto"/>
                <w:kern w:val="0"/>
                <w:sz w:val="24"/>
                <w:szCs w:val="24"/>
                <w:lang w:eastAsia="zh-CN"/>
              </w:rPr>
              <w:t>、</w:t>
            </w:r>
            <w:r>
              <w:rPr>
                <w:rFonts w:hint="eastAsia"/>
                <w:color w:val="auto"/>
                <w:sz w:val="24"/>
                <w:szCs w:val="24"/>
                <w:lang w:val="en-US" w:eastAsia="zh-CN"/>
              </w:rPr>
              <w:t>H</w:t>
            </w:r>
            <w:r>
              <w:rPr>
                <w:rFonts w:hint="eastAsia"/>
                <w:color w:val="auto"/>
                <w:sz w:val="24"/>
                <w:szCs w:val="24"/>
                <w:vertAlign w:val="subscript"/>
                <w:lang w:val="en-US" w:eastAsia="zh-CN"/>
              </w:rPr>
              <w:t>2</w:t>
            </w:r>
            <w:r>
              <w:rPr>
                <w:rFonts w:hint="eastAsia"/>
                <w:color w:val="auto"/>
                <w:sz w:val="24"/>
                <w:szCs w:val="24"/>
                <w:lang w:val="en-US" w:eastAsia="zh-CN"/>
              </w:rPr>
              <w:t>S</w:t>
            </w:r>
            <w:r>
              <w:rPr>
                <w:rFonts w:hint="eastAsia"/>
                <w:color w:val="auto"/>
                <w:kern w:val="0"/>
                <w:sz w:val="24"/>
                <w:szCs w:val="24"/>
                <w:lang w:eastAsia="zh-CN"/>
              </w:rPr>
              <w:t>、</w:t>
            </w:r>
            <w:r>
              <w:rPr>
                <w:rFonts w:hint="eastAsia"/>
                <w:color w:val="auto"/>
                <w:sz w:val="24"/>
                <w:szCs w:val="24"/>
                <w:lang w:val="en-US" w:eastAsia="zh-CN"/>
              </w:rPr>
              <w:t>臭气浓度</w:t>
            </w:r>
          </w:p>
        </w:tc>
        <w:tc>
          <w:tcPr>
            <w:tcW w:w="2011" w:type="dxa"/>
            <w:tcBorders>
              <w:tl2br w:val="nil"/>
              <w:tr2bl w:val="nil"/>
            </w:tcBorders>
            <w:vAlign w:val="center"/>
          </w:tcPr>
          <w:p w14:paraId="149B1119">
            <w:pPr>
              <w:autoSpaceDE w:val="0"/>
              <w:autoSpaceDN w:val="0"/>
              <w:adjustRightInd w:val="0"/>
              <w:jc w:val="center"/>
              <w:rPr>
                <w:rFonts w:hint="eastAsia"/>
                <w:color w:val="auto"/>
                <w:kern w:val="0"/>
                <w:sz w:val="24"/>
                <w:szCs w:val="24"/>
                <w:lang w:eastAsia="zh-CN"/>
              </w:rPr>
            </w:pPr>
          </w:p>
        </w:tc>
        <w:tc>
          <w:tcPr>
            <w:tcW w:w="1877" w:type="dxa"/>
            <w:tcBorders>
              <w:tl2br w:val="nil"/>
              <w:tr2bl w:val="nil"/>
            </w:tcBorders>
            <w:vAlign w:val="center"/>
          </w:tcPr>
          <w:p w14:paraId="00DA5877">
            <w:pPr>
              <w:autoSpaceDE w:val="0"/>
              <w:autoSpaceDN w:val="0"/>
              <w:adjustRightInd w:val="0"/>
              <w:jc w:val="center"/>
              <w:rPr>
                <w:rFonts w:hint="eastAsia"/>
                <w:color w:val="auto"/>
                <w:kern w:val="0"/>
                <w:sz w:val="24"/>
                <w:szCs w:val="24"/>
                <w:lang w:eastAsia="zh-CN"/>
              </w:rPr>
            </w:pPr>
            <w:r>
              <w:rPr>
                <w:rFonts w:hint="default" w:ascii="Times New Roman" w:hAnsi="Times New Roman" w:eastAsia="宋体" w:cs="Times New Roman"/>
                <w:b w:val="0"/>
                <w:bCs/>
                <w:color w:val="auto"/>
                <w:sz w:val="24"/>
                <w:szCs w:val="24"/>
                <w:highlight w:val="none"/>
                <w:lang w:eastAsia="zh-CN"/>
              </w:rPr>
              <w:t>《</w:t>
            </w:r>
            <w:r>
              <w:rPr>
                <w:rFonts w:hint="eastAsia" w:cs="Times New Roman"/>
                <w:b w:val="0"/>
                <w:bCs/>
                <w:color w:val="auto"/>
                <w:sz w:val="24"/>
                <w:szCs w:val="24"/>
                <w:highlight w:val="none"/>
                <w:lang w:eastAsia="zh-CN"/>
              </w:rPr>
              <w:t>大气污染物综合排放标准</w:t>
            </w:r>
            <w:r>
              <w:rPr>
                <w:rFonts w:hint="default"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eastAsia="zh-CN"/>
              </w:rPr>
              <w:t>（GB 16297-1996）；</w:t>
            </w:r>
            <w:r>
              <w:rPr>
                <w:rFonts w:hint="eastAsia"/>
                <w:color w:val="auto"/>
                <w:kern w:val="0"/>
                <w:sz w:val="24"/>
                <w:szCs w:val="24"/>
              </w:rPr>
              <w:t>《恶臭污染物排放标准》（GB14554-93）</w:t>
            </w:r>
          </w:p>
        </w:tc>
      </w:tr>
      <w:tr w14:paraId="72F19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714" w:type="dxa"/>
            <w:vMerge w:val="restart"/>
            <w:tcBorders>
              <w:tl2br w:val="nil"/>
              <w:tr2bl w:val="nil"/>
            </w:tcBorders>
            <w:vAlign w:val="center"/>
          </w:tcPr>
          <w:p w14:paraId="356AFA30">
            <w:pPr>
              <w:adjustRightInd w:val="0"/>
              <w:snapToGrid w:val="0"/>
              <w:jc w:val="center"/>
              <w:rPr>
                <w:color w:val="auto"/>
                <w:kern w:val="0"/>
                <w:sz w:val="24"/>
              </w:rPr>
            </w:pPr>
            <w:r>
              <w:rPr>
                <w:color w:val="auto"/>
                <w:kern w:val="0"/>
                <w:sz w:val="24"/>
              </w:rPr>
              <w:t>地表水环境</w:t>
            </w:r>
          </w:p>
        </w:tc>
        <w:tc>
          <w:tcPr>
            <w:tcW w:w="1895" w:type="dxa"/>
            <w:vMerge w:val="restart"/>
            <w:tcBorders>
              <w:tl2br w:val="nil"/>
              <w:tr2bl w:val="nil"/>
            </w:tcBorders>
            <w:vAlign w:val="center"/>
          </w:tcPr>
          <w:p w14:paraId="6A094389">
            <w:pPr>
              <w:adjustRightInd w:val="0"/>
              <w:snapToGrid w:val="0"/>
              <w:jc w:val="center"/>
              <w:rPr>
                <w:rFonts w:hint="eastAsia" w:eastAsia="宋体"/>
                <w:color w:val="auto"/>
                <w:kern w:val="0"/>
                <w:sz w:val="24"/>
                <w:lang w:eastAsia="zh-CN"/>
              </w:rPr>
            </w:pPr>
            <w:r>
              <w:rPr>
                <w:color w:val="auto"/>
                <w:kern w:val="0"/>
                <w:sz w:val="24"/>
              </w:rPr>
              <w:t>员工生活</w:t>
            </w:r>
            <w:r>
              <w:rPr>
                <w:rFonts w:hint="eastAsia"/>
                <w:color w:val="auto"/>
                <w:kern w:val="0"/>
                <w:sz w:val="24"/>
              </w:rPr>
              <w:t>废水</w:t>
            </w:r>
          </w:p>
        </w:tc>
        <w:tc>
          <w:tcPr>
            <w:tcW w:w="1494" w:type="dxa"/>
            <w:tcBorders>
              <w:tl2br w:val="nil"/>
              <w:tr2bl w:val="nil"/>
            </w:tcBorders>
            <w:vAlign w:val="center"/>
          </w:tcPr>
          <w:p w14:paraId="404B0D09">
            <w:pPr>
              <w:adjustRightInd w:val="0"/>
              <w:snapToGrid w:val="0"/>
              <w:jc w:val="center"/>
              <w:rPr>
                <w:color w:val="auto"/>
                <w:kern w:val="0"/>
                <w:sz w:val="24"/>
              </w:rPr>
            </w:pPr>
            <w:r>
              <w:rPr>
                <w:color w:val="auto"/>
                <w:kern w:val="0"/>
                <w:sz w:val="24"/>
              </w:rPr>
              <w:t>COD</w:t>
            </w:r>
          </w:p>
        </w:tc>
        <w:tc>
          <w:tcPr>
            <w:tcW w:w="2011" w:type="dxa"/>
            <w:vMerge w:val="restart"/>
            <w:tcBorders>
              <w:tl2br w:val="nil"/>
              <w:tr2bl w:val="nil"/>
            </w:tcBorders>
            <w:vAlign w:val="center"/>
          </w:tcPr>
          <w:p w14:paraId="54A3CDC0">
            <w:pPr>
              <w:adjustRightInd w:val="0"/>
              <w:snapToGrid w:val="0"/>
              <w:jc w:val="center"/>
              <w:rPr>
                <w:color w:val="auto"/>
                <w:kern w:val="0"/>
                <w:sz w:val="24"/>
              </w:rPr>
            </w:pPr>
            <w:r>
              <w:rPr>
                <w:color w:val="auto"/>
                <w:kern w:val="0"/>
                <w:sz w:val="24"/>
              </w:rPr>
              <w:t>化粪池</w:t>
            </w:r>
          </w:p>
        </w:tc>
        <w:tc>
          <w:tcPr>
            <w:tcW w:w="1877" w:type="dxa"/>
            <w:vMerge w:val="restart"/>
            <w:tcBorders>
              <w:tl2br w:val="nil"/>
              <w:tr2bl w:val="nil"/>
            </w:tcBorders>
            <w:vAlign w:val="center"/>
          </w:tcPr>
          <w:p w14:paraId="0FE1BAA9">
            <w:pPr>
              <w:adjustRightInd w:val="0"/>
              <w:snapToGrid w:val="0"/>
              <w:jc w:val="center"/>
              <w:rPr>
                <w:color w:val="auto"/>
                <w:kern w:val="0"/>
                <w:sz w:val="24"/>
              </w:rPr>
            </w:pPr>
            <w:r>
              <w:rPr>
                <w:rFonts w:hint="eastAsia"/>
                <w:color w:val="auto"/>
                <w:kern w:val="0"/>
                <w:sz w:val="24"/>
              </w:rPr>
              <w:t>不外排</w:t>
            </w:r>
          </w:p>
        </w:tc>
      </w:tr>
      <w:tr w14:paraId="0119A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14" w:type="dxa"/>
            <w:vMerge w:val="continue"/>
            <w:tcBorders>
              <w:tl2br w:val="nil"/>
              <w:tr2bl w:val="nil"/>
            </w:tcBorders>
            <w:vAlign w:val="center"/>
          </w:tcPr>
          <w:p w14:paraId="38A020B7">
            <w:pPr>
              <w:adjustRightInd w:val="0"/>
              <w:snapToGrid w:val="0"/>
              <w:jc w:val="center"/>
              <w:rPr>
                <w:color w:val="auto"/>
                <w:kern w:val="0"/>
                <w:sz w:val="24"/>
              </w:rPr>
            </w:pPr>
          </w:p>
        </w:tc>
        <w:tc>
          <w:tcPr>
            <w:tcW w:w="1895" w:type="dxa"/>
            <w:vMerge w:val="continue"/>
            <w:tcBorders>
              <w:tl2br w:val="nil"/>
              <w:tr2bl w:val="nil"/>
            </w:tcBorders>
            <w:vAlign w:val="center"/>
          </w:tcPr>
          <w:p w14:paraId="3C0D346B">
            <w:pPr>
              <w:adjustRightInd w:val="0"/>
              <w:snapToGrid w:val="0"/>
              <w:jc w:val="center"/>
              <w:rPr>
                <w:color w:val="auto"/>
                <w:kern w:val="0"/>
                <w:sz w:val="24"/>
              </w:rPr>
            </w:pPr>
          </w:p>
        </w:tc>
        <w:tc>
          <w:tcPr>
            <w:tcW w:w="1494" w:type="dxa"/>
            <w:tcBorders>
              <w:tl2br w:val="nil"/>
              <w:tr2bl w:val="nil"/>
            </w:tcBorders>
            <w:vAlign w:val="center"/>
          </w:tcPr>
          <w:p w14:paraId="0A136DB5">
            <w:pPr>
              <w:adjustRightInd w:val="0"/>
              <w:snapToGrid w:val="0"/>
              <w:jc w:val="center"/>
              <w:rPr>
                <w:color w:val="auto"/>
                <w:kern w:val="0"/>
                <w:sz w:val="24"/>
              </w:rPr>
            </w:pPr>
            <w:r>
              <w:rPr>
                <w:color w:val="auto"/>
                <w:kern w:val="0"/>
                <w:sz w:val="24"/>
              </w:rPr>
              <w:t>SS</w:t>
            </w:r>
          </w:p>
        </w:tc>
        <w:tc>
          <w:tcPr>
            <w:tcW w:w="2011" w:type="dxa"/>
            <w:vMerge w:val="continue"/>
            <w:tcBorders>
              <w:tl2br w:val="nil"/>
              <w:tr2bl w:val="nil"/>
            </w:tcBorders>
            <w:vAlign w:val="center"/>
          </w:tcPr>
          <w:p w14:paraId="51FC6C29">
            <w:pPr>
              <w:adjustRightInd w:val="0"/>
              <w:snapToGrid w:val="0"/>
              <w:jc w:val="center"/>
              <w:rPr>
                <w:color w:val="auto"/>
                <w:kern w:val="0"/>
                <w:sz w:val="24"/>
              </w:rPr>
            </w:pPr>
          </w:p>
        </w:tc>
        <w:tc>
          <w:tcPr>
            <w:tcW w:w="1877" w:type="dxa"/>
            <w:vMerge w:val="continue"/>
            <w:tcBorders>
              <w:tl2br w:val="nil"/>
              <w:tr2bl w:val="nil"/>
            </w:tcBorders>
            <w:vAlign w:val="center"/>
          </w:tcPr>
          <w:p w14:paraId="4099722B">
            <w:pPr>
              <w:adjustRightInd w:val="0"/>
              <w:snapToGrid w:val="0"/>
              <w:jc w:val="center"/>
              <w:rPr>
                <w:color w:val="auto"/>
                <w:kern w:val="0"/>
                <w:sz w:val="24"/>
              </w:rPr>
            </w:pPr>
          </w:p>
        </w:tc>
      </w:tr>
      <w:tr w14:paraId="5FE9D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14" w:type="dxa"/>
            <w:vMerge w:val="continue"/>
            <w:tcBorders>
              <w:tl2br w:val="nil"/>
              <w:tr2bl w:val="nil"/>
            </w:tcBorders>
            <w:vAlign w:val="center"/>
          </w:tcPr>
          <w:p w14:paraId="077EF77A">
            <w:pPr>
              <w:adjustRightInd w:val="0"/>
              <w:snapToGrid w:val="0"/>
              <w:jc w:val="center"/>
              <w:rPr>
                <w:color w:val="auto"/>
                <w:kern w:val="0"/>
                <w:sz w:val="24"/>
              </w:rPr>
            </w:pPr>
          </w:p>
        </w:tc>
        <w:tc>
          <w:tcPr>
            <w:tcW w:w="1895" w:type="dxa"/>
            <w:vMerge w:val="continue"/>
            <w:tcBorders>
              <w:tl2br w:val="nil"/>
              <w:tr2bl w:val="nil"/>
            </w:tcBorders>
            <w:vAlign w:val="center"/>
          </w:tcPr>
          <w:p w14:paraId="67861017">
            <w:pPr>
              <w:adjustRightInd w:val="0"/>
              <w:snapToGrid w:val="0"/>
              <w:jc w:val="center"/>
              <w:rPr>
                <w:color w:val="auto"/>
                <w:kern w:val="0"/>
                <w:sz w:val="24"/>
              </w:rPr>
            </w:pPr>
          </w:p>
        </w:tc>
        <w:tc>
          <w:tcPr>
            <w:tcW w:w="1494" w:type="dxa"/>
            <w:tcBorders>
              <w:tl2br w:val="nil"/>
              <w:tr2bl w:val="nil"/>
            </w:tcBorders>
            <w:vAlign w:val="center"/>
          </w:tcPr>
          <w:p w14:paraId="30BA4AE3">
            <w:pPr>
              <w:adjustRightInd w:val="0"/>
              <w:snapToGrid w:val="0"/>
              <w:jc w:val="center"/>
              <w:rPr>
                <w:color w:val="auto"/>
                <w:kern w:val="0"/>
                <w:sz w:val="24"/>
              </w:rPr>
            </w:pPr>
            <w:r>
              <w:rPr>
                <w:color w:val="auto"/>
                <w:kern w:val="0"/>
                <w:sz w:val="24"/>
              </w:rPr>
              <w:t>BOD</w:t>
            </w:r>
            <w:r>
              <w:rPr>
                <w:color w:val="auto"/>
                <w:kern w:val="0"/>
                <w:sz w:val="24"/>
                <w:vertAlign w:val="subscript"/>
              </w:rPr>
              <w:t>5</w:t>
            </w:r>
          </w:p>
        </w:tc>
        <w:tc>
          <w:tcPr>
            <w:tcW w:w="2011" w:type="dxa"/>
            <w:vMerge w:val="continue"/>
            <w:tcBorders>
              <w:tl2br w:val="nil"/>
              <w:tr2bl w:val="nil"/>
            </w:tcBorders>
            <w:vAlign w:val="center"/>
          </w:tcPr>
          <w:p w14:paraId="7305DB08">
            <w:pPr>
              <w:adjustRightInd w:val="0"/>
              <w:snapToGrid w:val="0"/>
              <w:jc w:val="center"/>
              <w:rPr>
                <w:color w:val="auto"/>
                <w:kern w:val="0"/>
                <w:sz w:val="24"/>
              </w:rPr>
            </w:pPr>
          </w:p>
        </w:tc>
        <w:tc>
          <w:tcPr>
            <w:tcW w:w="1877" w:type="dxa"/>
            <w:vMerge w:val="continue"/>
            <w:tcBorders>
              <w:tl2br w:val="nil"/>
              <w:tr2bl w:val="nil"/>
            </w:tcBorders>
            <w:vAlign w:val="center"/>
          </w:tcPr>
          <w:p w14:paraId="0379B5ED">
            <w:pPr>
              <w:adjustRightInd w:val="0"/>
              <w:snapToGrid w:val="0"/>
              <w:jc w:val="center"/>
              <w:rPr>
                <w:color w:val="auto"/>
                <w:kern w:val="0"/>
                <w:sz w:val="24"/>
              </w:rPr>
            </w:pPr>
          </w:p>
        </w:tc>
      </w:tr>
      <w:tr w14:paraId="687CB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14" w:type="dxa"/>
            <w:vMerge w:val="continue"/>
            <w:tcBorders>
              <w:tl2br w:val="nil"/>
              <w:tr2bl w:val="nil"/>
            </w:tcBorders>
            <w:vAlign w:val="center"/>
          </w:tcPr>
          <w:p w14:paraId="786334A4">
            <w:pPr>
              <w:adjustRightInd w:val="0"/>
              <w:snapToGrid w:val="0"/>
              <w:jc w:val="center"/>
              <w:rPr>
                <w:color w:val="auto"/>
                <w:kern w:val="0"/>
                <w:sz w:val="24"/>
              </w:rPr>
            </w:pPr>
          </w:p>
        </w:tc>
        <w:tc>
          <w:tcPr>
            <w:tcW w:w="1895" w:type="dxa"/>
            <w:vMerge w:val="continue"/>
            <w:tcBorders>
              <w:tl2br w:val="nil"/>
              <w:tr2bl w:val="nil"/>
            </w:tcBorders>
            <w:vAlign w:val="center"/>
          </w:tcPr>
          <w:p w14:paraId="6BCD7723">
            <w:pPr>
              <w:adjustRightInd w:val="0"/>
              <w:snapToGrid w:val="0"/>
              <w:jc w:val="center"/>
              <w:rPr>
                <w:color w:val="auto"/>
                <w:kern w:val="0"/>
                <w:sz w:val="24"/>
              </w:rPr>
            </w:pPr>
          </w:p>
        </w:tc>
        <w:tc>
          <w:tcPr>
            <w:tcW w:w="1494" w:type="dxa"/>
            <w:tcBorders>
              <w:tl2br w:val="nil"/>
              <w:tr2bl w:val="nil"/>
            </w:tcBorders>
            <w:vAlign w:val="center"/>
          </w:tcPr>
          <w:p w14:paraId="768F5876">
            <w:pPr>
              <w:adjustRightInd w:val="0"/>
              <w:snapToGrid w:val="0"/>
              <w:jc w:val="center"/>
              <w:rPr>
                <w:color w:val="auto"/>
                <w:kern w:val="0"/>
                <w:sz w:val="24"/>
              </w:rPr>
            </w:pPr>
            <w:r>
              <w:rPr>
                <w:color w:val="auto"/>
                <w:kern w:val="0"/>
                <w:sz w:val="24"/>
              </w:rPr>
              <w:t>NH</w:t>
            </w:r>
            <w:r>
              <w:rPr>
                <w:color w:val="auto"/>
                <w:kern w:val="0"/>
                <w:sz w:val="24"/>
                <w:vertAlign w:val="subscript"/>
              </w:rPr>
              <w:t>3</w:t>
            </w:r>
            <w:r>
              <w:rPr>
                <w:color w:val="auto"/>
                <w:kern w:val="0"/>
                <w:sz w:val="24"/>
              </w:rPr>
              <w:t>-N</w:t>
            </w:r>
          </w:p>
        </w:tc>
        <w:tc>
          <w:tcPr>
            <w:tcW w:w="2011" w:type="dxa"/>
            <w:vMerge w:val="continue"/>
            <w:tcBorders>
              <w:tl2br w:val="nil"/>
              <w:tr2bl w:val="nil"/>
            </w:tcBorders>
            <w:vAlign w:val="center"/>
          </w:tcPr>
          <w:p w14:paraId="5215C36B">
            <w:pPr>
              <w:adjustRightInd w:val="0"/>
              <w:snapToGrid w:val="0"/>
              <w:jc w:val="center"/>
              <w:rPr>
                <w:color w:val="auto"/>
                <w:kern w:val="0"/>
                <w:sz w:val="24"/>
              </w:rPr>
            </w:pPr>
          </w:p>
        </w:tc>
        <w:tc>
          <w:tcPr>
            <w:tcW w:w="1877" w:type="dxa"/>
            <w:vMerge w:val="continue"/>
            <w:tcBorders>
              <w:tl2br w:val="nil"/>
              <w:tr2bl w:val="nil"/>
            </w:tcBorders>
            <w:vAlign w:val="center"/>
          </w:tcPr>
          <w:p w14:paraId="15B2EF78">
            <w:pPr>
              <w:adjustRightInd w:val="0"/>
              <w:snapToGrid w:val="0"/>
              <w:jc w:val="center"/>
              <w:rPr>
                <w:color w:val="auto"/>
                <w:kern w:val="0"/>
                <w:sz w:val="24"/>
              </w:rPr>
            </w:pPr>
          </w:p>
        </w:tc>
      </w:tr>
      <w:tr w14:paraId="2DB9B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4" w:type="dxa"/>
            <w:tcBorders>
              <w:tl2br w:val="nil"/>
              <w:tr2bl w:val="nil"/>
            </w:tcBorders>
            <w:vAlign w:val="center"/>
          </w:tcPr>
          <w:p w14:paraId="6C36A66E">
            <w:pPr>
              <w:adjustRightInd w:val="0"/>
              <w:snapToGrid w:val="0"/>
              <w:jc w:val="center"/>
              <w:rPr>
                <w:color w:val="auto"/>
                <w:kern w:val="0"/>
                <w:sz w:val="24"/>
              </w:rPr>
            </w:pPr>
            <w:r>
              <w:rPr>
                <w:color w:val="auto"/>
                <w:kern w:val="0"/>
                <w:sz w:val="24"/>
              </w:rPr>
              <w:t>声环境</w:t>
            </w:r>
          </w:p>
        </w:tc>
        <w:tc>
          <w:tcPr>
            <w:tcW w:w="1895" w:type="dxa"/>
            <w:tcBorders>
              <w:tl2br w:val="nil"/>
              <w:tr2bl w:val="nil"/>
            </w:tcBorders>
            <w:vAlign w:val="center"/>
          </w:tcPr>
          <w:p w14:paraId="633BF6D3">
            <w:pPr>
              <w:adjustRightInd w:val="0"/>
              <w:snapToGrid w:val="0"/>
              <w:jc w:val="center"/>
              <w:rPr>
                <w:color w:val="auto"/>
                <w:kern w:val="0"/>
                <w:sz w:val="24"/>
              </w:rPr>
            </w:pPr>
            <w:r>
              <w:rPr>
                <w:color w:val="auto"/>
                <w:kern w:val="0"/>
                <w:sz w:val="24"/>
              </w:rPr>
              <w:t>厂界</w:t>
            </w:r>
          </w:p>
        </w:tc>
        <w:tc>
          <w:tcPr>
            <w:tcW w:w="1494" w:type="dxa"/>
            <w:tcBorders>
              <w:tl2br w:val="nil"/>
              <w:tr2bl w:val="nil"/>
            </w:tcBorders>
            <w:vAlign w:val="center"/>
          </w:tcPr>
          <w:p w14:paraId="1483B8AE">
            <w:pPr>
              <w:adjustRightInd w:val="0"/>
              <w:snapToGrid w:val="0"/>
              <w:jc w:val="center"/>
              <w:rPr>
                <w:color w:val="auto"/>
                <w:kern w:val="0"/>
                <w:sz w:val="24"/>
              </w:rPr>
            </w:pPr>
            <w:r>
              <w:rPr>
                <w:color w:val="auto"/>
                <w:kern w:val="0"/>
                <w:sz w:val="24"/>
              </w:rPr>
              <w:t>噪声</w:t>
            </w:r>
          </w:p>
        </w:tc>
        <w:tc>
          <w:tcPr>
            <w:tcW w:w="2011" w:type="dxa"/>
            <w:tcBorders>
              <w:tl2br w:val="nil"/>
              <w:tr2bl w:val="nil"/>
            </w:tcBorders>
            <w:vAlign w:val="center"/>
          </w:tcPr>
          <w:p w14:paraId="39785D81">
            <w:pPr>
              <w:adjustRightInd w:val="0"/>
              <w:snapToGrid w:val="0"/>
              <w:jc w:val="center"/>
              <w:rPr>
                <w:color w:val="auto"/>
                <w:kern w:val="0"/>
                <w:sz w:val="24"/>
              </w:rPr>
            </w:pPr>
            <w:r>
              <w:rPr>
                <w:color w:val="auto"/>
                <w:kern w:val="0"/>
                <w:sz w:val="24"/>
              </w:rPr>
              <w:t>合理布局；对高噪声设备采取隔振减振措施；车间隔声；合理安排生产时间</w:t>
            </w:r>
          </w:p>
        </w:tc>
        <w:tc>
          <w:tcPr>
            <w:tcW w:w="1877" w:type="dxa"/>
            <w:tcBorders>
              <w:tl2br w:val="nil"/>
              <w:tr2bl w:val="nil"/>
            </w:tcBorders>
            <w:vAlign w:val="center"/>
          </w:tcPr>
          <w:p w14:paraId="53591183">
            <w:pPr>
              <w:adjustRightInd w:val="0"/>
              <w:snapToGrid w:val="0"/>
              <w:jc w:val="center"/>
              <w:rPr>
                <w:color w:val="auto"/>
                <w:kern w:val="0"/>
                <w:sz w:val="24"/>
              </w:rPr>
            </w:pPr>
            <w:r>
              <w:rPr>
                <w:color w:val="auto"/>
                <w:kern w:val="0"/>
                <w:sz w:val="24"/>
              </w:rPr>
              <w:t>《工业企业厂界环境噪声排放标准》（GB12348-2008）中的</w:t>
            </w:r>
            <w:r>
              <w:rPr>
                <w:rFonts w:hint="eastAsia"/>
                <w:color w:val="auto"/>
                <w:kern w:val="0"/>
                <w:sz w:val="24"/>
                <w:lang w:val="en-US" w:eastAsia="zh-CN"/>
              </w:rPr>
              <w:t>2</w:t>
            </w:r>
            <w:r>
              <w:rPr>
                <w:color w:val="auto"/>
                <w:kern w:val="0"/>
                <w:sz w:val="24"/>
              </w:rPr>
              <w:t>类标准</w:t>
            </w:r>
          </w:p>
        </w:tc>
      </w:tr>
      <w:tr w14:paraId="53771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714" w:type="dxa"/>
            <w:tcBorders>
              <w:tl2br w:val="nil"/>
              <w:tr2bl w:val="nil"/>
            </w:tcBorders>
            <w:vAlign w:val="center"/>
          </w:tcPr>
          <w:p w14:paraId="248F552F">
            <w:pPr>
              <w:adjustRightInd w:val="0"/>
              <w:snapToGrid w:val="0"/>
              <w:jc w:val="center"/>
              <w:rPr>
                <w:color w:val="auto"/>
                <w:kern w:val="0"/>
                <w:sz w:val="24"/>
              </w:rPr>
            </w:pPr>
            <w:r>
              <w:rPr>
                <w:color w:val="auto"/>
                <w:kern w:val="0"/>
                <w:sz w:val="24"/>
              </w:rPr>
              <w:t>电磁辐射</w:t>
            </w:r>
          </w:p>
        </w:tc>
        <w:tc>
          <w:tcPr>
            <w:tcW w:w="7277" w:type="dxa"/>
            <w:gridSpan w:val="4"/>
            <w:tcBorders>
              <w:tl2br w:val="nil"/>
              <w:tr2bl w:val="nil"/>
            </w:tcBorders>
            <w:vAlign w:val="center"/>
          </w:tcPr>
          <w:p w14:paraId="70E324A4">
            <w:pPr>
              <w:adjustRightInd w:val="0"/>
              <w:snapToGrid w:val="0"/>
              <w:jc w:val="center"/>
              <w:rPr>
                <w:color w:val="auto"/>
                <w:kern w:val="0"/>
                <w:sz w:val="24"/>
              </w:rPr>
            </w:pPr>
            <w:r>
              <w:rPr>
                <w:color w:val="auto"/>
                <w:kern w:val="0"/>
                <w:sz w:val="24"/>
              </w:rPr>
              <w:t>无</w:t>
            </w:r>
          </w:p>
        </w:tc>
      </w:tr>
      <w:tr w14:paraId="000C2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14" w:type="dxa"/>
            <w:tcBorders>
              <w:tl2br w:val="nil"/>
              <w:tr2bl w:val="nil"/>
            </w:tcBorders>
            <w:vAlign w:val="center"/>
          </w:tcPr>
          <w:p w14:paraId="39EC51F8">
            <w:pPr>
              <w:adjustRightInd w:val="0"/>
              <w:snapToGrid w:val="0"/>
              <w:jc w:val="center"/>
              <w:rPr>
                <w:color w:val="auto"/>
                <w:kern w:val="0"/>
                <w:sz w:val="24"/>
              </w:rPr>
            </w:pPr>
            <w:r>
              <w:rPr>
                <w:color w:val="auto"/>
                <w:kern w:val="0"/>
                <w:sz w:val="24"/>
              </w:rPr>
              <w:t>固体废物</w:t>
            </w:r>
          </w:p>
        </w:tc>
        <w:tc>
          <w:tcPr>
            <w:tcW w:w="7277" w:type="dxa"/>
            <w:gridSpan w:val="4"/>
            <w:tcBorders>
              <w:tl2br w:val="nil"/>
              <w:tr2bl w:val="nil"/>
            </w:tcBorders>
            <w:vAlign w:val="center"/>
          </w:tcPr>
          <w:p w14:paraId="49D8596E">
            <w:pPr>
              <w:widowControl/>
              <w:spacing w:before="72" w:beforeLines="30" w:line="312" w:lineRule="auto"/>
              <w:jc w:val="center"/>
              <w:rPr>
                <w:color w:val="auto"/>
                <w:kern w:val="0"/>
                <w:sz w:val="24"/>
              </w:rPr>
            </w:pPr>
            <w:r>
              <w:rPr>
                <w:color w:val="auto"/>
                <w:kern w:val="0"/>
                <w:sz w:val="24"/>
              </w:rPr>
              <w:t>本项目产生的一般工业固体废物废包装袋经厂内集中收集后交由物资回收部门回收利用；不合格品</w:t>
            </w:r>
            <w:r>
              <w:rPr>
                <w:rFonts w:hint="eastAsia"/>
                <w:color w:val="auto"/>
                <w:kern w:val="0"/>
                <w:sz w:val="24"/>
              </w:rPr>
              <w:t>经破碎</w:t>
            </w:r>
            <w:r>
              <w:rPr>
                <w:rFonts w:hint="eastAsia"/>
                <w:color w:val="auto"/>
                <w:kern w:val="0"/>
                <w:sz w:val="24"/>
                <w:lang w:eastAsia="zh-CN"/>
              </w:rPr>
              <w:t>回</w:t>
            </w:r>
            <w:r>
              <w:rPr>
                <w:rFonts w:hint="eastAsia"/>
                <w:color w:val="auto"/>
                <w:kern w:val="0"/>
                <w:sz w:val="24"/>
              </w:rPr>
              <w:t>收当做</w:t>
            </w:r>
            <w:r>
              <w:rPr>
                <w:rFonts w:hint="eastAsia"/>
                <w:color w:val="auto"/>
                <w:kern w:val="0"/>
                <w:sz w:val="24"/>
                <w:lang w:eastAsia="zh-CN"/>
              </w:rPr>
              <w:t>原料</w:t>
            </w:r>
            <w:r>
              <w:rPr>
                <w:rFonts w:hint="eastAsia"/>
                <w:color w:val="auto"/>
                <w:kern w:val="0"/>
                <w:sz w:val="24"/>
              </w:rPr>
              <w:t>回用。</w:t>
            </w:r>
            <w:r>
              <w:rPr>
                <w:color w:val="auto"/>
                <w:kern w:val="0"/>
                <w:sz w:val="24"/>
              </w:rPr>
              <w:t>除尘器收集</w:t>
            </w:r>
            <w:r>
              <w:rPr>
                <w:rFonts w:hint="eastAsia"/>
                <w:color w:val="auto"/>
                <w:kern w:val="0"/>
                <w:sz w:val="24"/>
                <w:lang w:eastAsia="zh-CN"/>
              </w:rPr>
              <w:t>颗粒物</w:t>
            </w:r>
            <w:r>
              <w:rPr>
                <w:rFonts w:hint="eastAsia"/>
                <w:color w:val="auto"/>
                <w:kern w:val="0"/>
                <w:sz w:val="24"/>
              </w:rPr>
              <w:t>经收集后回用于输送计量工序</w:t>
            </w:r>
            <w:r>
              <w:rPr>
                <w:color w:val="auto"/>
                <w:kern w:val="0"/>
                <w:sz w:val="24"/>
              </w:rPr>
              <w:t>；废机油于厂内危废暂存间暂存后委托有资质单位妥善处置；生活垃圾委托环卫部门统一处理。</w:t>
            </w:r>
          </w:p>
        </w:tc>
      </w:tr>
      <w:tr w14:paraId="52E25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l2br w:val="nil"/>
              <w:tr2bl w:val="nil"/>
            </w:tcBorders>
            <w:vAlign w:val="center"/>
          </w:tcPr>
          <w:p w14:paraId="140A7CB7">
            <w:pPr>
              <w:adjustRightInd w:val="0"/>
              <w:snapToGrid w:val="0"/>
              <w:jc w:val="center"/>
              <w:rPr>
                <w:color w:val="auto"/>
                <w:kern w:val="0"/>
                <w:sz w:val="24"/>
              </w:rPr>
            </w:pPr>
            <w:r>
              <w:rPr>
                <w:color w:val="auto"/>
                <w:kern w:val="0"/>
                <w:sz w:val="24"/>
              </w:rPr>
              <w:t>土壤及地下水</w:t>
            </w:r>
          </w:p>
          <w:p w14:paraId="5E4AC4D4">
            <w:pPr>
              <w:adjustRightInd w:val="0"/>
              <w:snapToGrid w:val="0"/>
              <w:jc w:val="center"/>
              <w:rPr>
                <w:color w:val="auto"/>
                <w:kern w:val="0"/>
                <w:sz w:val="24"/>
              </w:rPr>
            </w:pPr>
            <w:r>
              <w:rPr>
                <w:color w:val="auto"/>
                <w:kern w:val="0"/>
                <w:sz w:val="24"/>
              </w:rPr>
              <w:t>污染防治措施</w:t>
            </w:r>
          </w:p>
        </w:tc>
        <w:tc>
          <w:tcPr>
            <w:tcW w:w="7277" w:type="dxa"/>
            <w:gridSpan w:val="4"/>
            <w:tcBorders>
              <w:tl2br w:val="nil"/>
              <w:tr2bl w:val="nil"/>
            </w:tcBorders>
            <w:vAlign w:val="center"/>
          </w:tcPr>
          <w:p w14:paraId="2909AA87">
            <w:pPr>
              <w:adjustRightInd w:val="0"/>
              <w:snapToGrid w:val="0"/>
              <w:spacing w:before="72" w:beforeLines="30" w:line="312" w:lineRule="auto"/>
              <w:jc w:val="center"/>
              <w:rPr>
                <w:color w:val="auto"/>
                <w:kern w:val="0"/>
                <w:sz w:val="24"/>
              </w:rPr>
            </w:pPr>
            <w:r>
              <w:rPr>
                <w:color w:val="auto"/>
                <w:sz w:val="24"/>
              </w:rPr>
              <w:t>危废暂存间</w:t>
            </w:r>
            <w:r>
              <w:rPr>
                <w:rFonts w:hint="eastAsia"/>
                <w:color w:val="auto"/>
                <w:sz w:val="24"/>
                <w:lang w:eastAsia="zh-CN"/>
              </w:rPr>
              <w:t>、污泥储存区、矿化区、陈化区、成品区</w:t>
            </w:r>
            <w:r>
              <w:rPr>
                <w:color w:val="auto"/>
                <w:sz w:val="24"/>
              </w:rPr>
              <w:t>为重点防渗区域</w:t>
            </w:r>
            <w:r>
              <w:rPr>
                <w:rFonts w:hint="eastAsia"/>
                <w:color w:val="auto"/>
                <w:sz w:val="24"/>
                <w:lang w:eastAsia="zh-CN"/>
              </w:rPr>
              <w:t>，</w:t>
            </w:r>
            <w:r>
              <w:rPr>
                <w:color w:val="auto"/>
                <w:sz w:val="24"/>
              </w:rPr>
              <w:t>危废暂存间</w:t>
            </w:r>
            <w:r>
              <w:rPr>
                <w:rFonts w:hint="eastAsia"/>
                <w:color w:val="auto"/>
                <w:sz w:val="24"/>
                <w:lang w:eastAsia="zh-CN"/>
              </w:rPr>
              <w:t>、沉淀池</w:t>
            </w:r>
            <w:r>
              <w:rPr>
                <w:color w:val="auto"/>
                <w:sz w:val="24"/>
              </w:rPr>
              <w:t>采用抗渗混凝土（0.2m）+环氧树脂漆（1.5mm）进行重点防渗，渗透系数≤1×10</w:t>
            </w:r>
            <w:r>
              <w:rPr>
                <w:color w:val="auto"/>
                <w:sz w:val="24"/>
                <w:vertAlign w:val="superscript"/>
              </w:rPr>
              <w:t>-</w:t>
            </w:r>
            <w:r>
              <w:rPr>
                <w:rFonts w:hint="eastAsia"/>
                <w:color w:val="auto"/>
                <w:sz w:val="24"/>
                <w:vertAlign w:val="superscript"/>
              </w:rPr>
              <w:t>10</w:t>
            </w:r>
            <w:r>
              <w:rPr>
                <w:color w:val="auto"/>
                <w:sz w:val="24"/>
              </w:rPr>
              <w:t>cm/s；</w:t>
            </w:r>
            <w:r>
              <w:rPr>
                <w:rFonts w:hint="eastAsia"/>
                <w:color w:val="auto"/>
                <w:sz w:val="24"/>
                <w:lang w:eastAsia="zh-CN"/>
              </w:rPr>
              <w:t>污泥储存区在重点防渗的基础上设置导流沟导流槽。</w:t>
            </w:r>
            <w:r>
              <w:rPr>
                <w:color w:val="auto"/>
                <w:sz w:val="24"/>
              </w:rPr>
              <w:t>其他一般防渗区域采用环氧地坪进行一般防渗，渗透系数≤1×10</w:t>
            </w:r>
            <w:r>
              <w:rPr>
                <w:color w:val="auto"/>
                <w:sz w:val="24"/>
                <w:vertAlign w:val="superscript"/>
              </w:rPr>
              <w:t>-7</w:t>
            </w:r>
            <w:r>
              <w:rPr>
                <w:color w:val="auto"/>
                <w:sz w:val="24"/>
              </w:rPr>
              <w:t>cm/s。</w:t>
            </w:r>
          </w:p>
        </w:tc>
      </w:tr>
      <w:tr w14:paraId="5F795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4" w:type="dxa"/>
            <w:tcBorders>
              <w:tl2br w:val="nil"/>
              <w:tr2bl w:val="nil"/>
            </w:tcBorders>
            <w:vAlign w:val="center"/>
          </w:tcPr>
          <w:p w14:paraId="04370D65">
            <w:pPr>
              <w:adjustRightInd w:val="0"/>
              <w:snapToGrid w:val="0"/>
              <w:spacing w:line="312" w:lineRule="auto"/>
              <w:jc w:val="center"/>
              <w:rPr>
                <w:color w:val="auto"/>
                <w:kern w:val="0"/>
                <w:sz w:val="24"/>
              </w:rPr>
            </w:pPr>
            <w:r>
              <w:rPr>
                <w:color w:val="auto"/>
                <w:kern w:val="0"/>
                <w:sz w:val="24"/>
              </w:rPr>
              <w:t>生态保护措施</w:t>
            </w:r>
          </w:p>
        </w:tc>
        <w:tc>
          <w:tcPr>
            <w:tcW w:w="7277" w:type="dxa"/>
            <w:gridSpan w:val="4"/>
            <w:tcBorders>
              <w:tl2br w:val="nil"/>
              <w:tr2bl w:val="nil"/>
            </w:tcBorders>
            <w:vAlign w:val="center"/>
          </w:tcPr>
          <w:p w14:paraId="20F4C10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color w:val="auto"/>
                <w:kern w:val="0"/>
                <w:sz w:val="24"/>
                <w:lang w:eastAsia="zh-CN"/>
              </w:rPr>
            </w:pPr>
            <w:r>
              <w:rPr>
                <w:rFonts w:hint="eastAsia"/>
                <w:color w:val="auto"/>
                <w:kern w:val="0"/>
                <w:sz w:val="24"/>
                <w:lang w:eastAsia="zh-CN"/>
              </w:rPr>
              <w:t>无</w:t>
            </w:r>
          </w:p>
        </w:tc>
      </w:tr>
      <w:tr w14:paraId="53F19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1714" w:type="dxa"/>
            <w:tcBorders>
              <w:tl2br w:val="nil"/>
              <w:tr2bl w:val="nil"/>
            </w:tcBorders>
            <w:vAlign w:val="center"/>
          </w:tcPr>
          <w:p w14:paraId="6BD3FF41">
            <w:pPr>
              <w:adjustRightInd w:val="0"/>
              <w:snapToGrid w:val="0"/>
              <w:jc w:val="center"/>
              <w:rPr>
                <w:color w:val="auto"/>
                <w:kern w:val="0"/>
                <w:sz w:val="24"/>
              </w:rPr>
            </w:pPr>
            <w:r>
              <w:rPr>
                <w:color w:val="auto"/>
                <w:kern w:val="0"/>
                <w:sz w:val="24"/>
              </w:rPr>
              <w:t>环境风险</w:t>
            </w:r>
          </w:p>
          <w:p w14:paraId="4BA354C2">
            <w:pPr>
              <w:adjustRightInd w:val="0"/>
              <w:snapToGrid w:val="0"/>
              <w:jc w:val="center"/>
              <w:rPr>
                <w:color w:val="auto"/>
                <w:kern w:val="0"/>
                <w:sz w:val="24"/>
              </w:rPr>
            </w:pPr>
            <w:r>
              <w:rPr>
                <w:color w:val="auto"/>
                <w:kern w:val="0"/>
                <w:sz w:val="24"/>
              </w:rPr>
              <w:t>防范措施</w:t>
            </w:r>
          </w:p>
        </w:tc>
        <w:tc>
          <w:tcPr>
            <w:tcW w:w="7277" w:type="dxa"/>
            <w:gridSpan w:val="4"/>
            <w:tcBorders>
              <w:tl2br w:val="nil"/>
              <w:tr2bl w:val="nil"/>
            </w:tcBorders>
            <w:vAlign w:val="center"/>
          </w:tcPr>
          <w:p w14:paraId="7B6DBFD9">
            <w:pPr>
              <w:adjustRightInd w:val="0"/>
              <w:snapToGrid w:val="0"/>
              <w:spacing w:before="72" w:beforeLines="30" w:line="312" w:lineRule="auto"/>
              <w:jc w:val="center"/>
              <w:rPr>
                <w:color w:val="auto"/>
                <w:kern w:val="0"/>
                <w:sz w:val="24"/>
              </w:rPr>
            </w:pPr>
            <w:r>
              <w:rPr>
                <w:color w:val="auto"/>
                <w:kern w:val="0"/>
                <w:sz w:val="24"/>
              </w:rPr>
              <w:t>为保证公司员工和周围居民的生命财产安全，防止重、特大事故的发生，并能在事故发生后迅速有效的控制处理，防止事故扩大，根据公司实际情况，本着“安全第一，预防为主；统一指挥，分工负责”的原则，制定严格的事故应急预案并经常演练使之启动运转及时，是减轻风险事故环境影响的有效措施。</w:t>
            </w:r>
          </w:p>
        </w:tc>
      </w:tr>
      <w:tr w14:paraId="57FB3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714" w:type="dxa"/>
            <w:tcBorders>
              <w:tl2br w:val="nil"/>
              <w:tr2bl w:val="nil"/>
            </w:tcBorders>
            <w:vAlign w:val="center"/>
          </w:tcPr>
          <w:p w14:paraId="19CF0D0D">
            <w:pPr>
              <w:adjustRightInd w:val="0"/>
              <w:snapToGrid w:val="0"/>
              <w:jc w:val="center"/>
              <w:rPr>
                <w:color w:val="auto"/>
                <w:kern w:val="0"/>
                <w:sz w:val="24"/>
              </w:rPr>
            </w:pPr>
            <w:r>
              <w:rPr>
                <w:color w:val="auto"/>
                <w:kern w:val="0"/>
                <w:sz w:val="24"/>
              </w:rPr>
              <w:t>其他环境</w:t>
            </w:r>
          </w:p>
          <w:p w14:paraId="3FC87291">
            <w:pPr>
              <w:adjustRightInd w:val="0"/>
              <w:snapToGrid w:val="0"/>
              <w:jc w:val="center"/>
              <w:rPr>
                <w:color w:val="auto"/>
                <w:kern w:val="0"/>
                <w:sz w:val="24"/>
              </w:rPr>
            </w:pPr>
            <w:r>
              <w:rPr>
                <w:color w:val="auto"/>
                <w:kern w:val="0"/>
                <w:sz w:val="24"/>
              </w:rPr>
              <w:t>管理要求</w:t>
            </w:r>
          </w:p>
        </w:tc>
        <w:tc>
          <w:tcPr>
            <w:tcW w:w="7277" w:type="dxa"/>
            <w:gridSpan w:val="4"/>
            <w:tcBorders>
              <w:tl2br w:val="nil"/>
              <w:tr2bl w:val="nil"/>
            </w:tcBorders>
            <w:vAlign w:val="center"/>
          </w:tcPr>
          <w:p w14:paraId="3A04040A">
            <w:pPr>
              <w:adjustRightInd w:val="0"/>
              <w:snapToGrid w:val="0"/>
              <w:spacing w:line="348" w:lineRule="auto"/>
              <w:jc w:val="left"/>
              <w:rPr>
                <w:b/>
                <w:bCs/>
                <w:color w:val="auto"/>
                <w:kern w:val="0"/>
                <w:sz w:val="24"/>
              </w:rPr>
            </w:pPr>
            <w:r>
              <w:rPr>
                <w:b/>
                <w:bCs/>
                <w:color w:val="auto"/>
                <w:kern w:val="0"/>
                <w:sz w:val="24"/>
              </w:rPr>
              <w:t>1、排放口规范化及信息公开化</w:t>
            </w:r>
          </w:p>
          <w:p w14:paraId="5F38F902">
            <w:pPr>
              <w:widowControl/>
              <w:adjustRightInd w:val="0"/>
              <w:snapToGrid w:val="0"/>
              <w:spacing w:line="348" w:lineRule="auto"/>
              <w:ind w:firstLine="480" w:firstLineChars="200"/>
              <w:jc w:val="left"/>
              <w:rPr>
                <w:color w:val="auto"/>
                <w:kern w:val="0"/>
                <w:sz w:val="24"/>
              </w:rPr>
            </w:pPr>
            <w:r>
              <w:rPr>
                <w:color w:val="auto"/>
                <w:kern w:val="0"/>
                <w:sz w:val="24"/>
              </w:rPr>
              <w:t>根据《关于开展排放口规范化整治工作的通知》（环发〔1999〕24号）、《排污口规范化整治技术要求》（环监〔1996〕470号）、《固定污染源废气监测点位设置技术规范》（DB37/T 3535-2019）等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3BF118E0">
            <w:pPr>
              <w:pStyle w:val="2"/>
              <w:snapToGrid w:val="0"/>
              <w:spacing w:line="348" w:lineRule="auto"/>
              <w:rPr>
                <w:b/>
                <w:bCs/>
                <w:color w:val="auto"/>
                <w:kern w:val="0"/>
              </w:rPr>
            </w:pPr>
            <w:r>
              <w:rPr>
                <w:b/>
                <w:bCs/>
                <w:color w:val="auto"/>
                <w:kern w:val="0"/>
              </w:rPr>
              <w:t>2、与排污许可证制度衔接</w:t>
            </w:r>
          </w:p>
          <w:p w14:paraId="63A2F43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48" w:lineRule="auto"/>
              <w:ind w:leftChars="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val="en-US" w:eastAsia="zh-CN" w:bidi="ar"/>
              </w:rPr>
              <w:t>根据《关于做好环境影响评价制度与排污许可制衔接相关工作的通知》（环办环评[2017]84号），项目应在获得环评审批文件后，按照国家环境保护相关法律法规以及排污许可证申请与核发技术规范要求</w:t>
            </w:r>
            <w:r>
              <w:rPr>
                <w:rFonts w:hint="eastAsia" w:cs="Times New Roman"/>
                <w:color w:val="auto"/>
                <w:kern w:val="0"/>
                <w:sz w:val="24"/>
                <w:szCs w:val="24"/>
                <w:lang w:val="en-US" w:eastAsia="zh-CN" w:bidi="ar"/>
              </w:rPr>
              <w:t>变更</w:t>
            </w:r>
            <w:r>
              <w:rPr>
                <w:rFonts w:hint="default" w:ascii="Times New Roman" w:hAnsi="Times New Roman" w:eastAsia="宋体" w:cs="Times New Roman"/>
                <w:color w:val="auto"/>
                <w:kern w:val="0"/>
                <w:sz w:val="24"/>
                <w:szCs w:val="24"/>
                <w:lang w:val="en-US" w:eastAsia="zh-CN" w:bidi="ar"/>
              </w:rPr>
              <w:t>排污许可证，</w:t>
            </w:r>
            <w:r>
              <w:rPr>
                <w:rFonts w:hint="default" w:ascii="Times New Roman" w:hAnsi="Times New Roman" w:eastAsia="宋体" w:cs="Times New Roman"/>
                <w:color w:val="auto"/>
                <w:sz w:val="24"/>
                <w:szCs w:val="24"/>
                <w:lang w:val="en-US" w:eastAsia="zh-CN"/>
              </w:rPr>
              <w:t>并在取得排污许可证后按照排污许可证申请与核发技术规范相关要求履行自行检测、台账管理、执行报告等手续。</w:t>
            </w:r>
          </w:p>
          <w:p w14:paraId="2BEDF1F5">
            <w:pPr>
              <w:widowControl/>
              <w:adjustRightInd w:val="0"/>
              <w:snapToGrid w:val="0"/>
              <w:spacing w:line="348" w:lineRule="auto"/>
              <w:jc w:val="left"/>
              <w:rPr>
                <w:b/>
                <w:bCs/>
                <w:color w:val="auto"/>
                <w:kern w:val="0"/>
                <w:sz w:val="24"/>
                <w:lang w:bidi="ar"/>
              </w:rPr>
            </w:pPr>
            <w:r>
              <w:rPr>
                <w:b/>
                <w:bCs/>
                <w:color w:val="auto"/>
                <w:kern w:val="0"/>
                <w:sz w:val="24"/>
                <w:lang w:bidi="ar"/>
              </w:rPr>
              <w:t>3、竣工环境保护设施验收</w:t>
            </w:r>
          </w:p>
          <w:p w14:paraId="19B584FC">
            <w:pPr>
              <w:adjustRightInd w:val="0"/>
              <w:snapToGrid w:val="0"/>
              <w:spacing w:line="348" w:lineRule="auto"/>
              <w:ind w:firstLine="480" w:firstLineChars="200"/>
              <w:rPr>
                <w:color w:val="auto"/>
                <w:kern w:val="0"/>
                <w:sz w:val="24"/>
                <w:lang w:bidi="ar"/>
              </w:rPr>
            </w:pPr>
            <w:r>
              <w:rPr>
                <w:color w:val="auto"/>
                <w:kern w:val="0"/>
                <w:sz w:val="24"/>
                <w:lang w:bidi="ar"/>
              </w:rPr>
              <w:t>根据《建设项目竣工环境保护验收暂行办法》的规定，建设项目竣工后，建设单位应当如实查验、监测、记载建设项目环境保护设施的建设和调试情况，编制验收监测报告。</w:t>
            </w:r>
          </w:p>
          <w:p w14:paraId="5146E340">
            <w:pPr>
              <w:adjustRightInd w:val="0"/>
              <w:snapToGrid w:val="0"/>
              <w:spacing w:line="348" w:lineRule="auto"/>
              <w:ind w:firstLine="480" w:firstLineChars="200"/>
              <w:rPr>
                <w:color w:val="auto"/>
                <w:kern w:val="0"/>
                <w:sz w:val="24"/>
                <w:lang w:bidi="ar"/>
              </w:rPr>
            </w:pPr>
          </w:p>
          <w:p w14:paraId="33C56B8C">
            <w:pPr>
              <w:adjustRightInd w:val="0"/>
              <w:snapToGrid w:val="0"/>
              <w:spacing w:line="348" w:lineRule="auto"/>
              <w:ind w:firstLine="480" w:firstLineChars="200"/>
              <w:rPr>
                <w:color w:val="auto"/>
                <w:kern w:val="0"/>
                <w:sz w:val="24"/>
                <w:lang w:bidi="ar"/>
              </w:rPr>
            </w:pPr>
          </w:p>
          <w:p w14:paraId="3FDC9C9A">
            <w:pPr>
              <w:adjustRightInd w:val="0"/>
              <w:snapToGrid w:val="0"/>
              <w:spacing w:line="348" w:lineRule="auto"/>
              <w:ind w:firstLine="480" w:firstLineChars="200"/>
              <w:rPr>
                <w:color w:val="auto"/>
                <w:kern w:val="0"/>
                <w:sz w:val="24"/>
                <w:lang w:bidi="ar"/>
              </w:rPr>
            </w:pPr>
          </w:p>
          <w:p w14:paraId="6C115F69">
            <w:pPr>
              <w:adjustRightInd w:val="0"/>
              <w:snapToGrid w:val="0"/>
              <w:spacing w:line="348" w:lineRule="auto"/>
              <w:ind w:firstLine="480" w:firstLineChars="200"/>
              <w:rPr>
                <w:color w:val="auto"/>
                <w:kern w:val="0"/>
                <w:sz w:val="24"/>
                <w:lang w:bidi="ar"/>
              </w:rPr>
            </w:pPr>
          </w:p>
          <w:p w14:paraId="3A684DCE">
            <w:pPr>
              <w:adjustRightInd w:val="0"/>
              <w:snapToGrid w:val="0"/>
              <w:spacing w:line="348" w:lineRule="auto"/>
              <w:ind w:firstLine="480" w:firstLineChars="200"/>
              <w:rPr>
                <w:color w:val="auto"/>
                <w:kern w:val="0"/>
                <w:sz w:val="24"/>
                <w:lang w:bidi="ar"/>
              </w:rPr>
            </w:pPr>
          </w:p>
          <w:p w14:paraId="4E213DBE">
            <w:pPr>
              <w:adjustRightInd w:val="0"/>
              <w:snapToGrid w:val="0"/>
              <w:spacing w:line="348" w:lineRule="auto"/>
              <w:ind w:firstLine="480" w:firstLineChars="200"/>
              <w:rPr>
                <w:color w:val="auto"/>
                <w:kern w:val="0"/>
                <w:sz w:val="24"/>
                <w:lang w:bidi="ar"/>
              </w:rPr>
            </w:pPr>
          </w:p>
          <w:p w14:paraId="5CD5A127">
            <w:pPr>
              <w:adjustRightInd w:val="0"/>
              <w:snapToGrid w:val="0"/>
              <w:spacing w:line="348" w:lineRule="auto"/>
              <w:rPr>
                <w:rFonts w:hint="eastAsia"/>
                <w:color w:val="auto"/>
                <w:kern w:val="0"/>
                <w:lang w:val="en-US" w:eastAsia="zh-CN"/>
              </w:rPr>
            </w:pPr>
          </w:p>
          <w:p w14:paraId="5A0694DA">
            <w:pPr>
              <w:adjustRightInd w:val="0"/>
              <w:snapToGrid w:val="0"/>
              <w:spacing w:line="348" w:lineRule="auto"/>
              <w:rPr>
                <w:rFonts w:hint="eastAsia"/>
                <w:color w:val="auto"/>
                <w:kern w:val="0"/>
                <w:lang w:val="en-US" w:eastAsia="zh-CN"/>
              </w:rPr>
            </w:pPr>
          </w:p>
          <w:p w14:paraId="6C8A89E1">
            <w:pPr>
              <w:adjustRightInd w:val="0"/>
              <w:snapToGrid w:val="0"/>
              <w:spacing w:line="348" w:lineRule="auto"/>
              <w:rPr>
                <w:rFonts w:hint="eastAsia"/>
                <w:color w:val="auto"/>
                <w:kern w:val="0"/>
                <w:lang w:val="en-US" w:eastAsia="zh-CN"/>
              </w:rPr>
            </w:pPr>
          </w:p>
          <w:p w14:paraId="2A3CC57F">
            <w:pPr>
              <w:adjustRightInd w:val="0"/>
              <w:snapToGrid w:val="0"/>
              <w:spacing w:line="348" w:lineRule="auto"/>
              <w:rPr>
                <w:rFonts w:hint="eastAsia"/>
                <w:color w:val="auto"/>
                <w:kern w:val="0"/>
                <w:lang w:val="en-US" w:eastAsia="zh-CN"/>
              </w:rPr>
            </w:pPr>
          </w:p>
          <w:p w14:paraId="3DB267FD">
            <w:pPr>
              <w:adjustRightInd w:val="0"/>
              <w:snapToGrid w:val="0"/>
              <w:spacing w:line="348" w:lineRule="auto"/>
              <w:rPr>
                <w:rFonts w:hint="eastAsia"/>
                <w:color w:val="auto"/>
                <w:kern w:val="0"/>
                <w:lang w:val="en-US" w:eastAsia="zh-CN"/>
              </w:rPr>
            </w:pPr>
          </w:p>
          <w:p w14:paraId="4AA8FE24">
            <w:pPr>
              <w:adjustRightInd w:val="0"/>
              <w:snapToGrid w:val="0"/>
              <w:spacing w:line="348" w:lineRule="auto"/>
              <w:rPr>
                <w:rFonts w:hint="eastAsia"/>
                <w:color w:val="auto"/>
                <w:kern w:val="0"/>
                <w:lang w:val="en-US" w:eastAsia="zh-CN"/>
              </w:rPr>
            </w:pPr>
          </w:p>
          <w:p w14:paraId="5C3EA556">
            <w:pPr>
              <w:adjustRightInd w:val="0"/>
              <w:snapToGrid w:val="0"/>
              <w:spacing w:line="348" w:lineRule="auto"/>
              <w:rPr>
                <w:rFonts w:hint="eastAsia"/>
                <w:color w:val="auto"/>
                <w:kern w:val="0"/>
                <w:lang w:val="en-US" w:eastAsia="zh-CN"/>
              </w:rPr>
            </w:pPr>
          </w:p>
          <w:p w14:paraId="3AB58C65">
            <w:pPr>
              <w:adjustRightInd w:val="0"/>
              <w:snapToGrid w:val="0"/>
              <w:spacing w:line="348" w:lineRule="auto"/>
              <w:rPr>
                <w:rFonts w:hint="eastAsia"/>
                <w:color w:val="auto"/>
                <w:kern w:val="0"/>
                <w:lang w:val="en-US" w:eastAsia="zh-CN"/>
              </w:rPr>
            </w:pPr>
          </w:p>
          <w:p w14:paraId="372FAD7E">
            <w:pPr>
              <w:adjustRightInd w:val="0"/>
              <w:snapToGrid w:val="0"/>
              <w:spacing w:line="348" w:lineRule="auto"/>
              <w:rPr>
                <w:rFonts w:hint="eastAsia"/>
                <w:color w:val="auto"/>
                <w:kern w:val="0"/>
                <w:lang w:val="en-US" w:eastAsia="zh-CN"/>
              </w:rPr>
            </w:pPr>
          </w:p>
          <w:p w14:paraId="592F6204">
            <w:pPr>
              <w:adjustRightInd w:val="0"/>
              <w:snapToGrid w:val="0"/>
              <w:spacing w:line="348" w:lineRule="auto"/>
              <w:rPr>
                <w:rFonts w:hint="eastAsia"/>
                <w:color w:val="auto"/>
                <w:kern w:val="0"/>
                <w:lang w:val="en-US" w:eastAsia="zh-CN"/>
              </w:rPr>
            </w:pPr>
          </w:p>
          <w:p w14:paraId="74DC6F9F">
            <w:pPr>
              <w:adjustRightInd w:val="0"/>
              <w:snapToGrid w:val="0"/>
              <w:spacing w:line="348" w:lineRule="auto"/>
              <w:rPr>
                <w:rFonts w:hint="eastAsia"/>
                <w:color w:val="auto"/>
                <w:kern w:val="0"/>
                <w:lang w:val="en-US" w:eastAsia="zh-CN"/>
              </w:rPr>
            </w:pPr>
          </w:p>
          <w:p w14:paraId="0DD52A52">
            <w:pPr>
              <w:adjustRightInd w:val="0"/>
              <w:snapToGrid w:val="0"/>
              <w:spacing w:line="348" w:lineRule="auto"/>
              <w:rPr>
                <w:rFonts w:hint="eastAsia"/>
                <w:color w:val="auto"/>
                <w:kern w:val="0"/>
                <w:lang w:val="en-US" w:eastAsia="zh-CN"/>
              </w:rPr>
            </w:pPr>
          </w:p>
          <w:p w14:paraId="627CFD9B">
            <w:pPr>
              <w:adjustRightInd w:val="0"/>
              <w:snapToGrid w:val="0"/>
              <w:spacing w:line="348" w:lineRule="auto"/>
              <w:rPr>
                <w:rFonts w:hint="eastAsia"/>
                <w:color w:val="auto"/>
                <w:kern w:val="0"/>
                <w:lang w:val="en-US" w:eastAsia="zh-CN"/>
              </w:rPr>
            </w:pPr>
          </w:p>
          <w:p w14:paraId="486A5443">
            <w:pPr>
              <w:adjustRightInd w:val="0"/>
              <w:snapToGrid w:val="0"/>
              <w:spacing w:line="348" w:lineRule="auto"/>
              <w:rPr>
                <w:rFonts w:hint="eastAsia"/>
                <w:color w:val="auto"/>
                <w:kern w:val="0"/>
                <w:lang w:val="en-US" w:eastAsia="zh-CN"/>
              </w:rPr>
            </w:pPr>
          </w:p>
          <w:p w14:paraId="3E888AF9">
            <w:pPr>
              <w:adjustRightInd w:val="0"/>
              <w:snapToGrid w:val="0"/>
              <w:spacing w:line="348" w:lineRule="auto"/>
              <w:rPr>
                <w:rFonts w:hint="eastAsia"/>
                <w:color w:val="auto"/>
                <w:kern w:val="0"/>
                <w:lang w:val="en-US" w:eastAsia="zh-CN"/>
              </w:rPr>
            </w:pPr>
          </w:p>
          <w:p w14:paraId="0AE88DB2">
            <w:pPr>
              <w:adjustRightInd w:val="0"/>
              <w:snapToGrid w:val="0"/>
              <w:spacing w:line="348" w:lineRule="auto"/>
              <w:rPr>
                <w:rFonts w:hint="eastAsia"/>
                <w:color w:val="auto"/>
                <w:kern w:val="0"/>
                <w:lang w:val="en-US" w:eastAsia="zh-CN"/>
              </w:rPr>
            </w:pPr>
          </w:p>
          <w:p w14:paraId="26DA424A">
            <w:pPr>
              <w:adjustRightInd w:val="0"/>
              <w:snapToGrid w:val="0"/>
              <w:spacing w:line="348" w:lineRule="auto"/>
              <w:rPr>
                <w:rFonts w:hint="eastAsia"/>
                <w:color w:val="auto"/>
                <w:kern w:val="0"/>
                <w:lang w:val="en-US" w:eastAsia="zh-CN"/>
              </w:rPr>
            </w:pPr>
          </w:p>
          <w:p w14:paraId="037DA169">
            <w:pPr>
              <w:adjustRightInd w:val="0"/>
              <w:snapToGrid w:val="0"/>
              <w:spacing w:line="348" w:lineRule="auto"/>
              <w:rPr>
                <w:rFonts w:hint="eastAsia"/>
                <w:color w:val="auto"/>
                <w:kern w:val="0"/>
                <w:lang w:val="en-US" w:eastAsia="zh-CN"/>
              </w:rPr>
            </w:pPr>
          </w:p>
          <w:p w14:paraId="4B271D85">
            <w:pPr>
              <w:adjustRightInd w:val="0"/>
              <w:snapToGrid w:val="0"/>
              <w:spacing w:line="348" w:lineRule="auto"/>
              <w:rPr>
                <w:rFonts w:hint="eastAsia"/>
                <w:color w:val="auto"/>
                <w:kern w:val="0"/>
                <w:lang w:val="en-US" w:eastAsia="zh-CN"/>
              </w:rPr>
            </w:pPr>
          </w:p>
          <w:p w14:paraId="1553231C">
            <w:pPr>
              <w:adjustRightInd w:val="0"/>
              <w:snapToGrid w:val="0"/>
              <w:spacing w:line="348" w:lineRule="auto"/>
              <w:rPr>
                <w:rFonts w:hint="eastAsia"/>
                <w:color w:val="auto"/>
                <w:kern w:val="0"/>
                <w:lang w:val="en-US" w:eastAsia="zh-CN"/>
              </w:rPr>
            </w:pPr>
          </w:p>
          <w:p w14:paraId="5C11BC2A">
            <w:pPr>
              <w:adjustRightInd w:val="0"/>
              <w:snapToGrid w:val="0"/>
              <w:spacing w:line="348" w:lineRule="auto"/>
              <w:rPr>
                <w:rFonts w:hint="eastAsia"/>
                <w:color w:val="auto"/>
                <w:kern w:val="0"/>
                <w:lang w:val="en-US" w:eastAsia="zh-CN"/>
              </w:rPr>
            </w:pPr>
          </w:p>
          <w:p w14:paraId="1211685E">
            <w:pPr>
              <w:adjustRightInd w:val="0"/>
              <w:snapToGrid w:val="0"/>
              <w:spacing w:line="348" w:lineRule="auto"/>
              <w:rPr>
                <w:rFonts w:hint="eastAsia"/>
                <w:color w:val="auto"/>
                <w:kern w:val="0"/>
                <w:lang w:val="en-US" w:eastAsia="zh-CN"/>
              </w:rPr>
            </w:pPr>
          </w:p>
          <w:p w14:paraId="2FF17CAC">
            <w:pPr>
              <w:adjustRightInd w:val="0"/>
              <w:snapToGrid w:val="0"/>
              <w:spacing w:line="348" w:lineRule="auto"/>
              <w:rPr>
                <w:rFonts w:hint="default" w:eastAsia="宋体"/>
                <w:color w:val="auto"/>
                <w:kern w:val="0"/>
                <w:lang w:val="en-US" w:eastAsia="zh-CN"/>
              </w:rPr>
            </w:pPr>
          </w:p>
        </w:tc>
      </w:tr>
    </w:tbl>
    <w:p w14:paraId="386DF475">
      <w:pPr>
        <w:pStyle w:val="26"/>
        <w:snapToGrid w:val="0"/>
        <w:spacing w:before="0" w:beforeAutospacing="0" w:after="0" w:afterAutospacing="0" w:line="360" w:lineRule="auto"/>
        <w:jc w:val="center"/>
        <w:outlineLvl w:val="0"/>
        <w:rPr>
          <w:rFonts w:ascii="Times New Roman" w:hAnsi="Times New Roman"/>
          <w:b/>
          <w:bCs/>
          <w:color w:val="auto"/>
          <w:sz w:val="30"/>
          <w:szCs w:val="30"/>
        </w:rPr>
      </w:pPr>
      <w:r>
        <w:rPr>
          <w:rFonts w:ascii="Times New Roman" w:hAnsi="Times New Roman"/>
          <w:color w:val="auto"/>
        </w:rPr>
        <w:br w:type="page"/>
      </w:r>
      <w:r>
        <w:rPr>
          <w:rFonts w:ascii="Times New Roman" w:hAnsi="Times New Roman"/>
          <w:b/>
          <w:bCs/>
          <w:color w:val="auto"/>
          <w:sz w:val="30"/>
          <w:szCs w:val="30"/>
        </w:rPr>
        <w:t>六、结论</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241A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03" w:hRule="atLeast"/>
          <w:jc w:val="center"/>
        </w:trPr>
        <w:tc>
          <w:tcPr>
            <w:tcW w:w="8865" w:type="dxa"/>
            <w:tcBorders>
              <w:tl2br w:val="nil"/>
              <w:tr2bl w:val="nil"/>
            </w:tcBorders>
            <w:vAlign w:val="center"/>
          </w:tcPr>
          <w:p w14:paraId="558E4975">
            <w:pPr>
              <w:spacing w:line="360" w:lineRule="auto"/>
              <w:ind w:firstLine="480" w:firstLineChars="200"/>
              <w:rPr>
                <w:color w:val="auto"/>
                <w:kern w:val="0"/>
              </w:rPr>
            </w:pPr>
            <w:r>
              <w:rPr>
                <w:rFonts w:hint="eastAsia" w:ascii="Times New Roman" w:hAnsi="Times New Roman" w:cs="Times New Roman"/>
                <w:color w:val="auto"/>
                <w:sz w:val="24"/>
              </w:rPr>
              <w:t>安徽省固废邦环保科技有限公司新型材料生产项目</w:t>
            </w:r>
            <w:r>
              <w:rPr>
                <w:rFonts w:hint="default" w:ascii="Times New Roman" w:hAnsi="Times New Roman" w:eastAsia="宋体" w:cs="Times New Roman"/>
                <w:color w:val="000000"/>
                <w:sz w:val="24"/>
                <w:szCs w:val="24"/>
                <w:lang w:eastAsia="zh-CN"/>
              </w:rPr>
              <w:t>的建设符合</w:t>
            </w:r>
            <w:r>
              <w:rPr>
                <w:rFonts w:hint="eastAsia" w:cs="Times New Roman"/>
                <w:color w:val="000000"/>
                <w:sz w:val="24"/>
                <w:szCs w:val="24"/>
                <w:lang w:val="en-US" w:eastAsia="zh-CN"/>
              </w:rPr>
              <w:t>相关</w:t>
            </w:r>
            <w:r>
              <w:rPr>
                <w:rFonts w:hint="default" w:ascii="Times New Roman" w:hAnsi="Times New Roman" w:eastAsia="宋体" w:cs="Times New Roman"/>
                <w:color w:val="000000"/>
                <w:sz w:val="24"/>
                <w:szCs w:val="24"/>
                <w:lang w:eastAsia="zh-CN"/>
              </w:rPr>
              <w:t>要求</w:t>
            </w:r>
            <w:r>
              <w:rPr>
                <w:rFonts w:hint="eastAsia" w:cs="Times New Roman"/>
                <w:color w:val="000000"/>
                <w:sz w:val="24"/>
                <w:szCs w:val="24"/>
                <w:lang w:eastAsia="zh-CN"/>
              </w:rPr>
              <w:t>，</w:t>
            </w:r>
            <w:r>
              <w:rPr>
                <w:rFonts w:hint="default" w:ascii="Times New Roman" w:hAnsi="Times New Roman" w:eastAsia="宋体" w:cs="Times New Roman"/>
                <w:color w:val="auto"/>
                <w:sz w:val="24"/>
                <w:szCs w:val="24"/>
                <w:lang w:eastAsia="zh-CN"/>
              </w:rPr>
              <w:t>只要工程在运行期严格执行有关环保法规规定，切实落实报告提出的各项污染防治措施</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在</w:t>
            </w:r>
            <w:r>
              <w:rPr>
                <w:rFonts w:hint="eastAsia" w:ascii="Times New Roman" w:hAnsi="Times New Roman" w:eastAsia="宋体"/>
                <w:color w:val="auto"/>
                <w:sz w:val="24"/>
                <w:szCs w:val="24"/>
                <w:lang w:eastAsia="zh-CN"/>
              </w:rPr>
              <w:t>确保污染物达标排放</w:t>
            </w:r>
            <w:r>
              <w:rPr>
                <w:sz w:val="24"/>
              </w:rPr>
              <w:t>的前提下，本项目的建设对周围环境的不利影响较小</w:t>
            </w:r>
            <w:r>
              <w:rPr>
                <w:rFonts w:hint="eastAsia"/>
                <w:sz w:val="24"/>
                <w:lang w:eastAsia="zh-CN"/>
              </w:rPr>
              <w:t>。</w:t>
            </w:r>
            <w:r>
              <w:rPr>
                <w:rFonts w:hint="default" w:ascii="Times New Roman" w:hAnsi="Times New Roman" w:eastAsia="宋体" w:cs="Times New Roman"/>
                <w:color w:val="auto"/>
                <w:sz w:val="24"/>
                <w:szCs w:val="28"/>
              </w:rPr>
              <w:t>综上，从环境影响的角度分析，本项目的建设是可行的。</w:t>
            </w:r>
          </w:p>
        </w:tc>
      </w:tr>
    </w:tbl>
    <w:p w14:paraId="599A777A">
      <w:pPr>
        <w:rPr>
          <w:color w:val="auto"/>
          <w:kern w:val="0"/>
        </w:rPr>
        <w:sectPr>
          <w:pgSz w:w="11906" w:h="16838"/>
          <w:pgMar w:top="1440" w:right="1803" w:bottom="1440" w:left="1803" w:header="851" w:footer="851" w:gutter="0"/>
          <w:cols w:space="720" w:num="1"/>
          <w:docGrid w:linePitch="312" w:charSpace="0"/>
        </w:sectPr>
      </w:pPr>
    </w:p>
    <w:p w14:paraId="6769F0EA">
      <w:pPr>
        <w:pStyle w:val="26"/>
        <w:adjustRightInd w:val="0"/>
        <w:snapToGrid w:val="0"/>
        <w:spacing w:before="0" w:beforeAutospacing="0" w:after="0" w:afterAutospacing="0" w:line="288" w:lineRule="auto"/>
        <w:outlineLvl w:val="0"/>
        <w:rPr>
          <w:rFonts w:ascii="Times New Roman" w:hAnsi="Times New Roman"/>
          <w:b/>
          <w:bCs/>
          <w:color w:val="auto"/>
          <w:sz w:val="32"/>
          <w:szCs w:val="32"/>
        </w:rPr>
      </w:pPr>
      <w:r>
        <w:rPr>
          <w:rFonts w:ascii="Times New Roman" w:hAnsi="Times New Roman"/>
          <w:b/>
          <w:bCs/>
          <w:color w:val="auto"/>
          <w:sz w:val="32"/>
          <w:szCs w:val="32"/>
        </w:rPr>
        <w:t>附表</w:t>
      </w:r>
    </w:p>
    <w:p w14:paraId="65BF516C">
      <w:pPr>
        <w:pStyle w:val="26"/>
        <w:adjustRightInd w:val="0"/>
        <w:snapToGrid w:val="0"/>
        <w:spacing w:before="0" w:beforeAutospacing="0" w:after="0" w:afterAutospacing="0" w:line="360" w:lineRule="auto"/>
        <w:jc w:val="center"/>
        <w:outlineLvl w:val="0"/>
        <w:rPr>
          <w:rFonts w:cs="宋体"/>
          <w:b/>
          <w:bCs/>
          <w:color w:val="auto"/>
          <w:sz w:val="38"/>
          <w:szCs w:val="38"/>
        </w:rPr>
      </w:pPr>
      <w:r>
        <w:rPr>
          <w:rFonts w:hint="eastAsia" w:cs="宋体"/>
          <w:b/>
          <w:bCs/>
          <w:color w:val="auto"/>
          <w:sz w:val="38"/>
          <w:szCs w:val="38"/>
        </w:rPr>
        <w:t>建设项目污染物排放量汇总表</w:t>
      </w:r>
    </w:p>
    <w:tbl>
      <w:tblPr>
        <w:tblStyle w:val="29"/>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365"/>
        <w:gridCol w:w="1337"/>
        <w:gridCol w:w="1795"/>
        <w:gridCol w:w="1593"/>
        <w:gridCol w:w="1579"/>
        <w:gridCol w:w="1870"/>
        <w:gridCol w:w="1408"/>
        <w:gridCol w:w="1408"/>
      </w:tblGrid>
      <w:tr w14:paraId="52987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589" w:type="pct"/>
            <w:tcBorders>
              <w:tl2br w:val="single" w:color="auto" w:sz="4" w:space="0"/>
            </w:tcBorders>
            <w:tcMar>
              <w:left w:w="28" w:type="dxa"/>
              <w:right w:w="28" w:type="dxa"/>
            </w:tcMar>
            <w:vAlign w:val="center"/>
          </w:tcPr>
          <w:p w14:paraId="6D7C93AA">
            <w:pPr>
              <w:pStyle w:val="43"/>
              <w:keepNext w:val="0"/>
              <w:keepLines w:val="0"/>
              <w:pageBreakBefore w:val="0"/>
              <w:widowControl w:val="0"/>
              <w:kinsoku/>
              <w:wordWrap/>
              <w:overflowPunct/>
              <w:topLinePunct w:val="0"/>
              <w:autoSpaceDE/>
              <w:autoSpaceDN/>
              <w:bidi w:val="0"/>
              <w:spacing w:beforeLines="0" w:afterLines="0" w:line="240" w:lineRule="auto"/>
              <w:ind w:left="480" w:leftChars="0"/>
              <w:jc w:val="right"/>
              <w:textAlignment w:val="auto"/>
              <w:rPr>
                <w:rFonts w:ascii="Times New Roman"/>
                <w:color w:val="auto"/>
                <w:sz w:val="24"/>
                <w:szCs w:val="24"/>
              </w:rPr>
            </w:pPr>
            <w:r>
              <w:rPr>
                <w:rFonts w:ascii="Times New Roman"/>
                <w:color w:val="auto"/>
                <w:sz w:val="24"/>
                <w:szCs w:val="24"/>
              </w:rPr>
              <w:t>项目</w:t>
            </w:r>
          </w:p>
          <w:p w14:paraId="6284E9BA">
            <w:pPr>
              <w:pStyle w:val="43"/>
              <w:keepNext w:val="0"/>
              <w:keepLines w:val="0"/>
              <w:pageBreakBefore w:val="0"/>
              <w:widowControl w:val="0"/>
              <w:kinsoku/>
              <w:wordWrap/>
              <w:overflowPunct/>
              <w:topLinePunct w:val="0"/>
              <w:autoSpaceDE/>
              <w:autoSpaceDN/>
              <w:bidi w:val="0"/>
              <w:spacing w:beforeLines="0" w:afterLines="0" w:line="240" w:lineRule="auto"/>
              <w:ind w:left="480" w:leftChars="0"/>
              <w:jc w:val="left"/>
              <w:textAlignment w:val="auto"/>
              <w:rPr>
                <w:rFonts w:ascii="Times New Roman"/>
                <w:color w:val="auto"/>
                <w:sz w:val="24"/>
                <w:szCs w:val="24"/>
              </w:rPr>
            </w:pPr>
            <w:r>
              <w:rPr>
                <w:rFonts w:ascii="Times New Roman"/>
                <w:color w:val="auto"/>
                <w:sz w:val="24"/>
                <w:szCs w:val="24"/>
              </w:rPr>
              <w:t>分类</w:t>
            </w:r>
          </w:p>
        </w:tc>
        <w:tc>
          <w:tcPr>
            <w:tcW w:w="487" w:type="pct"/>
            <w:tcMar>
              <w:left w:w="28" w:type="dxa"/>
              <w:right w:w="28" w:type="dxa"/>
            </w:tcMar>
            <w:vAlign w:val="center"/>
          </w:tcPr>
          <w:p w14:paraId="452ACC09">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ascii="Times New Roman"/>
                <w:color w:val="auto"/>
                <w:sz w:val="24"/>
                <w:szCs w:val="24"/>
              </w:rPr>
              <w:t>污染物名称</w:t>
            </w:r>
          </w:p>
        </w:tc>
        <w:tc>
          <w:tcPr>
            <w:tcW w:w="477" w:type="pct"/>
            <w:tcMar>
              <w:left w:w="28" w:type="dxa"/>
              <w:right w:w="28" w:type="dxa"/>
            </w:tcMar>
            <w:vAlign w:val="center"/>
          </w:tcPr>
          <w:p w14:paraId="5DF59F69">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auto"/>
                <w:spacing w:val="0"/>
                <w:kern w:val="0"/>
                <w:position w:val="0"/>
                <w:sz w:val="24"/>
                <w:szCs w:val="24"/>
              </w:rPr>
              <w:t>现有工程排放量（固体废物产生量）</w:t>
            </w:r>
            <w:r>
              <w:rPr>
                <w:rFonts w:hint="default" w:ascii="Times New Roman" w:hAnsi="Times New Roman" w:eastAsia="宋体" w:cs="Times New Roman"/>
                <w:snapToGrid/>
                <w:color w:val="auto"/>
                <w:spacing w:val="0"/>
                <w:kern w:val="0"/>
                <w:position w:val="0"/>
                <w:sz w:val="24"/>
                <w:szCs w:val="24"/>
              </w:rPr>
              <w:fldChar w:fldCharType="begin"/>
            </w:r>
            <w:r>
              <w:rPr>
                <w:rFonts w:hint="default" w:ascii="Times New Roman" w:hAnsi="Times New Roman" w:eastAsia="宋体" w:cs="Times New Roman"/>
                <w:snapToGrid/>
                <w:color w:val="auto"/>
                <w:spacing w:val="0"/>
                <w:kern w:val="0"/>
                <w:position w:val="0"/>
                <w:sz w:val="24"/>
                <w:szCs w:val="24"/>
              </w:rPr>
              <w:instrText xml:space="preserve"> = 1 \* GB3 \* MERGEFORMAT </w:instrText>
            </w:r>
            <w:r>
              <w:rPr>
                <w:rFonts w:hint="default" w:ascii="Times New Roman" w:hAnsi="Times New Roman" w:eastAsia="宋体" w:cs="Times New Roman"/>
                <w:snapToGrid/>
                <w:color w:val="auto"/>
                <w:spacing w:val="0"/>
                <w:kern w:val="0"/>
                <w:position w:val="0"/>
                <w:sz w:val="24"/>
                <w:szCs w:val="24"/>
              </w:rPr>
              <w:fldChar w:fldCharType="separate"/>
            </w:r>
            <w:r>
              <w:rPr>
                <w:rFonts w:hint="default" w:ascii="Times New Roman" w:hAnsi="Times New Roman" w:eastAsia="宋体" w:cs="Times New Roman"/>
                <w:snapToGrid/>
                <w:color w:val="auto"/>
                <w:spacing w:val="0"/>
                <w:kern w:val="0"/>
                <w:position w:val="0"/>
                <w:sz w:val="24"/>
                <w:szCs w:val="24"/>
              </w:rPr>
              <w:t>①</w:t>
            </w:r>
            <w:r>
              <w:rPr>
                <w:rFonts w:hint="default" w:ascii="Times New Roman" w:hAnsi="Times New Roman" w:eastAsia="宋体" w:cs="Times New Roman"/>
                <w:snapToGrid/>
                <w:color w:val="auto"/>
                <w:spacing w:val="0"/>
                <w:kern w:val="0"/>
                <w:position w:val="0"/>
                <w:sz w:val="24"/>
                <w:szCs w:val="24"/>
              </w:rPr>
              <w:fldChar w:fldCharType="end"/>
            </w:r>
          </w:p>
        </w:tc>
        <w:tc>
          <w:tcPr>
            <w:tcW w:w="640" w:type="pct"/>
            <w:tcMar>
              <w:left w:w="28" w:type="dxa"/>
              <w:right w:w="28" w:type="dxa"/>
            </w:tcMar>
            <w:vAlign w:val="center"/>
          </w:tcPr>
          <w:p w14:paraId="748E08AA">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color w:val="auto"/>
                <w:spacing w:val="0"/>
                <w:kern w:val="0"/>
                <w:position w:val="0"/>
                <w:sz w:val="24"/>
                <w:szCs w:val="24"/>
              </w:rPr>
            </w:pPr>
            <w:r>
              <w:rPr>
                <w:rFonts w:hint="default" w:ascii="Times New Roman" w:hAnsi="Times New Roman" w:eastAsia="宋体" w:cs="Times New Roman"/>
                <w:snapToGrid/>
                <w:color w:val="auto"/>
                <w:spacing w:val="0"/>
                <w:kern w:val="0"/>
                <w:position w:val="0"/>
                <w:sz w:val="24"/>
                <w:szCs w:val="24"/>
              </w:rPr>
              <w:t>现有工程</w:t>
            </w:r>
          </w:p>
          <w:p w14:paraId="330BC0AF">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color w:val="auto"/>
                <w:spacing w:val="0"/>
                <w:kern w:val="0"/>
                <w:position w:val="0"/>
                <w:sz w:val="24"/>
                <w:szCs w:val="24"/>
              </w:rPr>
            </w:pPr>
            <w:r>
              <w:rPr>
                <w:rFonts w:hint="default" w:ascii="Times New Roman" w:hAnsi="Times New Roman" w:eastAsia="宋体" w:cs="Times New Roman"/>
                <w:snapToGrid/>
                <w:color w:val="auto"/>
                <w:spacing w:val="0"/>
                <w:kern w:val="0"/>
                <w:position w:val="0"/>
                <w:sz w:val="24"/>
                <w:szCs w:val="24"/>
              </w:rPr>
              <w:t>许可排放量</w:t>
            </w:r>
          </w:p>
          <w:p w14:paraId="16D792C5">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auto"/>
                <w:spacing w:val="0"/>
                <w:kern w:val="0"/>
                <w:position w:val="0"/>
                <w:sz w:val="24"/>
                <w:szCs w:val="24"/>
              </w:rPr>
              <w:fldChar w:fldCharType="begin"/>
            </w:r>
            <w:r>
              <w:rPr>
                <w:rFonts w:hint="default" w:ascii="Times New Roman" w:hAnsi="Times New Roman" w:eastAsia="宋体" w:cs="Times New Roman"/>
                <w:snapToGrid/>
                <w:color w:val="auto"/>
                <w:spacing w:val="0"/>
                <w:kern w:val="0"/>
                <w:position w:val="0"/>
                <w:sz w:val="24"/>
                <w:szCs w:val="24"/>
              </w:rPr>
              <w:instrText xml:space="preserve"> = 2 \* GB3 \* MERGEFORMAT </w:instrText>
            </w:r>
            <w:r>
              <w:rPr>
                <w:rFonts w:hint="default" w:ascii="Times New Roman" w:hAnsi="Times New Roman" w:eastAsia="宋体" w:cs="Times New Roman"/>
                <w:snapToGrid/>
                <w:color w:val="auto"/>
                <w:spacing w:val="0"/>
                <w:kern w:val="0"/>
                <w:position w:val="0"/>
                <w:sz w:val="24"/>
                <w:szCs w:val="24"/>
              </w:rPr>
              <w:fldChar w:fldCharType="separate"/>
            </w:r>
            <w:r>
              <w:rPr>
                <w:rFonts w:hint="default" w:ascii="Times New Roman" w:hAnsi="Times New Roman" w:eastAsia="宋体" w:cs="Times New Roman"/>
                <w:snapToGrid/>
                <w:color w:val="auto"/>
                <w:spacing w:val="0"/>
                <w:kern w:val="0"/>
                <w:position w:val="0"/>
                <w:sz w:val="24"/>
                <w:szCs w:val="24"/>
              </w:rPr>
              <w:t>②</w:t>
            </w:r>
            <w:r>
              <w:rPr>
                <w:rFonts w:hint="default" w:ascii="Times New Roman" w:hAnsi="Times New Roman" w:eastAsia="宋体" w:cs="Times New Roman"/>
                <w:snapToGrid/>
                <w:color w:val="auto"/>
                <w:spacing w:val="0"/>
                <w:kern w:val="0"/>
                <w:position w:val="0"/>
                <w:sz w:val="24"/>
                <w:szCs w:val="24"/>
              </w:rPr>
              <w:fldChar w:fldCharType="end"/>
            </w:r>
          </w:p>
        </w:tc>
        <w:tc>
          <w:tcPr>
            <w:tcW w:w="568" w:type="pct"/>
            <w:tcMar>
              <w:left w:w="28" w:type="dxa"/>
              <w:right w:w="28" w:type="dxa"/>
            </w:tcMar>
            <w:vAlign w:val="center"/>
          </w:tcPr>
          <w:p w14:paraId="60D462A0">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auto"/>
                <w:spacing w:val="0"/>
                <w:kern w:val="0"/>
                <w:position w:val="0"/>
                <w:sz w:val="24"/>
                <w:szCs w:val="24"/>
              </w:rPr>
              <w:t>在建工程排放量（固体废物产生量）</w:t>
            </w:r>
            <w:r>
              <w:rPr>
                <w:rFonts w:hint="default" w:ascii="Times New Roman" w:hAnsi="Times New Roman" w:eastAsia="宋体" w:cs="Times New Roman"/>
                <w:snapToGrid/>
                <w:color w:val="auto"/>
                <w:spacing w:val="0"/>
                <w:kern w:val="0"/>
                <w:position w:val="0"/>
                <w:sz w:val="24"/>
                <w:szCs w:val="24"/>
              </w:rPr>
              <w:fldChar w:fldCharType="begin"/>
            </w:r>
            <w:r>
              <w:rPr>
                <w:rFonts w:hint="default" w:ascii="Times New Roman" w:hAnsi="Times New Roman" w:eastAsia="宋体" w:cs="Times New Roman"/>
                <w:snapToGrid/>
                <w:color w:val="auto"/>
                <w:spacing w:val="0"/>
                <w:kern w:val="0"/>
                <w:position w:val="0"/>
                <w:sz w:val="24"/>
                <w:szCs w:val="24"/>
              </w:rPr>
              <w:instrText xml:space="preserve"> = 3 \* GB3 \* MERGEFORMAT </w:instrText>
            </w:r>
            <w:r>
              <w:rPr>
                <w:rFonts w:hint="default" w:ascii="Times New Roman" w:hAnsi="Times New Roman" w:eastAsia="宋体" w:cs="Times New Roman"/>
                <w:snapToGrid/>
                <w:color w:val="auto"/>
                <w:spacing w:val="0"/>
                <w:kern w:val="0"/>
                <w:position w:val="0"/>
                <w:sz w:val="24"/>
                <w:szCs w:val="24"/>
              </w:rPr>
              <w:fldChar w:fldCharType="separate"/>
            </w:r>
            <w:r>
              <w:rPr>
                <w:rFonts w:hint="default" w:ascii="Times New Roman" w:hAnsi="Times New Roman" w:eastAsia="宋体" w:cs="Times New Roman"/>
                <w:snapToGrid/>
                <w:color w:val="auto"/>
                <w:spacing w:val="0"/>
                <w:kern w:val="0"/>
                <w:position w:val="0"/>
                <w:sz w:val="24"/>
                <w:szCs w:val="24"/>
              </w:rPr>
              <w:t>③</w:t>
            </w:r>
            <w:r>
              <w:rPr>
                <w:rFonts w:hint="default" w:ascii="Times New Roman" w:hAnsi="Times New Roman" w:eastAsia="宋体" w:cs="Times New Roman"/>
                <w:snapToGrid/>
                <w:color w:val="auto"/>
                <w:spacing w:val="0"/>
                <w:kern w:val="0"/>
                <w:position w:val="0"/>
                <w:sz w:val="24"/>
                <w:szCs w:val="24"/>
              </w:rPr>
              <w:fldChar w:fldCharType="end"/>
            </w:r>
          </w:p>
        </w:tc>
        <w:tc>
          <w:tcPr>
            <w:tcW w:w="563" w:type="pct"/>
            <w:tcMar>
              <w:left w:w="28" w:type="dxa"/>
              <w:right w:w="28" w:type="dxa"/>
            </w:tcMar>
            <w:vAlign w:val="center"/>
          </w:tcPr>
          <w:p w14:paraId="153827F9">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auto"/>
                <w:spacing w:val="0"/>
                <w:kern w:val="0"/>
                <w:position w:val="0"/>
                <w:sz w:val="24"/>
                <w:szCs w:val="24"/>
              </w:rPr>
              <w:t>本项目排放量（固体废物产生量）</w:t>
            </w:r>
            <w:r>
              <w:rPr>
                <w:rFonts w:hint="default" w:ascii="Times New Roman" w:hAnsi="Times New Roman" w:eastAsia="宋体" w:cs="Times New Roman"/>
                <w:snapToGrid/>
                <w:color w:val="auto"/>
                <w:spacing w:val="0"/>
                <w:kern w:val="0"/>
                <w:position w:val="0"/>
                <w:sz w:val="24"/>
                <w:szCs w:val="24"/>
              </w:rPr>
              <w:fldChar w:fldCharType="begin"/>
            </w:r>
            <w:r>
              <w:rPr>
                <w:rFonts w:hint="default" w:ascii="Times New Roman" w:hAnsi="Times New Roman" w:eastAsia="宋体" w:cs="Times New Roman"/>
                <w:snapToGrid/>
                <w:color w:val="auto"/>
                <w:spacing w:val="0"/>
                <w:kern w:val="0"/>
                <w:position w:val="0"/>
                <w:sz w:val="24"/>
                <w:szCs w:val="24"/>
              </w:rPr>
              <w:instrText xml:space="preserve"> = 4 \* GB3 \* MERGEFORMAT </w:instrText>
            </w:r>
            <w:r>
              <w:rPr>
                <w:rFonts w:hint="default" w:ascii="Times New Roman" w:hAnsi="Times New Roman" w:eastAsia="宋体" w:cs="Times New Roman"/>
                <w:snapToGrid/>
                <w:color w:val="auto"/>
                <w:spacing w:val="0"/>
                <w:kern w:val="0"/>
                <w:position w:val="0"/>
                <w:sz w:val="24"/>
                <w:szCs w:val="24"/>
              </w:rPr>
              <w:fldChar w:fldCharType="separate"/>
            </w:r>
            <w:r>
              <w:rPr>
                <w:rFonts w:hint="default" w:ascii="Times New Roman" w:hAnsi="Times New Roman" w:eastAsia="宋体" w:cs="Times New Roman"/>
                <w:snapToGrid/>
                <w:color w:val="auto"/>
                <w:spacing w:val="0"/>
                <w:kern w:val="0"/>
                <w:position w:val="0"/>
                <w:sz w:val="24"/>
                <w:szCs w:val="24"/>
              </w:rPr>
              <w:t>④</w:t>
            </w:r>
            <w:r>
              <w:rPr>
                <w:rFonts w:hint="default" w:ascii="Times New Roman" w:hAnsi="Times New Roman" w:eastAsia="宋体" w:cs="Times New Roman"/>
                <w:snapToGrid/>
                <w:color w:val="auto"/>
                <w:spacing w:val="0"/>
                <w:kern w:val="0"/>
                <w:position w:val="0"/>
                <w:sz w:val="24"/>
                <w:szCs w:val="24"/>
              </w:rPr>
              <w:fldChar w:fldCharType="end"/>
            </w:r>
          </w:p>
        </w:tc>
        <w:tc>
          <w:tcPr>
            <w:tcW w:w="667" w:type="pct"/>
            <w:tcMar>
              <w:left w:w="28" w:type="dxa"/>
              <w:right w:w="28" w:type="dxa"/>
            </w:tcMar>
            <w:vAlign w:val="center"/>
          </w:tcPr>
          <w:p w14:paraId="169DDB91">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auto"/>
                <w:spacing w:val="0"/>
                <w:kern w:val="0"/>
                <w:position w:val="0"/>
                <w:sz w:val="24"/>
                <w:szCs w:val="24"/>
              </w:rPr>
              <w:t>以新带老削减量（新建项目不填）</w:t>
            </w:r>
            <w:r>
              <w:rPr>
                <w:rFonts w:hint="default" w:ascii="Times New Roman" w:hAnsi="Times New Roman" w:eastAsia="宋体" w:cs="Times New Roman"/>
                <w:snapToGrid/>
                <w:color w:val="auto"/>
                <w:spacing w:val="0"/>
                <w:kern w:val="0"/>
                <w:position w:val="0"/>
                <w:sz w:val="24"/>
                <w:szCs w:val="24"/>
              </w:rPr>
              <w:fldChar w:fldCharType="begin"/>
            </w:r>
            <w:r>
              <w:rPr>
                <w:rFonts w:hint="default" w:ascii="Times New Roman" w:hAnsi="Times New Roman" w:eastAsia="宋体" w:cs="Times New Roman"/>
                <w:snapToGrid/>
                <w:color w:val="auto"/>
                <w:spacing w:val="0"/>
                <w:kern w:val="0"/>
                <w:position w:val="0"/>
                <w:sz w:val="24"/>
                <w:szCs w:val="24"/>
              </w:rPr>
              <w:instrText xml:space="preserve"> = 5 \* GB3 \* MERGEFORMAT </w:instrText>
            </w:r>
            <w:r>
              <w:rPr>
                <w:rFonts w:hint="default" w:ascii="Times New Roman" w:hAnsi="Times New Roman" w:eastAsia="宋体" w:cs="Times New Roman"/>
                <w:snapToGrid/>
                <w:color w:val="auto"/>
                <w:spacing w:val="0"/>
                <w:kern w:val="0"/>
                <w:position w:val="0"/>
                <w:sz w:val="24"/>
                <w:szCs w:val="24"/>
              </w:rPr>
              <w:fldChar w:fldCharType="separate"/>
            </w:r>
            <w:r>
              <w:rPr>
                <w:rFonts w:hint="default" w:ascii="Times New Roman" w:hAnsi="Times New Roman" w:eastAsia="宋体" w:cs="Times New Roman"/>
                <w:snapToGrid/>
                <w:color w:val="auto"/>
                <w:spacing w:val="0"/>
                <w:kern w:val="0"/>
                <w:position w:val="0"/>
                <w:sz w:val="24"/>
                <w:szCs w:val="24"/>
              </w:rPr>
              <w:t>⑤</w:t>
            </w:r>
            <w:r>
              <w:rPr>
                <w:rFonts w:hint="default" w:ascii="Times New Roman" w:hAnsi="Times New Roman" w:eastAsia="宋体" w:cs="Times New Roman"/>
                <w:snapToGrid/>
                <w:color w:val="auto"/>
                <w:spacing w:val="0"/>
                <w:kern w:val="0"/>
                <w:position w:val="0"/>
                <w:sz w:val="24"/>
                <w:szCs w:val="24"/>
              </w:rPr>
              <w:fldChar w:fldCharType="end"/>
            </w:r>
          </w:p>
        </w:tc>
        <w:tc>
          <w:tcPr>
            <w:tcW w:w="502" w:type="pct"/>
            <w:tcMar>
              <w:left w:w="28" w:type="dxa"/>
              <w:right w:w="28" w:type="dxa"/>
            </w:tcMar>
            <w:vAlign w:val="center"/>
          </w:tcPr>
          <w:p w14:paraId="6072609E">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auto"/>
                <w:spacing w:val="0"/>
                <w:kern w:val="0"/>
                <w:position w:val="0"/>
                <w:sz w:val="24"/>
                <w:szCs w:val="24"/>
              </w:rPr>
              <w:t>本项目建成后全厂排放量（固体废物产生量）</w:t>
            </w:r>
            <w:r>
              <w:rPr>
                <w:rFonts w:hint="default" w:ascii="Times New Roman" w:hAnsi="Times New Roman" w:eastAsia="宋体" w:cs="Times New Roman"/>
                <w:snapToGrid/>
                <w:color w:val="auto"/>
                <w:spacing w:val="0"/>
                <w:kern w:val="0"/>
                <w:position w:val="0"/>
                <w:sz w:val="24"/>
                <w:szCs w:val="24"/>
              </w:rPr>
              <w:fldChar w:fldCharType="begin"/>
            </w:r>
            <w:r>
              <w:rPr>
                <w:rFonts w:hint="default" w:ascii="Times New Roman" w:hAnsi="Times New Roman" w:eastAsia="宋体" w:cs="Times New Roman"/>
                <w:snapToGrid/>
                <w:color w:val="auto"/>
                <w:spacing w:val="0"/>
                <w:kern w:val="0"/>
                <w:position w:val="0"/>
                <w:sz w:val="24"/>
                <w:szCs w:val="24"/>
              </w:rPr>
              <w:instrText xml:space="preserve"> = 6 \* GB3 \* MERGEFORMAT </w:instrText>
            </w:r>
            <w:r>
              <w:rPr>
                <w:rFonts w:hint="default" w:ascii="Times New Roman" w:hAnsi="Times New Roman" w:eastAsia="宋体" w:cs="Times New Roman"/>
                <w:snapToGrid/>
                <w:color w:val="auto"/>
                <w:spacing w:val="0"/>
                <w:kern w:val="0"/>
                <w:position w:val="0"/>
                <w:sz w:val="24"/>
                <w:szCs w:val="24"/>
              </w:rPr>
              <w:fldChar w:fldCharType="separate"/>
            </w:r>
            <w:r>
              <w:rPr>
                <w:rFonts w:hint="default" w:ascii="Times New Roman" w:hAnsi="Times New Roman" w:eastAsia="宋体" w:cs="Times New Roman"/>
                <w:snapToGrid/>
                <w:color w:val="auto"/>
                <w:spacing w:val="0"/>
                <w:kern w:val="0"/>
                <w:position w:val="0"/>
                <w:sz w:val="24"/>
                <w:szCs w:val="24"/>
              </w:rPr>
              <w:t>⑥</w:t>
            </w:r>
            <w:r>
              <w:rPr>
                <w:rFonts w:hint="default" w:ascii="Times New Roman" w:hAnsi="Times New Roman" w:eastAsia="宋体" w:cs="Times New Roman"/>
                <w:snapToGrid/>
                <w:color w:val="auto"/>
                <w:spacing w:val="0"/>
                <w:kern w:val="0"/>
                <w:position w:val="0"/>
                <w:sz w:val="24"/>
                <w:szCs w:val="24"/>
              </w:rPr>
              <w:fldChar w:fldCharType="end"/>
            </w:r>
          </w:p>
        </w:tc>
        <w:tc>
          <w:tcPr>
            <w:tcW w:w="502" w:type="pct"/>
            <w:tcMar>
              <w:left w:w="28" w:type="dxa"/>
              <w:right w:w="28" w:type="dxa"/>
            </w:tcMar>
            <w:vAlign w:val="center"/>
          </w:tcPr>
          <w:p w14:paraId="344A5073">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color w:val="auto"/>
                <w:spacing w:val="0"/>
                <w:kern w:val="0"/>
                <w:position w:val="0"/>
                <w:sz w:val="24"/>
                <w:szCs w:val="24"/>
              </w:rPr>
            </w:pPr>
            <w:r>
              <w:rPr>
                <w:rFonts w:hint="default" w:ascii="Times New Roman" w:hAnsi="Times New Roman" w:eastAsia="宋体" w:cs="Times New Roman"/>
                <w:snapToGrid/>
                <w:color w:val="auto"/>
                <w:spacing w:val="0"/>
                <w:kern w:val="0"/>
                <w:position w:val="0"/>
                <w:sz w:val="24"/>
                <w:szCs w:val="24"/>
              </w:rPr>
              <w:t>变化量</w:t>
            </w:r>
          </w:p>
          <w:p w14:paraId="5B9A30A9">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color w:val="auto"/>
                <w:spacing w:val="0"/>
                <w:kern w:val="0"/>
                <w:position w:val="0"/>
                <w:sz w:val="24"/>
                <w:szCs w:val="24"/>
              </w:rPr>
            </w:pPr>
            <w:r>
              <w:rPr>
                <w:rFonts w:hint="default" w:ascii="Times New Roman" w:hAnsi="Times New Roman" w:eastAsia="宋体" w:cs="Times New Roman"/>
                <w:snapToGrid/>
                <w:color w:val="auto"/>
                <w:spacing w:val="0"/>
                <w:kern w:val="0"/>
                <w:position w:val="0"/>
                <w:sz w:val="24"/>
                <w:szCs w:val="24"/>
              </w:rPr>
              <w:fldChar w:fldCharType="begin"/>
            </w:r>
            <w:r>
              <w:rPr>
                <w:rFonts w:hint="default" w:ascii="Times New Roman" w:hAnsi="Times New Roman" w:eastAsia="宋体" w:cs="Times New Roman"/>
                <w:snapToGrid/>
                <w:color w:val="auto"/>
                <w:spacing w:val="0"/>
                <w:kern w:val="0"/>
                <w:position w:val="0"/>
                <w:sz w:val="24"/>
                <w:szCs w:val="24"/>
              </w:rPr>
              <w:instrText xml:space="preserve"> = 7 \* GB3 \* MERGEFORMAT </w:instrText>
            </w:r>
            <w:r>
              <w:rPr>
                <w:rFonts w:hint="default" w:ascii="Times New Roman" w:hAnsi="Times New Roman" w:eastAsia="宋体" w:cs="Times New Roman"/>
                <w:snapToGrid/>
                <w:color w:val="auto"/>
                <w:spacing w:val="0"/>
                <w:kern w:val="0"/>
                <w:position w:val="0"/>
                <w:sz w:val="24"/>
                <w:szCs w:val="24"/>
              </w:rPr>
              <w:fldChar w:fldCharType="separate"/>
            </w:r>
            <w:r>
              <w:rPr>
                <w:rFonts w:hint="default" w:ascii="Times New Roman" w:hAnsi="Times New Roman" w:eastAsia="宋体" w:cs="Times New Roman"/>
                <w:snapToGrid/>
                <w:color w:val="auto"/>
                <w:spacing w:val="0"/>
                <w:kern w:val="0"/>
                <w:position w:val="0"/>
                <w:sz w:val="24"/>
                <w:szCs w:val="24"/>
              </w:rPr>
              <w:t>⑦</w:t>
            </w:r>
            <w:r>
              <w:rPr>
                <w:rFonts w:hint="default" w:ascii="Times New Roman" w:hAnsi="Times New Roman" w:eastAsia="宋体" w:cs="Times New Roman"/>
                <w:snapToGrid/>
                <w:color w:val="auto"/>
                <w:spacing w:val="0"/>
                <w:kern w:val="0"/>
                <w:position w:val="0"/>
                <w:sz w:val="24"/>
                <w:szCs w:val="24"/>
              </w:rPr>
              <w:fldChar w:fldCharType="end"/>
            </w:r>
          </w:p>
        </w:tc>
      </w:tr>
      <w:tr w14:paraId="29000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restart"/>
            <w:vAlign w:val="center"/>
          </w:tcPr>
          <w:p w14:paraId="178E4C3A">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hint="eastAsia" w:ascii="Times New Roman"/>
                <w:color w:val="auto"/>
                <w:sz w:val="24"/>
                <w:szCs w:val="24"/>
              </w:rPr>
              <w:t>废气</w:t>
            </w:r>
          </w:p>
        </w:tc>
        <w:tc>
          <w:tcPr>
            <w:tcW w:w="487" w:type="pct"/>
            <w:vAlign w:val="center"/>
          </w:tcPr>
          <w:p w14:paraId="6B7D023F">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eastAsia" w:ascii="Times New Roman" w:eastAsia="宋体"/>
                <w:color w:val="auto"/>
                <w:sz w:val="24"/>
                <w:szCs w:val="24"/>
                <w:lang w:eastAsia="zh-CN"/>
              </w:rPr>
            </w:pPr>
            <w:r>
              <w:rPr>
                <w:rFonts w:hint="eastAsia" w:ascii="Times New Roman"/>
                <w:color w:val="auto"/>
                <w:sz w:val="24"/>
                <w:szCs w:val="24"/>
                <w:lang w:eastAsia="zh-CN"/>
              </w:rPr>
              <w:t>颗粒物</w:t>
            </w:r>
          </w:p>
        </w:tc>
        <w:tc>
          <w:tcPr>
            <w:tcW w:w="477" w:type="pct"/>
            <w:vAlign w:val="center"/>
          </w:tcPr>
          <w:p w14:paraId="36B7D5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eastAsia="宋体"/>
                <w:color w:val="auto"/>
                <w:sz w:val="24"/>
                <w:szCs w:val="24"/>
                <w:lang w:val="en-US" w:eastAsia="zh-CN"/>
              </w:rPr>
            </w:pPr>
            <w:r>
              <w:rPr>
                <w:rFonts w:hint="eastAsia" w:ascii="Times New Roman"/>
                <w:color w:val="auto"/>
                <w:sz w:val="24"/>
                <w:szCs w:val="24"/>
              </w:rPr>
              <w:t>/</w:t>
            </w:r>
          </w:p>
        </w:tc>
        <w:tc>
          <w:tcPr>
            <w:tcW w:w="640" w:type="pct"/>
            <w:vAlign w:val="center"/>
          </w:tcPr>
          <w:p w14:paraId="04770B94">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ascii="Times New Roman"/>
                <w:color w:val="auto"/>
                <w:sz w:val="24"/>
                <w:szCs w:val="24"/>
              </w:rPr>
            </w:pPr>
            <w:r>
              <w:rPr>
                <w:rFonts w:hint="eastAsia" w:ascii="Times New Roman"/>
                <w:color w:val="auto"/>
                <w:sz w:val="24"/>
                <w:szCs w:val="24"/>
              </w:rPr>
              <w:t>/</w:t>
            </w:r>
          </w:p>
        </w:tc>
        <w:tc>
          <w:tcPr>
            <w:tcW w:w="568" w:type="pct"/>
            <w:vAlign w:val="center"/>
          </w:tcPr>
          <w:p w14:paraId="5D6074AA">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kern w:val="2"/>
                <w:sz w:val="24"/>
                <w:szCs w:val="24"/>
                <w:lang w:val="en-US" w:eastAsia="zh-CN"/>
              </w:rPr>
            </w:pPr>
            <w:r>
              <w:rPr>
                <w:rFonts w:hint="eastAsia" w:ascii="Times New Roman" w:cs="Times New Roman"/>
                <w:color w:val="auto"/>
                <w:kern w:val="2"/>
                <w:sz w:val="24"/>
                <w:szCs w:val="24"/>
                <w:lang w:val="en-US" w:eastAsia="zh-CN"/>
              </w:rPr>
              <w:t>/</w:t>
            </w:r>
          </w:p>
        </w:tc>
        <w:tc>
          <w:tcPr>
            <w:tcW w:w="563" w:type="pct"/>
            <w:vAlign w:val="center"/>
          </w:tcPr>
          <w:p w14:paraId="4CDCAAF3">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sz w:val="24"/>
                <w:szCs w:val="24"/>
                <w:lang w:eastAsia="zh-CN"/>
              </w:rPr>
            </w:pPr>
            <w:r>
              <w:rPr>
                <w:rFonts w:hint="eastAsia" w:ascii="Times New Roman" w:cs="Times New Roman"/>
                <w:color w:val="auto"/>
                <w:kern w:val="2"/>
                <w:sz w:val="24"/>
                <w:szCs w:val="24"/>
                <w:lang w:val="en-US" w:eastAsia="zh-CN"/>
              </w:rPr>
              <w:t>0.515</w:t>
            </w:r>
            <w:r>
              <w:rPr>
                <w:rFonts w:hint="default" w:ascii="Times New Roman" w:hAnsi="Times New Roman" w:cs="Times New Roman"/>
                <w:color w:val="auto"/>
                <w:kern w:val="0"/>
                <w:sz w:val="24"/>
                <w:szCs w:val="24"/>
              </w:rPr>
              <w:t>t/a</w:t>
            </w:r>
          </w:p>
        </w:tc>
        <w:tc>
          <w:tcPr>
            <w:tcW w:w="667" w:type="pct"/>
            <w:vAlign w:val="center"/>
          </w:tcPr>
          <w:p w14:paraId="7A9A66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w:t>
            </w:r>
          </w:p>
        </w:tc>
        <w:tc>
          <w:tcPr>
            <w:tcW w:w="1408" w:type="dxa"/>
            <w:vAlign w:val="center"/>
          </w:tcPr>
          <w:p w14:paraId="133BF3AF">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sz w:val="24"/>
                <w:szCs w:val="24"/>
                <w:lang w:val="en-US" w:eastAsia="zh-CN"/>
              </w:rPr>
            </w:pPr>
            <w:r>
              <w:rPr>
                <w:rFonts w:hint="eastAsia" w:ascii="Times New Roman" w:cs="Times New Roman"/>
                <w:color w:val="auto"/>
                <w:kern w:val="2"/>
                <w:sz w:val="24"/>
                <w:szCs w:val="24"/>
                <w:lang w:val="en-US" w:eastAsia="zh-CN"/>
              </w:rPr>
              <w:t>0.515</w:t>
            </w:r>
            <w:r>
              <w:rPr>
                <w:rFonts w:hint="default" w:ascii="Times New Roman" w:hAnsi="Times New Roman" w:cs="Times New Roman"/>
                <w:color w:val="auto"/>
                <w:kern w:val="0"/>
                <w:sz w:val="24"/>
                <w:szCs w:val="24"/>
              </w:rPr>
              <w:t>t/a</w:t>
            </w:r>
          </w:p>
        </w:tc>
        <w:tc>
          <w:tcPr>
            <w:tcW w:w="1408" w:type="dxa"/>
            <w:vAlign w:val="center"/>
          </w:tcPr>
          <w:p w14:paraId="1DD5C461">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eastAsia" w:cs="Times New Roman"/>
                <w:color w:val="auto"/>
                <w:kern w:val="2"/>
                <w:sz w:val="24"/>
                <w:szCs w:val="24"/>
                <w:lang w:val="en-US" w:eastAsia="zh-CN"/>
              </w:rPr>
            </w:pPr>
            <w:r>
              <w:rPr>
                <w:rFonts w:hint="eastAsia" w:ascii="Times New Roman" w:cs="Times New Roman"/>
                <w:color w:val="auto"/>
                <w:kern w:val="2"/>
                <w:sz w:val="24"/>
                <w:szCs w:val="24"/>
                <w:lang w:val="en-US" w:eastAsia="zh-CN"/>
              </w:rPr>
              <w:t>+0.515</w:t>
            </w:r>
            <w:r>
              <w:rPr>
                <w:rFonts w:hint="default" w:ascii="Times New Roman" w:hAnsi="Times New Roman" w:cs="Times New Roman"/>
                <w:color w:val="auto"/>
                <w:kern w:val="0"/>
                <w:sz w:val="24"/>
                <w:szCs w:val="24"/>
              </w:rPr>
              <w:t>t/a</w:t>
            </w:r>
          </w:p>
        </w:tc>
      </w:tr>
      <w:tr w14:paraId="218D9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continue"/>
            <w:vAlign w:val="center"/>
          </w:tcPr>
          <w:p w14:paraId="75FA0886">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hint="eastAsia" w:ascii="Times New Roman"/>
                <w:color w:val="auto"/>
                <w:sz w:val="24"/>
                <w:szCs w:val="24"/>
              </w:rPr>
            </w:pPr>
          </w:p>
        </w:tc>
        <w:tc>
          <w:tcPr>
            <w:tcW w:w="487" w:type="pct"/>
            <w:vAlign w:val="center"/>
          </w:tcPr>
          <w:p w14:paraId="195175C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color w:val="auto"/>
                <w:sz w:val="24"/>
                <w:szCs w:val="24"/>
                <w:lang w:eastAsia="zh-CN"/>
              </w:rPr>
            </w:pPr>
            <w:r>
              <w:rPr>
                <w:rFonts w:hint="eastAsia"/>
                <w:color w:val="auto"/>
                <w:sz w:val="24"/>
                <w:szCs w:val="24"/>
                <w:vertAlign w:val="baseline"/>
                <w:lang w:val="en-US" w:eastAsia="zh-CN"/>
              </w:rPr>
              <w:t>NH</w:t>
            </w:r>
            <w:r>
              <w:rPr>
                <w:rFonts w:hint="eastAsia"/>
                <w:color w:val="auto"/>
                <w:sz w:val="24"/>
                <w:szCs w:val="24"/>
                <w:vertAlign w:val="subscript"/>
                <w:lang w:val="en-US" w:eastAsia="zh-CN"/>
              </w:rPr>
              <w:t>3</w:t>
            </w:r>
          </w:p>
        </w:tc>
        <w:tc>
          <w:tcPr>
            <w:tcW w:w="477" w:type="pct"/>
            <w:vAlign w:val="center"/>
          </w:tcPr>
          <w:p w14:paraId="76EC98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color w:val="auto"/>
                <w:sz w:val="24"/>
                <w:szCs w:val="24"/>
                <w:lang w:val="en-US" w:eastAsia="zh-CN"/>
              </w:rPr>
            </w:pPr>
            <w:r>
              <w:rPr>
                <w:rFonts w:hint="eastAsia" w:ascii="Times New Roman"/>
                <w:color w:val="auto"/>
                <w:sz w:val="24"/>
                <w:szCs w:val="24"/>
              </w:rPr>
              <w:t>/</w:t>
            </w:r>
          </w:p>
        </w:tc>
        <w:tc>
          <w:tcPr>
            <w:tcW w:w="640" w:type="pct"/>
            <w:vAlign w:val="center"/>
          </w:tcPr>
          <w:p w14:paraId="021C80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color w:val="auto"/>
                <w:sz w:val="24"/>
                <w:szCs w:val="24"/>
              </w:rPr>
            </w:pPr>
            <w:r>
              <w:rPr>
                <w:rFonts w:hint="eastAsia" w:ascii="Times New Roman"/>
                <w:color w:val="auto"/>
                <w:sz w:val="24"/>
                <w:szCs w:val="24"/>
              </w:rPr>
              <w:t>/</w:t>
            </w:r>
          </w:p>
        </w:tc>
        <w:tc>
          <w:tcPr>
            <w:tcW w:w="568" w:type="pct"/>
            <w:vAlign w:val="center"/>
          </w:tcPr>
          <w:p w14:paraId="777C9A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cs="Times New Roman"/>
                <w:color w:val="auto"/>
                <w:kern w:val="2"/>
                <w:sz w:val="24"/>
                <w:szCs w:val="24"/>
                <w:lang w:val="en-US" w:eastAsia="zh-CN"/>
              </w:rPr>
            </w:pPr>
            <w:r>
              <w:rPr>
                <w:rFonts w:hint="eastAsia" w:ascii="Times New Roman"/>
                <w:color w:val="auto"/>
                <w:sz w:val="24"/>
                <w:szCs w:val="24"/>
              </w:rPr>
              <w:t>/</w:t>
            </w:r>
          </w:p>
        </w:tc>
        <w:tc>
          <w:tcPr>
            <w:tcW w:w="563" w:type="pct"/>
            <w:vAlign w:val="center"/>
          </w:tcPr>
          <w:p w14:paraId="08E8FAB9">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cs="Times New Roman"/>
                <w:color w:val="auto"/>
                <w:kern w:val="2"/>
                <w:sz w:val="24"/>
                <w:szCs w:val="24"/>
                <w:lang w:val="en-US" w:eastAsia="zh-CN"/>
              </w:rPr>
            </w:pPr>
            <w:r>
              <w:rPr>
                <w:rFonts w:hint="eastAsia" w:ascii="Times New Roman" w:cs="Times New Roman"/>
                <w:color w:val="auto"/>
                <w:sz w:val="24"/>
                <w:szCs w:val="24"/>
                <w:highlight w:val="none"/>
                <w:lang w:val="en-US" w:eastAsia="zh-CN"/>
              </w:rPr>
              <w:t>0.032</w:t>
            </w:r>
            <w:r>
              <w:rPr>
                <w:rFonts w:hint="default" w:ascii="Times New Roman" w:hAnsi="Times New Roman" w:cs="Times New Roman"/>
                <w:color w:val="auto"/>
                <w:kern w:val="0"/>
                <w:sz w:val="24"/>
                <w:szCs w:val="24"/>
              </w:rPr>
              <w:t>t/a</w:t>
            </w:r>
          </w:p>
        </w:tc>
        <w:tc>
          <w:tcPr>
            <w:tcW w:w="667" w:type="pct"/>
            <w:vAlign w:val="center"/>
          </w:tcPr>
          <w:p w14:paraId="1CF62B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kern w:val="2"/>
                <w:sz w:val="24"/>
                <w:szCs w:val="24"/>
                <w:lang w:val="en-US" w:eastAsia="zh-CN"/>
              </w:rPr>
            </w:pPr>
            <w:r>
              <w:rPr>
                <w:rFonts w:hint="eastAsia" w:cs="Times New Roman"/>
                <w:color w:val="auto"/>
                <w:sz w:val="24"/>
                <w:szCs w:val="24"/>
                <w:lang w:val="en-US" w:eastAsia="zh-CN"/>
              </w:rPr>
              <w:t>0</w:t>
            </w:r>
          </w:p>
        </w:tc>
        <w:tc>
          <w:tcPr>
            <w:tcW w:w="1408" w:type="dxa"/>
            <w:vAlign w:val="center"/>
          </w:tcPr>
          <w:p w14:paraId="71C173A4">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color w:val="auto"/>
                <w:sz w:val="24"/>
                <w:szCs w:val="24"/>
              </w:rPr>
            </w:pPr>
            <w:r>
              <w:rPr>
                <w:rFonts w:hint="eastAsia" w:ascii="Times New Roman" w:cs="Times New Roman"/>
                <w:color w:val="auto"/>
                <w:sz w:val="24"/>
                <w:szCs w:val="24"/>
                <w:highlight w:val="none"/>
                <w:lang w:val="en-US" w:eastAsia="zh-CN"/>
              </w:rPr>
              <w:t>0.032</w:t>
            </w:r>
            <w:r>
              <w:rPr>
                <w:rFonts w:hint="default" w:ascii="Times New Roman" w:hAnsi="Times New Roman" w:cs="Times New Roman"/>
                <w:color w:val="auto"/>
                <w:kern w:val="0"/>
                <w:sz w:val="24"/>
                <w:szCs w:val="24"/>
              </w:rPr>
              <w:t>t/a</w:t>
            </w:r>
          </w:p>
        </w:tc>
        <w:tc>
          <w:tcPr>
            <w:tcW w:w="1408" w:type="dxa"/>
            <w:vAlign w:val="center"/>
          </w:tcPr>
          <w:p w14:paraId="69E9361C">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cs="Times New Roman"/>
                <w:color w:val="auto"/>
                <w:kern w:val="2"/>
                <w:sz w:val="24"/>
                <w:szCs w:val="24"/>
                <w:lang w:val="en-US" w:eastAsia="zh-CN"/>
              </w:rPr>
            </w:pPr>
            <w:r>
              <w:rPr>
                <w:rFonts w:hint="eastAsia" w:ascii="Times New Roman" w:cs="Times New Roman"/>
                <w:color w:val="auto"/>
                <w:kern w:val="2"/>
                <w:sz w:val="24"/>
                <w:szCs w:val="24"/>
                <w:lang w:val="en-US" w:eastAsia="zh-CN"/>
              </w:rPr>
              <w:t>+</w:t>
            </w:r>
            <w:r>
              <w:rPr>
                <w:rFonts w:hint="eastAsia" w:ascii="Times New Roman" w:cs="Times New Roman"/>
                <w:color w:val="auto"/>
                <w:sz w:val="24"/>
                <w:szCs w:val="24"/>
                <w:highlight w:val="none"/>
                <w:lang w:val="en-US" w:eastAsia="zh-CN"/>
              </w:rPr>
              <w:t>0.032</w:t>
            </w:r>
            <w:r>
              <w:rPr>
                <w:rFonts w:hint="default" w:ascii="Times New Roman" w:hAnsi="Times New Roman" w:cs="Times New Roman"/>
                <w:color w:val="auto"/>
                <w:kern w:val="0"/>
                <w:sz w:val="24"/>
                <w:szCs w:val="24"/>
              </w:rPr>
              <w:t>t/a</w:t>
            </w:r>
          </w:p>
        </w:tc>
      </w:tr>
      <w:tr w14:paraId="73CEC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continue"/>
            <w:vAlign w:val="center"/>
          </w:tcPr>
          <w:p w14:paraId="21DC90D9">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hint="eastAsia" w:ascii="Times New Roman"/>
                <w:color w:val="auto"/>
                <w:sz w:val="24"/>
                <w:szCs w:val="24"/>
              </w:rPr>
            </w:pPr>
          </w:p>
        </w:tc>
        <w:tc>
          <w:tcPr>
            <w:tcW w:w="487" w:type="pct"/>
            <w:vAlign w:val="center"/>
          </w:tcPr>
          <w:p w14:paraId="6DD860A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color w:val="auto"/>
                <w:sz w:val="24"/>
                <w:szCs w:val="24"/>
                <w:lang w:eastAsia="zh-CN"/>
              </w:rPr>
            </w:pPr>
            <w:r>
              <w:rPr>
                <w:rFonts w:hint="eastAsia"/>
                <w:color w:val="auto"/>
                <w:sz w:val="24"/>
                <w:szCs w:val="24"/>
                <w:vertAlign w:val="baseline"/>
                <w:lang w:val="en-US" w:eastAsia="zh-CN"/>
              </w:rPr>
              <w:t>H</w:t>
            </w:r>
            <w:r>
              <w:rPr>
                <w:rFonts w:hint="eastAsia"/>
                <w:color w:val="auto"/>
                <w:sz w:val="24"/>
                <w:szCs w:val="24"/>
                <w:vertAlign w:val="subscript"/>
                <w:lang w:val="en-US" w:eastAsia="zh-CN"/>
              </w:rPr>
              <w:t>2</w:t>
            </w:r>
            <w:r>
              <w:rPr>
                <w:rFonts w:hint="eastAsia"/>
                <w:color w:val="auto"/>
                <w:sz w:val="24"/>
                <w:szCs w:val="24"/>
                <w:vertAlign w:val="baseline"/>
                <w:lang w:val="en-US" w:eastAsia="zh-CN"/>
              </w:rPr>
              <w:t>S</w:t>
            </w:r>
          </w:p>
        </w:tc>
        <w:tc>
          <w:tcPr>
            <w:tcW w:w="477" w:type="pct"/>
            <w:vAlign w:val="center"/>
          </w:tcPr>
          <w:p w14:paraId="48D198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color w:val="auto"/>
                <w:sz w:val="24"/>
                <w:szCs w:val="24"/>
                <w:lang w:val="en-US" w:eastAsia="zh-CN"/>
              </w:rPr>
            </w:pPr>
            <w:r>
              <w:rPr>
                <w:rFonts w:hint="eastAsia" w:ascii="Times New Roman"/>
                <w:color w:val="auto"/>
                <w:sz w:val="24"/>
                <w:szCs w:val="24"/>
              </w:rPr>
              <w:t>/</w:t>
            </w:r>
          </w:p>
        </w:tc>
        <w:tc>
          <w:tcPr>
            <w:tcW w:w="640" w:type="pct"/>
            <w:vAlign w:val="center"/>
          </w:tcPr>
          <w:p w14:paraId="5505E5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color w:val="auto"/>
                <w:sz w:val="24"/>
                <w:szCs w:val="24"/>
              </w:rPr>
            </w:pPr>
            <w:r>
              <w:rPr>
                <w:rFonts w:hint="eastAsia" w:ascii="Times New Roman"/>
                <w:color w:val="auto"/>
                <w:sz w:val="24"/>
                <w:szCs w:val="24"/>
              </w:rPr>
              <w:t>/</w:t>
            </w:r>
          </w:p>
        </w:tc>
        <w:tc>
          <w:tcPr>
            <w:tcW w:w="568" w:type="pct"/>
            <w:vAlign w:val="center"/>
          </w:tcPr>
          <w:p w14:paraId="060E59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cs="Times New Roman"/>
                <w:color w:val="auto"/>
                <w:kern w:val="2"/>
                <w:sz w:val="24"/>
                <w:szCs w:val="24"/>
                <w:lang w:val="en-US" w:eastAsia="zh-CN"/>
              </w:rPr>
            </w:pPr>
            <w:r>
              <w:rPr>
                <w:rFonts w:hint="eastAsia" w:ascii="Times New Roman"/>
                <w:color w:val="auto"/>
                <w:sz w:val="24"/>
                <w:szCs w:val="24"/>
              </w:rPr>
              <w:t>/</w:t>
            </w:r>
          </w:p>
        </w:tc>
        <w:tc>
          <w:tcPr>
            <w:tcW w:w="563" w:type="pct"/>
            <w:vAlign w:val="center"/>
          </w:tcPr>
          <w:p w14:paraId="2EFD6EEA">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cs="Times New Roman"/>
                <w:color w:val="auto"/>
                <w:kern w:val="2"/>
                <w:sz w:val="24"/>
                <w:szCs w:val="24"/>
                <w:lang w:val="en-US" w:eastAsia="zh-CN"/>
              </w:rPr>
            </w:pPr>
            <w:r>
              <w:rPr>
                <w:rFonts w:hint="eastAsia" w:ascii="Times New Roman" w:cs="Times New Roman"/>
                <w:color w:val="auto"/>
                <w:sz w:val="24"/>
                <w:szCs w:val="24"/>
                <w:highlight w:val="none"/>
                <w:lang w:val="en-US" w:eastAsia="zh-CN"/>
              </w:rPr>
              <w:t>0.007</w:t>
            </w:r>
            <w:r>
              <w:rPr>
                <w:rFonts w:hint="default" w:ascii="Times New Roman" w:hAnsi="Times New Roman" w:cs="Times New Roman"/>
                <w:color w:val="auto"/>
                <w:kern w:val="0"/>
                <w:sz w:val="24"/>
                <w:szCs w:val="24"/>
              </w:rPr>
              <w:t>t/a</w:t>
            </w:r>
          </w:p>
        </w:tc>
        <w:tc>
          <w:tcPr>
            <w:tcW w:w="667" w:type="pct"/>
            <w:vAlign w:val="center"/>
          </w:tcPr>
          <w:p w14:paraId="329D79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kern w:val="2"/>
                <w:sz w:val="24"/>
                <w:szCs w:val="24"/>
                <w:lang w:val="en-US" w:eastAsia="zh-CN"/>
              </w:rPr>
            </w:pPr>
            <w:r>
              <w:rPr>
                <w:rFonts w:hint="eastAsia" w:cs="Times New Roman"/>
                <w:color w:val="auto"/>
                <w:sz w:val="24"/>
                <w:szCs w:val="24"/>
                <w:lang w:val="en-US" w:eastAsia="zh-CN"/>
              </w:rPr>
              <w:t>0</w:t>
            </w:r>
          </w:p>
        </w:tc>
        <w:tc>
          <w:tcPr>
            <w:tcW w:w="1408" w:type="dxa"/>
            <w:vAlign w:val="center"/>
          </w:tcPr>
          <w:p w14:paraId="20CCAF21">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color w:val="auto"/>
                <w:sz w:val="24"/>
                <w:szCs w:val="24"/>
              </w:rPr>
            </w:pPr>
            <w:r>
              <w:rPr>
                <w:rFonts w:hint="eastAsia" w:ascii="Times New Roman" w:cs="Times New Roman"/>
                <w:color w:val="auto"/>
                <w:sz w:val="24"/>
                <w:szCs w:val="24"/>
                <w:highlight w:val="none"/>
                <w:lang w:val="en-US" w:eastAsia="zh-CN"/>
              </w:rPr>
              <w:t>0.007</w:t>
            </w:r>
            <w:r>
              <w:rPr>
                <w:rFonts w:hint="default" w:ascii="Times New Roman" w:hAnsi="Times New Roman" w:cs="Times New Roman"/>
                <w:color w:val="auto"/>
                <w:kern w:val="0"/>
                <w:sz w:val="24"/>
                <w:szCs w:val="24"/>
              </w:rPr>
              <w:t>t/a</w:t>
            </w:r>
          </w:p>
        </w:tc>
        <w:tc>
          <w:tcPr>
            <w:tcW w:w="1408" w:type="dxa"/>
            <w:vAlign w:val="center"/>
          </w:tcPr>
          <w:p w14:paraId="5E0F7A4F">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cs="Times New Roman"/>
                <w:color w:val="auto"/>
                <w:kern w:val="2"/>
                <w:sz w:val="24"/>
                <w:szCs w:val="24"/>
                <w:lang w:val="en-US" w:eastAsia="zh-CN"/>
              </w:rPr>
            </w:pPr>
            <w:r>
              <w:rPr>
                <w:rFonts w:hint="eastAsia" w:ascii="Times New Roman" w:cs="Times New Roman"/>
                <w:color w:val="auto"/>
                <w:kern w:val="2"/>
                <w:sz w:val="24"/>
                <w:szCs w:val="24"/>
                <w:lang w:val="en-US" w:eastAsia="zh-CN"/>
              </w:rPr>
              <w:t>+</w:t>
            </w:r>
            <w:r>
              <w:rPr>
                <w:rFonts w:hint="eastAsia" w:ascii="Times New Roman" w:cs="Times New Roman"/>
                <w:color w:val="auto"/>
                <w:sz w:val="24"/>
                <w:szCs w:val="24"/>
                <w:highlight w:val="none"/>
                <w:lang w:val="en-US" w:eastAsia="zh-CN"/>
              </w:rPr>
              <w:t>0.007</w:t>
            </w:r>
            <w:r>
              <w:rPr>
                <w:rFonts w:hint="default" w:ascii="Times New Roman" w:hAnsi="Times New Roman" w:cs="Times New Roman"/>
                <w:color w:val="auto"/>
                <w:kern w:val="0"/>
                <w:sz w:val="24"/>
                <w:szCs w:val="24"/>
              </w:rPr>
              <w:t>t/a</w:t>
            </w:r>
          </w:p>
        </w:tc>
      </w:tr>
      <w:tr w14:paraId="669FC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restart"/>
            <w:vAlign w:val="center"/>
          </w:tcPr>
          <w:p w14:paraId="12A1CAE1">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ascii="Times New Roman"/>
                <w:color w:val="auto"/>
                <w:sz w:val="24"/>
                <w:szCs w:val="24"/>
              </w:rPr>
              <w:t>废水</w:t>
            </w:r>
          </w:p>
        </w:tc>
        <w:tc>
          <w:tcPr>
            <w:tcW w:w="487" w:type="pct"/>
            <w:vAlign w:val="center"/>
          </w:tcPr>
          <w:p w14:paraId="47C082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kern w:val="0"/>
                <w:sz w:val="24"/>
                <w:szCs w:val="24"/>
              </w:rPr>
            </w:pPr>
            <w:r>
              <w:rPr>
                <w:rFonts w:hint="eastAsia"/>
                <w:color w:val="auto"/>
                <w:kern w:val="0"/>
                <w:sz w:val="24"/>
                <w:szCs w:val="24"/>
              </w:rPr>
              <w:t>COD</w:t>
            </w:r>
          </w:p>
        </w:tc>
        <w:tc>
          <w:tcPr>
            <w:tcW w:w="477" w:type="pct"/>
            <w:vAlign w:val="center"/>
          </w:tcPr>
          <w:p w14:paraId="0EE694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kern w:val="0"/>
                <w:sz w:val="24"/>
                <w:szCs w:val="24"/>
              </w:rPr>
            </w:pPr>
            <w:r>
              <w:rPr>
                <w:rFonts w:hint="eastAsia" w:ascii="Times New Roman"/>
                <w:color w:val="auto"/>
                <w:sz w:val="24"/>
                <w:szCs w:val="24"/>
              </w:rPr>
              <w:t>/</w:t>
            </w:r>
          </w:p>
        </w:tc>
        <w:tc>
          <w:tcPr>
            <w:tcW w:w="640" w:type="pct"/>
            <w:vAlign w:val="center"/>
          </w:tcPr>
          <w:p w14:paraId="18865ADD">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ascii="Times New Roman"/>
                <w:color w:val="auto"/>
                <w:sz w:val="24"/>
                <w:szCs w:val="24"/>
              </w:rPr>
            </w:pPr>
            <w:r>
              <w:rPr>
                <w:rFonts w:hint="eastAsia" w:ascii="Times New Roman"/>
                <w:color w:val="auto"/>
                <w:sz w:val="24"/>
                <w:szCs w:val="24"/>
              </w:rPr>
              <w:t>/</w:t>
            </w:r>
          </w:p>
        </w:tc>
        <w:tc>
          <w:tcPr>
            <w:tcW w:w="568" w:type="pct"/>
            <w:vAlign w:val="center"/>
          </w:tcPr>
          <w:p w14:paraId="582A85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sz w:val="24"/>
                <w:szCs w:val="24"/>
                <w:lang w:val="en-US" w:eastAsia="zh-CN"/>
              </w:rPr>
            </w:pPr>
            <w:r>
              <w:rPr>
                <w:rFonts w:hint="eastAsia"/>
                <w:color w:val="auto"/>
                <w:sz w:val="24"/>
                <w:szCs w:val="24"/>
                <w:lang w:val="en-US" w:eastAsia="zh-CN"/>
              </w:rPr>
              <w:t>/</w:t>
            </w:r>
          </w:p>
        </w:tc>
        <w:tc>
          <w:tcPr>
            <w:tcW w:w="563" w:type="pct"/>
            <w:vAlign w:val="center"/>
          </w:tcPr>
          <w:p w14:paraId="0F22A3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color w:val="auto"/>
                <w:sz w:val="24"/>
                <w:szCs w:val="24"/>
              </w:rPr>
            </w:pPr>
            <w:r>
              <w:rPr>
                <w:rFonts w:hint="eastAsia"/>
                <w:color w:val="auto"/>
                <w:sz w:val="24"/>
                <w:szCs w:val="24"/>
                <w:lang w:val="en-US" w:eastAsia="zh-CN"/>
              </w:rPr>
              <w:t>/</w:t>
            </w:r>
          </w:p>
        </w:tc>
        <w:tc>
          <w:tcPr>
            <w:tcW w:w="667" w:type="pct"/>
            <w:vAlign w:val="center"/>
          </w:tcPr>
          <w:p w14:paraId="025D34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02" w:type="pct"/>
            <w:vAlign w:val="center"/>
          </w:tcPr>
          <w:p w14:paraId="6D26E3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02" w:type="pct"/>
            <w:vAlign w:val="center"/>
          </w:tcPr>
          <w:p w14:paraId="0F21DC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kern w:val="0"/>
                <w:sz w:val="24"/>
                <w:szCs w:val="24"/>
                <w:lang w:val="en-US" w:eastAsia="zh-CN"/>
              </w:rPr>
            </w:pPr>
            <w:r>
              <w:rPr>
                <w:rFonts w:hint="eastAsia"/>
                <w:color w:val="auto"/>
                <w:kern w:val="0"/>
                <w:sz w:val="24"/>
                <w:szCs w:val="24"/>
                <w:lang w:val="en-US" w:eastAsia="zh-CN"/>
              </w:rPr>
              <w:t>/</w:t>
            </w:r>
          </w:p>
        </w:tc>
      </w:tr>
      <w:tr w14:paraId="52ACF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continue"/>
            <w:vAlign w:val="center"/>
          </w:tcPr>
          <w:p w14:paraId="61DC8A5F">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p>
        </w:tc>
        <w:tc>
          <w:tcPr>
            <w:tcW w:w="487" w:type="pct"/>
            <w:vAlign w:val="center"/>
          </w:tcPr>
          <w:p w14:paraId="343DDF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kern w:val="0"/>
                <w:sz w:val="24"/>
                <w:szCs w:val="24"/>
              </w:rPr>
            </w:pPr>
            <w:r>
              <w:rPr>
                <w:color w:val="auto"/>
                <w:kern w:val="0"/>
                <w:sz w:val="24"/>
                <w:szCs w:val="24"/>
              </w:rPr>
              <w:t>NH</w:t>
            </w:r>
            <w:r>
              <w:rPr>
                <w:color w:val="auto"/>
                <w:kern w:val="0"/>
                <w:sz w:val="24"/>
                <w:szCs w:val="24"/>
                <w:vertAlign w:val="subscript"/>
              </w:rPr>
              <w:t>3</w:t>
            </w:r>
            <w:r>
              <w:rPr>
                <w:color w:val="auto"/>
                <w:kern w:val="0"/>
                <w:sz w:val="24"/>
                <w:szCs w:val="24"/>
              </w:rPr>
              <w:t>-N</w:t>
            </w:r>
          </w:p>
        </w:tc>
        <w:tc>
          <w:tcPr>
            <w:tcW w:w="477" w:type="pct"/>
            <w:vAlign w:val="center"/>
          </w:tcPr>
          <w:p w14:paraId="56225C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kern w:val="0"/>
                <w:sz w:val="24"/>
                <w:szCs w:val="24"/>
              </w:rPr>
            </w:pPr>
            <w:r>
              <w:rPr>
                <w:rFonts w:hint="eastAsia" w:ascii="Times New Roman"/>
                <w:color w:val="auto"/>
                <w:sz w:val="24"/>
                <w:szCs w:val="24"/>
              </w:rPr>
              <w:t>/</w:t>
            </w:r>
          </w:p>
        </w:tc>
        <w:tc>
          <w:tcPr>
            <w:tcW w:w="640" w:type="pct"/>
            <w:vAlign w:val="center"/>
          </w:tcPr>
          <w:p w14:paraId="0A74A1B0">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ascii="Times New Roman"/>
                <w:color w:val="auto"/>
                <w:sz w:val="24"/>
                <w:szCs w:val="24"/>
              </w:rPr>
            </w:pPr>
            <w:r>
              <w:rPr>
                <w:rFonts w:hint="eastAsia" w:ascii="Times New Roman"/>
                <w:color w:val="auto"/>
                <w:sz w:val="24"/>
                <w:szCs w:val="24"/>
              </w:rPr>
              <w:t>/</w:t>
            </w:r>
          </w:p>
        </w:tc>
        <w:tc>
          <w:tcPr>
            <w:tcW w:w="568" w:type="pct"/>
            <w:vAlign w:val="center"/>
          </w:tcPr>
          <w:p w14:paraId="5D5BC4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sz w:val="24"/>
                <w:szCs w:val="24"/>
                <w:lang w:val="en-US" w:eastAsia="zh-CN"/>
              </w:rPr>
            </w:pPr>
            <w:r>
              <w:rPr>
                <w:rFonts w:hint="eastAsia"/>
                <w:color w:val="auto"/>
                <w:sz w:val="24"/>
                <w:szCs w:val="24"/>
                <w:lang w:val="en-US" w:eastAsia="zh-CN"/>
              </w:rPr>
              <w:t>/</w:t>
            </w:r>
          </w:p>
        </w:tc>
        <w:tc>
          <w:tcPr>
            <w:tcW w:w="563" w:type="pct"/>
            <w:vAlign w:val="center"/>
          </w:tcPr>
          <w:p w14:paraId="4A6FE9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color w:val="auto"/>
                <w:sz w:val="24"/>
                <w:szCs w:val="24"/>
              </w:rPr>
            </w:pPr>
            <w:r>
              <w:rPr>
                <w:rFonts w:hint="eastAsia"/>
                <w:color w:val="auto"/>
                <w:sz w:val="24"/>
                <w:szCs w:val="24"/>
                <w:lang w:val="en-US" w:eastAsia="zh-CN"/>
              </w:rPr>
              <w:t>/</w:t>
            </w:r>
          </w:p>
        </w:tc>
        <w:tc>
          <w:tcPr>
            <w:tcW w:w="667" w:type="pct"/>
            <w:vAlign w:val="center"/>
          </w:tcPr>
          <w:p w14:paraId="5E3BA8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02" w:type="pct"/>
            <w:vAlign w:val="center"/>
          </w:tcPr>
          <w:p w14:paraId="1F2730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02" w:type="pct"/>
            <w:vAlign w:val="center"/>
          </w:tcPr>
          <w:p w14:paraId="755544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kern w:val="0"/>
                <w:sz w:val="24"/>
                <w:szCs w:val="24"/>
                <w:lang w:val="en-US" w:eastAsia="zh-CN"/>
              </w:rPr>
            </w:pPr>
            <w:r>
              <w:rPr>
                <w:rFonts w:hint="eastAsia"/>
                <w:color w:val="auto"/>
                <w:kern w:val="0"/>
                <w:sz w:val="24"/>
                <w:szCs w:val="24"/>
                <w:lang w:val="en-US" w:eastAsia="zh-CN"/>
              </w:rPr>
              <w:t>/</w:t>
            </w:r>
          </w:p>
        </w:tc>
      </w:tr>
      <w:tr w14:paraId="515A4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restart"/>
            <w:vAlign w:val="center"/>
          </w:tcPr>
          <w:p w14:paraId="5782121C">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ascii="Times New Roman"/>
                <w:color w:val="auto"/>
                <w:sz w:val="24"/>
                <w:szCs w:val="24"/>
              </w:rPr>
              <w:t>一般工业</w:t>
            </w:r>
          </w:p>
          <w:p w14:paraId="67033C0F">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ascii="Times New Roman"/>
                <w:color w:val="auto"/>
                <w:sz w:val="24"/>
                <w:szCs w:val="24"/>
              </w:rPr>
              <w:t>固体废物</w:t>
            </w:r>
          </w:p>
        </w:tc>
        <w:tc>
          <w:tcPr>
            <w:tcW w:w="487" w:type="pct"/>
            <w:vAlign w:val="center"/>
          </w:tcPr>
          <w:p w14:paraId="6013F2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kern w:val="0"/>
                <w:sz w:val="24"/>
                <w:szCs w:val="24"/>
              </w:rPr>
            </w:pPr>
            <w:r>
              <w:rPr>
                <w:color w:val="auto"/>
                <w:kern w:val="0"/>
                <w:sz w:val="24"/>
                <w:szCs w:val="24"/>
              </w:rPr>
              <w:t>生活垃圾</w:t>
            </w:r>
          </w:p>
        </w:tc>
        <w:tc>
          <w:tcPr>
            <w:tcW w:w="477" w:type="pct"/>
            <w:vAlign w:val="center"/>
          </w:tcPr>
          <w:p w14:paraId="5F32DA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kern w:val="0"/>
                <w:sz w:val="24"/>
                <w:szCs w:val="24"/>
              </w:rPr>
            </w:pPr>
            <w:r>
              <w:rPr>
                <w:rFonts w:hint="eastAsia" w:ascii="Times New Roman"/>
                <w:color w:val="auto"/>
                <w:sz w:val="24"/>
                <w:szCs w:val="24"/>
              </w:rPr>
              <w:t>/</w:t>
            </w:r>
          </w:p>
        </w:tc>
        <w:tc>
          <w:tcPr>
            <w:tcW w:w="640" w:type="pct"/>
            <w:vAlign w:val="center"/>
          </w:tcPr>
          <w:p w14:paraId="6AFCF9E0">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ascii="Times New Roman"/>
                <w:color w:val="auto"/>
                <w:sz w:val="24"/>
                <w:szCs w:val="24"/>
              </w:rPr>
            </w:pPr>
            <w:r>
              <w:rPr>
                <w:rFonts w:hint="eastAsia" w:ascii="Times New Roman"/>
                <w:color w:val="auto"/>
                <w:sz w:val="24"/>
                <w:szCs w:val="24"/>
              </w:rPr>
              <w:t>/</w:t>
            </w:r>
          </w:p>
        </w:tc>
        <w:tc>
          <w:tcPr>
            <w:tcW w:w="568" w:type="pct"/>
            <w:vAlign w:val="center"/>
          </w:tcPr>
          <w:p w14:paraId="7AA24B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snapToGrid w:val="0"/>
                <w:color w:val="auto"/>
                <w:kern w:val="21"/>
                <w:sz w:val="24"/>
                <w:szCs w:val="24"/>
                <w:lang w:val="en-US" w:eastAsia="zh-CN"/>
              </w:rPr>
            </w:pPr>
            <w:r>
              <w:rPr>
                <w:rFonts w:hint="eastAsia"/>
                <w:snapToGrid w:val="0"/>
                <w:color w:val="auto"/>
                <w:kern w:val="21"/>
                <w:sz w:val="24"/>
                <w:szCs w:val="24"/>
                <w:lang w:val="en-US" w:eastAsia="zh-CN"/>
              </w:rPr>
              <w:t>/</w:t>
            </w:r>
          </w:p>
        </w:tc>
        <w:tc>
          <w:tcPr>
            <w:tcW w:w="563" w:type="pct"/>
            <w:vAlign w:val="center"/>
          </w:tcPr>
          <w:p w14:paraId="1279E6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eastAsia="宋体"/>
                <w:color w:val="auto"/>
                <w:sz w:val="24"/>
                <w:szCs w:val="24"/>
                <w:lang w:eastAsia="zh-CN"/>
              </w:rPr>
            </w:pPr>
            <w:r>
              <w:rPr>
                <w:rFonts w:hint="eastAsia"/>
                <w:color w:val="auto"/>
                <w:kern w:val="0"/>
                <w:sz w:val="24"/>
                <w:szCs w:val="24"/>
                <w:lang w:val="en-US" w:eastAsia="zh-CN"/>
              </w:rPr>
              <w:t>1.5</w:t>
            </w:r>
            <w:r>
              <w:rPr>
                <w:rFonts w:hint="default" w:ascii="Times New Roman" w:hAnsi="Times New Roman" w:cs="Times New Roman"/>
                <w:color w:val="auto"/>
                <w:kern w:val="0"/>
                <w:sz w:val="24"/>
                <w:szCs w:val="24"/>
              </w:rPr>
              <w:t>t/a</w:t>
            </w:r>
          </w:p>
        </w:tc>
        <w:tc>
          <w:tcPr>
            <w:tcW w:w="667" w:type="pct"/>
            <w:vAlign w:val="center"/>
          </w:tcPr>
          <w:p w14:paraId="21023A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snapToGrid w:val="0"/>
                <w:color w:val="auto"/>
                <w:kern w:val="21"/>
                <w:sz w:val="24"/>
                <w:szCs w:val="24"/>
              </w:rPr>
            </w:pPr>
            <w:r>
              <w:rPr>
                <w:rFonts w:hint="eastAsia"/>
                <w:color w:val="auto"/>
                <w:kern w:val="0"/>
                <w:sz w:val="24"/>
                <w:szCs w:val="24"/>
                <w:lang w:val="en-US" w:eastAsia="zh-CN"/>
              </w:rPr>
              <w:t>0</w:t>
            </w:r>
          </w:p>
        </w:tc>
        <w:tc>
          <w:tcPr>
            <w:tcW w:w="1408" w:type="dxa"/>
            <w:shd w:val="clear" w:color="auto" w:fill="auto"/>
            <w:vAlign w:val="center"/>
          </w:tcPr>
          <w:p w14:paraId="2F70E6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snapToGrid w:val="0"/>
                <w:color w:val="auto"/>
                <w:kern w:val="21"/>
                <w:sz w:val="24"/>
                <w:szCs w:val="24"/>
                <w:lang w:val="en-US" w:eastAsia="zh-CN" w:bidi="ar-SA"/>
              </w:rPr>
            </w:pPr>
            <w:r>
              <w:rPr>
                <w:rFonts w:hint="eastAsia"/>
                <w:color w:val="auto"/>
                <w:kern w:val="0"/>
                <w:sz w:val="24"/>
                <w:szCs w:val="24"/>
                <w:lang w:val="en-US" w:eastAsia="zh-CN"/>
              </w:rPr>
              <w:t>1.5</w:t>
            </w:r>
            <w:r>
              <w:rPr>
                <w:rFonts w:hint="default" w:ascii="Times New Roman" w:hAnsi="Times New Roman" w:cs="Times New Roman"/>
                <w:color w:val="auto"/>
                <w:kern w:val="0"/>
                <w:sz w:val="24"/>
                <w:szCs w:val="24"/>
              </w:rPr>
              <w:t>t/a</w:t>
            </w:r>
          </w:p>
        </w:tc>
        <w:tc>
          <w:tcPr>
            <w:tcW w:w="1408" w:type="dxa"/>
            <w:shd w:val="clear" w:color="auto" w:fill="auto"/>
            <w:vAlign w:val="center"/>
          </w:tcPr>
          <w:p w14:paraId="25ABD7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cs="Times New Roman"/>
                <w:color w:val="auto"/>
                <w:kern w:val="2"/>
                <w:sz w:val="24"/>
                <w:szCs w:val="24"/>
                <w:lang w:val="en-US" w:eastAsia="zh-CN"/>
              </w:rPr>
              <w:t>+</w:t>
            </w:r>
            <w:r>
              <w:rPr>
                <w:rFonts w:hint="eastAsia"/>
                <w:color w:val="auto"/>
                <w:kern w:val="0"/>
                <w:sz w:val="24"/>
                <w:szCs w:val="24"/>
                <w:lang w:val="en-US" w:eastAsia="zh-CN"/>
              </w:rPr>
              <w:t>1.5</w:t>
            </w:r>
            <w:r>
              <w:rPr>
                <w:rFonts w:hint="default" w:ascii="Times New Roman" w:hAnsi="Times New Roman" w:cs="Times New Roman"/>
                <w:color w:val="auto"/>
                <w:kern w:val="0"/>
                <w:sz w:val="24"/>
                <w:szCs w:val="24"/>
              </w:rPr>
              <w:t>t/a</w:t>
            </w:r>
          </w:p>
        </w:tc>
      </w:tr>
      <w:tr w14:paraId="59864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continue"/>
            <w:vAlign w:val="center"/>
          </w:tcPr>
          <w:p w14:paraId="68B3317D">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p>
        </w:tc>
        <w:tc>
          <w:tcPr>
            <w:tcW w:w="487" w:type="pct"/>
            <w:vAlign w:val="center"/>
          </w:tcPr>
          <w:p w14:paraId="427256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kern w:val="0"/>
                <w:sz w:val="24"/>
                <w:szCs w:val="24"/>
                <w:lang w:eastAsia="zh-CN"/>
              </w:rPr>
            </w:pPr>
            <w:r>
              <w:rPr>
                <w:color w:val="auto"/>
                <w:kern w:val="0"/>
                <w:sz w:val="24"/>
                <w:szCs w:val="24"/>
              </w:rPr>
              <w:t>除尘器收集</w:t>
            </w:r>
            <w:r>
              <w:rPr>
                <w:rFonts w:hint="eastAsia"/>
                <w:color w:val="auto"/>
                <w:kern w:val="0"/>
                <w:sz w:val="24"/>
                <w:szCs w:val="24"/>
                <w:lang w:eastAsia="zh-CN"/>
              </w:rPr>
              <w:t>颗粒物</w:t>
            </w:r>
          </w:p>
        </w:tc>
        <w:tc>
          <w:tcPr>
            <w:tcW w:w="477" w:type="pct"/>
            <w:vAlign w:val="center"/>
          </w:tcPr>
          <w:p w14:paraId="71D64C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kern w:val="0"/>
                <w:sz w:val="24"/>
                <w:szCs w:val="24"/>
                <w:lang w:val="en-US" w:eastAsia="zh-CN"/>
              </w:rPr>
            </w:pPr>
            <w:r>
              <w:rPr>
                <w:rFonts w:hint="eastAsia" w:ascii="Times New Roman"/>
                <w:color w:val="auto"/>
                <w:sz w:val="24"/>
                <w:szCs w:val="24"/>
              </w:rPr>
              <w:t>/</w:t>
            </w:r>
          </w:p>
        </w:tc>
        <w:tc>
          <w:tcPr>
            <w:tcW w:w="640" w:type="pct"/>
            <w:vAlign w:val="center"/>
          </w:tcPr>
          <w:p w14:paraId="00717937">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eastAsia" w:ascii="Times New Roman" w:eastAsia="宋体"/>
                <w:color w:val="auto"/>
                <w:sz w:val="24"/>
                <w:szCs w:val="24"/>
                <w:lang w:val="en-US" w:eastAsia="zh-CN"/>
              </w:rPr>
            </w:pPr>
            <w:r>
              <w:rPr>
                <w:rFonts w:hint="eastAsia" w:ascii="Times New Roman"/>
                <w:color w:val="auto"/>
                <w:sz w:val="24"/>
                <w:szCs w:val="24"/>
                <w:lang w:val="en-US" w:eastAsia="zh-CN"/>
              </w:rPr>
              <w:t>/</w:t>
            </w:r>
          </w:p>
        </w:tc>
        <w:tc>
          <w:tcPr>
            <w:tcW w:w="568" w:type="pct"/>
            <w:vAlign w:val="center"/>
          </w:tcPr>
          <w:p w14:paraId="178F05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63" w:type="pct"/>
            <w:vAlign w:val="center"/>
          </w:tcPr>
          <w:p w14:paraId="16ED08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eastAsia="宋体"/>
                <w:color w:val="auto"/>
                <w:sz w:val="24"/>
                <w:szCs w:val="24"/>
                <w:lang w:val="en-US" w:eastAsia="zh-CN"/>
              </w:rPr>
            </w:pPr>
            <w:r>
              <w:rPr>
                <w:rFonts w:hint="default" w:ascii="Times New Roman" w:hAnsi="Times New Roman" w:cs="Times New Roman"/>
                <w:color w:val="auto"/>
                <w:kern w:val="0"/>
                <w:sz w:val="24"/>
                <w:szCs w:val="24"/>
              </w:rPr>
              <w:t>13.65t/a</w:t>
            </w:r>
          </w:p>
        </w:tc>
        <w:tc>
          <w:tcPr>
            <w:tcW w:w="667" w:type="pct"/>
            <w:vAlign w:val="center"/>
          </w:tcPr>
          <w:p w14:paraId="08FF6A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kern w:val="0"/>
                <w:sz w:val="24"/>
                <w:szCs w:val="24"/>
              </w:rPr>
            </w:pPr>
            <w:r>
              <w:rPr>
                <w:rFonts w:hint="eastAsia" w:cs="Times New Roman"/>
                <w:color w:val="auto"/>
                <w:kern w:val="0"/>
                <w:sz w:val="24"/>
                <w:szCs w:val="24"/>
                <w:lang w:val="en-US" w:eastAsia="zh-CN"/>
              </w:rPr>
              <w:t>0</w:t>
            </w:r>
          </w:p>
        </w:tc>
        <w:tc>
          <w:tcPr>
            <w:tcW w:w="1408" w:type="dxa"/>
            <w:shd w:val="clear" w:color="auto" w:fill="auto"/>
            <w:vAlign w:val="center"/>
          </w:tcPr>
          <w:p w14:paraId="60E2EE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rPr>
              <w:t>13.65t/a</w:t>
            </w:r>
          </w:p>
        </w:tc>
        <w:tc>
          <w:tcPr>
            <w:tcW w:w="1408" w:type="dxa"/>
            <w:shd w:val="clear" w:color="auto" w:fill="auto"/>
            <w:vAlign w:val="center"/>
          </w:tcPr>
          <w:p w14:paraId="302A8B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cs="Times New Roman"/>
                <w:color w:val="auto"/>
                <w:kern w:val="2"/>
                <w:sz w:val="24"/>
                <w:szCs w:val="24"/>
                <w:lang w:val="en-US" w:eastAsia="zh-CN"/>
              </w:rPr>
              <w:t>+</w:t>
            </w:r>
            <w:r>
              <w:rPr>
                <w:rFonts w:hint="default" w:ascii="Times New Roman" w:hAnsi="Times New Roman" w:cs="Times New Roman"/>
                <w:color w:val="auto"/>
                <w:kern w:val="0"/>
                <w:sz w:val="24"/>
                <w:szCs w:val="24"/>
              </w:rPr>
              <w:t>13.65t/a</w:t>
            </w:r>
          </w:p>
        </w:tc>
      </w:tr>
      <w:tr w14:paraId="4834F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continue"/>
            <w:vAlign w:val="center"/>
          </w:tcPr>
          <w:p w14:paraId="3AFC0244">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p>
        </w:tc>
        <w:tc>
          <w:tcPr>
            <w:tcW w:w="487" w:type="pct"/>
            <w:vAlign w:val="center"/>
          </w:tcPr>
          <w:p w14:paraId="124887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kern w:val="0"/>
                <w:sz w:val="24"/>
                <w:szCs w:val="24"/>
                <w:lang w:eastAsia="zh-CN"/>
              </w:rPr>
            </w:pPr>
            <w:r>
              <w:rPr>
                <w:rFonts w:hint="eastAsia"/>
                <w:color w:val="auto"/>
                <w:kern w:val="0"/>
                <w:sz w:val="24"/>
                <w:szCs w:val="24"/>
                <w:lang w:eastAsia="zh-CN"/>
              </w:rPr>
              <w:t>废包装袋</w:t>
            </w:r>
          </w:p>
        </w:tc>
        <w:tc>
          <w:tcPr>
            <w:tcW w:w="477" w:type="pct"/>
            <w:vAlign w:val="center"/>
          </w:tcPr>
          <w:p w14:paraId="1B9E84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color w:val="auto"/>
                <w:sz w:val="24"/>
                <w:szCs w:val="24"/>
              </w:rPr>
            </w:pPr>
            <w:r>
              <w:rPr>
                <w:rFonts w:hint="eastAsia" w:ascii="Times New Roman"/>
                <w:color w:val="auto"/>
                <w:sz w:val="24"/>
                <w:szCs w:val="24"/>
                <w:lang w:val="en-US" w:eastAsia="zh-CN"/>
              </w:rPr>
              <w:t>/</w:t>
            </w:r>
          </w:p>
        </w:tc>
        <w:tc>
          <w:tcPr>
            <w:tcW w:w="640" w:type="pct"/>
            <w:vAlign w:val="center"/>
          </w:tcPr>
          <w:p w14:paraId="7041D9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color w:val="auto"/>
                <w:sz w:val="24"/>
                <w:szCs w:val="24"/>
                <w:lang w:val="en-US" w:eastAsia="zh-CN"/>
              </w:rPr>
            </w:pPr>
            <w:r>
              <w:rPr>
                <w:rFonts w:hint="eastAsia" w:ascii="Times New Roman"/>
                <w:color w:val="auto"/>
                <w:sz w:val="24"/>
                <w:szCs w:val="24"/>
                <w:lang w:val="en-US" w:eastAsia="zh-CN"/>
              </w:rPr>
              <w:t>/</w:t>
            </w:r>
          </w:p>
        </w:tc>
        <w:tc>
          <w:tcPr>
            <w:tcW w:w="568" w:type="pct"/>
            <w:vAlign w:val="center"/>
          </w:tcPr>
          <w:p w14:paraId="348A0F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kern w:val="0"/>
                <w:sz w:val="24"/>
                <w:szCs w:val="24"/>
                <w:lang w:val="en-US" w:eastAsia="zh-CN"/>
              </w:rPr>
            </w:pPr>
            <w:r>
              <w:rPr>
                <w:rFonts w:hint="eastAsia" w:ascii="Times New Roman"/>
                <w:color w:val="auto"/>
                <w:sz w:val="24"/>
                <w:szCs w:val="24"/>
                <w:lang w:val="en-US" w:eastAsia="zh-CN"/>
              </w:rPr>
              <w:t>/</w:t>
            </w:r>
          </w:p>
        </w:tc>
        <w:tc>
          <w:tcPr>
            <w:tcW w:w="563" w:type="pct"/>
            <w:vAlign w:val="center"/>
          </w:tcPr>
          <w:p w14:paraId="504550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kern w:val="0"/>
                <w:sz w:val="24"/>
                <w:szCs w:val="24"/>
                <w:lang w:val="en-US" w:eastAsia="zh-CN"/>
              </w:rPr>
            </w:pPr>
            <w:r>
              <w:rPr>
                <w:rFonts w:hint="eastAsia"/>
                <w:color w:val="auto"/>
                <w:kern w:val="0"/>
                <w:sz w:val="24"/>
                <w:szCs w:val="24"/>
                <w:lang w:val="en-US" w:eastAsia="zh-CN"/>
              </w:rPr>
              <w:t>0.1</w:t>
            </w:r>
            <w:r>
              <w:rPr>
                <w:rFonts w:hint="default" w:ascii="Times New Roman" w:hAnsi="Times New Roman" w:cs="Times New Roman"/>
                <w:color w:val="auto"/>
                <w:kern w:val="0"/>
                <w:sz w:val="24"/>
                <w:szCs w:val="24"/>
              </w:rPr>
              <w:t>t/a</w:t>
            </w:r>
          </w:p>
        </w:tc>
        <w:tc>
          <w:tcPr>
            <w:tcW w:w="667" w:type="pct"/>
            <w:vAlign w:val="center"/>
          </w:tcPr>
          <w:p w14:paraId="26CA4C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kern w:val="0"/>
                <w:sz w:val="24"/>
                <w:szCs w:val="24"/>
                <w:lang w:val="en-US" w:eastAsia="zh-CN"/>
              </w:rPr>
            </w:pPr>
          </w:p>
        </w:tc>
        <w:tc>
          <w:tcPr>
            <w:tcW w:w="1408" w:type="dxa"/>
            <w:shd w:val="clear" w:color="auto" w:fill="auto"/>
            <w:vAlign w:val="center"/>
          </w:tcPr>
          <w:p w14:paraId="4911E8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kern w:val="0"/>
                <w:sz w:val="24"/>
                <w:szCs w:val="24"/>
                <w:lang w:val="en-US" w:eastAsia="zh-CN"/>
              </w:rPr>
            </w:pPr>
            <w:r>
              <w:rPr>
                <w:rFonts w:hint="eastAsia"/>
                <w:color w:val="auto"/>
                <w:kern w:val="0"/>
                <w:sz w:val="24"/>
                <w:szCs w:val="24"/>
                <w:lang w:val="en-US" w:eastAsia="zh-CN"/>
              </w:rPr>
              <w:t>0.1</w:t>
            </w:r>
            <w:r>
              <w:rPr>
                <w:rFonts w:hint="default" w:ascii="Times New Roman" w:hAnsi="Times New Roman" w:cs="Times New Roman"/>
                <w:color w:val="auto"/>
                <w:kern w:val="0"/>
                <w:sz w:val="24"/>
                <w:szCs w:val="24"/>
              </w:rPr>
              <w:t>t/a</w:t>
            </w:r>
          </w:p>
        </w:tc>
        <w:tc>
          <w:tcPr>
            <w:tcW w:w="1408" w:type="dxa"/>
            <w:shd w:val="clear" w:color="auto" w:fill="auto"/>
            <w:vAlign w:val="center"/>
          </w:tcPr>
          <w:p w14:paraId="71B9D4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kern w:val="0"/>
                <w:sz w:val="24"/>
                <w:szCs w:val="24"/>
                <w:lang w:val="en-US" w:eastAsia="zh-CN"/>
              </w:rPr>
            </w:pPr>
            <w:r>
              <w:rPr>
                <w:rFonts w:hint="eastAsia" w:ascii="Times New Roman" w:cs="Times New Roman"/>
                <w:color w:val="auto"/>
                <w:kern w:val="2"/>
                <w:sz w:val="24"/>
                <w:szCs w:val="24"/>
                <w:lang w:val="en-US" w:eastAsia="zh-CN"/>
              </w:rPr>
              <w:t>+</w:t>
            </w:r>
            <w:r>
              <w:rPr>
                <w:rFonts w:hint="eastAsia"/>
                <w:color w:val="auto"/>
                <w:kern w:val="0"/>
                <w:sz w:val="24"/>
                <w:szCs w:val="24"/>
                <w:lang w:val="en-US" w:eastAsia="zh-CN"/>
              </w:rPr>
              <w:t>0.1</w:t>
            </w:r>
            <w:r>
              <w:rPr>
                <w:rFonts w:hint="default" w:ascii="Times New Roman" w:hAnsi="Times New Roman" w:cs="Times New Roman"/>
                <w:color w:val="auto"/>
                <w:kern w:val="0"/>
                <w:sz w:val="24"/>
                <w:szCs w:val="24"/>
              </w:rPr>
              <w:t>t/a</w:t>
            </w:r>
          </w:p>
        </w:tc>
      </w:tr>
      <w:tr w14:paraId="263D3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Align w:val="center"/>
          </w:tcPr>
          <w:p w14:paraId="102E4B8D">
            <w:pPr>
              <w:pStyle w:val="43"/>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ascii="Times New Roman"/>
                <w:color w:val="auto"/>
                <w:sz w:val="24"/>
                <w:szCs w:val="24"/>
              </w:rPr>
              <w:t>危险废物</w:t>
            </w:r>
          </w:p>
        </w:tc>
        <w:tc>
          <w:tcPr>
            <w:tcW w:w="487" w:type="pct"/>
            <w:vAlign w:val="center"/>
          </w:tcPr>
          <w:p w14:paraId="742EA0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bCs/>
                <w:color w:val="auto"/>
                <w:kern w:val="0"/>
                <w:sz w:val="24"/>
                <w:szCs w:val="24"/>
              </w:rPr>
            </w:pPr>
            <w:r>
              <w:rPr>
                <w:rFonts w:hint="eastAsia"/>
                <w:bCs/>
                <w:color w:val="auto"/>
                <w:kern w:val="0"/>
                <w:sz w:val="24"/>
                <w:szCs w:val="24"/>
              </w:rPr>
              <w:t>废</w:t>
            </w:r>
            <w:r>
              <w:rPr>
                <w:rFonts w:hint="eastAsia"/>
                <w:bCs/>
                <w:color w:val="auto"/>
                <w:kern w:val="0"/>
                <w:sz w:val="24"/>
                <w:szCs w:val="24"/>
                <w:lang w:eastAsia="zh-CN"/>
              </w:rPr>
              <w:t>机油</w:t>
            </w:r>
          </w:p>
        </w:tc>
        <w:tc>
          <w:tcPr>
            <w:tcW w:w="477" w:type="pct"/>
            <w:vAlign w:val="center"/>
          </w:tcPr>
          <w:p w14:paraId="3D9B1E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kern w:val="0"/>
                <w:sz w:val="24"/>
                <w:szCs w:val="24"/>
              </w:rPr>
            </w:pPr>
            <w:r>
              <w:rPr>
                <w:rFonts w:hint="eastAsia" w:ascii="Times New Roman"/>
                <w:color w:val="auto"/>
                <w:sz w:val="24"/>
                <w:szCs w:val="24"/>
              </w:rPr>
              <w:t>/</w:t>
            </w:r>
          </w:p>
        </w:tc>
        <w:tc>
          <w:tcPr>
            <w:tcW w:w="640" w:type="pct"/>
            <w:vAlign w:val="center"/>
          </w:tcPr>
          <w:p w14:paraId="6CBB4F3C">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ascii="Times New Roman"/>
                <w:color w:val="auto"/>
                <w:sz w:val="24"/>
                <w:szCs w:val="24"/>
              </w:rPr>
            </w:pPr>
            <w:r>
              <w:rPr>
                <w:rFonts w:hint="eastAsia" w:ascii="Times New Roman"/>
                <w:color w:val="auto"/>
                <w:sz w:val="24"/>
                <w:szCs w:val="24"/>
              </w:rPr>
              <w:t>/</w:t>
            </w:r>
          </w:p>
        </w:tc>
        <w:tc>
          <w:tcPr>
            <w:tcW w:w="568" w:type="pct"/>
            <w:vAlign w:val="center"/>
          </w:tcPr>
          <w:p w14:paraId="54E5ED38">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eastAsia" w:ascii="Times New Roman" w:eastAsia="宋体"/>
                <w:color w:val="auto"/>
                <w:sz w:val="24"/>
                <w:szCs w:val="24"/>
                <w:lang w:val="en-US" w:eastAsia="zh-CN"/>
              </w:rPr>
            </w:pPr>
            <w:r>
              <w:rPr>
                <w:rFonts w:hint="eastAsia" w:ascii="Times New Roman"/>
                <w:color w:val="auto"/>
                <w:sz w:val="24"/>
                <w:szCs w:val="24"/>
                <w:lang w:val="en-US" w:eastAsia="zh-CN"/>
              </w:rPr>
              <w:t>/</w:t>
            </w:r>
          </w:p>
        </w:tc>
        <w:tc>
          <w:tcPr>
            <w:tcW w:w="563" w:type="pct"/>
            <w:vAlign w:val="center"/>
          </w:tcPr>
          <w:p w14:paraId="2BD548E9">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eastAsia" w:ascii="Times New Roman" w:eastAsia="宋体"/>
                <w:color w:val="auto"/>
                <w:sz w:val="24"/>
                <w:szCs w:val="24"/>
                <w:lang w:eastAsia="zh-CN"/>
              </w:rPr>
            </w:pPr>
            <w:r>
              <w:rPr>
                <w:rFonts w:hint="eastAsia" w:ascii="Times New Roman"/>
                <w:color w:val="auto"/>
                <w:sz w:val="24"/>
                <w:szCs w:val="24"/>
                <w:lang w:val="en-US" w:eastAsia="zh-CN"/>
              </w:rPr>
              <w:t>0.5</w:t>
            </w:r>
            <w:r>
              <w:rPr>
                <w:rFonts w:hint="eastAsia" w:ascii="Times New Roman"/>
                <w:color w:val="auto"/>
                <w:sz w:val="24"/>
                <w:szCs w:val="24"/>
              </w:rPr>
              <w:t>t/a</w:t>
            </w:r>
          </w:p>
        </w:tc>
        <w:tc>
          <w:tcPr>
            <w:tcW w:w="667" w:type="pct"/>
            <w:vAlign w:val="center"/>
          </w:tcPr>
          <w:p w14:paraId="784610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color w:val="auto"/>
                <w:sz w:val="24"/>
                <w:szCs w:val="24"/>
              </w:rPr>
            </w:pPr>
            <w:r>
              <w:rPr>
                <w:rFonts w:hint="eastAsia"/>
                <w:color w:val="auto"/>
                <w:sz w:val="24"/>
                <w:szCs w:val="24"/>
                <w:lang w:val="en-US" w:eastAsia="zh-CN"/>
              </w:rPr>
              <w:t>0</w:t>
            </w:r>
          </w:p>
        </w:tc>
        <w:tc>
          <w:tcPr>
            <w:tcW w:w="1408" w:type="dxa"/>
            <w:shd w:val="clear" w:color="auto" w:fill="auto"/>
            <w:vAlign w:val="center"/>
          </w:tcPr>
          <w:p w14:paraId="09679123">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color w:val="auto"/>
                <w:sz w:val="24"/>
                <w:szCs w:val="24"/>
                <w:lang w:val="en-US" w:eastAsia="zh-CN"/>
              </w:rPr>
              <w:t>0.5</w:t>
            </w:r>
            <w:r>
              <w:rPr>
                <w:rFonts w:hint="eastAsia" w:ascii="Times New Roman"/>
                <w:color w:val="auto"/>
                <w:sz w:val="24"/>
                <w:szCs w:val="24"/>
              </w:rPr>
              <w:t>t/a</w:t>
            </w:r>
          </w:p>
        </w:tc>
        <w:tc>
          <w:tcPr>
            <w:tcW w:w="1408" w:type="dxa"/>
            <w:shd w:val="clear" w:color="auto" w:fill="auto"/>
            <w:vAlign w:val="center"/>
          </w:tcPr>
          <w:p w14:paraId="77F7ABE7">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cs="Times New Roman"/>
                <w:color w:val="auto"/>
                <w:kern w:val="2"/>
                <w:sz w:val="24"/>
                <w:szCs w:val="24"/>
                <w:lang w:val="en-US" w:eastAsia="zh-CN"/>
              </w:rPr>
              <w:t>+</w:t>
            </w:r>
            <w:r>
              <w:rPr>
                <w:rFonts w:hint="eastAsia" w:ascii="Times New Roman"/>
                <w:color w:val="auto"/>
                <w:sz w:val="24"/>
                <w:szCs w:val="24"/>
                <w:lang w:val="en-US" w:eastAsia="zh-CN"/>
              </w:rPr>
              <w:t>0.5</w:t>
            </w:r>
            <w:r>
              <w:rPr>
                <w:rFonts w:hint="eastAsia" w:ascii="Times New Roman"/>
                <w:color w:val="auto"/>
                <w:sz w:val="24"/>
                <w:szCs w:val="24"/>
              </w:rPr>
              <w:t>t/a</w:t>
            </w:r>
          </w:p>
        </w:tc>
      </w:tr>
    </w:tbl>
    <w:p w14:paraId="19F26DC8">
      <w:pPr>
        <w:pStyle w:val="43"/>
        <w:spacing w:beforeLines="0" w:after="31" w:line="260" w:lineRule="auto"/>
        <w:jc w:val="left"/>
        <w:rPr>
          <w:color w:val="auto"/>
        </w:rPr>
      </w:pPr>
      <w:r>
        <w:rPr>
          <w:rFonts w:ascii="Times New Roman"/>
          <w:color w:val="auto"/>
          <w:szCs w:val="21"/>
        </w:rPr>
        <w:t>注：</w:t>
      </w:r>
      <w:r>
        <w:rPr>
          <w:rFonts w:ascii="Times New Roman"/>
          <w:color w:val="auto"/>
          <w:szCs w:val="21"/>
        </w:rPr>
        <w:fldChar w:fldCharType="begin"/>
      </w:r>
      <w:r>
        <w:rPr>
          <w:rFonts w:ascii="Times New Roman"/>
          <w:color w:val="auto"/>
          <w:szCs w:val="21"/>
        </w:rPr>
        <w:instrText xml:space="preserve"> = 6 \* GB3 \* MERGEFORMAT </w:instrText>
      </w:r>
      <w:r>
        <w:rPr>
          <w:rFonts w:ascii="Times New Roman"/>
          <w:color w:val="auto"/>
          <w:szCs w:val="21"/>
        </w:rPr>
        <w:fldChar w:fldCharType="separate"/>
      </w:r>
      <w:r>
        <w:rPr>
          <w:rFonts w:ascii="Times New Roman"/>
          <w:color w:val="auto"/>
          <w:szCs w:val="21"/>
        </w:rPr>
        <w:t>⑥</w:t>
      </w:r>
      <w:r>
        <w:rPr>
          <w:rFonts w:ascii="Times New Roman"/>
          <w:color w:val="auto"/>
          <w:szCs w:val="21"/>
        </w:rPr>
        <w:fldChar w:fldCharType="end"/>
      </w:r>
      <w:r>
        <w:rPr>
          <w:rFonts w:ascii="Times New Roman"/>
          <w:color w:val="auto"/>
          <w:szCs w:val="21"/>
        </w:rPr>
        <w:t>=</w:t>
      </w:r>
      <w:r>
        <w:rPr>
          <w:rFonts w:ascii="Times New Roman"/>
          <w:color w:val="auto"/>
          <w:szCs w:val="21"/>
        </w:rPr>
        <w:fldChar w:fldCharType="begin"/>
      </w:r>
      <w:r>
        <w:rPr>
          <w:rFonts w:ascii="Times New Roman"/>
          <w:color w:val="auto"/>
          <w:szCs w:val="21"/>
        </w:rPr>
        <w:instrText xml:space="preserve"> = 1 \* GB3 \* MERGEFORMAT </w:instrText>
      </w:r>
      <w:r>
        <w:rPr>
          <w:rFonts w:ascii="Times New Roman"/>
          <w:color w:val="auto"/>
          <w:szCs w:val="21"/>
        </w:rPr>
        <w:fldChar w:fldCharType="separate"/>
      </w:r>
      <w:r>
        <w:rPr>
          <w:rFonts w:ascii="Times New Roman"/>
          <w:color w:val="auto"/>
          <w:szCs w:val="21"/>
        </w:rPr>
        <w:t>①</w:t>
      </w:r>
      <w:r>
        <w:rPr>
          <w:rFonts w:ascii="Times New Roman"/>
          <w:color w:val="auto"/>
          <w:szCs w:val="21"/>
        </w:rPr>
        <w:fldChar w:fldCharType="end"/>
      </w:r>
      <w:r>
        <w:rPr>
          <w:rFonts w:ascii="Times New Roman"/>
          <w:color w:val="auto"/>
          <w:szCs w:val="21"/>
        </w:rPr>
        <w:t>+</w:t>
      </w:r>
      <w:r>
        <w:rPr>
          <w:rFonts w:ascii="Times New Roman"/>
          <w:color w:val="auto"/>
          <w:szCs w:val="21"/>
        </w:rPr>
        <w:fldChar w:fldCharType="begin"/>
      </w:r>
      <w:r>
        <w:rPr>
          <w:rFonts w:ascii="Times New Roman"/>
          <w:color w:val="auto"/>
          <w:szCs w:val="21"/>
        </w:rPr>
        <w:instrText xml:space="preserve"> = 3 \* GB3 \* MERGEFORMAT </w:instrText>
      </w:r>
      <w:r>
        <w:rPr>
          <w:rFonts w:ascii="Times New Roman"/>
          <w:color w:val="auto"/>
          <w:szCs w:val="21"/>
        </w:rPr>
        <w:fldChar w:fldCharType="separate"/>
      </w:r>
      <w:r>
        <w:rPr>
          <w:rFonts w:ascii="Times New Roman"/>
          <w:color w:val="auto"/>
          <w:szCs w:val="21"/>
        </w:rPr>
        <w:t>③</w:t>
      </w:r>
      <w:r>
        <w:rPr>
          <w:rFonts w:ascii="Times New Roman"/>
          <w:color w:val="auto"/>
          <w:szCs w:val="21"/>
        </w:rPr>
        <w:fldChar w:fldCharType="end"/>
      </w:r>
      <w:r>
        <w:rPr>
          <w:rFonts w:ascii="Times New Roman"/>
          <w:color w:val="auto"/>
          <w:szCs w:val="21"/>
        </w:rPr>
        <w:t>+</w:t>
      </w:r>
      <w:r>
        <w:rPr>
          <w:rFonts w:ascii="Times New Roman"/>
          <w:color w:val="auto"/>
          <w:szCs w:val="21"/>
        </w:rPr>
        <w:fldChar w:fldCharType="begin"/>
      </w:r>
      <w:r>
        <w:rPr>
          <w:rFonts w:ascii="Times New Roman"/>
          <w:color w:val="auto"/>
          <w:szCs w:val="21"/>
        </w:rPr>
        <w:instrText xml:space="preserve"> = 4 \* GB3 \* MERGEFORMAT </w:instrText>
      </w:r>
      <w:r>
        <w:rPr>
          <w:rFonts w:ascii="Times New Roman"/>
          <w:color w:val="auto"/>
          <w:szCs w:val="21"/>
        </w:rPr>
        <w:fldChar w:fldCharType="separate"/>
      </w:r>
      <w:r>
        <w:rPr>
          <w:rFonts w:ascii="Times New Roman"/>
          <w:color w:val="auto"/>
          <w:szCs w:val="21"/>
        </w:rPr>
        <w:t>④</w:t>
      </w:r>
      <w:r>
        <w:rPr>
          <w:rFonts w:ascii="Times New Roman"/>
          <w:color w:val="auto"/>
          <w:szCs w:val="21"/>
        </w:rPr>
        <w:fldChar w:fldCharType="end"/>
      </w:r>
      <w:r>
        <w:rPr>
          <w:rFonts w:ascii="Times New Roman"/>
          <w:color w:val="auto"/>
          <w:szCs w:val="21"/>
        </w:rPr>
        <w:t>-</w:t>
      </w:r>
      <w:r>
        <w:rPr>
          <w:rFonts w:ascii="Times New Roman"/>
          <w:color w:val="auto"/>
          <w:szCs w:val="21"/>
        </w:rPr>
        <w:fldChar w:fldCharType="begin"/>
      </w:r>
      <w:r>
        <w:rPr>
          <w:rFonts w:ascii="Times New Roman"/>
          <w:color w:val="auto"/>
          <w:szCs w:val="21"/>
        </w:rPr>
        <w:instrText xml:space="preserve"> = 5 \* GB3 \* MERGEFORMAT </w:instrText>
      </w:r>
      <w:r>
        <w:rPr>
          <w:rFonts w:ascii="Times New Roman"/>
          <w:color w:val="auto"/>
          <w:szCs w:val="21"/>
        </w:rPr>
        <w:fldChar w:fldCharType="separate"/>
      </w:r>
      <w:r>
        <w:rPr>
          <w:rFonts w:ascii="Times New Roman"/>
          <w:color w:val="auto"/>
          <w:szCs w:val="21"/>
        </w:rPr>
        <w:t>⑤</w:t>
      </w:r>
      <w:r>
        <w:rPr>
          <w:rFonts w:ascii="Times New Roman"/>
          <w:color w:val="auto"/>
          <w:szCs w:val="21"/>
        </w:rPr>
        <w:fldChar w:fldCharType="end"/>
      </w:r>
      <w:r>
        <w:rPr>
          <w:rFonts w:ascii="Times New Roman"/>
          <w:color w:val="auto"/>
          <w:szCs w:val="21"/>
        </w:rPr>
        <w:t>；</w:t>
      </w:r>
      <w:r>
        <w:rPr>
          <w:rFonts w:ascii="Times New Roman"/>
          <w:color w:val="auto"/>
          <w:szCs w:val="21"/>
        </w:rPr>
        <w:fldChar w:fldCharType="begin"/>
      </w:r>
      <w:r>
        <w:rPr>
          <w:rFonts w:ascii="Times New Roman"/>
          <w:color w:val="auto"/>
          <w:szCs w:val="21"/>
        </w:rPr>
        <w:instrText xml:space="preserve"> = 7 \* GB3 \* MERGEFORMAT </w:instrText>
      </w:r>
      <w:r>
        <w:rPr>
          <w:rFonts w:ascii="Times New Roman"/>
          <w:color w:val="auto"/>
          <w:szCs w:val="21"/>
        </w:rPr>
        <w:fldChar w:fldCharType="separate"/>
      </w:r>
      <w:r>
        <w:rPr>
          <w:rFonts w:ascii="Times New Roman"/>
          <w:color w:val="auto"/>
          <w:szCs w:val="21"/>
        </w:rPr>
        <w:t>⑦</w:t>
      </w:r>
      <w:r>
        <w:rPr>
          <w:rFonts w:ascii="Times New Roman"/>
          <w:color w:val="auto"/>
          <w:szCs w:val="21"/>
        </w:rPr>
        <w:fldChar w:fldCharType="end"/>
      </w:r>
      <w:r>
        <w:rPr>
          <w:rFonts w:ascii="Times New Roman"/>
          <w:color w:val="auto"/>
          <w:szCs w:val="21"/>
        </w:rPr>
        <w:t>=</w:t>
      </w:r>
      <w:r>
        <w:rPr>
          <w:rFonts w:ascii="Times New Roman"/>
          <w:color w:val="auto"/>
          <w:szCs w:val="21"/>
        </w:rPr>
        <w:fldChar w:fldCharType="begin"/>
      </w:r>
      <w:r>
        <w:rPr>
          <w:rFonts w:ascii="Times New Roman"/>
          <w:color w:val="auto"/>
          <w:szCs w:val="21"/>
        </w:rPr>
        <w:instrText xml:space="preserve"> = 6 \* GB3 \* MERGEFORMAT </w:instrText>
      </w:r>
      <w:r>
        <w:rPr>
          <w:rFonts w:ascii="Times New Roman"/>
          <w:color w:val="auto"/>
          <w:szCs w:val="21"/>
        </w:rPr>
        <w:fldChar w:fldCharType="separate"/>
      </w:r>
      <w:r>
        <w:rPr>
          <w:rFonts w:ascii="Times New Roman"/>
          <w:color w:val="auto"/>
          <w:szCs w:val="21"/>
        </w:rPr>
        <w:t>⑥</w:t>
      </w:r>
      <w:r>
        <w:rPr>
          <w:rFonts w:ascii="Times New Roman"/>
          <w:color w:val="auto"/>
          <w:szCs w:val="21"/>
        </w:rPr>
        <w:fldChar w:fldCharType="end"/>
      </w:r>
      <w:r>
        <w:rPr>
          <w:rFonts w:ascii="Times New Roman"/>
          <w:color w:val="auto"/>
          <w:szCs w:val="21"/>
        </w:rPr>
        <w:t>-</w:t>
      </w:r>
      <w:r>
        <w:rPr>
          <w:rFonts w:ascii="Times New Roman"/>
          <w:color w:val="auto"/>
          <w:szCs w:val="21"/>
        </w:rPr>
        <w:fldChar w:fldCharType="begin"/>
      </w:r>
      <w:r>
        <w:rPr>
          <w:rFonts w:ascii="Times New Roman"/>
          <w:color w:val="auto"/>
          <w:szCs w:val="21"/>
        </w:rPr>
        <w:instrText xml:space="preserve"> = 1 \* GB3 \* MERGEFORMAT </w:instrText>
      </w:r>
      <w:r>
        <w:rPr>
          <w:rFonts w:ascii="Times New Roman"/>
          <w:color w:val="auto"/>
          <w:szCs w:val="21"/>
        </w:rPr>
        <w:fldChar w:fldCharType="separate"/>
      </w:r>
      <w:r>
        <w:rPr>
          <w:rFonts w:ascii="Times New Roman"/>
          <w:color w:val="auto"/>
          <w:szCs w:val="21"/>
        </w:rPr>
        <w:t>①</w:t>
      </w:r>
      <w:r>
        <w:rPr>
          <w:rFonts w:ascii="Times New Roman"/>
          <w:color w:val="auto"/>
          <w:szCs w:val="21"/>
        </w:rPr>
        <w:fldChar w:fldCharType="end"/>
      </w:r>
    </w:p>
    <w:sectPr>
      <w:footerReference r:id="rId4"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宋?">
    <w:altName w:val="宋体"/>
    <w:panose1 w:val="00000000000000000000"/>
    <w:charset w:val="81"/>
    <w:family w:val="auto"/>
    <w:pitch w:val="default"/>
    <w:sig w:usb0="00000000" w:usb1="00000000" w:usb2="00000010" w:usb3="00000000" w:csb0="00080000" w:csb1="00000000"/>
  </w:font>
  <w:font w:name="微软雅黑">
    <w:panose1 w:val="020B0503020204020204"/>
    <w:charset w:val="86"/>
    <w:family w:val="auto"/>
    <w:pitch w:val="default"/>
    <w:sig w:usb0="80000287" w:usb1="2ACF3C50" w:usb2="00000016" w:usb3="00000000" w:csb0="0004001F" w:csb1="00000000"/>
  </w:font>
  <w:font w:name="TimesNewRoman">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62C5B">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B7C1C">
                          <w:pPr>
                            <w:pStyle w:val="2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C4B7C1C">
                    <w:pPr>
                      <w:pStyle w:val="2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33D69">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1F7D2E"/>
    <w:multiLevelType w:val="singleLevel"/>
    <w:tmpl w:val="E81F7D2E"/>
    <w:lvl w:ilvl="0" w:tentative="0">
      <w:start w:val="2"/>
      <w:numFmt w:val="decimal"/>
      <w:suff w:val="nothing"/>
      <w:lvlText w:val="（%1）"/>
      <w:lvlJc w:val="left"/>
    </w:lvl>
  </w:abstractNum>
  <w:abstractNum w:abstractNumId="1">
    <w:nsid w:val="F836F78D"/>
    <w:multiLevelType w:val="singleLevel"/>
    <w:tmpl w:val="F836F78D"/>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hZDZkMjhlMzdjZWY5YmUyYWMxMjY4NzBkMTE3OWQifQ=="/>
  </w:docVars>
  <w:rsids>
    <w:rsidRoot w:val="0C1F2DCC"/>
    <w:rsid w:val="00005C9A"/>
    <w:rsid w:val="00042267"/>
    <w:rsid w:val="00063A81"/>
    <w:rsid w:val="00077858"/>
    <w:rsid w:val="000E4CC8"/>
    <w:rsid w:val="001141B7"/>
    <w:rsid w:val="001607C2"/>
    <w:rsid w:val="001C48C7"/>
    <w:rsid w:val="001E0D14"/>
    <w:rsid w:val="0022599F"/>
    <w:rsid w:val="00246794"/>
    <w:rsid w:val="0026033F"/>
    <w:rsid w:val="00267887"/>
    <w:rsid w:val="00291C9D"/>
    <w:rsid w:val="002A79CD"/>
    <w:rsid w:val="002B2AF1"/>
    <w:rsid w:val="002E2A01"/>
    <w:rsid w:val="00304D46"/>
    <w:rsid w:val="00360E24"/>
    <w:rsid w:val="003A6B0B"/>
    <w:rsid w:val="003A6F8F"/>
    <w:rsid w:val="003F417C"/>
    <w:rsid w:val="004272F2"/>
    <w:rsid w:val="00511B8E"/>
    <w:rsid w:val="00560A2E"/>
    <w:rsid w:val="00595525"/>
    <w:rsid w:val="0061134D"/>
    <w:rsid w:val="00612B32"/>
    <w:rsid w:val="00625D60"/>
    <w:rsid w:val="0064444E"/>
    <w:rsid w:val="006714A6"/>
    <w:rsid w:val="006A2187"/>
    <w:rsid w:val="00713E3F"/>
    <w:rsid w:val="007151F5"/>
    <w:rsid w:val="00806123"/>
    <w:rsid w:val="00813679"/>
    <w:rsid w:val="008A247B"/>
    <w:rsid w:val="008B0528"/>
    <w:rsid w:val="00911F82"/>
    <w:rsid w:val="0091407C"/>
    <w:rsid w:val="00924535"/>
    <w:rsid w:val="00927A84"/>
    <w:rsid w:val="00932AE2"/>
    <w:rsid w:val="009F432C"/>
    <w:rsid w:val="00A206AD"/>
    <w:rsid w:val="00A34082"/>
    <w:rsid w:val="00A35E24"/>
    <w:rsid w:val="00A52506"/>
    <w:rsid w:val="00A951C5"/>
    <w:rsid w:val="00AF04CC"/>
    <w:rsid w:val="00B32418"/>
    <w:rsid w:val="00B406C6"/>
    <w:rsid w:val="00B52690"/>
    <w:rsid w:val="00B5443F"/>
    <w:rsid w:val="00B83EB7"/>
    <w:rsid w:val="00BA2A66"/>
    <w:rsid w:val="00BA6A98"/>
    <w:rsid w:val="00BC2B0F"/>
    <w:rsid w:val="00C52A95"/>
    <w:rsid w:val="00C72B4E"/>
    <w:rsid w:val="00C77DB1"/>
    <w:rsid w:val="00CB629C"/>
    <w:rsid w:val="00CC0950"/>
    <w:rsid w:val="00CF5A9E"/>
    <w:rsid w:val="00CF7090"/>
    <w:rsid w:val="00D4547A"/>
    <w:rsid w:val="00D66D43"/>
    <w:rsid w:val="00DC0FBC"/>
    <w:rsid w:val="00E7644C"/>
    <w:rsid w:val="00E95210"/>
    <w:rsid w:val="00ED0BE1"/>
    <w:rsid w:val="00ED1C1A"/>
    <w:rsid w:val="00F33212"/>
    <w:rsid w:val="01442B49"/>
    <w:rsid w:val="014632E9"/>
    <w:rsid w:val="01466841"/>
    <w:rsid w:val="014E6758"/>
    <w:rsid w:val="015A25A9"/>
    <w:rsid w:val="01610122"/>
    <w:rsid w:val="01632C99"/>
    <w:rsid w:val="01697F39"/>
    <w:rsid w:val="017936BE"/>
    <w:rsid w:val="018B433A"/>
    <w:rsid w:val="018C16E0"/>
    <w:rsid w:val="018C574A"/>
    <w:rsid w:val="018E7169"/>
    <w:rsid w:val="018F4C90"/>
    <w:rsid w:val="0198409B"/>
    <w:rsid w:val="01A26771"/>
    <w:rsid w:val="01B82438"/>
    <w:rsid w:val="01B85F94"/>
    <w:rsid w:val="01C06EC1"/>
    <w:rsid w:val="01DF2DB5"/>
    <w:rsid w:val="01E23011"/>
    <w:rsid w:val="01E8571A"/>
    <w:rsid w:val="02083043"/>
    <w:rsid w:val="0227136C"/>
    <w:rsid w:val="023A4BFB"/>
    <w:rsid w:val="02451616"/>
    <w:rsid w:val="024735C9"/>
    <w:rsid w:val="02697CA6"/>
    <w:rsid w:val="027922D3"/>
    <w:rsid w:val="02924A37"/>
    <w:rsid w:val="029D518A"/>
    <w:rsid w:val="02A930AC"/>
    <w:rsid w:val="02B321E0"/>
    <w:rsid w:val="02B473C2"/>
    <w:rsid w:val="02B52371"/>
    <w:rsid w:val="02B8279A"/>
    <w:rsid w:val="02CA7918"/>
    <w:rsid w:val="02F2197A"/>
    <w:rsid w:val="0309313E"/>
    <w:rsid w:val="030F486F"/>
    <w:rsid w:val="031A3BF0"/>
    <w:rsid w:val="032639FF"/>
    <w:rsid w:val="03507189"/>
    <w:rsid w:val="035C6DF3"/>
    <w:rsid w:val="03B63E88"/>
    <w:rsid w:val="03CC1D1E"/>
    <w:rsid w:val="04072F97"/>
    <w:rsid w:val="041F4F2F"/>
    <w:rsid w:val="04400FB7"/>
    <w:rsid w:val="046454DD"/>
    <w:rsid w:val="047D0484"/>
    <w:rsid w:val="04A15406"/>
    <w:rsid w:val="04BB7326"/>
    <w:rsid w:val="04C85F2D"/>
    <w:rsid w:val="04CB3461"/>
    <w:rsid w:val="04F73278"/>
    <w:rsid w:val="04F944FB"/>
    <w:rsid w:val="052D4EEB"/>
    <w:rsid w:val="053700D7"/>
    <w:rsid w:val="055C1289"/>
    <w:rsid w:val="059142D1"/>
    <w:rsid w:val="05DB04A3"/>
    <w:rsid w:val="05DC159B"/>
    <w:rsid w:val="05E759D0"/>
    <w:rsid w:val="05FC1E78"/>
    <w:rsid w:val="06066A1E"/>
    <w:rsid w:val="060D2611"/>
    <w:rsid w:val="061A6A13"/>
    <w:rsid w:val="0627491E"/>
    <w:rsid w:val="06377541"/>
    <w:rsid w:val="064A6047"/>
    <w:rsid w:val="0659586C"/>
    <w:rsid w:val="065B2751"/>
    <w:rsid w:val="0662275C"/>
    <w:rsid w:val="0674148A"/>
    <w:rsid w:val="06771F57"/>
    <w:rsid w:val="06836AF6"/>
    <w:rsid w:val="069B61DE"/>
    <w:rsid w:val="06A200AD"/>
    <w:rsid w:val="06A47BDD"/>
    <w:rsid w:val="06B843C5"/>
    <w:rsid w:val="06D73361"/>
    <w:rsid w:val="06EE226F"/>
    <w:rsid w:val="070800AD"/>
    <w:rsid w:val="07212DDD"/>
    <w:rsid w:val="0728596A"/>
    <w:rsid w:val="072B545A"/>
    <w:rsid w:val="073E6B90"/>
    <w:rsid w:val="07456567"/>
    <w:rsid w:val="074D3623"/>
    <w:rsid w:val="0767791B"/>
    <w:rsid w:val="07994C19"/>
    <w:rsid w:val="07D0225B"/>
    <w:rsid w:val="07DC6820"/>
    <w:rsid w:val="07E1316C"/>
    <w:rsid w:val="07FD3577"/>
    <w:rsid w:val="082B0327"/>
    <w:rsid w:val="082C214F"/>
    <w:rsid w:val="082E197B"/>
    <w:rsid w:val="083D58C4"/>
    <w:rsid w:val="08437117"/>
    <w:rsid w:val="084C7436"/>
    <w:rsid w:val="085E01B4"/>
    <w:rsid w:val="08757E68"/>
    <w:rsid w:val="08857F6D"/>
    <w:rsid w:val="08DD4532"/>
    <w:rsid w:val="08F0070A"/>
    <w:rsid w:val="08FA1588"/>
    <w:rsid w:val="09134014"/>
    <w:rsid w:val="091C7001"/>
    <w:rsid w:val="092B34F0"/>
    <w:rsid w:val="093C7F60"/>
    <w:rsid w:val="093E0542"/>
    <w:rsid w:val="09B12175"/>
    <w:rsid w:val="09EB76C8"/>
    <w:rsid w:val="09EE1921"/>
    <w:rsid w:val="09F85730"/>
    <w:rsid w:val="09FC684E"/>
    <w:rsid w:val="0A08577D"/>
    <w:rsid w:val="0A1576C5"/>
    <w:rsid w:val="0A22344A"/>
    <w:rsid w:val="0A2B3AFA"/>
    <w:rsid w:val="0A6A5323"/>
    <w:rsid w:val="0A760658"/>
    <w:rsid w:val="0A783E4C"/>
    <w:rsid w:val="0A876DA4"/>
    <w:rsid w:val="0A8B6BDA"/>
    <w:rsid w:val="0A9A7ED3"/>
    <w:rsid w:val="0AA5353C"/>
    <w:rsid w:val="0AC126BD"/>
    <w:rsid w:val="0AC54FD0"/>
    <w:rsid w:val="0ACA6D38"/>
    <w:rsid w:val="0AD93DD1"/>
    <w:rsid w:val="0AE47DFA"/>
    <w:rsid w:val="0AEA6446"/>
    <w:rsid w:val="0B2068A2"/>
    <w:rsid w:val="0B255CCD"/>
    <w:rsid w:val="0B4C054D"/>
    <w:rsid w:val="0B4D1BF1"/>
    <w:rsid w:val="0B4F31EC"/>
    <w:rsid w:val="0B6242F0"/>
    <w:rsid w:val="0B783FE8"/>
    <w:rsid w:val="0B793D00"/>
    <w:rsid w:val="0BB17841"/>
    <w:rsid w:val="0BB92BF9"/>
    <w:rsid w:val="0BBD342B"/>
    <w:rsid w:val="0BBE234C"/>
    <w:rsid w:val="0BDE2A9B"/>
    <w:rsid w:val="0BE300B2"/>
    <w:rsid w:val="0BFA7FFF"/>
    <w:rsid w:val="0C1F2DCC"/>
    <w:rsid w:val="0C2D252D"/>
    <w:rsid w:val="0C2F7405"/>
    <w:rsid w:val="0C4F6551"/>
    <w:rsid w:val="0C7D22B4"/>
    <w:rsid w:val="0C7E427E"/>
    <w:rsid w:val="0CC84FD1"/>
    <w:rsid w:val="0CF13FFA"/>
    <w:rsid w:val="0CF42427"/>
    <w:rsid w:val="0D0360C1"/>
    <w:rsid w:val="0D047EF0"/>
    <w:rsid w:val="0D0677C9"/>
    <w:rsid w:val="0D364F58"/>
    <w:rsid w:val="0D435C89"/>
    <w:rsid w:val="0D645222"/>
    <w:rsid w:val="0D81672D"/>
    <w:rsid w:val="0D841A9C"/>
    <w:rsid w:val="0D8E04F1"/>
    <w:rsid w:val="0D904269"/>
    <w:rsid w:val="0D9B6D90"/>
    <w:rsid w:val="0DAC4BAD"/>
    <w:rsid w:val="0DAE614A"/>
    <w:rsid w:val="0DAF57AB"/>
    <w:rsid w:val="0DFD7F15"/>
    <w:rsid w:val="0E026CCE"/>
    <w:rsid w:val="0E0662D9"/>
    <w:rsid w:val="0E1A5E05"/>
    <w:rsid w:val="0E213113"/>
    <w:rsid w:val="0E241805"/>
    <w:rsid w:val="0E4134C0"/>
    <w:rsid w:val="0E5067DC"/>
    <w:rsid w:val="0E74069C"/>
    <w:rsid w:val="0E76601D"/>
    <w:rsid w:val="0E873A5B"/>
    <w:rsid w:val="0E8C7098"/>
    <w:rsid w:val="0E98315E"/>
    <w:rsid w:val="0E9C3207"/>
    <w:rsid w:val="0E9C4D57"/>
    <w:rsid w:val="0E9E6F0A"/>
    <w:rsid w:val="0EC45B3A"/>
    <w:rsid w:val="0EC8358F"/>
    <w:rsid w:val="0ECA7307"/>
    <w:rsid w:val="0ECC4B2E"/>
    <w:rsid w:val="0EE96F42"/>
    <w:rsid w:val="0F11462F"/>
    <w:rsid w:val="0F26430D"/>
    <w:rsid w:val="0F2B145A"/>
    <w:rsid w:val="0F2B249C"/>
    <w:rsid w:val="0F357C2D"/>
    <w:rsid w:val="0F3C0423"/>
    <w:rsid w:val="0F3C5806"/>
    <w:rsid w:val="0F6E03DF"/>
    <w:rsid w:val="0F827BE2"/>
    <w:rsid w:val="0F9D4D1E"/>
    <w:rsid w:val="0FAA39E5"/>
    <w:rsid w:val="0FC05FDF"/>
    <w:rsid w:val="0FC94435"/>
    <w:rsid w:val="0FD536AF"/>
    <w:rsid w:val="0FDE2595"/>
    <w:rsid w:val="1001144E"/>
    <w:rsid w:val="100C2CA2"/>
    <w:rsid w:val="100D41FF"/>
    <w:rsid w:val="101F7CD8"/>
    <w:rsid w:val="10264A11"/>
    <w:rsid w:val="102B2DC0"/>
    <w:rsid w:val="106D746C"/>
    <w:rsid w:val="107620E6"/>
    <w:rsid w:val="10822CDF"/>
    <w:rsid w:val="108E5B44"/>
    <w:rsid w:val="10967B98"/>
    <w:rsid w:val="109951E3"/>
    <w:rsid w:val="10996BDA"/>
    <w:rsid w:val="10B22951"/>
    <w:rsid w:val="10BA4D47"/>
    <w:rsid w:val="10C96CAE"/>
    <w:rsid w:val="10F23B08"/>
    <w:rsid w:val="10FE2C70"/>
    <w:rsid w:val="10FF2CA0"/>
    <w:rsid w:val="11062F9A"/>
    <w:rsid w:val="11080E7F"/>
    <w:rsid w:val="11350F7E"/>
    <w:rsid w:val="113636DA"/>
    <w:rsid w:val="113E5D8A"/>
    <w:rsid w:val="114478CC"/>
    <w:rsid w:val="114E4DC0"/>
    <w:rsid w:val="11616FFB"/>
    <w:rsid w:val="11681FE1"/>
    <w:rsid w:val="1198551F"/>
    <w:rsid w:val="11A73171"/>
    <w:rsid w:val="11AF40C6"/>
    <w:rsid w:val="11C25C30"/>
    <w:rsid w:val="11D16BFE"/>
    <w:rsid w:val="11E061B8"/>
    <w:rsid w:val="11FE3E97"/>
    <w:rsid w:val="12027C77"/>
    <w:rsid w:val="12133237"/>
    <w:rsid w:val="12154D3D"/>
    <w:rsid w:val="12176D07"/>
    <w:rsid w:val="121A05A5"/>
    <w:rsid w:val="12576D02"/>
    <w:rsid w:val="126704C7"/>
    <w:rsid w:val="12695589"/>
    <w:rsid w:val="1272218F"/>
    <w:rsid w:val="129B16E6"/>
    <w:rsid w:val="12A72D1C"/>
    <w:rsid w:val="12B1737F"/>
    <w:rsid w:val="12D35DA0"/>
    <w:rsid w:val="12E20AB8"/>
    <w:rsid w:val="1302463D"/>
    <w:rsid w:val="13166FBF"/>
    <w:rsid w:val="13222E57"/>
    <w:rsid w:val="135B0E75"/>
    <w:rsid w:val="135F095F"/>
    <w:rsid w:val="13644166"/>
    <w:rsid w:val="13985C26"/>
    <w:rsid w:val="13A9398F"/>
    <w:rsid w:val="13C540FC"/>
    <w:rsid w:val="13E32E07"/>
    <w:rsid w:val="13F647FB"/>
    <w:rsid w:val="140C5DFC"/>
    <w:rsid w:val="14125FD5"/>
    <w:rsid w:val="141B23B3"/>
    <w:rsid w:val="142179C9"/>
    <w:rsid w:val="14221993"/>
    <w:rsid w:val="14237BE5"/>
    <w:rsid w:val="14487140"/>
    <w:rsid w:val="144D4C62"/>
    <w:rsid w:val="14733FAA"/>
    <w:rsid w:val="14D44292"/>
    <w:rsid w:val="14E022D7"/>
    <w:rsid w:val="14E33B01"/>
    <w:rsid w:val="150D2643"/>
    <w:rsid w:val="15204194"/>
    <w:rsid w:val="153723B4"/>
    <w:rsid w:val="15403824"/>
    <w:rsid w:val="15531688"/>
    <w:rsid w:val="1554390E"/>
    <w:rsid w:val="15714980"/>
    <w:rsid w:val="15826874"/>
    <w:rsid w:val="15830FC4"/>
    <w:rsid w:val="15A27BB8"/>
    <w:rsid w:val="15AD564F"/>
    <w:rsid w:val="15ED6C00"/>
    <w:rsid w:val="15FF3ED9"/>
    <w:rsid w:val="16040F59"/>
    <w:rsid w:val="162E71AF"/>
    <w:rsid w:val="163946DA"/>
    <w:rsid w:val="16397379"/>
    <w:rsid w:val="16553E12"/>
    <w:rsid w:val="16766311"/>
    <w:rsid w:val="167A7865"/>
    <w:rsid w:val="168D7598"/>
    <w:rsid w:val="16970417"/>
    <w:rsid w:val="169C6666"/>
    <w:rsid w:val="16A20C0C"/>
    <w:rsid w:val="16AE3CEF"/>
    <w:rsid w:val="16BE26F9"/>
    <w:rsid w:val="16BF27D3"/>
    <w:rsid w:val="16C227A1"/>
    <w:rsid w:val="16C41C8F"/>
    <w:rsid w:val="16C86785"/>
    <w:rsid w:val="16D61039"/>
    <w:rsid w:val="16E64EFA"/>
    <w:rsid w:val="16E7248D"/>
    <w:rsid w:val="170034B7"/>
    <w:rsid w:val="170371DE"/>
    <w:rsid w:val="170854A6"/>
    <w:rsid w:val="171C015C"/>
    <w:rsid w:val="171F2E06"/>
    <w:rsid w:val="17234F8D"/>
    <w:rsid w:val="17946FA9"/>
    <w:rsid w:val="17AB16F0"/>
    <w:rsid w:val="17B40A94"/>
    <w:rsid w:val="17F65611"/>
    <w:rsid w:val="17F739D5"/>
    <w:rsid w:val="180E295A"/>
    <w:rsid w:val="18356139"/>
    <w:rsid w:val="183D0B4A"/>
    <w:rsid w:val="184B784A"/>
    <w:rsid w:val="184E7566"/>
    <w:rsid w:val="185C1E3F"/>
    <w:rsid w:val="18756535"/>
    <w:rsid w:val="188F4771"/>
    <w:rsid w:val="18A90457"/>
    <w:rsid w:val="18B1621A"/>
    <w:rsid w:val="18C94142"/>
    <w:rsid w:val="18D06747"/>
    <w:rsid w:val="18F002B2"/>
    <w:rsid w:val="191143D5"/>
    <w:rsid w:val="19194848"/>
    <w:rsid w:val="192B6EBD"/>
    <w:rsid w:val="194720B3"/>
    <w:rsid w:val="194B20B3"/>
    <w:rsid w:val="19550115"/>
    <w:rsid w:val="195779F8"/>
    <w:rsid w:val="19856003"/>
    <w:rsid w:val="198623EC"/>
    <w:rsid w:val="19A22210"/>
    <w:rsid w:val="19C825D2"/>
    <w:rsid w:val="19D007FC"/>
    <w:rsid w:val="19E15E91"/>
    <w:rsid w:val="1A172FB9"/>
    <w:rsid w:val="1A193AB0"/>
    <w:rsid w:val="1A362BB5"/>
    <w:rsid w:val="1A650025"/>
    <w:rsid w:val="1A703458"/>
    <w:rsid w:val="1A884E61"/>
    <w:rsid w:val="1A8A2D12"/>
    <w:rsid w:val="1A9A0DA0"/>
    <w:rsid w:val="1AC93287"/>
    <w:rsid w:val="1AE73726"/>
    <w:rsid w:val="1AEE755E"/>
    <w:rsid w:val="1AF20A7D"/>
    <w:rsid w:val="1B1A3DEC"/>
    <w:rsid w:val="1B1C538E"/>
    <w:rsid w:val="1B344848"/>
    <w:rsid w:val="1B3C348F"/>
    <w:rsid w:val="1B3F4E91"/>
    <w:rsid w:val="1B56391A"/>
    <w:rsid w:val="1B855C23"/>
    <w:rsid w:val="1BA644D9"/>
    <w:rsid w:val="1BB70D86"/>
    <w:rsid w:val="1BD7788B"/>
    <w:rsid w:val="1C0F1283"/>
    <w:rsid w:val="1C116575"/>
    <w:rsid w:val="1C204A0A"/>
    <w:rsid w:val="1C4C3A51"/>
    <w:rsid w:val="1C4C627A"/>
    <w:rsid w:val="1C4D5C5B"/>
    <w:rsid w:val="1C512AC8"/>
    <w:rsid w:val="1C5839CE"/>
    <w:rsid w:val="1C5F0E1D"/>
    <w:rsid w:val="1C660B0B"/>
    <w:rsid w:val="1C6C5EA1"/>
    <w:rsid w:val="1C820B09"/>
    <w:rsid w:val="1C847FCD"/>
    <w:rsid w:val="1C8B27CB"/>
    <w:rsid w:val="1CAA7995"/>
    <w:rsid w:val="1CB3587E"/>
    <w:rsid w:val="1CCE1F86"/>
    <w:rsid w:val="1CE75528"/>
    <w:rsid w:val="1CED1CDC"/>
    <w:rsid w:val="1CFD09E0"/>
    <w:rsid w:val="1CFE11EF"/>
    <w:rsid w:val="1D047E88"/>
    <w:rsid w:val="1D175677"/>
    <w:rsid w:val="1D1A13FE"/>
    <w:rsid w:val="1D412E8A"/>
    <w:rsid w:val="1D5412D8"/>
    <w:rsid w:val="1D550FFF"/>
    <w:rsid w:val="1D605915"/>
    <w:rsid w:val="1D690B19"/>
    <w:rsid w:val="1DE026A3"/>
    <w:rsid w:val="1DFB6315"/>
    <w:rsid w:val="1E2527AC"/>
    <w:rsid w:val="1E3948D8"/>
    <w:rsid w:val="1E623311"/>
    <w:rsid w:val="1E6C189B"/>
    <w:rsid w:val="1E711FE0"/>
    <w:rsid w:val="1E7B4EF2"/>
    <w:rsid w:val="1E854FF8"/>
    <w:rsid w:val="1EAB0F03"/>
    <w:rsid w:val="1EAB15DD"/>
    <w:rsid w:val="1EB11141"/>
    <w:rsid w:val="1ED82BB3"/>
    <w:rsid w:val="1EE61958"/>
    <w:rsid w:val="1F040908"/>
    <w:rsid w:val="1F070103"/>
    <w:rsid w:val="1F131000"/>
    <w:rsid w:val="1F234F3D"/>
    <w:rsid w:val="1F5C26EB"/>
    <w:rsid w:val="1F8134DC"/>
    <w:rsid w:val="1F82086B"/>
    <w:rsid w:val="1F903C55"/>
    <w:rsid w:val="1F9E6C9B"/>
    <w:rsid w:val="1FA414E1"/>
    <w:rsid w:val="1FA52E9B"/>
    <w:rsid w:val="1FC009DE"/>
    <w:rsid w:val="1FCA27F0"/>
    <w:rsid w:val="1FCD0893"/>
    <w:rsid w:val="1FD85EA7"/>
    <w:rsid w:val="1FF72663"/>
    <w:rsid w:val="201D6424"/>
    <w:rsid w:val="201E5705"/>
    <w:rsid w:val="20280331"/>
    <w:rsid w:val="204818E9"/>
    <w:rsid w:val="20511C40"/>
    <w:rsid w:val="20634F5D"/>
    <w:rsid w:val="206C021E"/>
    <w:rsid w:val="20810319"/>
    <w:rsid w:val="20942FC2"/>
    <w:rsid w:val="209B41AC"/>
    <w:rsid w:val="20A13BF3"/>
    <w:rsid w:val="20A24053"/>
    <w:rsid w:val="20A45DD5"/>
    <w:rsid w:val="20A774A8"/>
    <w:rsid w:val="20E34258"/>
    <w:rsid w:val="2140333D"/>
    <w:rsid w:val="2150158B"/>
    <w:rsid w:val="215533AC"/>
    <w:rsid w:val="216A5E8D"/>
    <w:rsid w:val="217456BD"/>
    <w:rsid w:val="21820941"/>
    <w:rsid w:val="21973AD7"/>
    <w:rsid w:val="21C47114"/>
    <w:rsid w:val="21C67E02"/>
    <w:rsid w:val="21C94C40"/>
    <w:rsid w:val="2210107D"/>
    <w:rsid w:val="22112669"/>
    <w:rsid w:val="22154A23"/>
    <w:rsid w:val="224F496F"/>
    <w:rsid w:val="22525B39"/>
    <w:rsid w:val="226E2D08"/>
    <w:rsid w:val="22723AE6"/>
    <w:rsid w:val="228A4478"/>
    <w:rsid w:val="22DC3905"/>
    <w:rsid w:val="22DF4E34"/>
    <w:rsid w:val="22E20C6B"/>
    <w:rsid w:val="22E36792"/>
    <w:rsid w:val="22FB2B5B"/>
    <w:rsid w:val="230D281F"/>
    <w:rsid w:val="230E4F54"/>
    <w:rsid w:val="231C6C0C"/>
    <w:rsid w:val="232D6ACA"/>
    <w:rsid w:val="2343105D"/>
    <w:rsid w:val="234A007C"/>
    <w:rsid w:val="234C07DB"/>
    <w:rsid w:val="23582DB3"/>
    <w:rsid w:val="236B2A0F"/>
    <w:rsid w:val="237F4EB8"/>
    <w:rsid w:val="23B42AC3"/>
    <w:rsid w:val="23C04D9C"/>
    <w:rsid w:val="241910E8"/>
    <w:rsid w:val="242D23BA"/>
    <w:rsid w:val="243D11CD"/>
    <w:rsid w:val="243F38C6"/>
    <w:rsid w:val="24415E66"/>
    <w:rsid w:val="244B521D"/>
    <w:rsid w:val="24631927"/>
    <w:rsid w:val="246D27B7"/>
    <w:rsid w:val="246E3050"/>
    <w:rsid w:val="24704055"/>
    <w:rsid w:val="24732B9D"/>
    <w:rsid w:val="247E6C41"/>
    <w:rsid w:val="248366DB"/>
    <w:rsid w:val="24861743"/>
    <w:rsid w:val="24951333"/>
    <w:rsid w:val="24967F5F"/>
    <w:rsid w:val="24A361D8"/>
    <w:rsid w:val="24AC0D88"/>
    <w:rsid w:val="24B04ABD"/>
    <w:rsid w:val="24C35D2A"/>
    <w:rsid w:val="24E50A8B"/>
    <w:rsid w:val="24E810CA"/>
    <w:rsid w:val="251610A0"/>
    <w:rsid w:val="252962B8"/>
    <w:rsid w:val="25733DFD"/>
    <w:rsid w:val="25842C2F"/>
    <w:rsid w:val="25914FED"/>
    <w:rsid w:val="25CA53CE"/>
    <w:rsid w:val="25E33F61"/>
    <w:rsid w:val="25F1570B"/>
    <w:rsid w:val="25F87081"/>
    <w:rsid w:val="260C784D"/>
    <w:rsid w:val="261836C2"/>
    <w:rsid w:val="261B0BE5"/>
    <w:rsid w:val="26243349"/>
    <w:rsid w:val="262B46D7"/>
    <w:rsid w:val="26325116"/>
    <w:rsid w:val="2641707A"/>
    <w:rsid w:val="266D6A9E"/>
    <w:rsid w:val="268632D1"/>
    <w:rsid w:val="2689097C"/>
    <w:rsid w:val="269D3AE8"/>
    <w:rsid w:val="26B97F35"/>
    <w:rsid w:val="26C436A5"/>
    <w:rsid w:val="26C6222D"/>
    <w:rsid w:val="26C62864"/>
    <w:rsid w:val="26C94AB8"/>
    <w:rsid w:val="26DF395B"/>
    <w:rsid w:val="27065F5D"/>
    <w:rsid w:val="27125FA8"/>
    <w:rsid w:val="27321142"/>
    <w:rsid w:val="275D209A"/>
    <w:rsid w:val="27731758"/>
    <w:rsid w:val="278C0871"/>
    <w:rsid w:val="27CF6287"/>
    <w:rsid w:val="27D43884"/>
    <w:rsid w:val="27ED292C"/>
    <w:rsid w:val="28164F13"/>
    <w:rsid w:val="282B3C6E"/>
    <w:rsid w:val="282F4953"/>
    <w:rsid w:val="28501936"/>
    <w:rsid w:val="28724C6B"/>
    <w:rsid w:val="28AE0D1D"/>
    <w:rsid w:val="28BA4AEC"/>
    <w:rsid w:val="28E62B38"/>
    <w:rsid w:val="29096BD2"/>
    <w:rsid w:val="290F58EC"/>
    <w:rsid w:val="2911526E"/>
    <w:rsid w:val="29170E8E"/>
    <w:rsid w:val="29332221"/>
    <w:rsid w:val="29432365"/>
    <w:rsid w:val="2944442E"/>
    <w:rsid w:val="29564161"/>
    <w:rsid w:val="295C168C"/>
    <w:rsid w:val="29724D07"/>
    <w:rsid w:val="2975478A"/>
    <w:rsid w:val="297C3111"/>
    <w:rsid w:val="298170A7"/>
    <w:rsid w:val="29AB1F7D"/>
    <w:rsid w:val="29AE5D4B"/>
    <w:rsid w:val="29D15596"/>
    <w:rsid w:val="29D62BAC"/>
    <w:rsid w:val="29E131D0"/>
    <w:rsid w:val="29EC0622"/>
    <w:rsid w:val="29F300F3"/>
    <w:rsid w:val="29F51159"/>
    <w:rsid w:val="2A282186"/>
    <w:rsid w:val="2A307DDF"/>
    <w:rsid w:val="2A7638F5"/>
    <w:rsid w:val="2A7C03DA"/>
    <w:rsid w:val="2AA57968"/>
    <w:rsid w:val="2AB2365B"/>
    <w:rsid w:val="2ABA3689"/>
    <w:rsid w:val="2AC85C14"/>
    <w:rsid w:val="2AC929EB"/>
    <w:rsid w:val="2AE242A4"/>
    <w:rsid w:val="2AEF5AF1"/>
    <w:rsid w:val="2AF1292B"/>
    <w:rsid w:val="2B5B15BB"/>
    <w:rsid w:val="2B5F6B58"/>
    <w:rsid w:val="2B626DED"/>
    <w:rsid w:val="2B921DBA"/>
    <w:rsid w:val="2B946BF8"/>
    <w:rsid w:val="2B982812"/>
    <w:rsid w:val="2BB416C0"/>
    <w:rsid w:val="2BC3298F"/>
    <w:rsid w:val="2BE14393"/>
    <w:rsid w:val="2BE14CEF"/>
    <w:rsid w:val="2BEC0DDA"/>
    <w:rsid w:val="2BF1354E"/>
    <w:rsid w:val="2BF13CCD"/>
    <w:rsid w:val="2C0326A1"/>
    <w:rsid w:val="2C093C58"/>
    <w:rsid w:val="2C144A64"/>
    <w:rsid w:val="2C153E60"/>
    <w:rsid w:val="2C2E2261"/>
    <w:rsid w:val="2C3167C0"/>
    <w:rsid w:val="2C3F712F"/>
    <w:rsid w:val="2C460478"/>
    <w:rsid w:val="2C581B67"/>
    <w:rsid w:val="2C5D2038"/>
    <w:rsid w:val="2C650273"/>
    <w:rsid w:val="2C6941AB"/>
    <w:rsid w:val="2C756168"/>
    <w:rsid w:val="2C774EC1"/>
    <w:rsid w:val="2C866E9C"/>
    <w:rsid w:val="2C921832"/>
    <w:rsid w:val="2CA35621"/>
    <w:rsid w:val="2CC309B9"/>
    <w:rsid w:val="2CF134E7"/>
    <w:rsid w:val="2CF25A16"/>
    <w:rsid w:val="2CFF3B52"/>
    <w:rsid w:val="2D0B0C6D"/>
    <w:rsid w:val="2D0D7704"/>
    <w:rsid w:val="2D1233DA"/>
    <w:rsid w:val="2D256324"/>
    <w:rsid w:val="2D376058"/>
    <w:rsid w:val="2D485B6F"/>
    <w:rsid w:val="2D7B0A4D"/>
    <w:rsid w:val="2D970F00"/>
    <w:rsid w:val="2DA1294C"/>
    <w:rsid w:val="2DAD1E76"/>
    <w:rsid w:val="2DAF2092"/>
    <w:rsid w:val="2DC518B5"/>
    <w:rsid w:val="2DC90DA8"/>
    <w:rsid w:val="2DE97352"/>
    <w:rsid w:val="2E036741"/>
    <w:rsid w:val="2E16181F"/>
    <w:rsid w:val="2E290331"/>
    <w:rsid w:val="2E385C78"/>
    <w:rsid w:val="2E3D7722"/>
    <w:rsid w:val="2E562DAF"/>
    <w:rsid w:val="2E577EC5"/>
    <w:rsid w:val="2E7163B9"/>
    <w:rsid w:val="2E7F11A2"/>
    <w:rsid w:val="2E8B1A8D"/>
    <w:rsid w:val="2E924175"/>
    <w:rsid w:val="2EA466A7"/>
    <w:rsid w:val="2EF835C5"/>
    <w:rsid w:val="2EFC79F2"/>
    <w:rsid w:val="2F5A662F"/>
    <w:rsid w:val="2F8F217B"/>
    <w:rsid w:val="2FBC45F2"/>
    <w:rsid w:val="2FDF195C"/>
    <w:rsid w:val="2FED502D"/>
    <w:rsid w:val="2FF1220A"/>
    <w:rsid w:val="2FF26C4D"/>
    <w:rsid w:val="300A1801"/>
    <w:rsid w:val="305536E3"/>
    <w:rsid w:val="30656A38"/>
    <w:rsid w:val="30A4011C"/>
    <w:rsid w:val="30F304E8"/>
    <w:rsid w:val="30FF1CFC"/>
    <w:rsid w:val="310349C4"/>
    <w:rsid w:val="31070CEE"/>
    <w:rsid w:val="31085D41"/>
    <w:rsid w:val="314F5092"/>
    <w:rsid w:val="31594C51"/>
    <w:rsid w:val="315E1E05"/>
    <w:rsid w:val="317753A4"/>
    <w:rsid w:val="318F0210"/>
    <w:rsid w:val="31996DFC"/>
    <w:rsid w:val="31AD6A0A"/>
    <w:rsid w:val="31B4737A"/>
    <w:rsid w:val="31B52719"/>
    <w:rsid w:val="31B811EB"/>
    <w:rsid w:val="31BA18BD"/>
    <w:rsid w:val="31D3018C"/>
    <w:rsid w:val="322936B9"/>
    <w:rsid w:val="322E0A14"/>
    <w:rsid w:val="323F1908"/>
    <w:rsid w:val="32872F23"/>
    <w:rsid w:val="32A74481"/>
    <w:rsid w:val="32B51EF8"/>
    <w:rsid w:val="32CF2A6C"/>
    <w:rsid w:val="32DF0932"/>
    <w:rsid w:val="32DF6F75"/>
    <w:rsid w:val="32EB3845"/>
    <w:rsid w:val="32EE71B8"/>
    <w:rsid w:val="32EF2FCD"/>
    <w:rsid w:val="32FF7967"/>
    <w:rsid w:val="33272452"/>
    <w:rsid w:val="333252F7"/>
    <w:rsid w:val="3335189F"/>
    <w:rsid w:val="3338676E"/>
    <w:rsid w:val="335D5A35"/>
    <w:rsid w:val="3361798A"/>
    <w:rsid w:val="337771AE"/>
    <w:rsid w:val="33784018"/>
    <w:rsid w:val="337A02B2"/>
    <w:rsid w:val="33B50EFF"/>
    <w:rsid w:val="33B514D5"/>
    <w:rsid w:val="33BB396A"/>
    <w:rsid w:val="33C543BD"/>
    <w:rsid w:val="33CB73FA"/>
    <w:rsid w:val="33E7562F"/>
    <w:rsid w:val="33F06035"/>
    <w:rsid w:val="33F169A7"/>
    <w:rsid w:val="33FD0488"/>
    <w:rsid w:val="34042BA3"/>
    <w:rsid w:val="34104E2B"/>
    <w:rsid w:val="34171E42"/>
    <w:rsid w:val="341F7855"/>
    <w:rsid w:val="342140CD"/>
    <w:rsid w:val="34993154"/>
    <w:rsid w:val="349E0F74"/>
    <w:rsid w:val="34DA326E"/>
    <w:rsid w:val="34E15227"/>
    <w:rsid w:val="34EE76AA"/>
    <w:rsid w:val="35011612"/>
    <w:rsid w:val="35016C30"/>
    <w:rsid w:val="350902DA"/>
    <w:rsid w:val="352E5F92"/>
    <w:rsid w:val="353E5148"/>
    <w:rsid w:val="35455463"/>
    <w:rsid w:val="35783017"/>
    <w:rsid w:val="358F726C"/>
    <w:rsid w:val="35C85C72"/>
    <w:rsid w:val="35CD7559"/>
    <w:rsid w:val="35D703D8"/>
    <w:rsid w:val="35E520D6"/>
    <w:rsid w:val="35FE06F6"/>
    <w:rsid w:val="36592E2E"/>
    <w:rsid w:val="3667175C"/>
    <w:rsid w:val="36870179"/>
    <w:rsid w:val="36A431A9"/>
    <w:rsid w:val="36AA011E"/>
    <w:rsid w:val="36AB7D35"/>
    <w:rsid w:val="36AF15A0"/>
    <w:rsid w:val="36B67DF6"/>
    <w:rsid w:val="36BC4078"/>
    <w:rsid w:val="36E92171"/>
    <w:rsid w:val="36FD2CC6"/>
    <w:rsid w:val="36FF508D"/>
    <w:rsid w:val="3709636F"/>
    <w:rsid w:val="37256DC6"/>
    <w:rsid w:val="372C202B"/>
    <w:rsid w:val="37333E6F"/>
    <w:rsid w:val="374A5DA5"/>
    <w:rsid w:val="3780270D"/>
    <w:rsid w:val="37812475"/>
    <w:rsid w:val="37863396"/>
    <w:rsid w:val="37922E3E"/>
    <w:rsid w:val="37A21024"/>
    <w:rsid w:val="37A3275F"/>
    <w:rsid w:val="37BA7082"/>
    <w:rsid w:val="37E30E33"/>
    <w:rsid w:val="37EA5FC5"/>
    <w:rsid w:val="37EF0A51"/>
    <w:rsid w:val="37FA05CC"/>
    <w:rsid w:val="38034CAF"/>
    <w:rsid w:val="3805006D"/>
    <w:rsid w:val="380804B2"/>
    <w:rsid w:val="38091A80"/>
    <w:rsid w:val="380A05F1"/>
    <w:rsid w:val="381C311D"/>
    <w:rsid w:val="38465777"/>
    <w:rsid w:val="386F1A27"/>
    <w:rsid w:val="38BF5564"/>
    <w:rsid w:val="38C942FF"/>
    <w:rsid w:val="38DF5443"/>
    <w:rsid w:val="38F40EC4"/>
    <w:rsid w:val="38F64790"/>
    <w:rsid w:val="39273424"/>
    <w:rsid w:val="3934169D"/>
    <w:rsid w:val="393E6FD6"/>
    <w:rsid w:val="39495149"/>
    <w:rsid w:val="3961360B"/>
    <w:rsid w:val="39680B74"/>
    <w:rsid w:val="39916AF0"/>
    <w:rsid w:val="399C0A6A"/>
    <w:rsid w:val="39BF073A"/>
    <w:rsid w:val="39D53B7F"/>
    <w:rsid w:val="39DD07B6"/>
    <w:rsid w:val="39EE5C6E"/>
    <w:rsid w:val="39F50C04"/>
    <w:rsid w:val="3A015A23"/>
    <w:rsid w:val="3A02755E"/>
    <w:rsid w:val="3A0D261A"/>
    <w:rsid w:val="3A241712"/>
    <w:rsid w:val="3A2B2986"/>
    <w:rsid w:val="3A40349F"/>
    <w:rsid w:val="3A5678FA"/>
    <w:rsid w:val="3A583722"/>
    <w:rsid w:val="3A685AA2"/>
    <w:rsid w:val="3A690E64"/>
    <w:rsid w:val="3A797CAF"/>
    <w:rsid w:val="3A8024E5"/>
    <w:rsid w:val="3AA27967"/>
    <w:rsid w:val="3AAE3A31"/>
    <w:rsid w:val="3ABB7ABF"/>
    <w:rsid w:val="3AD849D6"/>
    <w:rsid w:val="3ADD2A25"/>
    <w:rsid w:val="3AE570F3"/>
    <w:rsid w:val="3AE6621C"/>
    <w:rsid w:val="3B0C0B24"/>
    <w:rsid w:val="3B15262F"/>
    <w:rsid w:val="3B416558"/>
    <w:rsid w:val="3B763ABC"/>
    <w:rsid w:val="3B980E56"/>
    <w:rsid w:val="3B99505E"/>
    <w:rsid w:val="3BBC25F4"/>
    <w:rsid w:val="3BC71223"/>
    <w:rsid w:val="3BD50D31"/>
    <w:rsid w:val="3C4D4F50"/>
    <w:rsid w:val="3C5D17F3"/>
    <w:rsid w:val="3C5F437B"/>
    <w:rsid w:val="3C964B49"/>
    <w:rsid w:val="3CEA279F"/>
    <w:rsid w:val="3CEE1D45"/>
    <w:rsid w:val="3D0365E2"/>
    <w:rsid w:val="3D283C4A"/>
    <w:rsid w:val="3D3636BD"/>
    <w:rsid w:val="3D4A3EE3"/>
    <w:rsid w:val="3D6443AF"/>
    <w:rsid w:val="3DA37BAD"/>
    <w:rsid w:val="3DB73E2A"/>
    <w:rsid w:val="3DBA7B59"/>
    <w:rsid w:val="3DEC662F"/>
    <w:rsid w:val="3DF31B27"/>
    <w:rsid w:val="3DFA4C63"/>
    <w:rsid w:val="3E0B72B1"/>
    <w:rsid w:val="3E104487"/>
    <w:rsid w:val="3E197D64"/>
    <w:rsid w:val="3E210442"/>
    <w:rsid w:val="3E3735FB"/>
    <w:rsid w:val="3E3839DE"/>
    <w:rsid w:val="3E3D4260"/>
    <w:rsid w:val="3E501F63"/>
    <w:rsid w:val="3E657343"/>
    <w:rsid w:val="3E6A08F3"/>
    <w:rsid w:val="3E742234"/>
    <w:rsid w:val="3E8C53A5"/>
    <w:rsid w:val="3EB305B6"/>
    <w:rsid w:val="3ED35DA5"/>
    <w:rsid w:val="3EE1322D"/>
    <w:rsid w:val="3EEB27FE"/>
    <w:rsid w:val="3F00757E"/>
    <w:rsid w:val="3F2F48E2"/>
    <w:rsid w:val="3F47212A"/>
    <w:rsid w:val="3F913DAA"/>
    <w:rsid w:val="3FD414E4"/>
    <w:rsid w:val="40093884"/>
    <w:rsid w:val="40142EAD"/>
    <w:rsid w:val="402D1AAD"/>
    <w:rsid w:val="40646634"/>
    <w:rsid w:val="407231D7"/>
    <w:rsid w:val="40757C3F"/>
    <w:rsid w:val="4092438B"/>
    <w:rsid w:val="409F1AF2"/>
    <w:rsid w:val="40AF2AA7"/>
    <w:rsid w:val="40DC7974"/>
    <w:rsid w:val="40EE3E7E"/>
    <w:rsid w:val="40F754EE"/>
    <w:rsid w:val="411029F0"/>
    <w:rsid w:val="41173D7E"/>
    <w:rsid w:val="41181490"/>
    <w:rsid w:val="41267976"/>
    <w:rsid w:val="412871E3"/>
    <w:rsid w:val="412E1D25"/>
    <w:rsid w:val="414601C0"/>
    <w:rsid w:val="414D77EF"/>
    <w:rsid w:val="414F21FB"/>
    <w:rsid w:val="416B7C26"/>
    <w:rsid w:val="41800EAA"/>
    <w:rsid w:val="41BB6E00"/>
    <w:rsid w:val="41C51A2C"/>
    <w:rsid w:val="41C60598"/>
    <w:rsid w:val="41CE17D7"/>
    <w:rsid w:val="41D07597"/>
    <w:rsid w:val="41DA7286"/>
    <w:rsid w:val="41DD28D2"/>
    <w:rsid w:val="41E93DF9"/>
    <w:rsid w:val="42111F89"/>
    <w:rsid w:val="421671F5"/>
    <w:rsid w:val="421F2E2C"/>
    <w:rsid w:val="422F7524"/>
    <w:rsid w:val="42590B55"/>
    <w:rsid w:val="42646575"/>
    <w:rsid w:val="428F18F3"/>
    <w:rsid w:val="42B24DB9"/>
    <w:rsid w:val="42C6780A"/>
    <w:rsid w:val="42D3262D"/>
    <w:rsid w:val="42DD6902"/>
    <w:rsid w:val="42E33757"/>
    <w:rsid w:val="42E973DF"/>
    <w:rsid w:val="430D7664"/>
    <w:rsid w:val="430E1A42"/>
    <w:rsid w:val="430F4ABF"/>
    <w:rsid w:val="43170066"/>
    <w:rsid w:val="4320516C"/>
    <w:rsid w:val="43323701"/>
    <w:rsid w:val="433F173E"/>
    <w:rsid w:val="43571F15"/>
    <w:rsid w:val="43710AF9"/>
    <w:rsid w:val="437D0900"/>
    <w:rsid w:val="439A0C45"/>
    <w:rsid w:val="43A45F94"/>
    <w:rsid w:val="43AA0EDA"/>
    <w:rsid w:val="43D140F2"/>
    <w:rsid w:val="43E15BC4"/>
    <w:rsid w:val="43E46244"/>
    <w:rsid w:val="43E90708"/>
    <w:rsid w:val="43EC4F6C"/>
    <w:rsid w:val="43FC73FB"/>
    <w:rsid w:val="44115403"/>
    <w:rsid w:val="441C408F"/>
    <w:rsid w:val="443145CD"/>
    <w:rsid w:val="443364C3"/>
    <w:rsid w:val="44415C92"/>
    <w:rsid w:val="44597031"/>
    <w:rsid w:val="445C6678"/>
    <w:rsid w:val="446E00D6"/>
    <w:rsid w:val="447367AC"/>
    <w:rsid w:val="449878BF"/>
    <w:rsid w:val="44AC40EF"/>
    <w:rsid w:val="44BA514C"/>
    <w:rsid w:val="44C4421D"/>
    <w:rsid w:val="44DD067C"/>
    <w:rsid w:val="44F45B7C"/>
    <w:rsid w:val="450D00C2"/>
    <w:rsid w:val="455C1665"/>
    <w:rsid w:val="456652D4"/>
    <w:rsid w:val="45723C79"/>
    <w:rsid w:val="459C4979"/>
    <w:rsid w:val="45AC5ACD"/>
    <w:rsid w:val="45C0360C"/>
    <w:rsid w:val="45E87A97"/>
    <w:rsid w:val="461049D4"/>
    <w:rsid w:val="461070E8"/>
    <w:rsid w:val="4626304F"/>
    <w:rsid w:val="462C5BD6"/>
    <w:rsid w:val="462E6385"/>
    <w:rsid w:val="46660BBD"/>
    <w:rsid w:val="467F21AA"/>
    <w:rsid w:val="468C4323"/>
    <w:rsid w:val="46A73DFF"/>
    <w:rsid w:val="46A95479"/>
    <w:rsid w:val="46B207D1"/>
    <w:rsid w:val="46BD74EB"/>
    <w:rsid w:val="46DD6EC6"/>
    <w:rsid w:val="46F25071"/>
    <w:rsid w:val="47160D44"/>
    <w:rsid w:val="47595CE4"/>
    <w:rsid w:val="475D7F74"/>
    <w:rsid w:val="476D4547"/>
    <w:rsid w:val="477213B5"/>
    <w:rsid w:val="478F28C0"/>
    <w:rsid w:val="47A619B8"/>
    <w:rsid w:val="47B02837"/>
    <w:rsid w:val="47F50935"/>
    <w:rsid w:val="47F55EF3"/>
    <w:rsid w:val="48163BFA"/>
    <w:rsid w:val="482A7CE1"/>
    <w:rsid w:val="48352F7F"/>
    <w:rsid w:val="483D40CA"/>
    <w:rsid w:val="488F2252"/>
    <w:rsid w:val="48A0709A"/>
    <w:rsid w:val="48B12D0A"/>
    <w:rsid w:val="48B96EBD"/>
    <w:rsid w:val="48C347E4"/>
    <w:rsid w:val="48D1329E"/>
    <w:rsid w:val="48D52555"/>
    <w:rsid w:val="48EF0DA1"/>
    <w:rsid w:val="48F55AB3"/>
    <w:rsid w:val="48F91BA2"/>
    <w:rsid w:val="490E543C"/>
    <w:rsid w:val="491675BC"/>
    <w:rsid w:val="491868E5"/>
    <w:rsid w:val="4920798D"/>
    <w:rsid w:val="493F5057"/>
    <w:rsid w:val="49485B83"/>
    <w:rsid w:val="495E0F0C"/>
    <w:rsid w:val="49607820"/>
    <w:rsid w:val="49793C61"/>
    <w:rsid w:val="497D4CBF"/>
    <w:rsid w:val="498D2E30"/>
    <w:rsid w:val="49BE123B"/>
    <w:rsid w:val="49BF6D61"/>
    <w:rsid w:val="49D33E49"/>
    <w:rsid w:val="49D547D7"/>
    <w:rsid w:val="49E52110"/>
    <w:rsid w:val="4A213237"/>
    <w:rsid w:val="4A232AF9"/>
    <w:rsid w:val="4A4A14DD"/>
    <w:rsid w:val="4A5266E8"/>
    <w:rsid w:val="4A5644B4"/>
    <w:rsid w:val="4A804742"/>
    <w:rsid w:val="4AA523FB"/>
    <w:rsid w:val="4AAC0A75"/>
    <w:rsid w:val="4ABA5374"/>
    <w:rsid w:val="4ADF3B5F"/>
    <w:rsid w:val="4B136FD1"/>
    <w:rsid w:val="4B273B92"/>
    <w:rsid w:val="4B2D3E10"/>
    <w:rsid w:val="4B686E38"/>
    <w:rsid w:val="4BA40904"/>
    <w:rsid w:val="4BA81D68"/>
    <w:rsid w:val="4BAE204F"/>
    <w:rsid w:val="4BB9615E"/>
    <w:rsid w:val="4BD351FC"/>
    <w:rsid w:val="4BE67716"/>
    <w:rsid w:val="4BE710D5"/>
    <w:rsid w:val="4BFD1CCE"/>
    <w:rsid w:val="4C6308A5"/>
    <w:rsid w:val="4C657D93"/>
    <w:rsid w:val="4C8449BE"/>
    <w:rsid w:val="4C8B54A5"/>
    <w:rsid w:val="4C9D07DA"/>
    <w:rsid w:val="4CAD235E"/>
    <w:rsid w:val="4CBB57A1"/>
    <w:rsid w:val="4CDA2455"/>
    <w:rsid w:val="4D096C71"/>
    <w:rsid w:val="4D0D33BB"/>
    <w:rsid w:val="4D3E1441"/>
    <w:rsid w:val="4D557BB2"/>
    <w:rsid w:val="4D653138"/>
    <w:rsid w:val="4D7447F7"/>
    <w:rsid w:val="4D770071"/>
    <w:rsid w:val="4D7F5185"/>
    <w:rsid w:val="4D96567D"/>
    <w:rsid w:val="4DA846DC"/>
    <w:rsid w:val="4DA86FCA"/>
    <w:rsid w:val="4DBD53F4"/>
    <w:rsid w:val="4DC1754C"/>
    <w:rsid w:val="4DC64BA7"/>
    <w:rsid w:val="4DD97858"/>
    <w:rsid w:val="4DDE5ABF"/>
    <w:rsid w:val="4DE736CC"/>
    <w:rsid w:val="4DF64584"/>
    <w:rsid w:val="4DF82831"/>
    <w:rsid w:val="4DF96CE5"/>
    <w:rsid w:val="4E0B0276"/>
    <w:rsid w:val="4E3521D8"/>
    <w:rsid w:val="4E4E7093"/>
    <w:rsid w:val="4E677901"/>
    <w:rsid w:val="4E6E3E55"/>
    <w:rsid w:val="4E7445BE"/>
    <w:rsid w:val="4E9D4F8D"/>
    <w:rsid w:val="4EC013DE"/>
    <w:rsid w:val="4EDD75C8"/>
    <w:rsid w:val="4EDE5EDB"/>
    <w:rsid w:val="4EFF6208"/>
    <w:rsid w:val="4F465A3B"/>
    <w:rsid w:val="4F7A7515"/>
    <w:rsid w:val="4F844638"/>
    <w:rsid w:val="4F9A042C"/>
    <w:rsid w:val="4FC0750A"/>
    <w:rsid w:val="4FCE41A2"/>
    <w:rsid w:val="4FD65FF0"/>
    <w:rsid w:val="4FFD05E3"/>
    <w:rsid w:val="501F0559"/>
    <w:rsid w:val="50425AF1"/>
    <w:rsid w:val="504604FF"/>
    <w:rsid w:val="504B3788"/>
    <w:rsid w:val="505C3827"/>
    <w:rsid w:val="50613B79"/>
    <w:rsid w:val="506672FB"/>
    <w:rsid w:val="508F1B83"/>
    <w:rsid w:val="509077B1"/>
    <w:rsid w:val="509E6B33"/>
    <w:rsid w:val="50A46614"/>
    <w:rsid w:val="50A46F51"/>
    <w:rsid w:val="50A9765B"/>
    <w:rsid w:val="50B60EBE"/>
    <w:rsid w:val="50CC576F"/>
    <w:rsid w:val="50CD0815"/>
    <w:rsid w:val="50D840F4"/>
    <w:rsid w:val="50ED2406"/>
    <w:rsid w:val="50FD7920"/>
    <w:rsid w:val="510C31D4"/>
    <w:rsid w:val="51207D9F"/>
    <w:rsid w:val="51273EEE"/>
    <w:rsid w:val="512B40EB"/>
    <w:rsid w:val="51315185"/>
    <w:rsid w:val="51325980"/>
    <w:rsid w:val="51404C2B"/>
    <w:rsid w:val="51444749"/>
    <w:rsid w:val="514701A7"/>
    <w:rsid w:val="51560AAD"/>
    <w:rsid w:val="51606FB8"/>
    <w:rsid w:val="516916E5"/>
    <w:rsid w:val="51691F9D"/>
    <w:rsid w:val="516C09FD"/>
    <w:rsid w:val="51714DE5"/>
    <w:rsid w:val="517444F8"/>
    <w:rsid w:val="5176762C"/>
    <w:rsid w:val="51B03B5F"/>
    <w:rsid w:val="51C24B77"/>
    <w:rsid w:val="51E16408"/>
    <w:rsid w:val="51E174C9"/>
    <w:rsid w:val="51E2438D"/>
    <w:rsid w:val="51E44BBF"/>
    <w:rsid w:val="52221E4F"/>
    <w:rsid w:val="52235B5E"/>
    <w:rsid w:val="524859B6"/>
    <w:rsid w:val="525D6D20"/>
    <w:rsid w:val="52724660"/>
    <w:rsid w:val="52890547"/>
    <w:rsid w:val="52C91556"/>
    <w:rsid w:val="52E9575C"/>
    <w:rsid w:val="52ED56C7"/>
    <w:rsid w:val="52EF4B5B"/>
    <w:rsid w:val="52FC52CA"/>
    <w:rsid w:val="52FF7A36"/>
    <w:rsid w:val="53046FC0"/>
    <w:rsid w:val="53092709"/>
    <w:rsid w:val="530C74BB"/>
    <w:rsid w:val="533834C0"/>
    <w:rsid w:val="534E0E94"/>
    <w:rsid w:val="53594708"/>
    <w:rsid w:val="536270DB"/>
    <w:rsid w:val="536A3E9C"/>
    <w:rsid w:val="536B2E39"/>
    <w:rsid w:val="538A1F90"/>
    <w:rsid w:val="539226AB"/>
    <w:rsid w:val="539D7977"/>
    <w:rsid w:val="53BE7EF7"/>
    <w:rsid w:val="53C934E8"/>
    <w:rsid w:val="53D81FA2"/>
    <w:rsid w:val="53DC7843"/>
    <w:rsid w:val="53E144A4"/>
    <w:rsid w:val="53E53868"/>
    <w:rsid w:val="53E87720"/>
    <w:rsid w:val="53EF0513"/>
    <w:rsid w:val="53FF5515"/>
    <w:rsid w:val="540C5102"/>
    <w:rsid w:val="541008E5"/>
    <w:rsid w:val="54143355"/>
    <w:rsid w:val="541E7256"/>
    <w:rsid w:val="542C1497"/>
    <w:rsid w:val="544F555F"/>
    <w:rsid w:val="546F1220"/>
    <w:rsid w:val="54811482"/>
    <w:rsid w:val="54945119"/>
    <w:rsid w:val="54A20CCB"/>
    <w:rsid w:val="54AE46C0"/>
    <w:rsid w:val="54B27180"/>
    <w:rsid w:val="54B42950"/>
    <w:rsid w:val="54B82CD1"/>
    <w:rsid w:val="54BA25CA"/>
    <w:rsid w:val="54DB2C3A"/>
    <w:rsid w:val="54DE1FB6"/>
    <w:rsid w:val="54EF499E"/>
    <w:rsid w:val="54FF095A"/>
    <w:rsid w:val="550769BE"/>
    <w:rsid w:val="550A63A2"/>
    <w:rsid w:val="553347B2"/>
    <w:rsid w:val="554D5B69"/>
    <w:rsid w:val="55524F2D"/>
    <w:rsid w:val="555C0305"/>
    <w:rsid w:val="556260E0"/>
    <w:rsid w:val="55674E7D"/>
    <w:rsid w:val="556D002C"/>
    <w:rsid w:val="55887F86"/>
    <w:rsid w:val="559155C0"/>
    <w:rsid w:val="55CB540B"/>
    <w:rsid w:val="55D13C81"/>
    <w:rsid w:val="55EA2F72"/>
    <w:rsid w:val="55F77B7D"/>
    <w:rsid w:val="55FD7055"/>
    <w:rsid w:val="5604091D"/>
    <w:rsid w:val="5606092B"/>
    <w:rsid w:val="5611748D"/>
    <w:rsid w:val="56157EE2"/>
    <w:rsid w:val="561C493E"/>
    <w:rsid w:val="56222B52"/>
    <w:rsid w:val="563A433F"/>
    <w:rsid w:val="5661367A"/>
    <w:rsid w:val="567B6F8D"/>
    <w:rsid w:val="56D86A92"/>
    <w:rsid w:val="56FA48AB"/>
    <w:rsid w:val="57017014"/>
    <w:rsid w:val="571121E6"/>
    <w:rsid w:val="57163EF1"/>
    <w:rsid w:val="572F6F58"/>
    <w:rsid w:val="573D7550"/>
    <w:rsid w:val="57406E07"/>
    <w:rsid w:val="57420301"/>
    <w:rsid w:val="57571CBA"/>
    <w:rsid w:val="575E5E0B"/>
    <w:rsid w:val="576742A8"/>
    <w:rsid w:val="57862B07"/>
    <w:rsid w:val="578C3EDA"/>
    <w:rsid w:val="57923D07"/>
    <w:rsid w:val="57995614"/>
    <w:rsid w:val="57CB5E90"/>
    <w:rsid w:val="57D61323"/>
    <w:rsid w:val="57D97142"/>
    <w:rsid w:val="57E435D7"/>
    <w:rsid w:val="57EB6716"/>
    <w:rsid w:val="57EC7962"/>
    <w:rsid w:val="57F64296"/>
    <w:rsid w:val="581110D0"/>
    <w:rsid w:val="58486325"/>
    <w:rsid w:val="5855720E"/>
    <w:rsid w:val="586A0B5F"/>
    <w:rsid w:val="589D2B5D"/>
    <w:rsid w:val="58AA3715"/>
    <w:rsid w:val="58CB7C75"/>
    <w:rsid w:val="590637CC"/>
    <w:rsid w:val="59396B30"/>
    <w:rsid w:val="59494C24"/>
    <w:rsid w:val="596D67DA"/>
    <w:rsid w:val="597178BD"/>
    <w:rsid w:val="597C19FF"/>
    <w:rsid w:val="598D50EC"/>
    <w:rsid w:val="599D2F5A"/>
    <w:rsid w:val="59A02FEB"/>
    <w:rsid w:val="59AB1EEB"/>
    <w:rsid w:val="59FD4D67"/>
    <w:rsid w:val="5A064894"/>
    <w:rsid w:val="5A256DF3"/>
    <w:rsid w:val="5A3645F8"/>
    <w:rsid w:val="5A3731EF"/>
    <w:rsid w:val="5A576930"/>
    <w:rsid w:val="5A78237F"/>
    <w:rsid w:val="5A8042EB"/>
    <w:rsid w:val="5A94176B"/>
    <w:rsid w:val="5AAE6976"/>
    <w:rsid w:val="5AC00CB1"/>
    <w:rsid w:val="5AD605A9"/>
    <w:rsid w:val="5ADC0752"/>
    <w:rsid w:val="5B0D494B"/>
    <w:rsid w:val="5B305D11"/>
    <w:rsid w:val="5B3D232E"/>
    <w:rsid w:val="5B4362A5"/>
    <w:rsid w:val="5B4C2219"/>
    <w:rsid w:val="5B7D4CB3"/>
    <w:rsid w:val="5B9F02B8"/>
    <w:rsid w:val="5BF771A0"/>
    <w:rsid w:val="5C01181E"/>
    <w:rsid w:val="5C242FAD"/>
    <w:rsid w:val="5C2F7023"/>
    <w:rsid w:val="5C3B2380"/>
    <w:rsid w:val="5C560AA1"/>
    <w:rsid w:val="5C5765FF"/>
    <w:rsid w:val="5C653798"/>
    <w:rsid w:val="5C683FC9"/>
    <w:rsid w:val="5C71213D"/>
    <w:rsid w:val="5C7659A5"/>
    <w:rsid w:val="5C7E5647"/>
    <w:rsid w:val="5C835D51"/>
    <w:rsid w:val="5C8956D8"/>
    <w:rsid w:val="5CB50921"/>
    <w:rsid w:val="5CB97CEE"/>
    <w:rsid w:val="5CDF5465"/>
    <w:rsid w:val="5CF91664"/>
    <w:rsid w:val="5D0315F4"/>
    <w:rsid w:val="5D0F3364"/>
    <w:rsid w:val="5D5E4DB7"/>
    <w:rsid w:val="5D6879E4"/>
    <w:rsid w:val="5D743365"/>
    <w:rsid w:val="5D7568A0"/>
    <w:rsid w:val="5DAD53F7"/>
    <w:rsid w:val="5DC40909"/>
    <w:rsid w:val="5DC60FED"/>
    <w:rsid w:val="5DD33393"/>
    <w:rsid w:val="5DD37010"/>
    <w:rsid w:val="5DD40DE1"/>
    <w:rsid w:val="5DE2512E"/>
    <w:rsid w:val="5E01029F"/>
    <w:rsid w:val="5E1E4546"/>
    <w:rsid w:val="5E2E29DB"/>
    <w:rsid w:val="5E6D48B4"/>
    <w:rsid w:val="5E710C51"/>
    <w:rsid w:val="5E724AF3"/>
    <w:rsid w:val="5E7B2085"/>
    <w:rsid w:val="5EA642E3"/>
    <w:rsid w:val="5ECF75EF"/>
    <w:rsid w:val="5ED25F87"/>
    <w:rsid w:val="5EFE791D"/>
    <w:rsid w:val="5F1C0996"/>
    <w:rsid w:val="5F1F0576"/>
    <w:rsid w:val="5F247AF2"/>
    <w:rsid w:val="5F2913F5"/>
    <w:rsid w:val="5F8778BC"/>
    <w:rsid w:val="5F881C77"/>
    <w:rsid w:val="5F985324"/>
    <w:rsid w:val="5F9F4996"/>
    <w:rsid w:val="5FCC6692"/>
    <w:rsid w:val="5FD3198D"/>
    <w:rsid w:val="5FDD7B11"/>
    <w:rsid w:val="5FE52B23"/>
    <w:rsid w:val="5FF27A39"/>
    <w:rsid w:val="60152B44"/>
    <w:rsid w:val="60250C53"/>
    <w:rsid w:val="60643201"/>
    <w:rsid w:val="60A32AE1"/>
    <w:rsid w:val="60B750F9"/>
    <w:rsid w:val="60B860A6"/>
    <w:rsid w:val="60C45693"/>
    <w:rsid w:val="60D355CB"/>
    <w:rsid w:val="60E43825"/>
    <w:rsid w:val="60EF15C7"/>
    <w:rsid w:val="610030FD"/>
    <w:rsid w:val="61204F0E"/>
    <w:rsid w:val="613D7BA6"/>
    <w:rsid w:val="6146003C"/>
    <w:rsid w:val="61562471"/>
    <w:rsid w:val="615B34AF"/>
    <w:rsid w:val="6175447D"/>
    <w:rsid w:val="61842912"/>
    <w:rsid w:val="61A26F1A"/>
    <w:rsid w:val="61E138C1"/>
    <w:rsid w:val="61E6211C"/>
    <w:rsid w:val="61F234B5"/>
    <w:rsid w:val="623600B0"/>
    <w:rsid w:val="623A72C4"/>
    <w:rsid w:val="624D53FA"/>
    <w:rsid w:val="62554C77"/>
    <w:rsid w:val="62612C54"/>
    <w:rsid w:val="627B3DA9"/>
    <w:rsid w:val="627F5A03"/>
    <w:rsid w:val="62944DD7"/>
    <w:rsid w:val="62AC4A48"/>
    <w:rsid w:val="62BC284B"/>
    <w:rsid w:val="62BD2580"/>
    <w:rsid w:val="62F51D1A"/>
    <w:rsid w:val="63007400"/>
    <w:rsid w:val="6303439D"/>
    <w:rsid w:val="630A37D1"/>
    <w:rsid w:val="63147CC6"/>
    <w:rsid w:val="631A30FD"/>
    <w:rsid w:val="63640C4D"/>
    <w:rsid w:val="637E63A2"/>
    <w:rsid w:val="63881792"/>
    <w:rsid w:val="639C2195"/>
    <w:rsid w:val="639E415F"/>
    <w:rsid w:val="63AC2144"/>
    <w:rsid w:val="63E33F1D"/>
    <w:rsid w:val="6401123F"/>
    <w:rsid w:val="64177A6E"/>
    <w:rsid w:val="64443B8B"/>
    <w:rsid w:val="644545DB"/>
    <w:rsid w:val="644665A5"/>
    <w:rsid w:val="644F4CFA"/>
    <w:rsid w:val="646079C8"/>
    <w:rsid w:val="64706BCE"/>
    <w:rsid w:val="64712BA1"/>
    <w:rsid w:val="64787B86"/>
    <w:rsid w:val="647C795A"/>
    <w:rsid w:val="64A05CB5"/>
    <w:rsid w:val="64AA5F21"/>
    <w:rsid w:val="64AF5C32"/>
    <w:rsid w:val="64BE25DF"/>
    <w:rsid w:val="64C319A4"/>
    <w:rsid w:val="64C92CD0"/>
    <w:rsid w:val="64CB3C7D"/>
    <w:rsid w:val="64FB738F"/>
    <w:rsid w:val="650E70C3"/>
    <w:rsid w:val="651A24C7"/>
    <w:rsid w:val="655967AF"/>
    <w:rsid w:val="655A5E64"/>
    <w:rsid w:val="657038D9"/>
    <w:rsid w:val="657607C4"/>
    <w:rsid w:val="659278D1"/>
    <w:rsid w:val="65B914ED"/>
    <w:rsid w:val="65C22231"/>
    <w:rsid w:val="65CB5462"/>
    <w:rsid w:val="65DD0AAC"/>
    <w:rsid w:val="65E96A61"/>
    <w:rsid w:val="65F168CE"/>
    <w:rsid w:val="661C76A7"/>
    <w:rsid w:val="665925BF"/>
    <w:rsid w:val="665C58B7"/>
    <w:rsid w:val="66963803"/>
    <w:rsid w:val="66A51887"/>
    <w:rsid w:val="66A8003B"/>
    <w:rsid w:val="66BC14F6"/>
    <w:rsid w:val="66D57CFB"/>
    <w:rsid w:val="66E67245"/>
    <w:rsid w:val="66E72694"/>
    <w:rsid w:val="66EF7987"/>
    <w:rsid w:val="66F93DD9"/>
    <w:rsid w:val="670C7632"/>
    <w:rsid w:val="670F44B0"/>
    <w:rsid w:val="671C29BF"/>
    <w:rsid w:val="67340937"/>
    <w:rsid w:val="67362901"/>
    <w:rsid w:val="677551D7"/>
    <w:rsid w:val="677E67CE"/>
    <w:rsid w:val="67852F40"/>
    <w:rsid w:val="678E18B5"/>
    <w:rsid w:val="67A51237"/>
    <w:rsid w:val="67B35CFF"/>
    <w:rsid w:val="67C91246"/>
    <w:rsid w:val="67CC6DC1"/>
    <w:rsid w:val="67CD5A44"/>
    <w:rsid w:val="67EE2BAD"/>
    <w:rsid w:val="68017668"/>
    <w:rsid w:val="681731B9"/>
    <w:rsid w:val="681A3F7D"/>
    <w:rsid w:val="68223CCB"/>
    <w:rsid w:val="68352BB8"/>
    <w:rsid w:val="68357177"/>
    <w:rsid w:val="6837221D"/>
    <w:rsid w:val="686C6461"/>
    <w:rsid w:val="68826485"/>
    <w:rsid w:val="68B40C7F"/>
    <w:rsid w:val="68BE670A"/>
    <w:rsid w:val="68C161FA"/>
    <w:rsid w:val="68C63BDB"/>
    <w:rsid w:val="68C95493"/>
    <w:rsid w:val="68D91796"/>
    <w:rsid w:val="68D94FAF"/>
    <w:rsid w:val="69024477"/>
    <w:rsid w:val="69150BF2"/>
    <w:rsid w:val="692E4436"/>
    <w:rsid w:val="694A61EF"/>
    <w:rsid w:val="69894F6A"/>
    <w:rsid w:val="69933E4B"/>
    <w:rsid w:val="69A20F81"/>
    <w:rsid w:val="69A35422"/>
    <w:rsid w:val="69AB3A7D"/>
    <w:rsid w:val="69C65BE4"/>
    <w:rsid w:val="69CC3FBB"/>
    <w:rsid w:val="69EA2045"/>
    <w:rsid w:val="6A130CD7"/>
    <w:rsid w:val="6A1E2B6C"/>
    <w:rsid w:val="6A1E30C4"/>
    <w:rsid w:val="6A23271D"/>
    <w:rsid w:val="6A2E1BE4"/>
    <w:rsid w:val="6A301A1C"/>
    <w:rsid w:val="6A396919"/>
    <w:rsid w:val="6A3A22E5"/>
    <w:rsid w:val="6A4F36E8"/>
    <w:rsid w:val="6A81100C"/>
    <w:rsid w:val="6AB044B1"/>
    <w:rsid w:val="6ABE0726"/>
    <w:rsid w:val="6ACD0E86"/>
    <w:rsid w:val="6AD2381B"/>
    <w:rsid w:val="6AD4043F"/>
    <w:rsid w:val="6AD55F8D"/>
    <w:rsid w:val="6AD64330"/>
    <w:rsid w:val="6AF65D94"/>
    <w:rsid w:val="6AF761FE"/>
    <w:rsid w:val="6B1D005F"/>
    <w:rsid w:val="6B2547D6"/>
    <w:rsid w:val="6B3544A2"/>
    <w:rsid w:val="6B416685"/>
    <w:rsid w:val="6B541E95"/>
    <w:rsid w:val="6B727540"/>
    <w:rsid w:val="6B9C4371"/>
    <w:rsid w:val="6BC42A7C"/>
    <w:rsid w:val="6BC7490C"/>
    <w:rsid w:val="6BE8335D"/>
    <w:rsid w:val="6BF73B05"/>
    <w:rsid w:val="6BFE3795"/>
    <w:rsid w:val="6C1B2AD6"/>
    <w:rsid w:val="6C1B3E31"/>
    <w:rsid w:val="6C222C56"/>
    <w:rsid w:val="6C316263"/>
    <w:rsid w:val="6C360C2C"/>
    <w:rsid w:val="6C491A0C"/>
    <w:rsid w:val="6C4C0566"/>
    <w:rsid w:val="6C5D7DC3"/>
    <w:rsid w:val="6C943714"/>
    <w:rsid w:val="6C9A5918"/>
    <w:rsid w:val="6CB3355C"/>
    <w:rsid w:val="6CC6282E"/>
    <w:rsid w:val="6CD428BB"/>
    <w:rsid w:val="6D2D3E5E"/>
    <w:rsid w:val="6D325884"/>
    <w:rsid w:val="6D3D435D"/>
    <w:rsid w:val="6D677FE2"/>
    <w:rsid w:val="6D7D171B"/>
    <w:rsid w:val="6DA36813"/>
    <w:rsid w:val="6DAD4E3D"/>
    <w:rsid w:val="6DD43CBA"/>
    <w:rsid w:val="6DD64DC0"/>
    <w:rsid w:val="6DE41136"/>
    <w:rsid w:val="6DE60644"/>
    <w:rsid w:val="6E00489E"/>
    <w:rsid w:val="6E3F2638"/>
    <w:rsid w:val="6E470F4F"/>
    <w:rsid w:val="6E652406"/>
    <w:rsid w:val="6E7137CF"/>
    <w:rsid w:val="6E7855AD"/>
    <w:rsid w:val="6EB83E57"/>
    <w:rsid w:val="6EE24EE2"/>
    <w:rsid w:val="6F0318A2"/>
    <w:rsid w:val="6F1112C2"/>
    <w:rsid w:val="6F2A4A81"/>
    <w:rsid w:val="6F2C0ECD"/>
    <w:rsid w:val="6F462D57"/>
    <w:rsid w:val="6F4C2053"/>
    <w:rsid w:val="6F795A80"/>
    <w:rsid w:val="6FB1038F"/>
    <w:rsid w:val="6FBC37F6"/>
    <w:rsid w:val="6FC35FD5"/>
    <w:rsid w:val="6FCC6DB8"/>
    <w:rsid w:val="6FF43560"/>
    <w:rsid w:val="702C2566"/>
    <w:rsid w:val="70391B19"/>
    <w:rsid w:val="70413402"/>
    <w:rsid w:val="704B6D32"/>
    <w:rsid w:val="705E4C8A"/>
    <w:rsid w:val="7075449A"/>
    <w:rsid w:val="70953C43"/>
    <w:rsid w:val="70A22ACD"/>
    <w:rsid w:val="70C3563F"/>
    <w:rsid w:val="70C63DB1"/>
    <w:rsid w:val="70E23694"/>
    <w:rsid w:val="711A444B"/>
    <w:rsid w:val="714753D0"/>
    <w:rsid w:val="71547A52"/>
    <w:rsid w:val="715645D0"/>
    <w:rsid w:val="716629CD"/>
    <w:rsid w:val="71796B56"/>
    <w:rsid w:val="71910A7F"/>
    <w:rsid w:val="71914028"/>
    <w:rsid w:val="71953D18"/>
    <w:rsid w:val="71B11590"/>
    <w:rsid w:val="71BF0D15"/>
    <w:rsid w:val="71CB1E97"/>
    <w:rsid w:val="71D76A8E"/>
    <w:rsid w:val="71FA7A5D"/>
    <w:rsid w:val="71FE634A"/>
    <w:rsid w:val="72097CD5"/>
    <w:rsid w:val="721C29E0"/>
    <w:rsid w:val="72210BA0"/>
    <w:rsid w:val="72404633"/>
    <w:rsid w:val="727147ED"/>
    <w:rsid w:val="72801A25"/>
    <w:rsid w:val="72914E8F"/>
    <w:rsid w:val="729272A9"/>
    <w:rsid w:val="72930C07"/>
    <w:rsid w:val="72AC3309"/>
    <w:rsid w:val="72D96F1A"/>
    <w:rsid w:val="72DB7FA3"/>
    <w:rsid w:val="72F10F91"/>
    <w:rsid w:val="73131F38"/>
    <w:rsid w:val="73206D4A"/>
    <w:rsid w:val="735F5D8A"/>
    <w:rsid w:val="736E458C"/>
    <w:rsid w:val="73707205"/>
    <w:rsid w:val="737C2873"/>
    <w:rsid w:val="738D7838"/>
    <w:rsid w:val="73B03ED3"/>
    <w:rsid w:val="73ED094A"/>
    <w:rsid w:val="73EF26C0"/>
    <w:rsid w:val="74133DA0"/>
    <w:rsid w:val="74363F40"/>
    <w:rsid w:val="743C1E05"/>
    <w:rsid w:val="746C5BB4"/>
    <w:rsid w:val="7474580E"/>
    <w:rsid w:val="748A7EA3"/>
    <w:rsid w:val="74A570A6"/>
    <w:rsid w:val="74B60BDD"/>
    <w:rsid w:val="74BF236C"/>
    <w:rsid w:val="74C46227"/>
    <w:rsid w:val="74C6686C"/>
    <w:rsid w:val="74F5489D"/>
    <w:rsid w:val="750758DC"/>
    <w:rsid w:val="75645ACD"/>
    <w:rsid w:val="75873952"/>
    <w:rsid w:val="75A82C1C"/>
    <w:rsid w:val="75CD61DE"/>
    <w:rsid w:val="75CE1F56"/>
    <w:rsid w:val="75CF60AB"/>
    <w:rsid w:val="75DB558A"/>
    <w:rsid w:val="75E3187A"/>
    <w:rsid w:val="760D7895"/>
    <w:rsid w:val="76112442"/>
    <w:rsid w:val="762828A3"/>
    <w:rsid w:val="762B73A9"/>
    <w:rsid w:val="76344E5E"/>
    <w:rsid w:val="76417878"/>
    <w:rsid w:val="764378F7"/>
    <w:rsid w:val="764B6250"/>
    <w:rsid w:val="76563B35"/>
    <w:rsid w:val="76592168"/>
    <w:rsid w:val="765944FD"/>
    <w:rsid w:val="766102F3"/>
    <w:rsid w:val="768014A2"/>
    <w:rsid w:val="76A258BD"/>
    <w:rsid w:val="76A41725"/>
    <w:rsid w:val="76CE1CFB"/>
    <w:rsid w:val="76E732D0"/>
    <w:rsid w:val="76F61A9D"/>
    <w:rsid w:val="76F92560"/>
    <w:rsid w:val="76FE2C0B"/>
    <w:rsid w:val="770E0F8E"/>
    <w:rsid w:val="7715608F"/>
    <w:rsid w:val="77201069"/>
    <w:rsid w:val="77302A58"/>
    <w:rsid w:val="7734010A"/>
    <w:rsid w:val="773C570F"/>
    <w:rsid w:val="774B0EA4"/>
    <w:rsid w:val="7755123B"/>
    <w:rsid w:val="77633120"/>
    <w:rsid w:val="77710D34"/>
    <w:rsid w:val="778C3E77"/>
    <w:rsid w:val="779767D5"/>
    <w:rsid w:val="77A449DB"/>
    <w:rsid w:val="77A45665"/>
    <w:rsid w:val="77B62233"/>
    <w:rsid w:val="77ED7457"/>
    <w:rsid w:val="77FC3840"/>
    <w:rsid w:val="78262DFD"/>
    <w:rsid w:val="783C4642"/>
    <w:rsid w:val="7851156E"/>
    <w:rsid w:val="7854124E"/>
    <w:rsid w:val="78795E93"/>
    <w:rsid w:val="788B772B"/>
    <w:rsid w:val="78992CEF"/>
    <w:rsid w:val="78D75217"/>
    <w:rsid w:val="78FB12B4"/>
    <w:rsid w:val="78FB5E2E"/>
    <w:rsid w:val="79017595"/>
    <w:rsid w:val="790C6F5C"/>
    <w:rsid w:val="790E2F6A"/>
    <w:rsid w:val="791F4406"/>
    <w:rsid w:val="793076B5"/>
    <w:rsid w:val="79333A86"/>
    <w:rsid w:val="7944138C"/>
    <w:rsid w:val="794B6EAC"/>
    <w:rsid w:val="79516D9E"/>
    <w:rsid w:val="79607369"/>
    <w:rsid w:val="79802E69"/>
    <w:rsid w:val="798B00AD"/>
    <w:rsid w:val="79907C4E"/>
    <w:rsid w:val="79933C95"/>
    <w:rsid w:val="799408ED"/>
    <w:rsid w:val="79C36141"/>
    <w:rsid w:val="79C41373"/>
    <w:rsid w:val="79FD2E57"/>
    <w:rsid w:val="7A0D5810"/>
    <w:rsid w:val="7A212F9C"/>
    <w:rsid w:val="7A2C2A1F"/>
    <w:rsid w:val="7A3F7AA5"/>
    <w:rsid w:val="7A486039"/>
    <w:rsid w:val="7A49755B"/>
    <w:rsid w:val="7A4F07BE"/>
    <w:rsid w:val="7A7A445B"/>
    <w:rsid w:val="7A97325F"/>
    <w:rsid w:val="7AD25982"/>
    <w:rsid w:val="7AD54640"/>
    <w:rsid w:val="7AF55CC9"/>
    <w:rsid w:val="7B1126EB"/>
    <w:rsid w:val="7B191EC6"/>
    <w:rsid w:val="7B3A6352"/>
    <w:rsid w:val="7B4236A6"/>
    <w:rsid w:val="7B513868"/>
    <w:rsid w:val="7B660B57"/>
    <w:rsid w:val="7B694BFB"/>
    <w:rsid w:val="7BA67BFD"/>
    <w:rsid w:val="7BA93249"/>
    <w:rsid w:val="7BCC5AFD"/>
    <w:rsid w:val="7C0C44D2"/>
    <w:rsid w:val="7C3C2E1B"/>
    <w:rsid w:val="7C3D681D"/>
    <w:rsid w:val="7C4A3E13"/>
    <w:rsid w:val="7C4E20AD"/>
    <w:rsid w:val="7C7A5CF2"/>
    <w:rsid w:val="7C7E70CA"/>
    <w:rsid w:val="7C8415C1"/>
    <w:rsid w:val="7C9E08D4"/>
    <w:rsid w:val="7CB35984"/>
    <w:rsid w:val="7CB63FC6"/>
    <w:rsid w:val="7CE502B1"/>
    <w:rsid w:val="7CF93BFA"/>
    <w:rsid w:val="7D056BA5"/>
    <w:rsid w:val="7D0B2CF5"/>
    <w:rsid w:val="7D15623A"/>
    <w:rsid w:val="7D2267FB"/>
    <w:rsid w:val="7D554115"/>
    <w:rsid w:val="7D726F14"/>
    <w:rsid w:val="7D807BD0"/>
    <w:rsid w:val="7DB87774"/>
    <w:rsid w:val="7DC531B0"/>
    <w:rsid w:val="7DED55ED"/>
    <w:rsid w:val="7E1C3938"/>
    <w:rsid w:val="7E2B3F60"/>
    <w:rsid w:val="7E2E6078"/>
    <w:rsid w:val="7E394AB6"/>
    <w:rsid w:val="7E3B34FD"/>
    <w:rsid w:val="7E633B84"/>
    <w:rsid w:val="7E8D3519"/>
    <w:rsid w:val="7E95735F"/>
    <w:rsid w:val="7EA3355B"/>
    <w:rsid w:val="7ECA4446"/>
    <w:rsid w:val="7ECC19DD"/>
    <w:rsid w:val="7EFE565A"/>
    <w:rsid w:val="7F052E8D"/>
    <w:rsid w:val="7F054C3B"/>
    <w:rsid w:val="7F067294"/>
    <w:rsid w:val="7F123C80"/>
    <w:rsid w:val="7F1937EB"/>
    <w:rsid w:val="7F2449A4"/>
    <w:rsid w:val="7F6033CE"/>
    <w:rsid w:val="7F6820BF"/>
    <w:rsid w:val="7F6E46B3"/>
    <w:rsid w:val="7F762529"/>
    <w:rsid w:val="7F7678E7"/>
    <w:rsid w:val="7F8C55F6"/>
    <w:rsid w:val="7FBE6AC0"/>
    <w:rsid w:val="7FCA72F8"/>
    <w:rsid w:val="7FCC0B4F"/>
    <w:rsid w:val="7FD0349B"/>
    <w:rsid w:val="7FDF5694"/>
    <w:rsid w:val="7FE2489A"/>
    <w:rsid w:val="7FEC5DFB"/>
    <w:rsid w:val="7FEE3AA0"/>
    <w:rsid w:val="7FFB746C"/>
    <w:rsid w:val="7FFC4290"/>
    <w:rsid w:val="7FFE0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autoRedefine/>
    <w:qFormat/>
    <w:uiPriority w:val="0"/>
    <w:pPr>
      <w:spacing w:beforeAutospacing="1" w:afterAutospacing="1"/>
      <w:jc w:val="left"/>
      <w:outlineLvl w:val="0"/>
    </w:pPr>
    <w:rPr>
      <w:rFonts w:hint="eastAsia" w:ascii="宋体" w:hAnsi="宋体"/>
      <w:b/>
      <w:bCs/>
      <w:kern w:val="44"/>
      <w:sz w:val="48"/>
      <w:szCs w:val="48"/>
    </w:rPr>
  </w:style>
  <w:style w:type="paragraph" w:styleId="6">
    <w:name w:val="heading 2"/>
    <w:basedOn w:val="1"/>
    <w:next w:val="1"/>
    <w:autoRedefine/>
    <w:semiHidden/>
    <w:unhideWhenUsed/>
    <w:qFormat/>
    <w:uiPriority w:val="0"/>
    <w:pPr>
      <w:spacing w:beforeAutospacing="1" w:afterAutospacing="1"/>
      <w:jc w:val="left"/>
      <w:outlineLvl w:val="1"/>
    </w:pPr>
    <w:rPr>
      <w:rFonts w:hint="eastAsia" w:ascii="宋体" w:hAnsi="宋体"/>
      <w:b/>
      <w:bCs/>
      <w:kern w:val="0"/>
      <w:sz w:val="36"/>
      <w:szCs w:val="36"/>
    </w:rPr>
  </w:style>
  <w:style w:type="paragraph" w:styleId="7">
    <w:name w:val="heading 3"/>
    <w:basedOn w:val="1"/>
    <w:next w:val="1"/>
    <w:autoRedefine/>
    <w:unhideWhenUsed/>
    <w:qFormat/>
    <w:uiPriority w:val="0"/>
    <w:pPr>
      <w:keepNext/>
      <w:keepLines/>
      <w:spacing w:line="360" w:lineRule="auto"/>
      <w:jc w:val="left"/>
      <w:outlineLvl w:val="2"/>
    </w:pPr>
    <w:rPr>
      <w:rFonts w:ascii="Calibri" w:hAnsi="Calibri"/>
      <w:b/>
    </w:rPr>
  </w:style>
  <w:style w:type="paragraph" w:styleId="8">
    <w:name w:val="heading 4"/>
    <w:basedOn w:val="1"/>
    <w:next w:val="1"/>
    <w:qFormat/>
    <w:uiPriority w:val="9"/>
    <w:pPr>
      <w:keepNext/>
      <w:keepLines/>
      <w:spacing w:before="156" w:beforeLines="50" w:after="156" w:afterLines="50" w:line="380" w:lineRule="exact"/>
      <w:outlineLvl w:val="3"/>
    </w:pPr>
    <w:rPr>
      <w:rFonts w:eastAsia="黑体"/>
      <w:bCs/>
      <w:kern w:val="0"/>
      <w:sz w:val="24"/>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autoRedefine/>
    <w:qFormat/>
    <w:uiPriority w:val="0"/>
    <w:pPr>
      <w:autoSpaceDE w:val="0"/>
      <w:autoSpaceDN w:val="0"/>
    </w:pPr>
    <w:rPr>
      <w:rFonts w:ascii="Times New Roman" w:hAnsi="Times New Roman"/>
      <w:color w:val="000000"/>
      <w:sz w:val="24"/>
      <w:szCs w:val="24"/>
    </w:rPr>
  </w:style>
  <w:style w:type="paragraph" w:customStyle="1" w:styleId="3">
    <w:name w:val="纯文本1"/>
    <w:basedOn w:val="1"/>
    <w:autoRedefine/>
    <w:qFormat/>
    <w:uiPriority w:val="0"/>
    <w:pPr>
      <w:adjustRightInd w:val="0"/>
    </w:pPr>
    <w:rPr>
      <w:rFonts w:ascii="宋体" w:hAnsi="Courier New"/>
      <w:szCs w:val="20"/>
    </w:rPr>
  </w:style>
  <w:style w:type="paragraph" w:styleId="4">
    <w:name w:val="List 3"/>
    <w:basedOn w:val="1"/>
    <w:next w:val="1"/>
    <w:autoRedefine/>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9">
    <w:name w:val="Normal Indent"/>
    <w:basedOn w:val="1"/>
    <w:autoRedefine/>
    <w:qFormat/>
    <w:uiPriority w:val="0"/>
    <w:pPr>
      <w:adjustRightInd w:val="0"/>
      <w:spacing w:line="312" w:lineRule="atLeast"/>
      <w:ind w:firstLine="420"/>
      <w:textAlignment w:val="baseline"/>
    </w:pPr>
  </w:style>
  <w:style w:type="paragraph" w:styleId="10">
    <w:name w:val="caption"/>
    <w:basedOn w:val="1"/>
    <w:next w:val="1"/>
    <w:autoRedefine/>
    <w:qFormat/>
    <w:uiPriority w:val="0"/>
    <w:pPr>
      <w:jc w:val="center"/>
    </w:pPr>
    <w:rPr>
      <w:rFonts w:ascii="Cambria" w:hAnsi="Cambria"/>
      <w:b/>
      <w:sz w:val="24"/>
      <w:szCs w:val="20"/>
    </w:rPr>
  </w:style>
  <w:style w:type="paragraph" w:styleId="11">
    <w:name w:val="annotation text"/>
    <w:basedOn w:val="1"/>
    <w:link w:val="59"/>
    <w:autoRedefine/>
    <w:qFormat/>
    <w:uiPriority w:val="0"/>
    <w:pPr>
      <w:jc w:val="left"/>
    </w:pPr>
  </w:style>
  <w:style w:type="paragraph" w:styleId="12">
    <w:name w:val="Salutation"/>
    <w:basedOn w:val="1"/>
    <w:next w:val="1"/>
    <w:autoRedefine/>
    <w:qFormat/>
    <w:uiPriority w:val="0"/>
  </w:style>
  <w:style w:type="paragraph" w:styleId="13">
    <w:name w:val="Body Text"/>
    <w:basedOn w:val="1"/>
    <w:next w:val="14"/>
    <w:autoRedefine/>
    <w:qFormat/>
    <w:uiPriority w:val="0"/>
    <w:pPr>
      <w:widowControl/>
      <w:snapToGrid w:val="0"/>
      <w:spacing w:before="60" w:after="160" w:line="259" w:lineRule="auto"/>
      <w:ind w:right="113"/>
    </w:pPr>
    <w:rPr>
      <w:kern w:val="0"/>
      <w:sz w:val="18"/>
      <w:szCs w:val="20"/>
    </w:rPr>
  </w:style>
  <w:style w:type="paragraph" w:customStyle="1" w:styleId="14">
    <w:name w:val="xl27"/>
    <w:basedOn w:val="1"/>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5">
    <w:name w:val="Body Text Indent"/>
    <w:basedOn w:val="1"/>
    <w:next w:val="16"/>
    <w:autoRedefine/>
    <w:qFormat/>
    <w:uiPriority w:val="0"/>
    <w:pPr>
      <w:spacing w:after="120"/>
      <w:ind w:left="420" w:leftChars="200"/>
    </w:pPr>
    <w:rPr>
      <w:kern w:val="0"/>
      <w:sz w:val="24"/>
      <w:szCs w:val="20"/>
    </w:rPr>
  </w:style>
  <w:style w:type="paragraph" w:styleId="16">
    <w:name w:val="Body Text Indent 2"/>
    <w:basedOn w:val="1"/>
    <w:next w:val="17"/>
    <w:autoRedefine/>
    <w:unhideWhenUsed/>
    <w:qFormat/>
    <w:uiPriority w:val="99"/>
    <w:pPr>
      <w:spacing w:after="120" w:line="480" w:lineRule="auto"/>
      <w:ind w:left="420" w:leftChars="200"/>
    </w:pPr>
  </w:style>
  <w:style w:type="paragraph" w:styleId="17">
    <w:name w:val="Body Text First Indent 2"/>
    <w:basedOn w:val="15"/>
    <w:next w:val="1"/>
    <w:autoRedefine/>
    <w:qFormat/>
    <w:uiPriority w:val="0"/>
    <w:pPr>
      <w:ind w:firstLine="420"/>
    </w:pPr>
  </w:style>
  <w:style w:type="paragraph" w:styleId="18">
    <w:name w:val="Plain Text"/>
    <w:basedOn w:val="1"/>
    <w:autoRedefine/>
    <w:unhideWhenUsed/>
    <w:qFormat/>
    <w:uiPriority w:val="99"/>
    <w:rPr>
      <w:rFonts w:ascii="宋体" w:hAnsi="Courier New" w:cs="Courier New"/>
      <w:szCs w:val="21"/>
    </w:rPr>
  </w:style>
  <w:style w:type="paragraph" w:styleId="19">
    <w:name w:val="Balloon Text"/>
    <w:basedOn w:val="1"/>
    <w:link w:val="68"/>
    <w:autoRedefine/>
    <w:qFormat/>
    <w:uiPriority w:val="0"/>
    <w:rPr>
      <w:sz w:val="18"/>
      <w:szCs w:val="18"/>
    </w:rPr>
  </w:style>
  <w:style w:type="paragraph" w:styleId="20">
    <w:name w:val="footer"/>
    <w:basedOn w:val="1"/>
    <w:autoRedefine/>
    <w:qFormat/>
    <w:uiPriority w:val="99"/>
    <w:pPr>
      <w:tabs>
        <w:tab w:val="center" w:pos="4153"/>
        <w:tab w:val="right" w:pos="8306"/>
      </w:tabs>
      <w:snapToGrid w:val="0"/>
      <w:jc w:val="left"/>
    </w:pPr>
    <w:rPr>
      <w:kern w:val="0"/>
      <w:sz w:val="18"/>
      <w:szCs w:val="20"/>
    </w:rPr>
  </w:style>
  <w:style w:type="paragraph" w:styleId="21">
    <w:name w:val="header"/>
    <w:basedOn w:val="1"/>
    <w:next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List"/>
    <w:basedOn w:val="1"/>
    <w:next w:val="13"/>
    <w:autoRedefine/>
    <w:qFormat/>
    <w:uiPriority w:val="99"/>
    <w:pPr>
      <w:widowControl/>
      <w:adjustRightInd w:val="0"/>
      <w:snapToGrid w:val="0"/>
      <w:spacing w:before="120" w:line="460" w:lineRule="atLeast"/>
      <w:ind w:left="420" w:hanging="420"/>
      <w:jc w:val="left"/>
    </w:pPr>
    <w:rPr>
      <w:rFonts w:ascii="宋体" w:cs="宋体"/>
      <w:b/>
      <w:bCs/>
      <w:kern w:val="0"/>
      <w:sz w:val="28"/>
      <w:szCs w:val="28"/>
      <w:lang w:eastAsia="en-US" w:bidi="en-US"/>
    </w:rPr>
  </w:style>
  <w:style w:type="paragraph" w:styleId="23">
    <w:name w:val="table of figures"/>
    <w:basedOn w:val="1"/>
    <w:next w:val="1"/>
    <w:qFormat/>
    <w:uiPriority w:val="0"/>
    <w:pPr>
      <w:ind w:left="200" w:leftChars="200" w:hanging="200" w:hangingChars="200"/>
    </w:pPr>
  </w:style>
  <w:style w:type="paragraph" w:styleId="24">
    <w:name w:val="toc 9"/>
    <w:basedOn w:val="1"/>
    <w:next w:val="1"/>
    <w:autoRedefine/>
    <w:qFormat/>
    <w:uiPriority w:val="0"/>
    <w:pPr>
      <w:widowControl/>
      <w:wordWrap w:val="0"/>
      <w:ind w:left="2975"/>
    </w:pPr>
    <w:rPr>
      <w:szCs w:val="22"/>
    </w:rPr>
  </w:style>
  <w:style w:type="paragraph" w:styleId="25">
    <w:name w:val="Body Text 2"/>
    <w:basedOn w:val="1"/>
    <w:autoRedefine/>
    <w:qFormat/>
    <w:uiPriority w:val="0"/>
    <w:rPr>
      <w:sz w:val="28"/>
    </w:rPr>
  </w:style>
  <w:style w:type="paragraph" w:styleId="26">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1"/>
    <w:next w:val="11"/>
    <w:link w:val="60"/>
    <w:autoRedefine/>
    <w:qFormat/>
    <w:uiPriority w:val="0"/>
    <w:rPr>
      <w:b/>
      <w:bCs/>
    </w:rPr>
  </w:style>
  <w:style w:type="paragraph" w:styleId="28">
    <w:name w:val="Body Text First Indent"/>
    <w:basedOn w:val="13"/>
    <w:autoRedefine/>
    <w:unhideWhenUsed/>
    <w:qFormat/>
    <w:uiPriority w:val="99"/>
    <w:pPr>
      <w:widowControl w:val="0"/>
      <w:ind w:firstLine="420" w:firstLineChars="100"/>
    </w:pPr>
    <w:rPr>
      <w:kern w:val="2"/>
      <w:sz w:val="21"/>
    </w:rPr>
  </w:style>
  <w:style w:type="table" w:styleId="30">
    <w:name w:val="Table Grid"/>
    <w:basedOn w:val="2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autoRedefine/>
    <w:qFormat/>
    <w:uiPriority w:val="0"/>
    <w:rPr>
      <w:b/>
    </w:rPr>
  </w:style>
  <w:style w:type="character" w:styleId="33">
    <w:name w:val="FollowedHyperlink"/>
    <w:basedOn w:val="31"/>
    <w:qFormat/>
    <w:uiPriority w:val="0"/>
    <w:rPr>
      <w:color w:val="800080"/>
      <w:u w:val="single"/>
    </w:rPr>
  </w:style>
  <w:style w:type="character" w:styleId="34">
    <w:name w:val="Emphasis"/>
    <w:basedOn w:val="31"/>
    <w:autoRedefine/>
    <w:qFormat/>
    <w:uiPriority w:val="0"/>
    <w:rPr>
      <w:i/>
    </w:rPr>
  </w:style>
  <w:style w:type="character" w:styleId="35">
    <w:name w:val="annotation reference"/>
    <w:basedOn w:val="31"/>
    <w:autoRedefine/>
    <w:semiHidden/>
    <w:qFormat/>
    <w:uiPriority w:val="0"/>
    <w:rPr>
      <w:sz w:val="21"/>
      <w:szCs w:val="21"/>
    </w:rPr>
  </w:style>
  <w:style w:type="paragraph" w:customStyle="1" w:styleId="36">
    <w:name w:val="Default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7">
    <w:name w:val="A-正文"/>
    <w:basedOn w:val="1"/>
    <w:autoRedefine/>
    <w:qFormat/>
    <w:uiPriority w:val="0"/>
    <w:pPr>
      <w:spacing w:line="560" w:lineRule="exact"/>
      <w:ind w:firstLine="560" w:firstLineChars="200"/>
    </w:pPr>
    <w:rPr>
      <w:rFonts w:eastAsia="仿宋_GB2312"/>
      <w:kern w:val="0"/>
      <w:sz w:val="24"/>
    </w:rPr>
  </w:style>
  <w:style w:type="paragraph" w:customStyle="1" w:styleId="38">
    <w:name w:val="表格内容"/>
    <w:basedOn w:val="39"/>
    <w:next w:val="1"/>
    <w:autoRedefine/>
    <w:qFormat/>
    <w:uiPriority w:val="0"/>
    <w:pPr>
      <w:spacing w:line="240" w:lineRule="atLeast"/>
    </w:pPr>
    <w:rPr>
      <w:rFonts w:eastAsia="宋体"/>
      <w:sz w:val="21"/>
    </w:rPr>
  </w:style>
  <w:style w:type="paragraph" w:customStyle="1" w:styleId="39">
    <w:name w:val="表格标题"/>
    <w:basedOn w:val="22"/>
    <w:next w:val="38"/>
    <w:autoRedefine/>
    <w:qFormat/>
    <w:uiPriority w:val="0"/>
    <w:pPr>
      <w:spacing w:before="0" w:line="360" w:lineRule="auto"/>
      <w:jc w:val="center"/>
    </w:pPr>
    <w:rPr>
      <w:rFonts w:ascii="Times New Roman" w:eastAsia="黑体"/>
      <w:sz w:val="24"/>
      <w:szCs w:val="20"/>
    </w:rPr>
  </w:style>
  <w:style w:type="paragraph" w:customStyle="1" w:styleId="40">
    <w:name w:val="正文 + 仿宋_GB2312"/>
    <w:basedOn w:val="1"/>
    <w:autoRedefine/>
    <w:qFormat/>
    <w:uiPriority w:val="99"/>
    <w:pPr>
      <w:ind w:firstLine="480" w:firstLineChars="200"/>
    </w:pPr>
    <w:rPr>
      <w:rFonts w:ascii="仿宋_GB2312" w:hAnsi="Calibri" w:eastAsia="仿宋_GB2312"/>
      <w:sz w:val="24"/>
    </w:rPr>
  </w:style>
  <w:style w:type="paragraph" w:customStyle="1" w:styleId="41">
    <w:name w:val="胡正文"/>
    <w:basedOn w:val="1"/>
    <w:autoRedefine/>
    <w:qFormat/>
    <w:uiPriority w:val="0"/>
    <w:pPr>
      <w:spacing w:line="360" w:lineRule="auto"/>
      <w:ind w:firstLine="200" w:firstLineChars="200"/>
      <w:jc w:val="left"/>
    </w:pPr>
    <w:rPr>
      <w:rFonts w:ascii="宋体" w:hAnsi="宋体"/>
      <w:sz w:val="24"/>
      <w:szCs w:val="28"/>
    </w:rPr>
  </w:style>
  <w:style w:type="paragraph" w:customStyle="1" w:styleId="42">
    <w:name w:val="图、表标题"/>
    <w:basedOn w:val="1"/>
    <w:autoRedefine/>
    <w:qFormat/>
    <w:uiPriority w:val="0"/>
    <w:pPr>
      <w:jc w:val="center"/>
    </w:pPr>
    <w:rPr>
      <w:b/>
    </w:rPr>
  </w:style>
  <w:style w:type="paragraph" w:customStyle="1" w:styleId="43">
    <w:name w:val="表格"/>
    <w:basedOn w:val="23"/>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4">
    <w:name w:val="图、表内容"/>
    <w:basedOn w:val="1"/>
    <w:autoRedefine/>
    <w:qFormat/>
    <w:uiPriority w:val="0"/>
    <w:pPr>
      <w:jc w:val="center"/>
    </w:pPr>
  </w:style>
  <w:style w:type="character" w:customStyle="1" w:styleId="45">
    <w:name w:val="NormalCharacter"/>
    <w:link w:val="46"/>
    <w:autoRedefine/>
    <w:qFormat/>
    <w:uiPriority w:val="0"/>
    <w:rPr>
      <w:rFonts w:ascii="宋体" w:hAnsi="宋体" w:eastAsia="宋体"/>
      <w:kern w:val="2"/>
      <w:sz w:val="24"/>
      <w:szCs w:val="24"/>
      <w:lang w:val="en-US" w:eastAsia="zh-CN" w:bidi="ar-SA"/>
    </w:rPr>
  </w:style>
  <w:style w:type="paragraph" w:customStyle="1" w:styleId="46">
    <w:name w:val="UserStyle_12"/>
    <w:basedOn w:val="1"/>
    <w:link w:val="45"/>
    <w:autoRedefine/>
    <w:qFormat/>
    <w:uiPriority w:val="0"/>
    <w:pPr>
      <w:spacing w:after="50" w:line="360" w:lineRule="auto"/>
      <w:ind w:firstLine="200" w:firstLineChars="200"/>
      <w:textAlignment w:val="baseline"/>
    </w:pPr>
    <w:rPr>
      <w:rFonts w:ascii="宋体" w:hAnsi="宋体"/>
      <w:sz w:val="24"/>
    </w:rPr>
  </w:style>
  <w:style w:type="character" w:customStyle="1" w:styleId="47">
    <w:name w:val="fontstyle01"/>
    <w:basedOn w:val="31"/>
    <w:autoRedefine/>
    <w:qFormat/>
    <w:uiPriority w:val="0"/>
    <w:rPr>
      <w:rFonts w:hint="eastAsia" w:ascii="宋体" w:hAnsi="宋体" w:eastAsia="宋体"/>
      <w:color w:val="000000"/>
      <w:sz w:val="24"/>
      <w:szCs w:val="24"/>
    </w:rPr>
  </w:style>
  <w:style w:type="paragraph" w:customStyle="1" w:styleId="48">
    <w:name w:val="Table Paragraph"/>
    <w:basedOn w:val="1"/>
    <w:autoRedefine/>
    <w:qFormat/>
    <w:uiPriority w:val="1"/>
    <w:rPr>
      <w:rFonts w:ascii="宋体" w:hAnsi="宋体" w:cs="宋体"/>
      <w:lang w:val="zh-CN" w:bidi="zh-CN"/>
    </w:rPr>
  </w:style>
  <w:style w:type="paragraph" w:customStyle="1" w:styleId="49">
    <w:name w:val="Other|1"/>
    <w:basedOn w:val="1"/>
    <w:autoRedefine/>
    <w:qFormat/>
    <w:uiPriority w:val="0"/>
    <w:pPr>
      <w:jc w:val="center"/>
    </w:pPr>
    <w:rPr>
      <w:rFonts w:ascii="PMingLiU" w:hAnsi="PMingLiU" w:eastAsia="PMingLiU" w:cs="PMingLiU"/>
      <w:sz w:val="22"/>
      <w:szCs w:val="22"/>
    </w:rPr>
  </w:style>
  <w:style w:type="character" w:customStyle="1" w:styleId="50">
    <w:name w:val="fontstyle31"/>
    <w:basedOn w:val="31"/>
    <w:autoRedefine/>
    <w:qFormat/>
    <w:uiPriority w:val="0"/>
    <w:rPr>
      <w:rFonts w:ascii="Calibri" w:hAnsi="Calibri" w:cs="Calibri"/>
      <w:color w:val="000000"/>
      <w:sz w:val="24"/>
      <w:szCs w:val="24"/>
    </w:rPr>
  </w:style>
  <w:style w:type="paragraph" w:customStyle="1" w:styleId="51">
    <w:name w:val="报告表三级标题"/>
    <w:basedOn w:val="52"/>
    <w:next w:val="1"/>
    <w:autoRedefine/>
    <w:qFormat/>
    <w:uiPriority w:val="0"/>
    <w:pPr>
      <w:spacing w:before="0" w:after="0" w:line="360" w:lineRule="auto"/>
    </w:pPr>
    <w:rPr>
      <w:rFonts w:eastAsia="宋体"/>
      <w:b/>
      <w:sz w:val="28"/>
    </w:rPr>
  </w:style>
  <w:style w:type="paragraph" w:customStyle="1" w:styleId="52">
    <w:name w:val="报告表二级标题"/>
    <w:basedOn w:val="53"/>
    <w:next w:val="54"/>
    <w:autoRedefine/>
    <w:qFormat/>
    <w:uiPriority w:val="0"/>
    <w:pPr>
      <w:spacing w:before="156"/>
    </w:pPr>
    <w:rPr>
      <w:sz w:val="30"/>
    </w:rPr>
  </w:style>
  <w:style w:type="paragraph" w:customStyle="1" w:styleId="53">
    <w:name w:val="报告表一级标题"/>
    <w:basedOn w:val="1"/>
    <w:next w:val="54"/>
    <w:autoRedefine/>
    <w:qFormat/>
    <w:uiPriority w:val="0"/>
    <w:pPr>
      <w:spacing w:after="156"/>
      <w:jc w:val="left"/>
      <w:outlineLvl w:val="0"/>
    </w:pPr>
    <w:rPr>
      <w:rFonts w:eastAsia="黑体"/>
      <w:kern w:val="1"/>
      <w:sz w:val="32"/>
    </w:rPr>
  </w:style>
  <w:style w:type="paragraph" w:customStyle="1" w:styleId="54">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55">
    <w:name w:val="Char"/>
    <w:basedOn w:val="1"/>
    <w:autoRedefine/>
    <w:qFormat/>
    <w:uiPriority w:val="0"/>
    <w:rPr>
      <w:sz w:val="24"/>
    </w:rPr>
  </w:style>
  <w:style w:type="paragraph" w:customStyle="1" w:styleId="56">
    <w:name w:val="24磅正文"/>
    <w:basedOn w:val="1"/>
    <w:autoRedefine/>
    <w:qFormat/>
    <w:uiPriority w:val="0"/>
    <w:pPr>
      <w:spacing w:line="480" w:lineRule="exact"/>
      <w:ind w:firstLine="480" w:firstLineChars="200"/>
    </w:pPr>
  </w:style>
  <w:style w:type="paragraph" w:customStyle="1" w:styleId="57">
    <w:name w:val="表文字"/>
    <w:autoRedefine/>
    <w:qFormat/>
    <w:uiPriority w:val="0"/>
    <w:pPr>
      <w:adjustRightInd w:val="0"/>
      <w:snapToGrid w:val="0"/>
      <w:ind w:left="-50" w:leftChars="-50"/>
      <w:jc w:val="center"/>
    </w:pPr>
    <w:rPr>
      <w:rFonts w:ascii="Times New Roman" w:hAnsi="Times New Roman" w:eastAsia="宋体" w:cs="Times New Roman"/>
      <w:kern w:val="2"/>
      <w:sz w:val="21"/>
      <w:szCs w:val="24"/>
      <w:lang w:val="en-US" w:eastAsia="zh-CN" w:bidi="ar-SA"/>
    </w:rPr>
  </w:style>
  <w:style w:type="paragraph" w:customStyle="1" w:styleId="58">
    <w:name w:val="表格内文字"/>
    <w:basedOn w:val="1"/>
    <w:autoRedefine/>
    <w:qFormat/>
    <w:uiPriority w:val="0"/>
    <w:pPr>
      <w:tabs>
        <w:tab w:val="left" w:pos="0"/>
      </w:tabs>
      <w:adjustRightInd w:val="0"/>
      <w:snapToGrid w:val="0"/>
      <w:jc w:val="center"/>
    </w:pPr>
    <w:rPr>
      <w:kern w:val="0"/>
    </w:rPr>
  </w:style>
  <w:style w:type="character" w:customStyle="1" w:styleId="59">
    <w:name w:val="批注文字 字符"/>
    <w:basedOn w:val="31"/>
    <w:link w:val="11"/>
    <w:autoRedefine/>
    <w:qFormat/>
    <w:uiPriority w:val="0"/>
    <w:rPr>
      <w:kern w:val="2"/>
      <w:sz w:val="21"/>
      <w:szCs w:val="24"/>
    </w:rPr>
  </w:style>
  <w:style w:type="character" w:customStyle="1" w:styleId="60">
    <w:name w:val="批注主题 字符"/>
    <w:basedOn w:val="59"/>
    <w:link w:val="27"/>
    <w:autoRedefine/>
    <w:qFormat/>
    <w:uiPriority w:val="0"/>
    <w:rPr>
      <w:b/>
      <w:bCs/>
      <w:kern w:val="2"/>
      <w:sz w:val="21"/>
      <w:szCs w:val="24"/>
    </w:rPr>
  </w:style>
  <w:style w:type="paragraph" w:customStyle="1" w:styleId="61">
    <w:name w:val="Char1"/>
    <w:basedOn w:val="1"/>
    <w:autoRedefine/>
    <w:qFormat/>
    <w:uiPriority w:val="0"/>
    <w:rPr>
      <w:sz w:val="24"/>
    </w:rPr>
  </w:style>
  <w:style w:type="paragraph" w:customStyle="1" w:styleId="62">
    <w:name w:val="谏壁正文chen"/>
    <w:basedOn w:val="1"/>
    <w:autoRedefine/>
    <w:qFormat/>
    <w:uiPriority w:val="0"/>
    <w:pPr>
      <w:spacing w:line="360" w:lineRule="auto"/>
      <w:ind w:firstLine="200" w:firstLineChars="200"/>
    </w:pPr>
    <w:rPr>
      <w:sz w:val="24"/>
    </w:rPr>
  </w:style>
  <w:style w:type="paragraph" w:customStyle="1" w:styleId="63">
    <w:name w:val="BodyText1I2"/>
    <w:basedOn w:val="64"/>
    <w:next w:val="1"/>
    <w:autoRedefine/>
    <w:qFormat/>
    <w:uiPriority w:val="0"/>
    <w:pPr>
      <w:tabs>
        <w:tab w:val="left" w:pos="0"/>
      </w:tabs>
      <w:ind w:left="420" w:leftChars="200" w:firstLine="210" w:firstLineChars="200"/>
    </w:pPr>
    <w:rPr>
      <w:sz w:val="21"/>
    </w:rPr>
  </w:style>
  <w:style w:type="paragraph" w:customStyle="1" w:styleId="64">
    <w:name w:val="BodyTextIndent"/>
    <w:basedOn w:val="1"/>
    <w:next w:val="65"/>
    <w:autoRedefine/>
    <w:qFormat/>
    <w:uiPriority w:val="0"/>
    <w:pPr>
      <w:tabs>
        <w:tab w:val="left" w:pos="0"/>
      </w:tabs>
      <w:spacing w:line="360" w:lineRule="auto"/>
      <w:ind w:firstLine="570"/>
      <w:textAlignment w:val="baseline"/>
    </w:pPr>
    <w:rPr>
      <w:sz w:val="28"/>
      <w:szCs w:val="20"/>
    </w:rPr>
  </w:style>
  <w:style w:type="paragraph" w:customStyle="1" w:styleId="65">
    <w:name w:val="BodyTextIndent2"/>
    <w:basedOn w:val="1"/>
    <w:next w:val="63"/>
    <w:autoRedefine/>
    <w:qFormat/>
    <w:uiPriority w:val="0"/>
    <w:pPr>
      <w:spacing w:line="500" w:lineRule="exact"/>
      <w:ind w:firstLine="480"/>
      <w:textAlignment w:val="baseline"/>
    </w:pPr>
    <w:rPr>
      <w:rFonts w:eastAsia="楷体_GB2312"/>
      <w:sz w:val="28"/>
    </w:rPr>
  </w:style>
  <w:style w:type="paragraph" w:customStyle="1" w:styleId="66">
    <w:name w:val="Table Text"/>
    <w:basedOn w:val="1"/>
    <w:autoRedefine/>
    <w:semiHidden/>
    <w:qFormat/>
    <w:uiPriority w:val="0"/>
    <w:rPr>
      <w:rFonts w:ascii="宋体" w:hAnsi="宋体" w:cs="宋体"/>
      <w:sz w:val="20"/>
      <w:szCs w:val="20"/>
      <w:lang w:eastAsia="en-US"/>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character" w:customStyle="1" w:styleId="68">
    <w:name w:val="批注框文本 字符"/>
    <w:basedOn w:val="31"/>
    <w:link w:val="19"/>
    <w:autoRedefine/>
    <w:qFormat/>
    <w:uiPriority w:val="0"/>
    <w:rPr>
      <w:kern w:val="2"/>
      <w:sz w:val="18"/>
      <w:szCs w:val="18"/>
    </w:rPr>
  </w:style>
  <w:style w:type="paragraph" w:customStyle="1" w:styleId="69">
    <w:name w:val="[1]正文"/>
    <w:basedOn w:val="1"/>
    <w:autoRedefine/>
    <w:qFormat/>
    <w:uiPriority w:val="0"/>
    <w:pPr>
      <w:autoSpaceDE w:val="0"/>
      <w:autoSpaceDN w:val="0"/>
      <w:spacing w:line="360" w:lineRule="auto"/>
      <w:ind w:firstLine="200" w:firstLineChars="200"/>
    </w:pPr>
    <w:rPr>
      <w:color w:val="000000"/>
      <w:kern w:val="0"/>
      <w:sz w:val="24"/>
      <w:szCs w:val="22"/>
      <w:lang w:val="zh-CN"/>
    </w:rPr>
  </w:style>
  <w:style w:type="paragraph" w:customStyle="1" w:styleId="70">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71">
    <w:name w:val="首行缩进"/>
    <w:basedOn w:val="1"/>
    <w:autoRedefine/>
    <w:qFormat/>
    <w:uiPriority w:val="0"/>
    <w:pPr>
      <w:widowControl/>
      <w:ind w:firstLine="480"/>
      <w:jc w:val="left"/>
    </w:pPr>
    <w:rPr>
      <w:rFonts w:ascii="Calibri" w:hAnsi="Calibri"/>
      <w:kern w:val="0"/>
      <w:lang w:eastAsia="en-US" w:bidi="en-US"/>
    </w:rPr>
  </w:style>
  <w:style w:type="paragraph" w:customStyle="1" w:styleId="72">
    <w:name w:val="表头标题"/>
    <w:basedOn w:val="1"/>
    <w:qFormat/>
    <w:uiPriority w:val="0"/>
    <w:pPr>
      <w:spacing w:line="240" w:lineRule="auto"/>
      <w:ind w:firstLine="480"/>
      <w:jc w:val="center"/>
    </w:pPr>
    <w:rPr>
      <w:b/>
      <w:bCs/>
      <w:sz w:val="21"/>
    </w:rPr>
  </w:style>
  <w:style w:type="paragraph" w:customStyle="1" w:styleId="73">
    <w:name w:val="表格888"/>
    <w:basedOn w:val="1"/>
    <w:qFormat/>
    <w:uiPriority w:val="0"/>
    <w:pPr>
      <w:spacing w:line="240" w:lineRule="auto"/>
      <w:ind w:firstLine="0" w:firstLineChars="0"/>
      <w:jc w:val="center"/>
    </w:pPr>
    <w:rPr>
      <w:bCs/>
      <w:sz w:val="21"/>
    </w:rPr>
  </w:style>
  <w:style w:type="paragraph" w:customStyle="1" w:styleId="74">
    <w:name w:val="B正文"/>
    <w:basedOn w:val="1"/>
    <w:qFormat/>
    <w:uiPriority w:val="0"/>
    <w:pPr>
      <w:spacing w:line="360" w:lineRule="auto"/>
      <w:ind w:firstLine="200" w:firstLineChars="200"/>
    </w:pPr>
    <w:rPr>
      <w:kern w:val="0"/>
      <w:sz w:val="24"/>
    </w:rPr>
  </w:style>
  <w:style w:type="table" w:customStyle="1" w:styleId="75">
    <w:name w:val="表格主题11"/>
    <w:basedOn w:val="29"/>
    <w:qFormat/>
    <w:uiPriority w:val="0"/>
    <w:pPr>
      <w:widowControl w:val="0"/>
      <w:spacing w:line="240" w:lineRule="atLeast"/>
    </w:pPr>
    <w:rPr>
      <w:szCs w:val="21"/>
    </w:rPr>
    <w:tblPr>
      <w:tblBorders>
        <w:top w:val="single" w:color="auto" w:sz="12" w:space="0"/>
        <w:bottom w:val="single" w:color="auto" w:sz="12" w:space="0"/>
        <w:insideH w:val="single" w:color="auto" w:sz="6" w:space="0"/>
        <w:insideV w:val="single" w:color="auto" w:sz="6" w:space="0"/>
      </w:tblBorders>
      <w:tblCellMar>
        <w:left w:w="0" w:type="dxa"/>
        <w:right w:w="0" w:type="dxa"/>
      </w:tblCellMar>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wmf"/><Relationship Id="rId25" Type="http://schemas.openxmlformats.org/officeDocument/2006/relationships/oleObject" Target="embeddings/oleObject6.bin"/><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oleObject" Target="embeddings/oleObject5.bin"/><Relationship Id="rId14" Type="http://schemas.openxmlformats.org/officeDocument/2006/relationships/image" Target="media/image5.e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24321</Words>
  <Characters>25267</Characters>
  <Lines>395</Lines>
  <Paragraphs>111</Paragraphs>
  <TotalTime>3</TotalTime>
  <ScaleCrop>false</ScaleCrop>
  <LinksUpToDate>false</LinksUpToDate>
  <CharactersWithSpaces>25411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2021-08-25T06:57:00Z</dcterms:created>
  <dc:creator>XJ.W</dc:creator>
  <cp:lastModifiedBy>段梦梦</cp:lastModifiedBy>
  <cp:lastPrinted>2025-07-01T07:32:00Z</cp:lastPrinted>
  <dcterms:modified xsi:type="dcterms:W3CDTF">2026-06-25T03:05:29Z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B5F735D3C6AB4D829202A9C3FE37E59D_13</vt:lpwstr>
  </property>
  <property fmtid="{D5CDD505-2E9C-101B-9397-08002B2CF9AE}" pid="4" name="KSOTemplateDocerSaveRecord">
    <vt:lpwstr>eyJoZGlkIjoiYjk1MjlkOGJiYzlmYjcwMDNmOWU4YTZjMGRhODZiZmMiLCJ1c2VySWQiOiI0MjM3NjA2MjEifQ==</vt:lpwstr>
  </property>
</Properties>
</file>