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hint="eastAsia" w:ascii="仿宋_GB2312" w:hAnsi="楷体" w:eastAsia="仿宋_GB2312"/>
          <w:b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“</w:t>
      </w:r>
      <w:r>
        <w:rPr>
          <w:rFonts w:hint="eastAsia" w:ascii="仿宋_GB2312" w:hAnsi="楷体" w:eastAsia="仿宋_GB2312"/>
          <w:b/>
          <w:color w:val="auto"/>
          <w:sz w:val="32"/>
          <w:szCs w:val="32"/>
          <w:lang w:val="en-US" w:eastAsia="zh-CN"/>
        </w:rPr>
        <w:t>五保供养</w:t>
      </w: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”项目。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（1）项目概述。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聚焦脱贫攻坚、聚焦特殊群体、不断完善与我区经济社会发展水平相结合、相适应的特困人员救助供养制度，织密特困供养对象服务网络，兜牢特困供养对象基本生活底线。   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（2）立项依据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。《宿州市民政局、财政局关于印发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宿州市特困人员救助供养实施办法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的通知》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宿民发〔2020〕26号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)、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《宿州市人民政府办公室关于调整全市2020年最低生活保障和特困人员供养标准的通知》（宿政办秘〔2020〕15号）、《关于印发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特困人员供养服务机构运行维护实施方案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的通知》（宿民发〔2020〕34号）。</w:t>
      </w:r>
    </w:p>
    <w:p>
      <w:pPr>
        <w:adjustRightInd w:val="0"/>
        <w:snapToGrid w:val="0"/>
        <w:spacing w:line="600" w:lineRule="exact"/>
        <w:ind w:firstLine="320" w:firstLineChars="1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（3）起止时间。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2021年1月1日至2021年12月31日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（4）项目内容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保障特困供养对象的正常生活，促进农村社会保障制度的发展，促进社会公平，维护社会和谐稳定。基本生活标准不低于上年度当地城乡居民人均消费支出的60%确定，包括各级财政补助资金、救助供养对象领取的基础养老金、养老服务补贴、高龄津贴、承包土地收益、房屋租金等个人财产性收入等。农村分散供养五保对象供养标准为每人每年7236元（每人每月603元）；集中供养标准为每人每年7236元（每人每月603元），每人每年增加1020元生活补贴，含每人每年600元水、电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煤补贴。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（5）年度预算安排。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财政拨款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1500万元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（6）绩效目标和指标。</w:t>
      </w:r>
    </w:p>
    <w:tbl>
      <w:tblPr>
        <w:tblStyle w:val="3"/>
        <w:tblW w:w="10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五保供养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民政局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民政局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新增项目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延续项目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中期资金总额：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其他资金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中期目标（20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1月</w:t>
            </w:r>
            <w:r>
              <w:rPr>
                <w:rFonts w:hint="eastAsia" w:ascii="宋体" w:hAnsi="宋体" w:cs="宋体"/>
                <w:kern w:val="0"/>
                <w:sz w:val="24"/>
              </w:rPr>
              <w:t>—20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12月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目标1：聚焦脱贫攻坚、聚焦特殊群体、不断完善与我区经济社会发展水平相结合、相适应的特困人员救助供养制度，织密特困供养对象服务网络，兜牢特困供养对象基本生活底线。</w:t>
            </w: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聚焦脱贫攻坚、聚焦特殊群体、不断完善与我区经济社会发展水平相结合、相适应的特困人员救助供养制度，织密特困供养对象服务网络，兜牢特困供养对象基本生活底线。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标</w:t>
            </w: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6680人（分散5600人、集中1080人）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6680人（分散5600人、集中1080人）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补贴资金发放准确率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补贴资金发放准确率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补贴资金在规定时间内支付到位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补贴资金在规定时间内支付到位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成本指标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分散603元/人/月；集中603元/人/月，每人每年1020元生活补贴（含每人每年600元水、电、煤补贴）。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成本指标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分散603元/人/月；集中603元/人/月，每人每年1020元生活补贴（含每人每年600元水、电、煤补贴）。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困难群众生活水平提升情况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困难群众生活水平提升情况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困难群众基本生活保障制度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不断完善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困难群众基本生活保障制度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可持续影响指标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对健全社会救助体系的影响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可持续影响指标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对健全社会救助体系的影响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满意度指标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指标1：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43DE"/>
    <w:rsid w:val="16C85882"/>
    <w:rsid w:val="18012569"/>
    <w:rsid w:val="1E9D5F05"/>
    <w:rsid w:val="25775C1A"/>
    <w:rsid w:val="29E50C39"/>
    <w:rsid w:val="2EA243C9"/>
    <w:rsid w:val="37B975D8"/>
    <w:rsid w:val="3AC753F2"/>
    <w:rsid w:val="4EEB7AF1"/>
    <w:rsid w:val="51397880"/>
    <w:rsid w:val="581F05FF"/>
    <w:rsid w:val="6AED6204"/>
    <w:rsid w:val="76D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2021-03-26T01:08:00Z</dcterms:created>
  <dc:creator>Administrator</dc:creator>
  <cp:lastModifiedBy>Lenovo</cp:lastModifiedBy>
  <dcterms:modified xsi:type="dcterms:W3CDTF">2021-04-09T00:31:55Z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2F50FD781F3C48D5B82CFA736F3D883C</vt:lpwstr>
  </property>
</Properties>
</file>