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360" w:lineRule="auto"/>
        <w:jc w:val="center"/>
        <w:rPr>
          <w:rFonts w:hint="default" w:ascii="Times New Roman" w:hAnsi="Times New Roman" w:eastAsia="方正仿宋_GBK" w:cs="Times New Roman"/>
          <w:b/>
          <w:color w:val="auto"/>
          <w:sz w:val="44"/>
          <w:szCs w:val="44"/>
          <w:shd w:val="clear" w:color="auto" w:fill="auto"/>
        </w:rPr>
      </w:pPr>
      <w:r>
        <w:rPr>
          <w:rFonts w:hint="default" w:ascii="Times New Roman" w:hAnsi="Times New Roman" w:eastAsia="方正仿宋_GBK" w:cs="Times New Roman"/>
          <w:b/>
          <w:color w:val="auto"/>
          <w:sz w:val="44"/>
          <w:szCs w:val="44"/>
          <w:shd w:val="clear" w:color="auto" w:fill="auto"/>
        </w:rPr>
        <w:t>宿州市埇桥区人民政府办公室</w:t>
      </w:r>
    </w:p>
    <w:p>
      <w:pPr>
        <w:adjustRightInd w:val="0"/>
        <w:snapToGrid w:val="0"/>
        <w:spacing w:beforeLines="0" w:afterLines="0" w:line="360" w:lineRule="auto"/>
        <w:jc w:val="center"/>
        <w:rPr>
          <w:rFonts w:hint="default" w:ascii="Times New Roman" w:hAnsi="Times New Roman" w:eastAsia="方正仿宋_GBK" w:cs="Times New Roman"/>
          <w:b/>
          <w:color w:val="auto"/>
          <w:sz w:val="44"/>
          <w:szCs w:val="44"/>
          <w:shd w:val="clear" w:color="auto" w:fill="auto"/>
        </w:rPr>
      </w:pPr>
      <w:r>
        <w:rPr>
          <w:rFonts w:hint="default" w:ascii="Times New Roman" w:hAnsi="Times New Roman" w:eastAsia="方正仿宋_GBK" w:cs="Times New Roman"/>
          <w:b/>
          <w:color w:val="auto"/>
          <w:sz w:val="44"/>
          <w:szCs w:val="44"/>
          <w:shd w:val="clear" w:color="auto" w:fill="auto"/>
        </w:rPr>
        <w:t>2019年度部门决算</w:t>
      </w: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spacing w:beforeLines="0" w:afterLines="0"/>
        <w:rPr>
          <w:rFonts w:hint="eastAsia" w:ascii="宋体" w:hAnsi="宋体" w:eastAsia="宋体"/>
          <w:sz w:val="28"/>
          <w:szCs w:val="28"/>
        </w:rPr>
      </w:pPr>
    </w:p>
    <w:p>
      <w:pPr>
        <w:pStyle w:val="3"/>
        <w:adjustRightInd w:val="0"/>
        <w:snapToGrid w:val="0"/>
        <w:spacing w:before="0" w:beforeLines="0" w:beforeAutospacing="0" w:after="0" w:afterLines="0" w:afterAutospacing="0" w:line="360" w:lineRule="auto"/>
        <w:jc w:val="center"/>
        <w:rPr>
          <w:rFonts w:hint="default" w:ascii="Times New Roman" w:hAnsi="Times New Roman" w:eastAsia="方正仿宋_GBK" w:cs="Times New Roman"/>
          <w:sz w:val="44"/>
          <w:szCs w:val="44"/>
        </w:rPr>
      </w:pPr>
      <w:r>
        <w:rPr>
          <w:rFonts w:hint="default" w:ascii="Times New Roman" w:hAnsi="Times New Roman" w:eastAsia="方正仿宋_GBK" w:cs="Times New Roman"/>
          <w:sz w:val="44"/>
          <w:szCs w:val="44"/>
        </w:rPr>
        <w:t>2020年8月</w:t>
      </w:r>
    </w:p>
    <w:p>
      <w:pPr>
        <w:spacing w:beforeLines="0" w:afterLines="0" w:line="580" w:lineRule="exact"/>
        <w:jc w:val="center"/>
        <w:rPr>
          <w:rFonts w:hint="eastAsia" w:ascii="黑体" w:hAnsi="宋体" w:eastAsia="黑体"/>
          <w:sz w:val="48"/>
          <w:szCs w:val="48"/>
        </w:rPr>
      </w:pPr>
    </w:p>
    <w:p>
      <w:pPr>
        <w:spacing w:beforeLines="0" w:afterLines="0" w:line="580" w:lineRule="exact"/>
        <w:jc w:val="both"/>
        <w:rPr>
          <w:rFonts w:hint="eastAsia" w:ascii="黑体" w:hAnsi="宋体" w:eastAsia="黑体"/>
          <w:sz w:val="48"/>
          <w:szCs w:val="48"/>
        </w:rPr>
      </w:pPr>
    </w:p>
    <w:p>
      <w:pPr>
        <w:spacing w:beforeLines="0" w:afterLines="0" w:line="580" w:lineRule="exact"/>
        <w:jc w:val="center"/>
        <w:rPr>
          <w:rFonts w:hint="eastAsia" w:ascii="黑体" w:hAnsi="宋体" w:eastAsia="黑体"/>
          <w:sz w:val="48"/>
          <w:szCs w:val="48"/>
        </w:rPr>
      </w:pPr>
      <w:r>
        <w:rPr>
          <w:rFonts w:hint="eastAsia" w:ascii="黑体" w:hAnsi="宋体" w:eastAsia="黑体"/>
          <w:sz w:val="48"/>
          <w:szCs w:val="48"/>
        </w:rPr>
        <w:t>目  录</w:t>
      </w:r>
    </w:p>
    <w:p>
      <w:pPr>
        <w:spacing w:beforeLines="0" w:afterLines="0" w:line="550" w:lineRule="exact"/>
        <w:rPr>
          <w:rFonts w:hint="eastAsia" w:ascii="宋体" w:hAnsi="宋体" w:eastAsia="宋体"/>
          <w:b/>
          <w:sz w:val="32"/>
          <w:szCs w:val="32"/>
        </w:rPr>
      </w:pPr>
      <w:r>
        <w:rPr>
          <w:rFonts w:hint="eastAsia" w:ascii="宋体" w:hAnsi="宋体" w:eastAsia="仿宋_GB2312"/>
          <w:b/>
          <w:sz w:val="32"/>
          <w:szCs w:val="32"/>
        </w:rPr>
        <w:t>第一部分 宿州市</w:t>
      </w:r>
      <w:r>
        <w:rPr>
          <w:rFonts w:hint="eastAsia" w:ascii="宋体" w:hAnsi="宋体" w:eastAsia="宋体" w:cs="宋体"/>
          <w:b/>
          <w:sz w:val="32"/>
          <w:szCs w:val="32"/>
        </w:rPr>
        <w:t>埇</w:t>
      </w:r>
      <w:r>
        <w:rPr>
          <w:rFonts w:hint="eastAsia" w:ascii="仿宋_GB2312" w:hAnsi="仿宋_GB2312" w:eastAsia="仿宋_GB2312" w:cs="仿宋_GB2312"/>
          <w:b/>
          <w:sz w:val="32"/>
          <w:szCs w:val="32"/>
        </w:rPr>
        <w:t>桥区</w:t>
      </w:r>
      <w:r>
        <w:rPr>
          <w:rFonts w:hint="eastAsia" w:ascii="宋体" w:hAnsi="宋体" w:eastAsia="仿宋_GB2312"/>
          <w:b/>
          <w:sz w:val="32"/>
          <w:szCs w:val="32"/>
        </w:rPr>
        <w:t>人民政府办公室概况</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一、部门职责</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二、机构设置</w:t>
      </w:r>
    </w:p>
    <w:p>
      <w:pPr>
        <w:spacing w:beforeLines="0" w:afterLines="0" w:line="550" w:lineRule="exact"/>
        <w:rPr>
          <w:rFonts w:hint="eastAsia" w:ascii="宋体" w:hAnsi="宋体" w:eastAsia="宋体"/>
          <w:b/>
          <w:sz w:val="32"/>
          <w:szCs w:val="32"/>
        </w:rPr>
      </w:pPr>
      <w:r>
        <w:rPr>
          <w:rFonts w:hint="eastAsia" w:ascii="宋体" w:hAnsi="宋体" w:eastAsia="仿宋_GB2312"/>
          <w:b/>
          <w:sz w:val="32"/>
          <w:szCs w:val="32"/>
        </w:rPr>
        <w:t>第二部分 宿州市</w:t>
      </w:r>
      <w:r>
        <w:rPr>
          <w:rFonts w:hint="eastAsia" w:ascii="宋体" w:hAnsi="宋体" w:eastAsia="宋体" w:cs="宋体"/>
          <w:b/>
          <w:sz w:val="32"/>
          <w:szCs w:val="32"/>
        </w:rPr>
        <w:t>埇</w:t>
      </w:r>
      <w:r>
        <w:rPr>
          <w:rFonts w:hint="eastAsia" w:ascii="仿宋_GB2312" w:hAnsi="仿宋_GB2312" w:eastAsia="仿宋_GB2312" w:cs="仿宋_GB2312"/>
          <w:b/>
          <w:sz w:val="32"/>
          <w:szCs w:val="32"/>
        </w:rPr>
        <w:t>桥区</w:t>
      </w:r>
      <w:r>
        <w:rPr>
          <w:rFonts w:hint="eastAsia" w:ascii="宋体" w:hAnsi="宋体" w:eastAsia="仿宋_GB2312"/>
          <w:b/>
          <w:sz w:val="32"/>
          <w:szCs w:val="32"/>
        </w:rPr>
        <w:t>人民政府办公室2019年度部门决算表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一、收入支出决算总表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二、收入决算表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三、支出决算表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四、财政拨款收入支出决算总表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五、一般公共预算财政拨款收入支出决算表</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六、一般公共预算财政拨款基本支出决算表</w:t>
      </w:r>
    </w:p>
    <w:p>
      <w:pPr>
        <w:spacing w:beforeLines="0" w:afterLines="0" w:line="550" w:lineRule="exact"/>
        <w:rPr>
          <w:rFonts w:hint="eastAsia" w:ascii="宋体" w:hAnsi="宋体" w:eastAsia="仿宋_GB2312"/>
          <w:sz w:val="32"/>
          <w:szCs w:val="32"/>
          <w:lang w:eastAsia="zh-CN"/>
        </w:rPr>
      </w:pPr>
      <w:r>
        <w:rPr>
          <w:rFonts w:hint="eastAsia" w:ascii="宋体" w:hAnsi="宋体" w:eastAsia="仿宋_GB2312"/>
          <w:sz w:val="32"/>
          <w:szCs w:val="32"/>
        </w:rPr>
        <w:t>七、一般公共预算财政拨款</w:t>
      </w:r>
      <w:r>
        <w:rPr>
          <w:rFonts w:hint="eastAsia" w:ascii="宋体" w:hAnsi="宋体" w:eastAsia="仿宋_GB2312"/>
          <w:sz w:val="32"/>
          <w:szCs w:val="32"/>
          <w:lang w:eastAsia="zh-CN"/>
        </w:rPr>
        <w:t>“三公”经费支出决算表</w:t>
      </w:r>
    </w:p>
    <w:p>
      <w:pPr>
        <w:spacing w:beforeLines="0" w:afterLines="0" w:line="550" w:lineRule="exact"/>
        <w:rPr>
          <w:rFonts w:hint="eastAsia" w:eastAsia="仿宋_GB2312"/>
          <w:lang w:eastAsia="zh-CN"/>
        </w:rPr>
      </w:pPr>
      <w:r>
        <w:rPr>
          <w:rFonts w:hint="eastAsia" w:ascii="宋体" w:hAnsi="宋体" w:eastAsia="仿宋_GB2312"/>
          <w:sz w:val="32"/>
          <w:szCs w:val="32"/>
          <w:lang w:eastAsia="zh-CN"/>
        </w:rPr>
        <w:t>八、</w:t>
      </w:r>
      <w:r>
        <w:rPr>
          <w:rFonts w:hint="eastAsia" w:ascii="宋体" w:hAnsi="宋体" w:eastAsia="仿宋_GB2312"/>
          <w:sz w:val="32"/>
          <w:szCs w:val="32"/>
        </w:rPr>
        <w:t>政府性基金预算财政拨款收入支出决算表</w:t>
      </w:r>
    </w:p>
    <w:p>
      <w:pPr>
        <w:spacing w:beforeLines="0" w:afterLines="0" w:line="550" w:lineRule="exact"/>
        <w:rPr>
          <w:rFonts w:hint="eastAsia" w:ascii="宋体" w:hAnsi="宋体" w:eastAsia="宋体"/>
          <w:b/>
          <w:sz w:val="32"/>
          <w:szCs w:val="32"/>
        </w:rPr>
      </w:pPr>
      <w:r>
        <w:rPr>
          <w:rFonts w:hint="eastAsia" w:ascii="宋体" w:hAnsi="宋体" w:eastAsia="仿宋_GB2312"/>
          <w:b/>
          <w:sz w:val="32"/>
          <w:szCs w:val="32"/>
        </w:rPr>
        <w:t>第三部分 宿州市</w:t>
      </w:r>
      <w:r>
        <w:rPr>
          <w:rFonts w:hint="eastAsia" w:ascii="宋体" w:hAnsi="宋体" w:eastAsia="宋体" w:cs="宋体"/>
          <w:b/>
          <w:sz w:val="32"/>
          <w:szCs w:val="32"/>
        </w:rPr>
        <w:t>埇</w:t>
      </w:r>
      <w:r>
        <w:rPr>
          <w:rFonts w:hint="eastAsia" w:ascii="仿宋_GB2312" w:hAnsi="仿宋_GB2312" w:eastAsia="仿宋_GB2312" w:cs="仿宋_GB2312"/>
          <w:b/>
          <w:sz w:val="32"/>
          <w:szCs w:val="32"/>
        </w:rPr>
        <w:t>桥区</w:t>
      </w:r>
      <w:r>
        <w:rPr>
          <w:rFonts w:hint="eastAsia" w:ascii="宋体" w:hAnsi="宋体" w:eastAsia="仿宋_GB2312"/>
          <w:b/>
          <w:sz w:val="32"/>
          <w:szCs w:val="32"/>
        </w:rPr>
        <w:t>人民政府办公室2019年度部门决算情况说明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一、收入支出决算总体情况</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二、收入决算情况说明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三、支出决算情况说明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四、财政拨款收入支出决算总体情况说明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五、一般公共预算财政拨款收入支出决算情况说明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六、一般公共预算财政拨款基本支出决算情况说明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七、政府性基金财政拨款收入支出决算情况说明</w:t>
      </w:r>
    </w:p>
    <w:p>
      <w:pPr>
        <w:spacing w:beforeLines="0" w:afterLines="0" w:line="550" w:lineRule="exact"/>
        <w:rPr>
          <w:rFonts w:hint="eastAsia" w:ascii="宋体" w:hAnsi="宋体" w:eastAsia="宋体"/>
          <w:sz w:val="32"/>
          <w:szCs w:val="32"/>
        </w:rPr>
      </w:pPr>
      <w:r>
        <w:rPr>
          <w:rFonts w:hint="eastAsia" w:ascii="宋体" w:hAnsi="宋体" w:eastAsia="仿宋_GB2312"/>
          <w:sz w:val="32"/>
          <w:szCs w:val="32"/>
        </w:rPr>
        <w:t>八、其他重要事项的情况说明</w:t>
      </w:r>
    </w:p>
    <w:p>
      <w:pPr>
        <w:spacing w:beforeLines="0" w:afterLines="0" w:line="550" w:lineRule="exact"/>
        <w:rPr>
          <w:rFonts w:hint="eastAsia" w:ascii="宋体" w:hAnsi="宋体" w:eastAsia="宋体"/>
          <w:b/>
          <w:sz w:val="32"/>
          <w:szCs w:val="32"/>
        </w:rPr>
      </w:pPr>
      <w:r>
        <w:rPr>
          <w:rFonts w:hint="eastAsia" w:ascii="宋体" w:hAnsi="宋体" w:eastAsia="仿宋_GB2312"/>
          <w:b/>
          <w:sz w:val="32"/>
          <w:szCs w:val="32"/>
        </w:rPr>
        <w:t>第四部分  名词解释</w:t>
      </w:r>
    </w:p>
    <w:p>
      <w:pPr>
        <w:spacing w:beforeLines="0" w:afterLines="0" w:line="550" w:lineRule="exact"/>
        <w:rPr>
          <w:rFonts w:hint="eastAsia" w:ascii="宋体" w:hAnsi="宋体" w:eastAsia="宋体"/>
          <w:b/>
          <w:sz w:val="32"/>
          <w:szCs w:val="32"/>
        </w:rPr>
      </w:pPr>
    </w:p>
    <w:p>
      <w:pPr>
        <w:spacing w:beforeLines="0" w:afterLines="0"/>
        <w:jc w:val="center"/>
        <w:rPr>
          <w:rFonts w:hint="eastAsia" w:ascii="黑体" w:hAnsi="黑体" w:eastAsia="黑体"/>
          <w:b/>
          <w:sz w:val="32"/>
          <w:szCs w:val="32"/>
        </w:rPr>
      </w:pPr>
      <w:r>
        <w:rPr>
          <w:rFonts w:hint="eastAsia" w:ascii="黑体" w:hAnsi="黑体" w:eastAsia="黑体"/>
          <w:b/>
          <w:sz w:val="32"/>
          <w:szCs w:val="32"/>
        </w:rPr>
        <w:t>宿州市</w:t>
      </w:r>
      <w:r>
        <w:rPr>
          <w:rFonts w:hint="eastAsia" w:ascii="黑体" w:hAnsi="黑体" w:eastAsia="黑体" w:cs="宋体"/>
          <w:b/>
          <w:sz w:val="32"/>
          <w:szCs w:val="32"/>
        </w:rPr>
        <w:t>埇</w:t>
      </w:r>
      <w:r>
        <w:rPr>
          <w:rFonts w:hint="eastAsia" w:ascii="黑体" w:hAnsi="黑体" w:eastAsia="黑体" w:cs="仿宋_GB2312"/>
          <w:b/>
          <w:sz w:val="32"/>
          <w:szCs w:val="32"/>
        </w:rPr>
        <w:t>桥区</w:t>
      </w:r>
      <w:r>
        <w:rPr>
          <w:rFonts w:hint="eastAsia" w:ascii="黑体" w:hAnsi="黑体" w:eastAsia="黑体"/>
          <w:b/>
          <w:sz w:val="32"/>
          <w:szCs w:val="32"/>
        </w:rPr>
        <w:t>人民政府办公室2019年度部门决算情况</w:t>
      </w:r>
    </w:p>
    <w:p>
      <w:pPr>
        <w:spacing w:beforeLines="0" w:afterLines="0"/>
        <w:ind w:firstLine="600" w:firstLineChars="200"/>
        <w:rPr>
          <w:rFonts w:hint="eastAsia" w:ascii="黑体" w:hAnsi="黑体" w:eastAsia="黑体"/>
          <w:sz w:val="30"/>
          <w:szCs w:val="30"/>
        </w:rPr>
      </w:pPr>
    </w:p>
    <w:p>
      <w:pPr>
        <w:spacing w:beforeLines="0" w:afterLines="0"/>
        <w:ind w:firstLine="600" w:firstLineChars="200"/>
        <w:jc w:val="center"/>
        <w:rPr>
          <w:rFonts w:hint="eastAsia" w:ascii="黑体" w:hAnsi="黑体" w:eastAsia="黑体"/>
          <w:sz w:val="30"/>
          <w:szCs w:val="30"/>
        </w:rPr>
      </w:pPr>
      <w:r>
        <w:rPr>
          <w:rFonts w:hint="eastAsia" w:ascii="黑体" w:hAnsi="黑体" w:eastAsia="黑体"/>
          <w:sz w:val="30"/>
          <w:szCs w:val="30"/>
        </w:rPr>
        <w:t>第一部分 宿州市埇桥区人民政府办公室概况</w:t>
      </w:r>
    </w:p>
    <w:p>
      <w:pPr>
        <w:spacing w:beforeLines="0" w:afterLines="0"/>
        <w:ind w:firstLine="600" w:firstLineChars="200"/>
        <w:rPr>
          <w:rFonts w:hint="eastAsia" w:ascii="黑体" w:hAnsi="黑体" w:eastAsia="黑体"/>
          <w:sz w:val="30"/>
          <w:szCs w:val="30"/>
        </w:rPr>
      </w:pPr>
      <w:r>
        <w:rPr>
          <w:rFonts w:hint="eastAsia" w:ascii="黑体" w:hAnsi="黑体" w:eastAsia="黑体"/>
          <w:sz w:val="30"/>
          <w:szCs w:val="30"/>
        </w:rPr>
        <w:t>一、部门职责</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（一）贯彻落实党中央、国务院、省委、省政府、市委、市政府和区委、区政府的路线、方针、政策和其他有关的工作决定、指示。</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（二）负责区政府和办公室的各种文件、日常文电、文稿的起草、审核、处理工作。负责起草区政府的重要文件和区政府领导的重要讲话、报告。</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（三）负责区政府会议的会务组织工作。</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（四）督促检查区政府文件、会议决定事项、重要工作部署以及各级领导重要批示的落实情况，并跟踪调研，及时向区政府领导报告。</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（五）负责信息和调研工作，为领导分析问题、作出决策、指导工作提供服务。根据区政府领导的指示或工作的需要，组织协调各方面关系，并提出处理意见，为区政府领导同志提供决策参考。</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（六）负责区政府系统综合事务的协调工作，协助安排区政府领导参加重要政务活动；负责区政府的公务接待工作。</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（七）协调区政府有关部门、省市驻区单位、驻军等关系，对有关问题提出处理意见。当好区政府领导参谋，协助做好区政府与区级其他班子、区政府成员及各地、各部门之间的联络协调工作。</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（八）协助区政府领导处理突发公共事件、国防动员和金融服务工作，协调、督促相关应急管理工作。</w:t>
      </w:r>
    </w:p>
    <w:p>
      <w:pPr>
        <w:spacing w:beforeLines="0" w:afterLines="0"/>
        <w:ind w:firstLine="600" w:firstLineChars="200"/>
        <w:rPr>
          <w:rFonts w:hint="eastAsia" w:ascii="仿宋" w:hAnsi="仿宋" w:eastAsia="仿宋"/>
          <w:sz w:val="30"/>
          <w:szCs w:val="30"/>
        </w:rPr>
      </w:pPr>
      <w:r>
        <w:rPr>
          <w:rFonts w:hint="eastAsia" w:ascii="仿宋" w:hAnsi="仿宋" w:eastAsia="仿宋"/>
          <w:sz w:val="30"/>
          <w:szCs w:val="30"/>
        </w:rPr>
        <w:t>（九）组织办理人大代表议案、建议和政协委员提案及行政复议。</w:t>
      </w:r>
    </w:p>
    <w:p>
      <w:pPr>
        <w:spacing w:beforeLines="0" w:afterLines="0"/>
        <w:ind w:firstLine="600" w:firstLineChars="200"/>
        <w:rPr>
          <w:rFonts w:hint="eastAsia" w:ascii="黑体" w:hAnsi="黑体" w:eastAsia="黑体"/>
          <w:sz w:val="30"/>
          <w:szCs w:val="30"/>
        </w:rPr>
      </w:pPr>
      <w:r>
        <w:rPr>
          <w:rFonts w:hint="eastAsia" w:ascii="仿宋" w:hAnsi="仿宋" w:eastAsia="仿宋"/>
          <w:sz w:val="30"/>
          <w:szCs w:val="30"/>
        </w:rPr>
        <w:t>（十）收集报送市政府、区政府领导同志参阅的信息资料，协调新闻单位宣传报道区政府重大工作措施和重要政务活动。负责区政府信息公开工作，指导、协调全区政府信息公开工作。</w:t>
      </w:r>
    </w:p>
    <w:p>
      <w:pPr>
        <w:spacing w:beforeLines="0" w:afterLines="0"/>
        <w:ind w:firstLine="600" w:firstLineChars="200"/>
        <w:rPr>
          <w:rFonts w:hint="eastAsia" w:ascii="黑体" w:hAnsi="黑体" w:eastAsia="黑体"/>
          <w:sz w:val="30"/>
          <w:szCs w:val="30"/>
        </w:rPr>
      </w:pPr>
      <w:r>
        <w:rPr>
          <w:rFonts w:hint="eastAsia" w:ascii="黑体" w:hAnsi="黑体" w:eastAsia="黑体"/>
          <w:sz w:val="30"/>
          <w:szCs w:val="30"/>
        </w:rPr>
        <w:t>二、机构设置</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从决算单位构成看，宿州市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人民政府办公室2019年度部门决算包括：宿州市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人民政府办公室本级决算，与预算比较</w:t>
      </w:r>
      <w:r>
        <w:rPr>
          <w:rFonts w:hint="eastAsia" w:ascii="楷体_GB2312" w:hAnsi="仿宋" w:eastAsia="楷体_GB2312"/>
          <w:sz w:val="30"/>
          <w:szCs w:val="30"/>
        </w:rPr>
        <w:t>，</w:t>
      </w:r>
      <w:r>
        <w:rPr>
          <w:rFonts w:hint="eastAsia" w:ascii="仿宋_GB2312" w:hAnsi="仿宋" w:eastAsia="仿宋_GB2312"/>
          <w:sz w:val="30"/>
          <w:szCs w:val="30"/>
        </w:rPr>
        <w:t>编制范围一致。</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纳入宿州市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人民政府办公室2019年度部门决算编制范围的单位共1个。</w:t>
      </w:r>
    </w:p>
    <w:tbl>
      <w:tblPr>
        <w:tblStyle w:val="4"/>
        <w:tblW w:w="0" w:type="auto"/>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2"/>
        <w:gridCol w:w="3408"/>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exact"/>
        </w:trPr>
        <w:tc>
          <w:tcPr>
            <w:tcW w:w="852" w:type="dxa"/>
            <w:tcBorders>
              <w:top w:val="single" w:color="auto" w:sz="8" w:space="0"/>
              <w:left w:val="single" w:color="auto" w:sz="8" w:space="0"/>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3408" w:type="dxa"/>
            <w:tcBorders>
              <w:top w:val="single" w:color="auto" w:sz="8" w:space="0"/>
              <w:left w:val="nil"/>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单位名称</w:t>
            </w:r>
          </w:p>
        </w:tc>
        <w:tc>
          <w:tcPr>
            <w:tcW w:w="4260" w:type="dxa"/>
            <w:tcBorders>
              <w:top w:val="single" w:color="auto" w:sz="8" w:space="0"/>
              <w:left w:val="nil"/>
              <w:bottom w:val="single" w:color="auto" w:sz="8" w:space="0"/>
              <w:right w:val="single" w:color="auto" w:sz="8" w:space="0"/>
              <w:tl2br w:val="nil"/>
              <w:tr2bl w:val="nil"/>
            </w:tcBorders>
            <w:shd w:val="clear" w:color="auto" w:fill="FFFFFF"/>
            <w:noWrap w:val="0"/>
            <w:vAlign w:val="top"/>
          </w:tcPr>
          <w:p>
            <w:pPr>
              <w:adjustRightInd w:val="0"/>
              <w:snapToGrid w:val="0"/>
              <w:spacing w:beforeLines="0" w:afterLines="0" w:line="360" w:lineRule="auto"/>
              <w:jc w:val="center"/>
              <w:rPr>
                <w:rFonts w:hint="eastAsia" w:ascii="仿宋_GB2312" w:hAnsi="宋体" w:eastAsia="仿宋_GB2312"/>
                <w:sz w:val="24"/>
                <w:szCs w:val="24"/>
              </w:rPr>
            </w:pPr>
            <w:r>
              <w:rPr>
                <w:rFonts w:hint="eastAsia" w:ascii="仿宋_GB2312" w:hAnsi="宋体" w:eastAsia="仿宋_GB2312"/>
                <w:sz w:val="24"/>
                <w:szCs w:val="24"/>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exact"/>
        </w:trPr>
        <w:tc>
          <w:tcPr>
            <w:tcW w:w="852"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pPr>
              <w:adjustRightInd w:val="0"/>
              <w:snapToGrid w:val="0"/>
              <w:spacing w:beforeLines="0" w:afterLines="0" w:line="360" w:lineRule="auto"/>
              <w:jc w:val="center"/>
              <w:rPr>
                <w:rFonts w:hint="eastAsia" w:ascii="仿宋_GB2312" w:hAnsi="宋体" w:eastAsia="仿宋_GB2312" w:cs="宋体"/>
                <w:sz w:val="24"/>
                <w:szCs w:val="24"/>
              </w:rPr>
            </w:pPr>
            <w:r>
              <w:rPr>
                <w:rFonts w:hint="eastAsia" w:ascii="仿宋_GB2312" w:hAnsi="宋体" w:eastAsia="仿宋_GB2312"/>
                <w:sz w:val="24"/>
                <w:szCs w:val="24"/>
              </w:rPr>
              <w:t>1</w:t>
            </w:r>
          </w:p>
        </w:tc>
        <w:tc>
          <w:tcPr>
            <w:tcW w:w="3408" w:type="dxa"/>
            <w:tcBorders>
              <w:top w:val="nil"/>
              <w:left w:val="nil"/>
              <w:bottom w:val="single"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pPr>
              <w:adjustRightInd w:val="0"/>
              <w:snapToGrid w:val="0"/>
              <w:spacing w:beforeLines="0" w:afterLines="0" w:line="360" w:lineRule="auto"/>
              <w:rPr>
                <w:rFonts w:hint="eastAsia" w:ascii="仿宋_GB2312" w:hAnsi="宋体" w:eastAsia="仿宋_GB2312"/>
                <w:sz w:val="24"/>
                <w:szCs w:val="24"/>
                <w:u w:val="single"/>
              </w:rPr>
            </w:pPr>
            <w:r>
              <w:rPr>
                <w:rFonts w:hint="eastAsia" w:ascii="仿宋_GB2312" w:hAnsi="仿宋" w:eastAsia="仿宋_GB2312" w:cs="仿宋"/>
                <w:sz w:val="24"/>
                <w:szCs w:val="24"/>
              </w:rPr>
              <w:t>埇桥区政府办本级</w:t>
            </w:r>
          </w:p>
        </w:tc>
        <w:tc>
          <w:tcPr>
            <w:tcW w:w="4260" w:type="dxa"/>
            <w:tcBorders>
              <w:top w:val="nil"/>
              <w:left w:val="nil"/>
              <w:bottom w:val="single" w:color="auto" w:sz="8" w:space="0"/>
              <w:right w:val="single" w:color="auto" w:sz="8" w:space="0"/>
              <w:tl2br w:val="nil"/>
              <w:tr2bl w:val="nil"/>
            </w:tcBorders>
            <w:shd w:val="clear" w:color="auto" w:fill="FFFFFF"/>
            <w:noWrap w:val="0"/>
            <w:vAlign w:val="top"/>
          </w:tcPr>
          <w:p>
            <w:pPr>
              <w:adjustRightInd w:val="0"/>
              <w:snapToGrid w:val="0"/>
              <w:spacing w:beforeLines="0" w:afterLines="0" w:line="360" w:lineRule="auto"/>
              <w:rPr>
                <w:rFonts w:hint="eastAsia" w:ascii="仿宋_GB2312" w:hAnsi="宋体" w:eastAsia="仿宋_GB2312"/>
                <w:sz w:val="24"/>
                <w:szCs w:val="24"/>
                <w:u w:val="single"/>
              </w:rPr>
            </w:pPr>
            <w:r>
              <w:rPr>
                <w:rFonts w:hint="eastAsia" w:ascii="仿宋_GB2312" w:hAnsi="仿宋" w:eastAsia="仿宋_GB2312" w:cs="仿宋"/>
                <w:sz w:val="24"/>
                <w:szCs w:val="24"/>
              </w:rPr>
              <w:t>行政单位</w:t>
            </w:r>
          </w:p>
        </w:tc>
      </w:tr>
    </w:tbl>
    <w:p>
      <w:pPr>
        <w:spacing w:beforeLines="0" w:afterLines="0"/>
        <w:rPr>
          <w:rFonts w:hint="eastAsia" w:ascii="黑体" w:hAnsi="黑体" w:eastAsia="黑体"/>
          <w:sz w:val="30"/>
          <w:szCs w:val="30"/>
        </w:rPr>
      </w:pPr>
      <w:r>
        <w:rPr>
          <w:rFonts w:hint="eastAsia" w:ascii="黑体" w:hAnsi="黑体" w:eastAsia="黑体"/>
          <w:sz w:val="30"/>
          <w:szCs w:val="30"/>
        </w:rPr>
        <w:t>第二部分 宿州市埇桥区人民政府办公室2019年度部门决算表</w:t>
      </w:r>
    </w:p>
    <w:p>
      <w:pPr>
        <w:spacing w:beforeLines="0" w:afterLines="0"/>
        <w:ind w:firstLine="600" w:firstLineChars="200"/>
        <w:rPr>
          <w:rFonts w:hint="eastAsia" w:ascii="黑体" w:hAnsi="黑体" w:eastAsia="黑体"/>
          <w:sz w:val="30"/>
          <w:szCs w:val="30"/>
        </w:rPr>
      </w:pPr>
      <w:r>
        <w:rPr>
          <w:rFonts w:hint="eastAsia" w:ascii="仿宋_GB2312" w:eastAsia="仿宋_GB2312" w:cs="仿宋_GB2312"/>
          <w:sz w:val="30"/>
          <w:szCs w:val="30"/>
        </w:rPr>
        <w:t>宿州市</w:t>
      </w:r>
      <w:r>
        <w:rPr>
          <w:rFonts w:hint="eastAsia" w:ascii="宋体" w:hAnsi="宋体" w:eastAsia="仿宋_GB2312" w:cs="宋体"/>
          <w:sz w:val="30"/>
          <w:szCs w:val="30"/>
        </w:rPr>
        <w:t>埇</w:t>
      </w:r>
      <w:r>
        <w:rPr>
          <w:rFonts w:hint="eastAsia" w:ascii="仿宋_GB2312" w:hAnsi="仿宋_GB2312" w:eastAsia="仿宋_GB2312" w:cs="仿宋_GB2312"/>
          <w:sz w:val="30"/>
          <w:szCs w:val="30"/>
        </w:rPr>
        <w:t>桥区</w:t>
      </w:r>
      <w:r>
        <w:rPr>
          <w:rFonts w:hint="eastAsia" w:ascii="仿宋_GB2312" w:eastAsia="仿宋_GB2312" w:cs="仿宋_GB2312"/>
          <w:sz w:val="30"/>
          <w:szCs w:val="30"/>
        </w:rPr>
        <w:t>人民政府办公室2019年度部门决算报表由以下</w:t>
      </w:r>
      <w:r>
        <w:rPr>
          <w:rFonts w:hint="eastAsia" w:ascii="仿宋_GB2312" w:eastAsia="仿宋_GB2312" w:cs="仿宋_GB2312"/>
          <w:sz w:val="30"/>
          <w:szCs w:val="30"/>
          <w:lang w:val="en-US" w:eastAsia="zh-CN"/>
        </w:rPr>
        <w:t>8</w:t>
      </w:r>
      <w:r>
        <w:rPr>
          <w:rFonts w:hint="eastAsia" w:ascii="仿宋_GB2312" w:eastAsia="仿宋_GB2312" w:cs="仿宋_GB2312"/>
          <w:sz w:val="30"/>
          <w:szCs w:val="30"/>
        </w:rPr>
        <w:t>张表构成，具体表格内容见附表。</w:t>
      </w:r>
    </w:p>
    <w:p>
      <w:pPr>
        <w:spacing w:beforeLines="0" w:afterLines="0"/>
        <w:ind w:firstLine="600" w:firstLineChars="200"/>
        <w:jc w:val="left"/>
        <w:rPr>
          <w:rFonts w:hint="eastAsia" w:ascii="宋体" w:hAnsi="宋体" w:eastAsia="宋体"/>
          <w:sz w:val="30"/>
          <w:szCs w:val="30"/>
        </w:rPr>
      </w:pPr>
      <w:r>
        <w:rPr>
          <w:rFonts w:hint="eastAsia" w:ascii="宋体" w:hAnsi="宋体" w:eastAsia="仿宋_GB2312"/>
          <w:sz w:val="30"/>
          <w:szCs w:val="30"/>
        </w:rPr>
        <w:t>一、收入支出决算总表</w:t>
      </w:r>
    </w:p>
    <w:p>
      <w:pPr>
        <w:spacing w:beforeLines="0" w:afterLines="0"/>
        <w:ind w:firstLine="600" w:firstLineChars="200"/>
        <w:rPr>
          <w:rFonts w:hint="eastAsia" w:ascii="宋体" w:hAnsi="宋体" w:eastAsia="宋体"/>
          <w:sz w:val="30"/>
          <w:szCs w:val="30"/>
        </w:rPr>
      </w:pPr>
      <w:r>
        <w:rPr>
          <w:rFonts w:hint="eastAsia" w:ascii="宋体" w:hAnsi="宋体" w:eastAsia="仿宋_GB2312"/>
          <w:sz w:val="30"/>
          <w:szCs w:val="30"/>
        </w:rPr>
        <w:t>二、收入决算表</w:t>
      </w:r>
    </w:p>
    <w:p>
      <w:pPr>
        <w:spacing w:beforeLines="0" w:afterLines="0"/>
        <w:ind w:firstLine="600" w:firstLineChars="200"/>
        <w:rPr>
          <w:rFonts w:hint="eastAsia" w:ascii="宋体" w:hAnsi="宋体" w:eastAsia="宋体"/>
          <w:sz w:val="30"/>
          <w:szCs w:val="30"/>
        </w:rPr>
      </w:pPr>
      <w:r>
        <w:rPr>
          <w:rFonts w:hint="eastAsia" w:ascii="宋体" w:hAnsi="宋体" w:eastAsia="仿宋_GB2312"/>
          <w:sz w:val="30"/>
          <w:szCs w:val="30"/>
        </w:rPr>
        <w:t>三、支出决算表</w:t>
      </w:r>
    </w:p>
    <w:p>
      <w:pPr>
        <w:spacing w:beforeLines="0" w:afterLines="0"/>
        <w:ind w:firstLine="600" w:firstLineChars="200"/>
        <w:rPr>
          <w:rFonts w:hint="eastAsia" w:ascii="宋体" w:hAnsi="宋体" w:eastAsia="宋体"/>
          <w:sz w:val="30"/>
          <w:szCs w:val="30"/>
        </w:rPr>
      </w:pPr>
      <w:r>
        <w:rPr>
          <w:rFonts w:hint="eastAsia" w:ascii="宋体" w:hAnsi="宋体" w:eastAsia="仿宋_GB2312"/>
          <w:sz w:val="30"/>
          <w:szCs w:val="30"/>
        </w:rPr>
        <w:t>四、财政拨款收入支出决算总表</w:t>
      </w:r>
    </w:p>
    <w:p>
      <w:pPr>
        <w:spacing w:beforeLines="0" w:afterLines="0"/>
        <w:ind w:firstLine="600" w:firstLineChars="200"/>
        <w:rPr>
          <w:rFonts w:hint="eastAsia" w:ascii="宋体" w:hAnsi="宋体" w:eastAsia="宋体"/>
          <w:sz w:val="30"/>
          <w:szCs w:val="30"/>
        </w:rPr>
      </w:pPr>
      <w:r>
        <w:rPr>
          <w:rFonts w:hint="eastAsia" w:ascii="宋体" w:hAnsi="宋体" w:eastAsia="仿宋_GB2312"/>
          <w:sz w:val="30"/>
          <w:szCs w:val="30"/>
        </w:rPr>
        <w:t>五、一般公共预算财政拨款收入支出决算表</w:t>
      </w:r>
    </w:p>
    <w:p>
      <w:pPr>
        <w:spacing w:beforeLines="0" w:afterLines="0"/>
        <w:ind w:firstLine="600" w:firstLineChars="200"/>
        <w:rPr>
          <w:rFonts w:hint="eastAsia" w:ascii="宋体" w:hAnsi="宋体" w:eastAsia="宋体"/>
          <w:sz w:val="30"/>
          <w:szCs w:val="30"/>
        </w:rPr>
      </w:pPr>
      <w:r>
        <w:rPr>
          <w:rFonts w:hint="eastAsia" w:ascii="宋体" w:hAnsi="宋体" w:eastAsia="仿宋_GB2312"/>
          <w:sz w:val="30"/>
          <w:szCs w:val="30"/>
        </w:rPr>
        <w:t>六、一般公共预算财政拨款基本支出决算表</w:t>
      </w:r>
    </w:p>
    <w:p>
      <w:pPr>
        <w:spacing w:beforeLines="0" w:afterLines="0"/>
        <w:ind w:firstLine="600" w:firstLineChars="200"/>
        <w:rPr>
          <w:rFonts w:hint="eastAsia" w:ascii="宋体" w:hAnsi="宋体" w:eastAsia="仿宋_GB2312"/>
          <w:sz w:val="30"/>
          <w:szCs w:val="30"/>
          <w:lang w:eastAsia="zh-CN"/>
        </w:rPr>
      </w:pPr>
      <w:r>
        <w:rPr>
          <w:rFonts w:hint="eastAsia" w:ascii="宋体" w:hAnsi="宋体" w:eastAsia="仿宋_GB2312"/>
          <w:sz w:val="30"/>
          <w:szCs w:val="30"/>
        </w:rPr>
        <w:t>七、一般公共预算财政拨款</w:t>
      </w:r>
      <w:r>
        <w:rPr>
          <w:rFonts w:hint="eastAsia" w:ascii="宋体" w:hAnsi="宋体" w:eastAsia="仿宋_GB2312"/>
          <w:sz w:val="30"/>
          <w:szCs w:val="30"/>
          <w:lang w:eastAsia="zh-CN"/>
        </w:rPr>
        <w:t>“三公”经费支出决算表</w:t>
      </w:r>
    </w:p>
    <w:p>
      <w:pPr>
        <w:spacing w:beforeLines="0" w:afterLines="0"/>
        <w:ind w:firstLine="600" w:firstLineChars="200"/>
        <w:rPr>
          <w:rFonts w:hint="eastAsia" w:eastAsia="仿宋_GB2312"/>
          <w:lang w:eastAsia="zh-CN"/>
        </w:rPr>
      </w:pPr>
      <w:r>
        <w:rPr>
          <w:rFonts w:hint="eastAsia" w:ascii="宋体" w:hAnsi="宋体" w:eastAsia="仿宋_GB2312"/>
          <w:sz w:val="30"/>
          <w:szCs w:val="30"/>
          <w:lang w:eastAsia="zh-CN"/>
        </w:rPr>
        <w:t>八、</w:t>
      </w:r>
      <w:r>
        <w:rPr>
          <w:rFonts w:hint="eastAsia" w:ascii="宋体" w:hAnsi="宋体" w:eastAsia="仿宋_GB2312"/>
          <w:sz w:val="30"/>
          <w:szCs w:val="30"/>
        </w:rPr>
        <w:t>政府性基金预算财政拨款收入支出决算表</w:t>
      </w:r>
    </w:p>
    <w:p>
      <w:pPr>
        <w:spacing w:beforeLines="0" w:afterLines="0"/>
        <w:ind w:firstLine="708" w:firstLineChars="236"/>
        <w:jc w:val="center"/>
        <w:rPr>
          <w:rFonts w:hint="eastAsia" w:ascii="黑体" w:hAnsi="黑体" w:eastAsia="黑体"/>
          <w:sz w:val="30"/>
          <w:szCs w:val="30"/>
        </w:rPr>
      </w:pPr>
      <w:r>
        <w:rPr>
          <w:rFonts w:hint="eastAsia" w:ascii="黑体" w:hAnsi="黑体" w:eastAsia="黑体"/>
          <w:sz w:val="30"/>
          <w:szCs w:val="30"/>
        </w:rPr>
        <w:t>第三部分 宿州市埇桥区人民政府办公室2019年度</w:t>
      </w:r>
    </w:p>
    <w:p>
      <w:pPr>
        <w:spacing w:beforeLines="0" w:afterLines="0"/>
        <w:ind w:firstLine="708" w:firstLineChars="236"/>
        <w:jc w:val="center"/>
        <w:rPr>
          <w:rFonts w:hint="eastAsia" w:ascii="黑体" w:hAnsi="黑体" w:eastAsia="黑体"/>
          <w:sz w:val="30"/>
          <w:szCs w:val="30"/>
        </w:rPr>
      </w:pPr>
      <w:r>
        <w:rPr>
          <w:rFonts w:hint="eastAsia" w:ascii="黑体" w:hAnsi="黑体" w:eastAsia="黑体"/>
          <w:sz w:val="30"/>
          <w:szCs w:val="30"/>
        </w:rPr>
        <w:t>部门决算情况说明</w:t>
      </w:r>
    </w:p>
    <w:p>
      <w:pPr>
        <w:spacing w:beforeLines="0" w:afterLines="0"/>
        <w:ind w:firstLine="600" w:firstLineChars="200"/>
        <w:rPr>
          <w:rFonts w:hint="eastAsia" w:ascii="黑体" w:hAnsi="黑体" w:eastAsia="黑体"/>
          <w:sz w:val="30"/>
          <w:szCs w:val="30"/>
        </w:rPr>
      </w:pPr>
      <w:r>
        <w:rPr>
          <w:rFonts w:hint="eastAsia" w:ascii="黑体" w:hAnsi="黑体" w:eastAsia="黑体"/>
          <w:sz w:val="30"/>
          <w:szCs w:val="30"/>
        </w:rPr>
        <w:t>一、收入支出决算总体情况说明</w:t>
      </w:r>
    </w:p>
    <w:p>
      <w:pPr>
        <w:spacing w:beforeLines="0" w:afterLines="0"/>
        <w:ind w:firstLine="600" w:firstLineChars="200"/>
        <w:rPr>
          <w:rFonts w:hint="eastAsia" w:ascii="仿宋_GB2312" w:hAnsi="仿宋" w:eastAsia="仿宋_GB2312"/>
          <w:color w:val="auto"/>
          <w:sz w:val="30"/>
          <w:szCs w:val="30"/>
        </w:rPr>
      </w:pPr>
      <w:r>
        <w:rPr>
          <w:rFonts w:hint="eastAsia" w:ascii="仿宋_GB2312" w:eastAsia="仿宋_GB2312" w:cs="仿宋_GB2312"/>
          <w:sz w:val="30"/>
          <w:szCs w:val="30"/>
        </w:rPr>
        <w:t>2019年度收入总计1,382.35万元（含用事业基金弥补收支差额和年初结转结余）、支出总计1,382.35万元（含结余分配和年末结转结余）。与2018年度相比，收、支总计各减少106.7</w:t>
      </w:r>
      <w:r>
        <w:rPr>
          <w:rFonts w:hint="eastAsia" w:ascii="仿宋_GB2312" w:eastAsia="仿宋_GB2312" w:cs="仿宋_GB2312"/>
          <w:sz w:val="30"/>
          <w:szCs w:val="30"/>
          <w:lang w:val="en-US" w:eastAsia="zh-CN"/>
        </w:rPr>
        <w:t>6</w:t>
      </w:r>
      <w:r>
        <w:rPr>
          <w:rFonts w:hint="eastAsia" w:ascii="仿宋_GB2312" w:eastAsia="仿宋_GB2312" w:cs="仿宋_GB2312"/>
          <w:sz w:val="30"/>
          <w:szCs w:val="30"/>
        </w:rPr>
        <w:t>万元，</w:t>
      </w:r>
      <w:r>
        <w:rPr>
          <w:rFonts w:hint="eastAsia" w:ascii="仿宋_GB2312" w:eastAsia="仿宋_GB2312" w:cs="仿宋_GB2312"/>
          <w:sz w:val="30"/>
          <w:szCs w:val="30"/>
          <w:lang w:eastAsia="zh-CN"/>
        </w:rPr>
        <w:t>下降</w:t>
      </w:r>
      <w:r>
        <w:rPr>
          <w:rFonts w:hint="eastAsia" w:ascii="仿宋_GB2312" w:eastAsia="仿宋_GB2312" w:cs="仿宋_GB2312"/>
          <w:sz w:val="30"/>
          <w:szCs w:val="30"/>
          <w:lang w:val="en-US" w:eastAsia="zh-CN"/>
        </w:rPr>
        <w:t>7.17%，</w:t>
      </w:r>
      <w:r>
        <w:rPr>
          <w:rFonts w:hint="eastAsia" w:ascii="仿宋_GB2312" w:eastAsia="仿宋_GB2312" w:cs="仿宋_GB2312"/>
          <w:sz w:val="30"/>
          <w:szCs w:val="30"/>
        </w:rPr>
        <w:t>主要原因是全面压缩一般性支出</w:t>
      </w:r>
      <w:r>
        <w:rPr>
          <w:rFonts w:hint="eastAsia" w:ascii="仿宋_GB2312" w:eastAsia="仿宋_GB2312" w:cs="仿宋_GB2312"/>
          <w:color w:val="auto"/>
          <w:sz w:val="30"/>
          <w:szCs w:val="30"/>
        </w:rPr>
        <w:t>。</w:t>
      </w:r>
    </w:p>
    <w:p>
      <w:pPr>
        <w:spacing w:beforeLines="0" w:afterLines="0"/>
        <w:ind w:firstLine="600" w:firstLineChars="200"/>
        <w:rPr>
          <w:rFonts w:hint="eastAsia" w:ascii="黑体" w:hAnsi="仿宋" w:eastAsia="黑体"/>
          <w:sz w:val="30"/>
          <w:szCs w:val="30"/>
        </w:rPr>
      </w:pPr>
      <w:r>
        <w:rPr>
          <w:rFonts w:hint="eastAsia" w:ascii="黑体" w:hAnsi="仿宋" w:eastAsia="黑体"/>
          <w:sz w:val="30"/>
          <w:szCs w:val="30"/>
        </w:rPr>
        <w:t>二、收入决算情况说明</w:t>
      </w:r>
    </w:p>
    <w:p>
      <w:pPr>
        <w:spacing w:beforeLines="0" w:afterLines="0"/>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2019年度收入合计1362.43万元，其中：财政拨款收入1,349.55万元，占99.05%；事业收入0</w:t>
      </w:r>
      <w:r>
        <w:rPr>
          <w:rFonts w:hint="eastAsia" w:ascii="仿宋_GB2312" w:eastAsia="仿宋_GB2312" w:cs="仿宋_GB2312"/>
          <w:sz w:val="30"/>
          <w:szCs w:val="30"/>
          <w:lang w:val="en-US" w:eastAsia="zh-CN"/>
        </w:rPr>
        <w:t>.00</w:t>
      </w:r>
      <w:r>
        <w:rPr>
          <w:rFonts w:hint="eastAsia" w:ascii="仿宋_GB2312" w:eastAsia="仿宋_GB2312" w:cs="仿宋_GB2312"/>
          <w:sz w:val="30"/>
          <w:szCs w:val="30"/>
        </w:rPr>
        <w:t>万元，占0%；经营收入0</w:t>
      </w:r>
      <w:r>
        <w:rPr>
          <w:rFonts w:hint="eastAsia" w:ascii="仿宋_GB2312" w:eastAsia="仿宋_GB2312" w:cs="仿宋_GB2312"/>
          <w:sz w:val="30"/>
          <w:szCs w:val="30"/>
          <w:lang w:val="en-US" w:eastAsia="zh-CN"/>
        </w:rPr>
        <w:t>.00</w:t>
      </w:r>
      <w:r>
        <w:rPr>
          <w:rFonts w:hint="eastAsia" w:ascii="仿宋_GB2312" w:eastAsia="仿宋_GB2312" w:cs="仿宋_GB2312"/>
          <w:sz w:val="30"/>
          <w:szCs w:val="30"/>
        </w:rPr>
        <w:t>万元，占0%；其他收入12.88万元，占0.95%。</w:t>
      </w:r>
    </w:p>
    <w:p>
      <w:pPr>
        <w:spacing w:beforeLines="0" w:afterLines="0"/>
        <w:ind w:firstLine="600" w:firstLineChars="200"/>
        <w:rPr>
          <w:rFonts w:hint="eastAsia" w:ascii="黑体" w:hAnsi="仿宋" w:eastAsia="黑体"/>
          <w:sz w:val="30"/>
          <w:szCs w:val="30"/>
        </w:rPr>
      </w:pPr>
      <w:r>
        <w:rPr>
          <w:rFonts w:hint="eastAsia" w:ascii="黑体" w:hAnsi="仿宋" w:eastAsia="黑体"/>
          <w:sz w:val="30"/>
          <w:szCs w:val="30"/>
        </w:rPr>
        <w:t>三、支出决算情况说明</w:t>
      </w:r>
    </w:p>
    <w:p>
      <w:pPr>
        <w:spacing w:beforeLines="0" w:afterLines="0"/>
        <w:ind w:firstLine="600" w:firstLineChars="200"/>
        <w:rPr>
          <w:rFonts w:hint="eastAsia" w:ascii="仿宋_GB2312" w:hAnsi="仿宋" w:eastAsia="仿宋_GB2312"/>
          <w:sz w:val="30"/>
          <w:szCs w:val="30"/>
        </w:rPr>
      </w:pPr>
      <w:r>
        <w:rPr>
          <w:rFonts w:hint="eastAsia" w:ascii="仿宋_GB2312" w:eastAsia="仿宋_GB2312" w:cs="仿宋_GB2312"/>
          <w:sz w:val="30"/>
          <w:szCs w:val="30"/>
        </w:rPr>
        <w:t>2019年度支出合计1,382.16万元，其中：基本支出1,382.16万元，占100%；项目支出0</w:t>
      </w:r>
      <w:r>
        <w:rPr>
          <w:rFonts w:hint="eastAsia" w:ascii="仿宋_GB2312" w:eastAsia="仿宋_GB2312" w:cs="仿宋_GB2312"/>
          <w:sz w:val="30"/>
          <w:szCs w:val="30"/>
          <w:lang w:val="en-US" w:eastAsia="zh-CN"/>
        </w:rPr>
        <w:t>.00</w:t>
      </w:r>
      <w:r>
        <w:rPr>
          <w:rFonts w:hint="eastAsia" w:ascii="仿宋_GB2312" w:eastAsia="仿宋_GB2312" w:cs="仿宋_GB2312"/>
          <w:sz w:val="30"/>
          <w:szCs w:val="30"/>
        </w:rPr>
        <w:t>万元，占0%。</w:t>
      </w:r>
    </w:p>
    <w:p>
      <w:pPr>
        <w:spacing w:beforeLines="0" w:afterLines="0"/>
        <w:ind w:firstLine="600" w:firstLineChars="200"/>
        <w:rPr>
          <w:rFonts w:hint="eastAsia" w:ascii="黑体" w:hAnsi="仿宋" w:eastAsia="黑体"/>
          <w:sz w:val="30"/>
          <w:szCs w:val="30"/>
        </w:rPr>
      </w:pPr>
      <w:r>
        <w:rPr>
          <w:rFonts w:hint="eastAsia" w:ascii="黑体" w:hAnsi="仿宋" w:eastAsia="黑体"/>
          <w:sz w:val="30"/>
          <w:szCs w:val="30"/>
        </w:rPr>
        <w:t>四、</w:t>
      </w:r>
      <w:r>
        <w:rPr>
          <w:rFonts w:hint="eastAsia" w:ascii="黑体" w:eastAsia="黑体"/>
          <w:sz w:val="30"/>
          <w:szCs w:val="30"/>
        </w:rPr>
        <w:t>财政拨款收入支出决算总体情况说明</w:t>
      </w:r>
    </w:p>
    <w:p>
      <w:pPr>
        <w:spacing w:beforeLines="0" w:afterLines="0"/>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2019年度财政拨款收入总计1369.47万元（含年初财政拨款结转结余），支出总计1369.47万元（含年末财政拨款结转和结余）。与2018年度相比，财政拨款收、支总计各减少32.69万元，</w:t>
      </w:r>
      <w:r>
        <w:rPr>
          <w:rFonts w:hint="eastAsia" w:ascii="仿宋_GB2312" w:eastAsia="仿宋_GB2312" w:cs="仿宋_GB2312"/>
          <w:sz w:val="30"/>
          <w:szCs w:val="30"/>
          <w:lang w:eastAsia="zh-CN"/>
        </w:rPr>
        <w:t>下降</w:t>
      </w:r>
      <w:r>
        <w:rPr>
          <w:rFonts w:hint="eastAsia" w:ascii="仿宋_GB2312" w:eastAsia="仿宋_GB2312" w:cs="仿宋_GB2312"/>
          <w:sz w:val="30"/>
          <w:szCs w:val="30"/>
          <w:lang w:val="en-US" w:eastAsia="zh-CN"/>
        </w:rPr>
        <w:t>2.33%，</w:t>
      </w:r>
      <w:r>
        <w:rPr>
          <w:rFonts w:hint="eastAsia" w:ascii="仿宋_GB2312" w:eastAsia="仿宋_GB2312" w:cs="仿宋_GB2312"/>
          <w:sz w:val="30"/>
          <w:szCs w:val="30"/>
        </w:rPr>
        <w:t>主要原因是全面压缩一般性支出。</w:t>
      </w:r>
    </w:p>
    <w:p>
      <w:pPr>
        <w:spacing w:beforeLines="0" w:afterLines="0"/>
        <w:ind w:firstLine="600" w:firstLineChars="200"/>
        <w:rPr>
          <w:rFonts w:hint="eastAsia" w:ascii="黑体" w:hAnsi="仿宋" w:eastAsia="黑体"/>
          <w:sz w:val="30"/>
          <w:szCs w:val="30"/>
        </w:rPr>
      </w:pPr>
      <w:r>
        <w:rPr>
          <w:rFonts w:hint="eastAsia" w:ascii="黑体" w:hAnsi="仿宋" w:eastAsia="黑体"/>
          <w:sz w:val="30"/>
          <w:szCs w:val="30"/>
        </w:rPr>
        <w:t>五、一般公共预算财政拨款收入支出决算情况说明</w:t>
      </w:r>
    </w:p>
    <w:p>
      <w:pPr>
        <w:spacing w:beforeLines="0" w:afterLines="0"/>
        <w:ind w:firstLine="602" w:firstLineChars="200"/>
        <w:rPr>
          <w:rFonts w:hint="eastAsia" w:ascii="仿宋_GB2312" w:hAnsi="仿宋" w:eastAsia="仿宋_GB2312"/>
          <w:b/>
          <w:sz w:val="30"/>
          <w:szCs w:val="30"/>
        </w:rPr>
      </w:pPr>
      <w:r>
        <w:rPr>
          <w:rFonts w:hint="eastAsia" w:ascii="仿宋_GB2312" w:hAnsi="仿宋" w:eastAsia="仿宋_GB2312"/>
          <w:b/>
          <w:sz w:val="30"/>
          <w:szCs w:val="30"/>
        </w:rPr>
        <w:t>（一）一般公共预算财政拨款收入决算总体情况。</w:t>
      </w:r>
    </w:p>
    <w:p>
      <w:pPr>
        <w:spacing w:beforeLines="0" w:afterLines="0"/>
        <w:ind w:firstLine="600" w:firstLineChars="200"/>
        <w:rPr>
          <w:rFonts w:hint="eastAsia" w:ascii="仿宋_GB2312" w:eastAsia="仿宋_GB2312" w:cs="仿宋_GB2312"/>
          <w:color w:val="0000FF"/>
          <w:sz w:val="30"/>
          <w:szCs w:val="30"/>
        </w:rPr>
      </w:pPr>
      <w:r>
        <w:rPr>
          <w:rFonts w:hint="eastAsia" w:ascii="仿宋_GB2312" w:eastAsia="仿宋_GB2312" w:cs="仿宋_GB2312"/>
          <w:sz w:val="30"/>
          <w:szCs w:val="30"/>
        </w:rPr>
        <w:t>2019年度一般公共预算财政拨款收入1349.55万元，占本年收入的99.05%。与2018年度相比，一般公共预算财政拨款收入减少52.61万元</w:t>
      </w:r>
      <w:r>
        <w:rPr>
          <w:rFonts w:hint="eastAsia" w:ascii="仿宋_GB2312" w:eastAsia="仿宋_GB2312" w:cs="仿宋_GB2312"/>
          <w:sz w:val="30"/>
          <w:szCs w:val="30"/>
          <w:lang w:eastAsia="zh-CN"/>
        </w:rPr>
        <w:t>，下降</w:t>
      </w:r>
      <w:r>
        <w:rPr>
          <w:rFonts w:hint="eastAsia" w:ascii="仿宋_GB2312" w:eastAsia="仿宋_GB2312" w:cs="仿宋_GB2312"/>
          <w:sz w:val="30"/>
          <w:szCs w:val="30"/>
          <w:lang w:val="en-US" w:eastAsia="zh-CN"/>
        </w:rPr>
        <w:t>3.75%</w:t>
      </w:r>
      <w:r>
        <w:rPr>
          <w:rFonts w:hint="eastAsia" w:ascii="仿宋_GB2312" w:eastAsia="仿宋_GB2312" w:cs="仿宋_GB2312"/>
          <w:sz w:val="30"/>
          <w:szCs w:val="30"/>
        </w:rPr>
        <w:t>。主要原因是全面压缩一般性支出。</w:t>
      </w:r>
    </w:p>
    <w:p>
      <w:pPr>
        <w:spacing w:beforeLines="0" w:afterLines="0"/>
        <w:ind w:firstLine="602" w:firstLineChars="200"/>
        <w:rPr>
          <w:rFonts w:hint="eastAsia" w:ascii="仿宋_GB2312" w:hAnsi="仿宋" w:eastAsia="仿宋_GB2312"/>
          <w:b/>
          <w:sz w:val="30"/>
          <w:szCs w:val="30"/>
        </w:rPr>
      </w:pPr>
      <w:r>
        <w:rPr>
          <w:rFonts w:hint="eastAsia" w:ascii="仿宋_GB2312" w:hAnsi="仿宋" w:eastAsia="仿宋_GB2312"/>
          <w:b/>
          <w:sz w:val="30"/>
          <w:szCs w:val="30"/>
        </w:rPr>
        <w:t>（二）一般公共预算财政拨款支出决算总体情况。</w:t>
      </w:r>
    </w:p>
    <w:p>
      <w:pPr>
        <w:spacing w:beforeLines="0" w:afterLines="0"/>
        <w:ind w:firstLine="600" w:firstLineChars="200"/>
        <w:rPr>
          <w:rFonts w:hint="eastAsia" w:ascii="仿宋_GB2312" w:eastAsia="仿宋_GB2312" w:cs="仿宋_GB2312"/>
          <w:sz w:val="30"/>
          <w:szCs w:val="30"/>
        </w:rPr>
      </w:pPr>
      <w:r>
        <w:rPr>
          <w:rFonts w:hint="eastAsia" w:ascii="仿宋_GB2312" w:eastAsia="仿宋_GB2312" w:cs="仿宋_GB2312"/>
          <w:sz w:val="30"/>
          <w:szCs w:val="30"/>
        </w:rPr>
        <w:t>2019年度一般公共预算财政拨款支出1369.28万元，占本年支出的99.07%。与2018年度相比，一般公共预算财政拨款支出减少12.96万元</w:t>
      </w:r>
      <w:r>
        <w:rPr>
          <w:rFonts w:hint="eastAsia" w:ascii="仿宋_GB2312" w:eastAsia="仿宋_GB2312" w:cs="仿宋_GB2312"/>
          <w:sz w:val="30"/>
          <w:szCs w:val="30"/>
          <w:lang w:eastAsia="zh-CN"/>
        </w:rPr>
        <w:t>，下降</w:t>
      </w:r>
      <w:r>
        <w:rPr>
          <w:rFonts w:hint="eastAsia" w:ascii="仿宋_GB2312" w:eastAsia="仿宋_GB2312" w:cs="仿宋_GB2312"/>
          <w:sz w:val="30"/>
          <w:szCs w:val="30"/>
          <w:lang w:val="en-US" w:eastAsia="zh-CN"/>
        </w:rPr>
        <w:t>0.94%</w:t>
      </w:r>
      <w:r>
        <w:rPr>
          <w:rFonts w:hint="eastAsia" w:ascii="仿宋_GB2312" w:eastAsia="仿宋_GB2312" w:cs="仿宋_GB2312"/>
          <w:sz w:val="30"/>
          <w:szCs w:val="30"/>
        </w:rPr>
        <w:t>。主要原因是全面压缩一般性支出。</w:t>
      </w:r>
    </w:p>
    <w:p>
      <w:pPr>
        <w:spacing w:beforeLines="0" w:afterLines="0"/>
        <w:ind w:firstLine="602" w:firstLineChars="200"/>
        <w:rPr>
          <w:rFonts w:hint="eastAsia" w:ascii="仿宋_GB2312" w:hAnsi="仿宋" w:eastAsia="仿宋_GB2312"/>
          <w:b/>
          <w:sz w:val="30"/>
          <w:szCs w:val="30"/>
        </w:rPr>
      </w:pPr>
      <w:r>
        <w:rPr>
          <w:rFonts w:hint="eastAsia" w:ascii="仿宋_GB2312" w:hAnsi="仿宋" w:eastAsia="仿宋_GB2312"/>
          <w:b/>
          <w:sz w:val="30"/>
          <w:szCs w:val="30"/>
        </w:rPr>
        <w:t>（三）一般公共预算财政拨款支出决算结构情况。</w:t>
      </w:r>
    </w:p>
    <w:p>
      <w:pPr>
        <w:spacing w:beforeLines="0" w:afterLines="0"/>
        <w:ind w:firstLine="600" w:firstLineChars="200"/>
        <w:rPr>
          <w:rFonts w:hint="eastAsia" w:ascii="仿宋_GB2312" w:hAnsi="仿宋" w:eastAsia="仿宋_GB2312"/>
          <w:sz w:val="30"/>
          <w:szCs w:val="30"/>
        </w:rPr>
      </w:pPr>
      <w:r>
        <w:rPr>
          <w:rFonts w:hint="eastAsia" w:ascii="仿宋_GB2312" w:eastAsia="仿宋_GB2312" w:cs="仿宋_GB2312"/>
          <w:sz w:val="30"/>
          <w:szCs w:val="30"/>
        </w:rPr>
        <w:t>2019年度一般公共预算财政拨款支出1369.28万元，主要用于以下方面：</w:t>
      </w:r>
      <w:r>
        <w:rPr>
          <w:rFonts w:hint="eastAsia" w:ascii="仿宋_GB2312" w:eastAsia="仿宋_GB2312" w:cs="仿宋_GB2312"/>
          <w:b/>
          <w:sz w:val="30"/>
          <w:szCs w:val="30"/>
        </w:rPr>
        <w:t>一般公共服务（类）</w:t>
      </w:r>
      <w:r>
        <w:rPr>
          <w:rFonts w:hint="eastAsia" w:ascii="仿宋_GB2312" w:eastAsia="仿宋_GB2312" w:cs="仿宋_GB2312"/>
          <w:sz w:val="30"/>
          <w:szCs w:val="30"/>
        </w:rPr>
        <w:t>支出1152.51万元，占84.16%;</w:t>
      </w:r>
      <w:r>
        <w:rPr>
          <w:rFonts w:hint="eastAsia" w:ascii="仿宋_GB2312" w:eastAsia="仿宋_GB2312" w:cs="仿宋_GB2312"/>
          <w:b/>
          <w:sz w:val="30"/>
          <w:szCs w:val="30"/>
        </w:rPr>
        <w:t>社会保障和就业（类）</w:t>
      </w:r>
      <w:r>
        <w:rPr>
          <w:rFonts w:hint="eastAsia" w:ascii="仿宋_GB2312" w:eastAsia="仿宋_GB2312" w:cs="仿宋_GB2312"/>
          <w:sz w:val="30"/>
          <w:szCs w:val="30"/>
        </w:rPr>
        <w:t>支出108.85万元，占7.95%；</w:t>
      </w:r>
      <w:r>
        <w:rPr>
          <w:rFonts w:hint="eastAsia" w:ascii="仿宋_GB2312" w:eastAsia="仿宋_GB2312" w:cs="仿宋_GB2312"/>
          <w:b/>
          <w:sz w:val="30"/>
          <w:szCs w:val="30"/>
          <w:lang w:eastAsia="zh-CN"/>
        </w:rPr>
        <w:t>卫生健康</w:t>
      </w:r>
      <w:r>
        <w:rPr>
          <w:rFonts w:hint="eastAsia" w:ascii="仿宋_GB2312" w:eastAsia="仿宋_GB2312" w:cs="仿宋_GB2312"/>
          <w:sz w:val="30"/>
          <w:szCs w:val="30"/>
        </w:rPr>
        <w:t>（类）支出29.57万元，占2.16%；</w:t>
      </w:r>
      <w:r>
        <w:rPr>
          <w:rFonts w:hint="eastAsia" w:ascii="仿宋_GB2312" w:eastAsia="仿宋_GB2312" w:cs="仿宋_GB2312"/>
          <w:b/>
          <w:sz w:val="30"/>
          <w:szCs w:val="30"/>
        </w:rPr>
        <w:t>节能环保（类）</w:t>
      </w:r>
      <w:r>
        <w:rPr>
          <w:rFonts w:hint="eastAsia" w:ascii="仿宋_GB2312" w:eastAsia="仿宋_GB2312" w:cs="仿宋_GB2312"/>
          <w:sz w:val="30"/>
          <w:szCs w:val="30"/>
        </w:rPr>
        <w:t>支出26</w:t>
      </w:r>
      <w:r>
        <w:rPr>
          <w:rFonts w:hint="eastAsia" w:ascii="仿宋_GB2312" w:eastAsia="仿宋_GB2312" w:cs="仿宋_GB2312"/>
          <w:sz w:val="30"/>
          <w:szCs w:val="30"/>
          <w:lang w:val="en-US" w:eastAsia="zh-CN"/>
        </w:rPr>
        <w:t>.00</w:t>
      </w:r>
      <w:r>
        <w:rPr>
          <w:rFonts w:hint="eastAsia" w:ascii="仿宋_GB2312" w:eastAsia="仿宋_GB2312" w:cs="仿宋_GB2312"/>
          <w:sz w:val="30"/>
          <w:szCs w:val="30"/>
        </w:rPr>
        <w:t>万元，占1.9</w:t>
      </w:r>
      <w:r>
        <w:rPr>
          <w:rFonts w:hint="eastAsia" w:ascii="仿宋_GB2312" w:eastAsia="仿宋_GB2312" w:cs="仿宋_GB2312"/>
          <w:sz w:val="30"/>
          <w:szCs w:val="30"/>
          <w:lang w:val="en-US" w:eastAsia="zh-CN"/>
        </w:rPr>
        <w:t>0</w:t>
      </w:r>
      <w:r>
        <w:rPr>
          <w:rFonts w:hint="eastAsia" w:ascii="仿宋_GB2312" w:eastAsia="仿宋_GB2312" w:cs="仿宋_GB2312"/>
          <w:sz w:val="30"/>
          <w:szCs w:val="30"/>
        </w:rPr>
        <w:t>%；</w:t>
      </w:r>
      <w:r>
        <w:rPr>
          <w:rFonts w:hint="eastAsia" w:ascii="仿宋_GB2312" w:eastAsia="仿宋_GB2312" w:cs="仿宋_GB2312"/>
          <w:b/>
          <w:sz w:val="30"/>
          <w:szCs w:val="30"/>
        </w:rPr>
        <w:t>住房保障（类）</w:t>
      </w:r>
      <w:r>
        <w:rPr>
          <w:rFonts w:hint="eastAsia" w:ascii="仿宋_GB2312" w:eastAsia="仿宋_GB2312" w:cs="仿宋_GB2312"/>
          <w:sz w:val="30"/>
          <w:szCs w:val="30"/>
        </w:rPr>
        <w:t>支出52.34万元，占3.83%</w:t>
      </w:r>
      <w:r>
        <w:rPr>
          <w:rFonts w:hint="eastAsia" w:ascii="仿宋_GB2312" w:hAnsi="仿宋" w:eastAsia="仿宋_GB2312"/>
          <w:sz w:val="30"/>
          <w:szCs w:val="30"/>
        </w:rPr>
        <w:t>。</w:t>
      </w:r>
    </w:p>
    <w:p>
      <w:pPr>
        <w:spacing w:beforeLines="0" w:afterLines="0"/>
        <w:ind w:firstLine="602" w:firstLineChars="200"/>
        <w:rPr>
          <w:rFonts w:hint="eastAsia" w:ascii="仿宋_GB2312" w:hAnsi="仿宋" w:eastAsia="仿宋_GB2312"/>
          <w:b/>
          <w:sz w:val="30"/>
          <w:szCs w:val="30"/>
        </w:rPr>
      </w:pPr>
      <w:r>
        <w:rPr>
          <w:rFonts w:hint="eastAsia" w:ascii="仿宋_GB2312" w:hAnsi="仿宋" w:eastAsia="仿宋_GB2312"/>
          <w:b/>
          <w:sz w:val="30"/>
          <w:szCs w:val="30"/>
        </w:rPr>
        <w:t>（四）一般公共预算财政拨款支出决算具体情况。</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2019年度一般公共预算财政拨款支出年初预算为1122.41万元，支出决算为1369.28万元，完成年初预算的121.99%。决算数大于预算数的主要原因:</w:t>
      </w:r>
      <w:r>
        <w:rPr>
          <w:rFonts w:hint="eastAsia" w:ascii="仿宋_GB2312" w:hAnsi="仿宋" w:eastAsia="仿宋_GB2312"/>
          <w:color w:val="auto"/>
          <w:sz w:val="30"/>
          <w:szCs w:val="30"/>
        </w:rPr>
        <w:t>预算追加</w:t>
      </w:r>
      <w:r>
        <w:rPr>
          <w:rFonts w:hint="eastAsia" w:ascii="仿宋_GB2312" w:hAnsi="仿宋" w:eastAsia="仿宋_GB2312"/>
          <w:sz w:val="30"/>
          <w:szCs w:val="30"/>
        </w:rPr>
        <w:t>2017年度区级岗责考核奖、2019年度扶贫驻村工作队成员生活补助</w:t>
      </w:r>
      <w:r>
        <w:rPr>
          <w:rFonts w:hint="eastAsia" w:ascii="仿宋_GB2312" w:hAnsi="仿宋" w:eastAsia="仿宋_GB2312"/>
          <w:sz w:val="30"/>
          <w:szCs w:val="30"/>
          <w:lang w:eastAsia="zh-CN"/>
        </w:rPr>
        <w:t>、</w:t>
      </w:r>
      <w:r>
        <w:rPr>
          <w:rFonts w:hint="eastAsia" w:ascii="仿宋_GB2312" w:hAnsi="仿宋" w:eastAsia="仿宋_GB2312"/>
          <w:sz w:val="30"/>
          <w:szCs w:val="30"/>
        </w:rPr>
        <w:t>信访维稳工作经费</w:t>
      </w:r>
      <w:r>
        <w:rPr>
          <w:rFonts w:hint="eastAsia" w:ascii="仿宋_GB2312" w:hAnsi="仿宋" w:eastAsia="仿宋_GB2312"/>
          <w:color w:val="0000FF"/>
          <w:sz w:val="30"/>
          <w:szCs w:val="30"/>
        </w:rPr>
        <w:t>、</w:t>
      </w:r>
      <w:r>
        <w:rPr>
          <w:rFonts w:hint="eastAsia" w:ascii="仿宋_GB2312" w:hAnsi="仿宋" w:eastAsia="仿宋_GB2312"/>
          <w:sz w:val="30"/>
          <w:szCs w:val="30"/>
        </w:rPr>
        <w:t>领导出访外事费用</w:t>
      </w:r>
      <w:r>
        <w:rPr>
          <w:rFonts w:hint="eastAsia" w:ascii="仿宋_GB2312" w:hAnsi="仿宋" w:eastAsia="仿宋_GB2312"/>
          <w:sz w:val="30"/>
          <w:szCs w:val="30"/>
          <w:lang w:eastAsia="zh-CN"/>
        </w:rPr>
        <w:t>、</w:t>
      </w:r>
      <w:r>
        <w:rPr>
          <w:rFonts w:hint="eastAsia" w:ascii="仿宋_GB2312" w:hAnsi="仿宋" w:eastAsia="仿宋_GB2312"/>
          <w:sz w:val="30"/>
          <w:szCs w:val="30"/>
        </w:rPr>
        <w:t>2018年度金融支持地方经济考核奖励</w:t>
      </w:r>
      <w:r>
        <w:rPr>
          <w:rFonts w:hint="eastAsia" w:ascii="仿宋_GB2312" w:hAnsi="仿宋" w:eastAsia="仿宋_GB2312"/>
          <w:sz w:val="30"/>
          <w:szCs w:val="30"/>
          <w:lang w:eastAsia="zh-CN"/>
        </w:rPr>
        <w:t>、</w:t>
      </w:r>
      <w:r>
        <w:rPr>
          <w:rFonts w:hint="eastAsia" w:ascii="仿宋_GB2312" w:hAnsi="仿宋" w:eastAsia="仿宋_GB2312"/>
          <w:sz w:val="30"/>
          <w:szCs w:val="30"/>
        </w:rPr>
        <w:t>一次性抚恤金及丧葬费</w:t>
      </w:r>
      <w:r>
        <w:rPr>
          <w:rFonts w:hint="eastAsia" w:ascii="仿宋_GB2312" w:hAnsi="仿宋" w:eastAsia="仿宋_GB2312"/>
          <w:sz w:val="30"/>
          <w:szCs w:val="30"/>
          <w:lang w:eastAsia="zh-CN"/>
        </w:rPr>
        <w:t>、午秋两季秸秆禁烧工作经费等</w:t>
      </w:r>
      <w:r>
        <w:rPr>
          <w:rFonts w:hint="eastAsia" w:ascii="仿宋_GB2312" w:hAnsi="仿宋" w:eastAsia="仿宋_GB2312"/>
          <w:color w:val="auto"/>
          <w:sz w:val="30"/>
          <w:szCs w:val="30"/>
        </w:rPr>
        <w:t>支出</w:t>
      </w:r>
      <w:r>
        <w:rPr>
          <w:rFonts w:hint="eastAsia" w:ascii="仿宋_GB2312" w:hAnsi="仿宋" w:eastAsia="仿宋_GB2312"/>
          <w:sz w:val="30"/>
          <w:szCs w:val="30"/>
        </w:rPr>
        <w:t>。其中:基本支出1369.28万元，占100%；项目支出0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万元，占0%。具体情况如下：</w:t>
      </w:r>
    </w:p>
    <w:p>
      <w:pPr>
        <w:numPr>
          <w:ilvl w:val="0"/>
          <w:numId w:val="1"/>
        </w:numPr>
        <w:spacing w:beforeLines="0" w:afterLines="0"/>
        <w:ind w:firstLine="602" w:firstLineChars="200"/>
        <w:rPr>
          <w:rFonts w:hint="eastAsia" w:ascii="仿宋_GB2312" w:hAnsi="仿宋" w:eastAsia="仿宋_GB2312"/>
          <w:sz w:val="30"/>
          <w:szCs w:val="30"/>
        </w:rPr>
      </w:pPr>
      <w:r>
        <w:rPr>
          <w:rFonts w:hint="eastAsia" w:ascii="仿宋_GB2312" w:hAnsi="仿宋" w:eastAsia="仿宋_GB2312"/>
          <w:b/>
          <w:sz w:val="30"/>
          <w:szCs w:val="30"/>
        </w:rPr>
        <w:t>一般公共服务（类）政府办公厅（室）及相关机构事务（款）行政运行（项）</w:t>
      </w:r>
      <w:r>
        <w:rPr>
          <w:rFonts w:hint="eastAsia" w:ascii="仿宋_GB2312" w:hAnsi="仿宋" w:eastAsia="仿宋_GB2312"/>
          <w:sz w:val="30"/>
          <w:szCs w:val="30"/>
        </w:rPr>
        <w:t>。年初预算为937.84万元，支出决算为1143.05万元，完成年初预算的121.88%，决算数大于预算数的主要原因是预算追加2017年度区级岗责考核奖、2019年度扶贫驻村工作队成员生活补助和人员调资费用。</w:t>
      </w:r>
    </w:p>
    <w:p>
      <w:pPr>
        <w:numPr>
          <w:ilvl w:val="0"/>
          <w:numId w:val="1"/>
        </w:numPr>
        <w:spacing w:beforeLines="0" w:afterLines="0"/>
        <w:ind w:firstLine="602" w:firstLineChars="200"/>
        <w:rPr>
          <w:rFonts w:hint="eastAsia" w:ascii="仿宋_GB2312" w:hAnsi="仿宋" w:eastAsia="仿宋_GB2312"/>
          <w:sz w:val="30"/>
          <w:szCs w:val="30"/>
        </w:rPr>
      </w:pPr>
      <w:r>
        <w:rPr>
          <w:rFonts w:hint="eastAsia" w:ascii="仿宋_GB2312" w:hAnsi="仿宋" w:eastAsia="仿宋_GB2312"/>
          <w:b/>
          <w:sz w:val="30"/>
          <w:szCs w:val="30"/>
        </w:rPr>
        <w:t>一般公共服务（类）政府办公厅（室）及相关机构事务（款）信访事务（项）</w:t>
      </w:r>
      <w:r>
        <w:rPr>
          <w:rFonts w:hint="eastAsia" w:ascii="仿宋_GB2312" w:hAnsi="仿宋" w:eastAsia="仿宋_GB2312"/>
          <w:sz w:val="30"/>
          <w:szCs w:val="30"/>
        </w:rPr>
        <w:t>。年初预算为0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万元，支出决算为3</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万元，决算数大于预算数的主要原因是预算追加信访维稳工作经费。</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hint="eastAsia" w:ascii="仿宋_GB2312" w:hAnsi="仿宋" w:eastAsia="仿宋_GB2312"/>
          <w:b/>
          <w:sz w:val="30"/>
          <w:szCs w:val="30"/>
        </w:rPr>
        <w:t>一般公共服务（类）政府办公厅（室）及相关机构事务（款）其他政府办公厅（室）及相关机构事务支出（项）</w:t>
      </w:r>
      <w:r>
        <w:rPr>
          <w:rFonts w:hint="eastAsia" w:ascii="仿宋_GB2312" w:hAnsi="仿宋" w:eastAsia="仿宋_GB2312"/>
          <w:sz w:val="30"/>
          <w:szCs w:val="30"/>
        </w:rPr>
        <w:t>。年初预算为0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万元，支出决算为6.47万元，决算数大于预算数的主要原因是预算追加领导出访外事费用和2018年度金融支持地方经济考核奖励。</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hint="eastAsia" w:ascii="仿宋_GB2312" w:hAnsi="仿宋" w:eastAsia="仿宋_GB2312"/>
          <w:b/>
          <w:sz w:val="30"/>
          <w:szCs w:val="30"/>
        </w:rPr>
        <w:t xml:space="preserve"> 社会保障和就业支出（类）行政事业单位离退休（款）机关事业单位基本养老保险缴费支出（项）</w:t>
      </w:r>
      <w:r>
        <w:rPr>
          <w:rFonts w:hint="eastAsia" w:ascii="仿宋_GB2312" w:hAnsi="仿宋" w:eastAsia="仿宋_GB2312"/>
          <w:sz w:val="30"/>
          <w:szCs w:val="30"/>
        </w:rPr>
        <w:t>。年初预算为67.94万元，支出决算为61.78万元，完成年初预算的90.93%，决算数小于预算数的主要原因是部分人员调离本单位。</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hint="eastAsia" w:ascii="仿宋_GB2312" w:hAnsi="仿宋" w:eastAsia="仿宋_GB2312"/>
          <w:b/>
          <w:sz w:val="30"/>
          <w:szCs w:val="30"/>
        </w:rPr>
        <w:t xml:space="preserve"> 社会保障和就业支出（类）行政事业单位离退休（款）机关事业单位职业年金缴费支出（项）</w:t>
      </w:r>
      <w:r>
        <w:rPr>
          <w:rFonts w:hint="eastAsia" w:ascii="仿宋_GB2312" w:hAnsi="仿宋" w:eastAsia="仿宋_GB2312"/>
          <w:sz w:val="30"/>
          <w:szCs w:val="30"/>
        </w:rPr>
        <w:t>。年初预算为27.18万元，支出决算为12.43万元，完成年初预算的45.73%，决算数小于预算数的主要原因是部分人员调离本单位。</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6．</w:t>
      </w:r>
      <w:r>
        <w:rPr>
          <w:rFonts w:hint="eastAsia" w:ascii="仿宋_GB2312" w:hAnsi="仿宋" w:eastAsia="仿宋_GB2312"/>
          <w:b/>
          <w:sz w:val="30"/>
          <w:szCs w:val="30"/>
        </w:rPr>
        <w:t>社会保障和就业支出（类）就业补助（款）其他就业补助支出（项）</w:t>
      </w:r>
      <w:r>
        <w:rPr>
          <w:rFonts w:hint="eastAsia" w:ascii="仿宋_GB2312" w:hAnsi="仿宋" w:eastAsia="仿宋_GB2312"/>
          <w:sz w:val="30"/>
          <w:szCs w:val="30"/>
        </w:rPr>
        <w:t>。年初预算为0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万元，支出决算为0.28万元，决算数大于预算数的主要原因是预算追加就业见习补贴。</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7.</w:t>
      </w:r>
      <w:r>
        <w:rPr>
          <w:rFonts w:hint="eastAsia" w:ascii="仿宋_GB2312" w:hAnsi="仿宋" w:eastAsia="仿宋_GB2312"/>
          <w:b/>
          <w:sz w:val="30"/>
          <w:szCs w:val="30"/>
        </w:rPr>
        <w:t xml:space="preserve"> 社会保障和就业支出（类）抚恤（款）死亡抚恤（项）</w:t>
      </w:r>
      <w:r>
        <w:rPr>
          <w:rFonts w:hint="eastAsia" w:ascii="仿宋_GB2312" w:hAnsi="仿宋" w:eastAsia="仿宋_GB2312"/>
          <w:sz w:val="30"/>
          <w:szCs w:val="30"/>
        </w:rPr>
        <w:t>。年初预算为0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万元，支出决算为32.22万元，决算数大于预算数的主要原因是预算追加一次性抚恤金及丧葬费。</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8.</w:t>
      </w:r>
      <w:r>
        <w:rPr>
          <w:rFonts w:hint="eastAsia" w:ascii="仿宋_GB2312" w:hAnsi="仿宋" w:eastAsia="仿宋_GB2312"/>
          <w:b/>
          <w:sz w:val="30"/>
          <w:szCs w:val="30"/>
        </w:rPr>
        <w:t>社会保障和就业支出（类）财政对其他社会保险基金的补助（款）财政对失业保险基金的补助（项）</w:t>
      </w:r>
      <w:r>
        <w:rPr>
          <w:rFonts w:hint="eastAsia" w:ascii="仿宋_GB2312" w:hAnsi="仿宋" w:eastAsia="仿宋_GB2312"/>
          <w:sz w:val="30"/>
          <w:szCs w:val="30"/>
        </w:rPr>
        <w:t>。年初预算为1.36万元，支出决算为0.26万元，完成年初预算的19</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%，决算数小于预算数的主要原因是预算指标调剂。</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9.</w:t>
      </w:r>
      <w:r>
        <w:rPr>
          <w:rFonts w:hint="eastAsia" w:ascii="仿宋_GB2312" w:hAnsi="仿宋" w:eastAsia="仿宋_GB2312"/>
          <w:b/>
          <w:sz w:val="30"/>
          <w:szCs w:val="30"/>
        </w:rPr>
        <w:t>社会保障和就业支出（类）财政对其他社会保险基金的补助（款）财政对工伤保险基金的补助（项）</w:t>
      </w:r>
      <w:r>
        <w:rPr>
          <w:rFonts w:hint="eastAsia" w:ascii="仿宋_GB2312" w:hAnsi="仿宋" w:eastAsia="仿宋_GB2312"/>
          <w:sz w:val="30"/>
          <w:szCs w:val="30"/>
        </w:rPr>
        <w:t>。年初预算为0.32万元，支出决算为0.60万元，完成年初预算的188</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%，决算数大于预算数的主要原因是预算指标调剂。</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10.</w:t>
      </w:r>
      <w:r>
        <w:rPr>
          <w:rFonts w:hint="eastAsia" w:ascii="仿宋_GB2312" w:hAnsi="仿宋" w:eastAsia="仿宋_GB2312"/>
          <w:b/>
          <w:sz w:val="30"/>
          <w:szCs w:val="30"/>
        </w:rPr>
        <w:t>社会保障和就业支出（类）财政对其他社会保险基金的补助（款）  财政对生育保险基金的补助（项）</w:t>
      </w:r>
      <w:r>
        <w:rPr>
          <w:rFonts w:hint="eastAsia" w:ascii="仿宋_GB2312" w:hAnsi="仿宋" w:eastAsia="仿宋_GB2312"/>
          <w:sz w:val="30"/>
          <w:szCs w:val="30"/>
        </w:rPr>
        <w:t>。年初预算为0.68万元，支出决算为1.28万元，完成年初预算的188</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%，决算数大于预算数的主要原因是预算指标调剂。</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b w:val="0"/>
          <w:bCs w:val="0"/>
          <w:sz w:val="30"/>
          <w:szCs w:val="30"/>
        </w:rPr>
        <w:t>11.</w:t>
      </w:r>
      <w:r>
        <w:rPr>
          <w:rFonts w:hint="eastAsia" w:ascii="仿宋_GB2312" w:hAnsi="仿宋" w:eastAsia="仿宋_GB2312"/>
          <w:b/>
          <w:bCs/>
          <w:sz w:val="30"/>
          <w:szCs w:val="30"/>
        </w:rPr>
        <w:t xml:space="preserve"> </w:t>
      </w:r>
      <w:r>
        <w:rPr>
          <w:rFonts w:hint="eastAsia" w:ascii="仿宋_GB2312" w:hAnsi="仿宋" w:eastAsia="仿宋_GB2312"/>
          <w:b/>
          <w:sz w:val="30"/>
          <w:szCs w:val="30"/>
          <w:lang w:eastAsia="zh-CN"/>
        </w:rPr>
        <w:t>卫生健康</w:t>
      </w:r>
      <w:r>
        <w:rPr>
          <w:rFonts w:hint="eastAsia" w:ascii="仿宋_GB2312" w:hAnsi="仿宋" w:eastAsia="仿宋_GB2312"/>
          <w:b/>
          <w:sz w:val="30"/>
          <w:szCs w:val="30"/>
        </w:rPr>
        <w:t>支出（类）行政事业单位医疗（款）  行政单位医疗（项）</w:t>
      </w:r>
      <w:r>
        <w:rPr>
          <w:rFonts w:hint="eastAsia" w:ascii="仿宋_GB2312" w:hAnsi="仿宋" w:eastAsia="仿宋_GB2312"/>
          <w:sz w:val="30"/>
          <w:szCs w:val="30"/>
        </w:rPr>
        <w:t>。年初预算为1.26万元，支出决算为19.18万元，完成年初预算的1522</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%，决算数大于预算数的主要原因是预算指标调整。</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b w:val="0"/>
          <w:bCs w:val="0"/>
          <w:sz w:val="30"/>
          <w:szCs w:val="30"/>
        </w:rPr>
        <w:t>12.</w:t>
      </w:r>
      <w:r>
        <w:rPr>
          <w:rFonts w:hint="eastAsia" w:ascii="仿宋_GB2312" w:hAnsi="仿宋" w:eastAsia="仿宋_GB2312"/>
          <w:b/>
          <w:sz w:val="30"/>
          <w:szCs w:val="30"/>
        </w:rPr>
        <w:t xml:space="preserve"> </w:t>
      </w:r>
      <w:r>
        <w:rPr>
          <w:rFonts w:hint="eastAsia" w:ascii="仿宋_GB2312" w:hAnsi="仿宋" w:eastAsia="仿宋_GB2312"/>
          <w:b/>
          <w:sz w:val="30"/>
          <w:szCs w:val="30"/>
          <w:lang w:eastAsia="zh-CN"/>
        </w:rPr>
        <w:t>卫生健康</w:t>
      </w:r>
      <w:r>
        <w:rPr>
          <w:rFonts w:hint="eastAsia" w:ascii="仿宋_GB2312" w:hAnsi="仿宋" w:eastAsia="仿宋_GB2312"/>
          <w:b/>
          <w:sz w:val="30"/>
          <w:szCs w:val="30"/>
        </w:rPr>
        <w:t>支出（类）行政事业单位医疗（款）  公务员医疗补助（项）</w:t>
      </w:r>
      <w:r>
        <w:rPr>
          <w:rFonts w:hint="eastAsia" w:ascii="仿宋_GB2312" w:hAnsi="仿宋" w:eastAsia="仿宋_GB2312"/>
          <w:sz w:val="30"/>
          <w:szCs w:val="30"/>
        </w:rPr>
        <w:t>。年初预算为20.38万元，支出决算为9.54万元，完成年初预算的47</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%，决算数小于预算数的主要原因是预算指标调整。</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b w:val="0"/>
          <w:bCs/>
          <w:sz w:val="30"/>
          <w:szCs w:val="30"/>
        </w:rPr>
        <w:t>13.</w:t>
      </w:r>
      <w:r>
        <w:rPr>
          <w:rFonts w:hint="eastAsia" w:ascii="仿宋_GB2312" w:hAnsi="仿宋" w:eastAsia="仿宋_GB2312"/>
          <w:b/>
          <w:sz w:val="30"/>
          <w:szCs w:val="30"/>
          <w:lang w:eastAsia="zh-CN"/>
        </w:rPr>
        <w:t>卫生健康</w:t>
      </w:r>
      <w:r>
        <w:rPr>
          <w:rFonts w:hint="eastAsia" w:ascii="仿宋_GB2312" w:hAnsi="仿宋" w:eastAsia="仿宋_GB2312"/>
          <w:b/>
          <w:sz w:val="30"/>
          <w:szCs w:val="30"/>
        </w:rPr>
        <w:t>支出（类）行政事业单位医疗（款）其他行政事业单位医疗支出（项）</w:t>
      </w:r>
      <w:r>
        <w:rPr>
          <w:rFonts w:hint="eastAsia" w:ascii="仿宋_GB2312" w:hAnsi="仿宋" w:eastAsia="仿宋_GB2312"/>
          <w:sz w:val="30"/>
          <w:szCs w:val="30"/>
        </w:rPr>
        <w:t>。年初预算为9.54万元，支出决算为0.86万元，完成年初预算的9</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%，决算数小于预算数的主要原因是预算指标调整。</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b w:val="0"/>
          <w:bCs/>
          <w:sz w:val="30"/>
          <w:szCs w:val="30"/>
        </w:rPr>
        <w:t>14.</w:t>
      </w:r>
      <w:r>
        <w:rPr>
          <w:rFonts w:hint="eastAsia" w:ascii="仿宋_GB2312" w:hAnsi="仿宋" w:eastAsia="仿宋_GB2312"/>
          <w:b/>
          <w:sz w:val="30"/>
          <w:szCs w:val="30"/>
        </w:rPr>
        <w:t>节能环保支出（类）污染防治（款）其他污染防治支出（项）</w:t>
      </w:r>
      <w:r>
        <w:rPr>
          <w:rFonts w:hint="eastAsia" w:ascii="仿宋_GB2312" w:hAnsi="仿宋" w:eastAsia="仿宋_GB2312"/>
          <w:sz w:val="30"/>
          <w:szCs w:val="30"/>
        </w:rPr>
        <w:t>。年初预算为0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万元，支出决算为26</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万元，决算数大于预算数的主要原因是预算追加午秋两季秸秆禁烧工作经费。</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15.</w:t>
      </w:r>
      <w:r>
        <w:rPr>
          <w:rFonts w:hint="eastAsia" w:ascii="仿宋_GB2312" w:hAnsi="仿宋" w:eastAsia="仿宋_GB2312"/>
          <w:b/>
          <w:sz w:val="30"/>
          <w:szCs w:val="30"/>
        </w:rPr>
        <w:t xml:space="preserve"> 住房保障支出（类）住房改革支出（款）住房公积金（项）</w:t>
      </w:r>
      <w:r>
        <w:rPr>
          <w:rFonts w:hint="eastAsia" w:ascii="仿宋_GB2312" w:hAnsi="仿宋" w:eastAsia="仿宋_GB2312"/>
          <w:sz w:val="30"/>
          <w:szCs w:val="30"/>
        </w:rPr>
        <w:t>。年初预算为40.77万元，支出决算为38.35万元，完成年初预算的94</w:t>
      </w:r>
      <w:r>
        <w:rPr>
          <w:rFonts w:hint="eastAsia" w:ascii="仿宋_GB2312" w:hAnsi="仿宋" w:eastAsia="仿宋_GB2312"/>
          <w:sz w:val="30"/>
          <w:szCs w:val="30"/>
          <w:lang w:val="en-US" w:eastAsia="zh-CN"/>
        </w:rPr>
        <w:t>.00</w:t>
      </w:r>
      <w:r>
        <w:rPr>
          <w:rFonts w:hint="eastAsia" w:ascii="仿宋_GB2312" w:hAnsi="仿宋" w:eastAsia="仿宋_GB2312"/>
          <w:sz w:val="30"/>
          <w:szCs w:val="30"/>
        </w:rPr>
        <w:t>%，决算数小于预算数的主要原因是部分人员调离本单位。</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16.</w:t>
      </w:r>
      <w:r>
        <w:rPr>
          <w:rFonts w:hint="eastAsia" w:ascii="仿宋_GB2312" w:hAnsi="仿宋" w:eastAsia="仿宋_GB2312"/>
          <w:b/>
          <w:sz w:val="30"/>
          <w:szCs w:val="30"/>
        </w:rPr>
        <w:t xml:space="preserve"> 住房保障支出（类）住房改革支出（款）提租补贴（项）</w:t>
      </w:r>
      <w:r>
        <w:rPr>
          <w:rFonts w:hint="eastAsia" w:ascii="仿宋_GB2312" w:hAnsi="仿宋" w:eastAsia="仿宋_GB2312"/>
          <w:sz w:val="30"/>
          <w:szCs w:val="30"/>
        </w:rPr>
        <w:t>。年初预算为15.14万元，支出决算为13.99万元，完成年初预算的92.4</w:t>
      </w:r>
      <w:r>
        <w:rPr>
          <w:rFonts w:hint="eastAsia" w:ascii="仿宋_GB2312" w:hAnsi="仿宋" w:eastAsia="仿宋_GB2312"/>
          <w:sz w:val="30"/>
          <w:szCs w:val="30"/>
          <w:lang w:val="en-US" w:eastAsia="zh-CN"/>
        </w:rPr>
        <w:t>0</w:t>
      </w:r>
      <w:r>
        <w:rPr>
          <w:rFonts w:hint="eastAsia" w:ascii="仿宋_GB2312" w:hAnsi="仿宋" w:eastAsia="仿宋_GB2312"/>
          <w:sz w:val="30"/>
          <w:szCs w:val="30"/>
        </w:rPr>
        <w:t>%，决算数小于预算数的原因是部分人员调离本单位。</w:t>
      </w:r>
    </w:p>
    <w:p>
      <w:pPr>
        <w:spacing w:beforeLines="0" w:afterLines="0"/>
        <w:ind w:firstLine="600" w:firstLineChars="200"/>
        <w:rPr>
          <w:rFonts w:hint="eastAsia" w:ascii="黑体" w:hAnsi="仿宋" w:eastAsia="黑体"/>
          <w:sz w:val="30"/>
          <w:szCs w:val="30"/>
        </w:rPr>
      </w:pPr>
      <w:r>
        <w:rPr>
          <w:rFonts w:hint="eastAsia" w:ascii="黑体" w:hAnsi="仿宋" w:eastAsia="黑体"/>
          <w:sz w:val="30"/>
          <w:szCs w:val="30"/>
        </w:rPr>
        <w:t>六、一般公共预算财政拨款基本支出决算情况说明</w:t>
      </w:r>
    </w:p>
    <w:p>
      <w:pPr>
        <w:spacing w:beforeLines="0" w:afterLines="0"/>
        <w:ind w:firstLine="600" w:firstLineChars="200"/>
        <w:rPr>
          <w:rFonts w:hint="eastAsia" w:ascii="仿宋_GB2312" w:hAnsi="仿宋" w:eastAsia="仿宋_GB2312"/>
          <w:sz w:val="30"/>
          <w:szCs w:val="30"/>
        </w:rPr>
      </w:pPr>
      <w:r>
        <w:rPr>
          <w:rFonts w:hint="eastAsia" w:ascii="仿宋_GB2312" w:hAnsi="仿宋" w:eastAsia="仿宋_GB2312"/>
          <w:sz w:val="30"/>
          <w:szCs w:val="30"/>
        </w:rPr>
        <w:t>2019年度财政拨款基本支出1369.28万元，其中人员经费865.16万元，主要包括:基本工资、津贴补贴、奖金、机关事业单位基本养老保险费、职业年金缴费、职工基本医疗保险缴费、公务员医疗补助缴费、其他社会保障缴费、住房公积金、其他工资福利支出、离休费、抚恤金、生活补助、其他个人和家庭的补助支出；公用经费504.11万元，主要包括：办公费、差旅费、因公出国(境)费用、会议费、培训费、委托业务费、工会经费、福利费、公务用车运行维护费、其他交通费用、其他商品服务支出、办公设备购置。</w:t>
      </w:r>
    </w:p>
    <w:p>
      <w:pPr>
        <w:spacing w:beforeLines="0" w:afterLines="0"/>
        <w:ind w:firstLine="600" w:firstLineChars="200"/>
        <w:rPr>
          <w:rFonts w:hint="eastAsia" w:ascii="黑体" w:hAnsi="黑体" w:eastAsia="黑体"/>
          <w:sz w:val="30"/>
          <w:szCs w:val="30"/>
        </w:rPr>
      </w:pPr>
      <w:r>
        <w:rPr>
          <w:rFonts w:hint="eastAsia" w:ascii="黑体" w:hAnsi="仿宋" w:eastAsia="黑体"/>
          <w:sz w:val="30"/>
          <w:szCs w:val="30"/>
        </w:rPr>
        <w:t>七、</w:t>
      </w:r>
      <w:r>
        <w:rPr>
          <w:rFonts w:hint="eastAsia" w:ascii="黑体" w:hAnsi="黑体" w:eastAsia="黑体"/>
          <w:sz w:val="30"/>
          <w:szCs w:val="30"/>
        </w:rPr>
        <w:t>政府性基金财政拨款收入支出决算情况说明</w:t>
      </w:r>
    </w:p>
    <w:p>
      <w:pPr>
        <w:spacing w:beforeLines="0" w:afterLines="0" w:line="360" w:lineRule="auto"/>
        <w:ind w:firstLine="600" w:firstLineChars="200"/>
        <w:rPr>
          <w:rFonts w:hint="eastAsia" w:ascii="仿宋" w:hAnsi="仿宋" w:eastAsia="仿宋"/>
          <w:sz w:val="30"/>
          <w:szCs w:val="30"/>
        </w:rPr>
      </w:pPr>
      <w:r>
        <w:rPr>
          <w:rFonts w:hint="eastAsia" w:ascii="仿宋" w:hAnsi="仿宋" w:eastAsia="仿宋"/>
          <w:sz w:val="30"/>
          <w:szCs w:val="30"/>
        </w:rPr>
        <w:t>2019年度宿州市</w:t>
      </w:r>
      <w:r>
        <w:rPr>
          <w:rFonts w:hint="eastAsia" w:ascii="仿宋" w:hAnsi="仿宋" w:eastAsia="仿宋" w:cs="宋体"/>
          <w:sz w:val="30"/>
          <w:szCs w:val="30"/>
        </w:rPr>
        <w:t>埇</w:t>
      </w:r>
      <w:r>
        <w:rPr>
          <w:rFonts w:hint="eastAsia" w:ascii="仿宋" w:hAnsi="仿宋" w:eastAsia="仿宋" w:cs="仿宋_GB2312"/>
          <w:sz w:val="30"/>
          <w:szCs w:val="30"/>
        </w:rPr>
        <w:t>桥区</w:t>
      </w:r>
      <w:r>
        <w:rPr>
          <w:rFonts w:hint="eastAsia" w:ascii="仿宋" w:hAnsi="仿宋" w:eastAsia="仿宋"/>
          <w:sz w:val="30"/>
          <w:szCs w:val="30"/>
        </w:rPr>
        <w:t>人民政府办公室没有政府性基金收入，也没有使用政府性基金安排的支出。</w:t>
      </w:r>
    </w:p>
    <w:p>
      <w:pPr>
        <w:adjustRightInd w:val="0"/>
        <w:snapToGrid w:val="0"/>
        <w:spacing w:beforeLines="0" w:afterLines="0" w:line="360" w:lineRule="auto"/>
        <w:ind w:firstLine="600" w:firstLineChars="200"/>
        <w:rPr>
          <w:rFonts w:hint="eastAsia" w:ascii="黑体" w:hAnsi="黑体" w:eastAsia="黑体"/>
          <w:sz w:val="30"/>
          <w:szCs w:val="30"/>
        </w:rPr>
      </w:pPr>
      <w:r>
        <w:rPr>
          <w:rFonts w:hint="eastAsia" w:ascii="黑体" w:hAnsi="黑体" w:eastAsia="黑体"/>
          <w:sz w:val="30"/>
          <w:szCs w:val="30"/>
        </w:rPr>
        <w:t>八、其他重要事项的情况说明</w:t>
      </w:r>
    </w:p>
    <w:p>
      <w:pPr>
        <w:adjustRightInd w:val="0"/>
        <w:snapToGrid w:val="0"/>
        <w:spacing w:beforeLines="0" w:afterLines="0" w:line="360" w:lineRule="auto"/>
        <w:ind w:firstLine="602" w:firstLineChars="200"/>
        <w:rPr>
          <w:rFonts w:hint="eastAsia" w:ascii="仿宋_GB2312" w:hAnsi="楷体" w:eastAsia="仿宋_GB2312"/>
          <w:b/>
          <w:sz w:val="30"/>
          <w:szCs w:val="30"/>
        </w:rPr>
      </w:pPr>
      <w:r>
        <w:rPr>
          <w:rFonts w:hint="eastAsia" w:ascii="仿宋_GB2312" w:hAnsi="楷体" w:eastAsia="仿宋_GB2312"/>
          <w:b/>
          <w:sz w:val="30"/>
          <w:szCs w:val="30"/>
        </w:rPr>
        <w:t>（一）机关运行经费支出情况。</w:t>
      </w:r>
    </w:p>
    <w:p>
      <w:pPr>
        <w:adjustRightInd w:val="0"/>
        <w:snapToGrid w:val="0"/>
        <w:spacing w:beforeLines="0" w:afterLines="0"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2019年度，宿州市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人民政府办公室机关运行经费支出504.11万元，比2018年度增加120.62万元，增长31.45%，主要原因是办公经费和因公出国（境）费用增加</w:t>
      </w:r>
      <w:r>
        <w:rPr>
          <w:rFonts w:hint="eastAsia" w:ascii="仿宋_GB2312" w:eastAsia="仿宋_GB2312" w:cs="仿宋_GB2312"/>
          <w:sz w:val="30"/>
          <w:szCs w:val="30"/>
        </w:rPr>
        <w:t>。</w:t>
      </w:r>
    </w:p>
    <w:p>
      <w:pPr>
        <w:adjustRightInd w:val="0"/>
        <w:snapToGrid w:val="0"/>
        <w:spacing w:beforeLines="0" w:afterLines="0" w:line="360" w:lineRule="auto"/>
        <w:ind w:firstLine="602" w:firstLineChars="200"/>
        <w:rPr>
          <w:rFonts w:hint="eastAsia" w:ascii="仿宋_GB2312" w:hAnsi="楷体" w:eastAsia="仿宋_GB2312"/>
          <w:b/>
          <w:sz w:val="30"/>
          <w:szCs w:val="30"/>
        </w:rPr>
      </w:pPr>
      <w:r>
        <w:rPr>
          <w:rFonts w:hint="eastAsia" w:ascii="仿宋_GB2312" w:hAnsi="楷体" w:eastAsia="仿宋_GB2312"/>
          <w:b/>
          <w:sz w:val="30"/>
          <w:szCs w:val="30"/>
        </w:rPr>
        <w:t>（二）政府采购支出情况。</w:t>
      </w:r>
    </w:p>
    <w:p>
      <w:pPr>
        <w:adjustRightInd w:val="0"/>
        <w:snapToGrid w:val="0"/>
        <w:spacing w:beforeLines="0" w:afterLines="0" w:line="360" w:lineRule="auto"/>
        <w:ind w:firstLine="600" w:firstLineChars="200"/>
        <w:rPr>
          <w:rFonts w:hint="eastAsia" w:ascii="仿宋_GB2312" w:hAnsi="楷体" w:eastAsia="仿宋_GB2312"/>
          <w:sz w:val="30"/>
          <w:szCs w:val="30"/>
        </w:rPr>
      </w:pPr>
      <w:r>
        <w:rPr>
          <w:rFonts w:hint="eastAsia" w:ascii="仿宋_GB2312" w:hAnsi="仿宋" w:eastAsia="仿宋_GB2312"/>
          <w:sz w:val="30"/>
          <w:szCs w:val="30"/>
        </w:rPr>
        <w:t>201</w:t>
      </w:r>
      <w:r>
        <w:rPr>
          <w:rFonts w:hint="eastAsia" w:ascii="仿宋_GB2312" w:hAnsi="仿宋" w:eastAsia="仿宋_GB2312"/>
          <w:sz w:val="30"/>
          <w:szCs w:val="30"/>
          <w:lang w:val="en-US" w:eastAsia="zh-CN"/>
        </w:rPr>
        <w:t>9</w:t>
      </w:r>
      <w:bookmarkStart w:id="0" w:name="_GoBack"/>
      <w:bookmarkEnd w:id="0"/>
      <w:r>
        <w:rPr>
          <w:rFonts w:hint="eastAsia" w:ascii="仿宋_GB2312" w:hAnsi="仿宋" w:eastAsia="仿宋_GB2312"/>
          <w:sz w:val="30"/>
          <w:szCs w:val="30"/>
        </w:rPr>
        <w:t>年度，宿州市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人民政府办公室政府采购支出总额51.45万元，其中：政府采购货物支出51.45万元，政府采购工程支出0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万元、政府采购服务支出0</w:t>
      </w:r>
      <w:r>
        <w:rPr>
          <w:rFonts w:hint="eastAsia" w:ascii="仿宋_GB2312" w:hAnsi="仿宋" w:eastAsia="仿宋_GB2312"/>
          <w:sz w:val="30"/>
          <w:szCs w:val="30"/>
          <w:lang w:val="en-US" w:eastAsia="zh-CN"/>
        </w:rPr>
        <w:t>.00</w:t>
      </w:r>
      <w:r>
        <w:rPr>
          <w:rFonts w:hint="eastAsia" w:ascii="仿宋_GB2312" w:hAnsi="仿宋" w:eastAsia="仿宋_GB2312"/>
          <w:sz w:val="30"/>
          <w:szCs w:val="30"/>
        </w:rPr>
        <w:t>万元。授予中小企业合同金额</w:t>
      </w:r>
      <w:r>
        <w:rPr>
          <w:rFonts w:hint="eastAsia" w:ascii="仿宋_GB2312" w:hAnsi="仿宋" w:eastAsia="仿宋_GB2312"/>
          <w:sz w:val="30"/>
          <w:szCs w:val="30"/>
          <w:lang w:val="en-US" w:eastAsia="zh-CN"/>
        </w:rPr>
        <w:t>51.45</w:t>
      </w:r>
      <w:r>
        <w:rPr>
          <w:rFonts w:hint="eastAsia" w:ascii="仿宋_GB2312" w:hAnsi="仿宋" w:eastAsia="仿宋_GB2312"/>
          <w:sz w:val="30"/>
          <w:szCs w:val="30"/>
        </w:rPr>
        <w:t>万元，占政府采购支出总额的</w:t>
      </w:r>
      <w:r>
        <w:rPr>
          <w:rFonts w:hint="eastAsia" w:ascii="仿宋_GB2312" w:hAnsi="仿宋" w:eastAsia="仿宋_GB2312"/>
          <w:sz w:val="30"/>
          <w:szCs w:val="30"/>
          <w:lang w:val="en-US" w:eastAsia="zh-CN"/>
        </w:rPr>
        <w:t>10</w:t>
      </w:r>
      <w:r>
        <w:rPr>
          <w:rFonts w:hint="eastAsia" w:ascii="仿宋_GB2312" w:hAnsi="仿宋" w:eastAsia="仿宋_GB2312"/>
          <w:sz w:val="30"/>
          <w:szCs w:val="30"/>
        </w:rPr>
        <w:t>0</w:t>
      </w:r>
      <w:r>
        <w:rPr>
          <w:rFonts w:hint="eastAsia" w:ascii="仿宋_GB2312" w:hAnsi="仿宋" w:eastAsia="仿宋_GB2312"/>
          <w:sz w:val="30"/>
          <w:szCs w:val="30"/>
          <w:lang w:val="en-US" w:eastAsia="zh-CN"/>
        </w:rPr>
        <w:t>.00</w:t>
      </w:r>
      <w:r>
        <w:rPr>
          <w:rFonts w:hint="eastAsia" w:ascii="仿宋_GB2312" w:hAnsi="仿宋" w:eastAsia="仿宋_GB2312"/>
          <w:sz w:val="30"/>
          <w:szCs w:val="30"/>
        </w:rPr>
        <w:t>%，其中：授予小微企业合同金额51.45万元，占政府采购支出总额的100</w:t>
      </w:r>
      <w:r>
        <w:rPr>
          <w:rFonts w:hint="eastAsia" w:ascii="仿宋_GB2312" w:hAnsi="仿宋" w:eastAsia="仿宋_GB2312"/>
          <w:sz w:val="30"/>
          <w:szCs w:val="30"/>
          <w:lang w:val="en-US" w:eastAsia="zh-CN"/>
        </w:rPr>
        <w:t>.00</w:t>
      </w:r>
      <w:r>
        <w:rPr>
          <w:rFonts w:hint="eastAsia" w:ascii="仿宋_GB2312" w:hAnsi="仿宋" w:eastAsia="仿宋_GB2312"/>
          <w:sz w:val="30"/>
          <w:szCs w:val="30"/>
        </w:rPr>
        <w:t>%。</w:t>
      </w:r>
    </w:p>
    <w:p>
      <w:pPr>
        <w:adjustRightInd w:val="0"/>
        <w:snapToGrid w:val="0"/>
        <w:spacing w:beforeLines="0" w:afterLines="0" w:line="360" w:lineRule="auto"/>
        <w:ind w:firstLine="602" w:firstLineChars="200"/>
        <w:rPr>
          <w:rFonts w:hint="eastAsia" w:ascii="仿宋_GB2312" w:hAnsi="楷体" w:eastAsia="仿宋_GB2312"/>
          <w:b/>
          <w:sz w:val="30"/>
          <w:szCs w:val="30"/>
        </w:rPr>
      </w:pPr>
      <w:r>
        <w:rPr>
          <w:rFonts w:hint="eastAsia" w:ascii="仿宋_GB2312" w:hAnsi="楷体" w:eastAsia="仿宋_GB2312"/>
          <w:b/>
          <w:sz w:val="30"/>
          <w:szCs w:val="30"/>
        </w:rPr>
        <w:t>（三）国有资产占有使用情况。</w:t>
      </w:r>
    </w:p>
    <w:p>
      <w:pPr>
        <w:adjustRightInd w:val="0"/>
        <w:snapToGrid w:val="0"/>
        <w:spacing w:beforeLines="0" w:afterLines="0" w:line="360" w:lineRule="auto"/>
        <w:ind w:firstLine="600" w:firstLineChars="200"/>
        <w:rPr>
          <w:rFonts w:hint="eastAsia" w:ascii="仿宋_GB2312" w:hAnsi="仿宋" w:eastAsia="仿宋_GB2312"/>
          <w:b/>
          <w:sz w:val="30"/>
          <w:szCs w:val="30"/>
        </w:rPr>
      </w:pPr>
      <w:r>
        <w:rPr>
          <w:rFonts w:hint="eastAsia" w:ascii="仿宋_GB2312" w:hAnsi="楷体" w:eastAsia="仿宋_GB2312"/>
          <w:sz w:val="30"/>
          <w:szCs w:val="30"/>
        </w:rPr>
        <w:t>截至2019年12月31日，</w:t>
      </w:r>
      <w:r>
        <w:rPr>
          <w:rFonts w:hint="eastAsia" w:ascii="仿宋_GB2312" w:hAnsi="仿宋" w:eastAsia="仿宋_GB2312"/>
          <w:sz w:val="30"/>
          <w:szCs w:val="30"/>
        </w:rPr>
        <w:t>宿州市</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共有车辆0辆，其中：主要领导干部用车0辆、机要通信用车0辆、应急保障用车0辆，特种专业技术用车0辆，离退休干部用车0辆，其他用车0辆；单价50万元以上的通用设备0台（套），单价100万以上专用设备0台（套）。</w:t>
      </w:r>
      <w:r>
        <w:rPr>
          <w:rFonts w:hint="eastAsia" w:ascii="仿宋_GB2312" w:hAnsi="仿宋" w:eastAsia="仿宋_GB2312"/>
          <w:sz w:val="30"/>
          <w:szCs w:val="30"/>
        </w:rPr>
        <w:br w:type="textWrapping"/>
      </w:r>
      <w:r>
        <w:rPr>
          <w:rFonts w:hint="eastAsia" w:ascii="仿宋_GB2312" w:hAnsi="仿宋" w:eastAsia="仿宋_GB2312"/>
          <w:b/>
          <w:sz w:val="30"/>
          <w:szCs w:val="30"/>
        </w:rPr>
        <w:t>（四）关于2019年度预算绩效情况说明</w:t>
      </w:r>
    </w:p>
    <w:p>
      <w:pPr>
        <w:spacing w:beforeLines="0" w:afterLines="0"/>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t>2019年度</w:t>
      </w:r>
      <w:r>
        <w:rPr>
          <w:rFonts w:hint="eastAsia" w:ascii="宋体" w:hAnsi="宋体" w:eastAsia="宋体" w:cs="宋体"/>
          <w:sz w:val="30"/>
          <w:szCs w:val="30"/>
        </w:rPr>
        <w:t>埇</w:t>
      </w:r>
      <w:r>
        <w:rPr>
          <w:rFonts w:hint="eastAsia" w:ascii="仿宋_GB2312" w:hAnsi="仿宋_GB2312" w:eastAsia="仿宋_GB2312" w:cs="仿宋_GB2312"/>
          <w:sz w:val="30"/>
          <w:szCs w:val="30"/>
        </w:rPr>
        <w:t>桥区</w:t>
      </w:r>
      <w:r>
        <w:rPr>
          <w:rFonts w:hint="eastAsia" w:ascii="仿宋_GB2312" w:hAnsi="仿宋" w:eastAsia="仿宋_GB2312"/>
          <w:sz w:val="30"/>
          <w:szCs w:val="30"/>
        </w:rPr>
        <w:t>人民政府办公室没有预算绩效评价项目，未</w:t>
      </w:r>
      <w:r>
        <w:rPr>
          <w:rFonts w:hint="eastAsia" w:ascii="仿宋_GB2312" w:hAnsi="仿宋_GB2312" w:eastAsia="仿宋_GB2312" w:cs="仿宋_GB2312"/>
          <w:sz w:val="30"/>
          <w:szCs w:val="30"/>
        </w:rPr>
        <w:t>开展绩效自评及委托第三方机构进行重点绩效评价</w:t>
      </w:r>
      <w:r>
        <w:rPr>
          <w:rFonts w:hint="eastAsia" w:ascii="仿宋_GB2312" w:hAnsi="仿宋_GB2312" w:eastAsia="仿宋_GB2312" w:cs="仿宋_GB2312"/>
          <w:sz w:val="30"/>
          <w:szCs w:val="30"/>
          <w:lang w:eastAsia="zh-CN"/>
        </w:rPr>
        <w:t>。</w:t>
      </w:r>
    </w:p>
    <w:p>
      <w:pPr>
        <w:adjustRightInd w:val="0"/>
        <w:snapToGrid w:val="0"/>
        <w:spacing w:beforeLines="0" w:afterLines="0"/>
        <w:ind w:firstLine="600" w:firstLineChars="200"/>
        <w:jc w:val="center"/>
        <w:rPr>
          <w:rFonts w:hint="eastAsia" w:ascii="黑体" w:hAnsi="黑体" w:eastAsia="黑体"/>
          <w:sz w:val="30"/>
          <w:szCs w:val="30"/>
        </w:rPr>
      </w:pPr>
      <w:r>
        <w:rPr>
          <w:rFonts w:hint="eastAsia" w:ascii="黑体" w:hAnsi="黑体" w:eastAsia="黑体"/>
          <w:sz w:val="30"/>
          <w:szCs w:val="30"/>
        </w:rPr>
        <w:t>第四部分 名词解释</w:t>
      </w:r>
    </w:p>
    <w:p>
      <w:pPr>
        <w:adjustRightInd w:val="0"/>
        <w:snapToGrid w:val="0"/>
        <w:spacing w:beforeLines="0" w:afterLines="0"/>
        <w:ind w:firstLine="602" w:firstLineChars="200"/>
        <w:rPr>
          <w:rFonts w:hint="eastAsia" w:ascii="仿宋_GB2312" w:hAnsi="仿宋" w:eastAsia="仿宋_GB2312"/>
          <w:sz w:val="30"/>
          <w:szCs w:val="30"/>
        </w:rPr>
      </w:pPr>
      <w:r>
        <w:rPr>
          <w:rFonts w:hint="eastAsia" w:ascii="仿宋_GB2312" w:hAnsi="仿宋" w:eastAsia="仿宋_GB2312"/>
          <w:b/>
          <w:sz w:val="30"/>
          <w:szCs w:val="30"/>
        </w:rPr>
        <w:t>一、财政拨款收入：</w:t>
      </w:r>
      <w:r>
        <w:rPr>
          <w:rFonts w:hint="eastAsia" w:ascii="仿宋_GB2312" w:hAnsi="仿宋" w:eastAsia="仿宋_GB2312"/>
          <w:sz w:val="30"/>
          <w:szCs w:val="30"/>
        </w:rPr>
        <w:t>指单位从同级财政部门取得的财政预算资金。</w:t>
      </w:r>
    </w:p>
    <w:p>
      <w:pPr>
        <w:adjustRightInd w:val="0"/>
        <w:snapToGrid w:val="0"/>
        <w:spacing w:beforeLines="0" w:afterLines="0"/>
        <w:ind w:firstLine="602" w:firstLineChars="200"/>
        <w:rPr>
          <w:rFonts w:hint="eastAsia" w:ascii="仿宋_GB2312" w:hAnsi="仿宋" w:eastAsia="仿宋_GB2312"/>
          <w:sz w:val="30"/>
          <w:szCs w:val="30"/>
        </w:rPr>
      </w:pPr>
      <w:r>
        <w:rPr>
          <w:rFonts w:hint="eastAsia" w:ascii="仿宋_GB2312" w:hAnsi="仿宋" w:eastAsia="仿宋_GB2312"/>
          <w:b/>
          <w:sz w:val="30"/>
          <w:szCs w:val="30"/>
        </w:rPr>
        <w:t>二、事业收入：</w:t>
      </w:r>
      <w:r>
        <w:rPr>
          <w:rFonts w:hint="eastAsia" w:ascii="仿宋_GB2312" w:hAnsi="仿宋" w:eastAsia="仿宋_GB2312"/>
          <w:sz w:val="30"/>
          <w:szCs w:val="30"/>
        </w:rPr>
        <w:t>指事业单位开展专业业务活动及辅助活动所取得的收入。</w:t>
      </w:r>
    </w:p>
    <w:p>
      <w:pPr>
        <w:pStyle w:val="3"/>
        <w:adjustRightInd w:val="0"/>
        <w:snapToGrid w:val="0"/>
        <w:spacing w:beforeLines="0" w:afterLines="0"/>
        <w:ind w:firstLine="590" w:firstLineChars="196"/>
        <w:jc w:val="both"/>
        <w:rPr>
          <w:rFonts w:hint="eastAsia" w:ascii="仿宋_GB2312" w:hAnsi="黑体" w:eastAsia="仿宋_GB2312"/>
          <w:b/>
          <w:sz w:val="30"/>
          <w:szCs w:val="30"/>
        </w:rPr>
      </w:pPr>
      <w:r>
        <w:rPr>
          <w:rFonts w:hint="eastAsia" w:ascii="仿宋_GB2312" w:hAnsi="黑体" w:eastAsia="仿宋_GB2312"/>
          <w:b/>
          <w:sz w:val="30"/>
          <w:szCs w:val="30"/>
        </w:rPr>
        <w:t>三、上级补助收入：</w:t>
      </w:r>
      <w:r>
        <w:rPr>
          <w:rFonts w:hint="eastAsia" w:ascii="仿宋_GB2312" w:hAnsi="黑体" w:eastAsia="仿宋_GB2312"/>
          <w:sz w:val="30"/>
          <w:szCs w:val="30"/>
        </w:rPr>
        <w:t>指</w:t>
      </w:r>
      <w:r>
        <w:rPr>
          <w:rFonts w:hint="eastAsia" w:ascii="仿宋_GB2312" w:hAnsi="仿宋" w:eastAsia="仿宋_GB2312" w:cs="Times New Roman"/>
          <w:kern w:val="2"/>
          <w:sz w:val="30"/>
          <w:szCs w:val="30"/>
        </w:rPr>
        <w:t>事业单位从主管部门和上级单位取得的非财政补助收入。</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四、附属单位上缴收入：</w:t>
      </w:r>
      <w:r>
        <w:rPr>
          <w:rFonts w:hint="eastAsia" w:ascii="仿宋_GB2312" w:hAnsi="黑体" w:eastAsia="仿宋_GB2312"/>
          <w:sz w:val="30"/>
          <w:szCs w:val="30"/>
        </w:rPr>
        <w:t>指事业单位附属独立核算单位按照有关规定上缴的收入。</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五、经营收入</w:t>
      </w:r>
      <w:r>
        <w:rPr>
          <w:rFonts w:hint="eastAsia"/>
          <w:b/>
          <w:color w:val="383535"/>
          <w:sz w:val="30"/>
          <w:szCs w:val="30"/>
        </w:rPr>
        <w:t>：</w:t>
      </w:r>
      <w:r>
        <w:rPr>
          <w:rFonts w:hint="eastAsia" w:ascii="仿宋_GB2312" w:hAnsi="黑体" w:eastAsia="仿宋_GB2312"/>
          <w:sz w:val="30"/>
          <w:szCs w:val="30"/>
        </w:rPr>
        <w:t>指事业单位在专业业务活动及其辅助活动之外开展非独立核算经营活动取得的收入。</w:t>
      </w:r>
    </w:p>
    <w:p>
      <w:pPr>
        <w:pStyle w:val="3"/>
        <w:adjustRightInd w:val="0"/>
        <w:snapToGrid w:val="0"/>
        <w:spacing w:beforeLines="0" w:afterLines="0"/>
        <w:ind w:firstLine="590" w:firstLineChars="196"/>
        <w:jc w:val="both"/>
        <w:rPr>
          <w:rFonts w:hint="eastAsia" w:ascii="仿宋_GB2312" w:hAnsi="黑体" w:eastAsia="仿宋_GB2312"/>
          <w:b/>
          <w:sz w:val="30"/>
          <w:szCs w:val="30"/>
        </w:rPr>
      </w:pPr>
      <w:r>
        <w:rPr>
          <w:rFonts w:hint="eastAsia" w:ascii="仿宋_GB2312" w:hAnsi="黑体" w:eastAsia="仿宋_GB2312"/>
          <w:b/>
          <w:sz w:val="30"/>
          <w:szCs w:val="30"/>
        </w:rPr>
        <w:t>六、其他收入：</w:t>
      </w:r>
      <w:r>
        <w:rPr>
          <w:rFonts w:hint="eastAsia" w:ascii="仿宋_GB2312" w:hAnsi="黑体" w:eastAsia="仿宋_GB2312"/>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七、用事业基金弥补收支差额：</w:t>
      </w:r>
      <w:r>
        <w:rPr>
          <w:rFonts w:hint="eastAsia" w:ascii="仿宋_GB2312" w:hAnsi="黑体" w:eastAsia="仿宋_GB2312"/>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八、年初结转和结余：</w:t>
      </w:r>
      <w:r>
        <w:rPr>
          <w:rFonts w:hint="eastAsia" w:ascii="仿宋_GB2312" w:hAnsi="黑体" w:eastAsia="仿宋_GB2312"/>
          <w:sz w:val="30"/>
          <w:szCs w:val="30"/>
        </w:rPr>
        <w:t>指单位以前年度尚未完成、结转到本年按有关规定继续使用的资金。</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九、结余分配：</w:t>
      </w:r>
      <w:r>
        <w:rPr>
          <w:rFonts w:hint="eastAsia" w:ascii="仿宋_GB2312" w:hAnsi="黑体" w:eastAsia="仿宋_GB2312"/>
          <w:sz w:val="30"/>
          <w:szCs w:val="30"/>
        </w:rPr>
        <w:t>指事业单位按照会计制度规定缴纳的所得税以及从非财政补助结余中提取的职工福利基金、事业基金。</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b/>
          <w:sz w:val="30"/>
          <w:szCs w:val="30"/>
        </w:rPr>
      </w:pPr>
      <w:r>
        <w:rPr>
          <w:rFonts w:hint="eastAsia" w:ascii="仿宋_GB2312" w:hAnsi="黑体" w:eastAsia="仿宋_GB2312"/>
          <w:b/>
          <w:sz w:val="30"/>
          <w:szCs w:val="30"/>
        </w:rPr>
        <w:t>十、年末结转和结余：</w:t>
      </w:r>
      <w:r>
        <w:rPr>
          <w:rFonts w:hint="eastAsia" w:ascii="仿宋_GB2312" w:hAnsi="黑体" w:eastAsia="仿宋_GB2312"/>
          <w:sz w:val="30"/>
          <w:szCs w:val="30"/>
        </w:rPr>
        <w:t>指单位按有关规定结转到下年或以后年度继续使用的资金。</w:t>
      </w:r>
    </w:p>
    <w:p>
      <w:pPr>
        <w:pStyle w:val="3"/>
        <w:adjustRightInd w:val="0"/>
        <w:snapToGrid w:val="0"/>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十一、基本支出：</w:t>
      </w:r>
      <w:r>
        <w:rPr>
          <w:rFonts w:hint="eastAsia" w:ascii="仿宋_GB2312" w:hAnsi="黑体" w:eastAsia="仿宋_GB2312"/>
          <w:sz w:val="30"/>
          <w:szCs w:val="30"/>
        </w:rPr>
        <w:t>指单位为保障其机构正常运转、完成日常工作任务而发生的人员支出和公用支出。</w:t>
      </w:r>
    </w:p>
    <w:p>
      <w:pPr>
        <w:pStyle w:val="3"/>
        <w:spacing w:before="0" w:beforeLines="0" w:beforeAutospacing="0" w:after="0" w:afterLines="0" w:afterAutospacing="0"/>
        <w:ind w:firstLine="590" w:firstLineChars="196"/>
        <w:jc w:val="both"/>
        <w:rPr>
          <w:rFonts w:hint="eastAsia" w:ascii="仿宋_GB2312" w:hAnsi="黑体" w:eastAsia="仿宋_GB2312"/>
          <w:sz w:val="30"/>
          <w:szCs w:val="30"/>
        </w:rPr>
      </w:pPr>
      <w:r>
        <w:rPr>
          <w:rFonts w:hint="eastAsia" w:ascii="仿宋_GB2312" w:hAnsi="黑体" w:eastAsia="仿宋_GB2312"/>
          <w:b/>
          <w:sz w:val="30"/>
          <w:szCs w:val="30"/>
        </w:rPr>
        <w:t>十二、项目支出：</w:t>
      </w:r>
      <w:r>
        <w:rPr>
          <w:rFonts w:hint="eastAsia" w:ascii="仿宋_GB2312" w:hAnsi="黑体" w:eastAsia="仿宋_GB2312"/>
          <w:sz w:val="30"/>
          <w:szCs w:val="30"/>
        </w:rPr>
        <w:t>指单位为完成特定行政任务和事业发展目标在基本支出之外所发生的支出。</w:t>
      </w:r>
      <w:r>
        <w:rPr>
          <w:rFonts w:hint="eastAsia" w:ascii="仿宋_GB2312" w:hAnsi="黑体" w:eastAsia="仿宋_GB2312"/>
          <w:sz w:val="30"/>
          <w:szCs w:val="30"/>
        </w:rPr>
        <w:br w:type="textWrapping"/>
      </w:r>
      <w:r>
        <w:rPr>
          <w:rFonts w:hint="eastAsia" w:ascii="仿宋_GB2312" w:hAnsi="黑体" w:eastAsia="仿宋_GB2312"/>
          <w:b/>
          <w:sz w:val="30"/>
          <w:szCs w:val="30"/>
        </w:rPr>
        <w:t>十三、经营支出：</w:t>
      </w:r>
      <w:r>
        <w:rPr>
          <w:rFonts w:hint="eastAsia" w:ascii="仿宋_GB2312" w:hAnsi="黑体" w:eastAsia="仿宋_GB2312"/>
          <w:sz w:val="30"/>
          <w:szCs w:val="30"/>
        </w:rPr>
        <w:t>指事业单位在专业业务活动及其辅助活动之外开展非独立核算经营活动发生的支出。</w:t>
      </w:r>
    </w:p>
    <w:p>
      <w:pPr>
        <w:pStyle w:val="3"/>
        <w:spacing w:before="0" w:beforeLines="0" w:beforeAutospacing="0" w:after="0" w:afterLines="0" w:afterAutospacing="0"/>
        <w:ind w:firstLine="590" w:firstLineChars="196"/>
        <w:jc w:val="both"/>
        <w:rPr>
          <w:rFonts w:hint="eastAsia" w:ascii="仿宋_GB2312" w:hAnsi="黑体" w:eastAsia="仿宋_GB2312"/>
          <w:b/>
          <w:sz w:val="30"/>
          <w:szCs w:val="30"/>
        </w:rPr>
      </w:pPr>
      <w:r>
        <w:rPr>
          <w:rFonts w:hint="eastAsia" w:ascii="仿宋_GB2312" w:hAnsi="黑体" w:eastAsia="仿宋_GB2312"/>
          <w:b/>
          <w:sz w:val="30"/>
          <w:szCs w:val="30"/>
        </w:rPr>
        <w:t>十四、“三公”经费：</w:t>
      </w:r>
      <w:r>
        <w:rPr>
          <w:rFonts w:hint="eastAsia" w:ascii="仿宋_GB2312" w:hAnsi="黑体" w:eastAsia="仿宋_GB2312"/>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3"/>
        <w:spacing w:before="0" w:beforeLines="0" w:beforeAutospacing="0" w:after="0" w:afterLines="0" w:afterAutospacing="0"/>
        <w:ind w:firstLine="590" w:firstLineChars="196"/>
        <w:jc w:val="both"/>
        <w:rPr>
          <w:rFonts w:hint="eastAsia" w:ascii="仿宋_GB2312" w:hAnsi="黑体" w:eastAsia="仿宋_GB2312"/>
          <w:b/>
          <w:sz w:val="30"/>
          <w:szCs w:val="30"/>
        </w:rPr>
      </w:pPr>
      <w:r>
        <w:rPr>
          <w:rFonts w:hint="eastAsia" w:ascii="仿宋_GB2312" w:hAnsi="黑体" w:eastAsia="仿宋_GB2312"/>
          <w:b/>
          <w:sz w:val="30"/>
          <w:szCs w:val="30"/>
        </w:rPr>
        <w:t>十五、机关运行经费</w:t>
      </w:r>
      <w:r>
        <w:rPr>
          <w:rFonts w:hint="eastAsia" w:ascii="仿宋_GB2312" w:hAnsi="黑体" w:eastAsia="仿宋_GB2312"/>
          <w:sz w:val="30"/>
          <w:szCs w:val="30"/>
        </w:rPr>
        <w:t>：</w:t>
      </w:r>
      <w:r>
        <w:rPr>
          <w:rFonts w:hint="eastAsia" w:ascii="仿宋_GB2312" w:eastAsia="仿宋_GB2312"/>
          <w:sz w:val="30"/>
          <w:szCs w:val="30"/>
        </w:rPr>
        <w:t>指为保障行政单位（含参照公务员法管理的事业单位）运行用于购买货物和服务的各项资金</w:t>
      </w:r>
      <w:r>
        <w:rPr>
          <w:rFonts w:hint="eastAsia" w:ascii="仿宋_GB2312" w:hAnsi="Times New Roman" w:eastAsia="仿宋_GB2312"/>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pPr>
        <w:spacing w:beforeLines="0" w:afterLines="0"/>
        <w:ind w:left="750" w:hanging="750" w:hangingChars="249"/>
        <w:rPr>
          <w:rFonts w:hint="eastAsia" w:ascii="宋体" w:hAnsi="宋体" w:eastAsia="宋体"/>
          <w:b/>
          <w:sz w:val="30"/>
          <w:szCs w:val="30"/>
        </w:rPr>
      </w:pPr>
    </w:p>
    <w:p>
      <w:pPr>
        <w:spacing w:beforeLines="0" w:afterLines="0"/>
        <w:rPr>
          <w:rFonts w:hint="eastAsia"/>
          <w:sz w:val="32"/>
          <w:szCs w:val="24"/>
        </w:rPr>
      </w:pPr>
      <w:r>
        <w:rPr>
          <w:rFonts w:hint="eastAsia" w:ascii="仿宋_GB2312" w:eastAsia="仿宋_GB2312" w:cs="仿宋_GB2312"/>
          <w:color w:val="000000"/>
          <w:sz w:val="30"/>
          <w:szCs w:val="30"/>
        </w:rPr>
        <w:t>邮箱：</w:t>
      </w:r>
      <w:r>
        <w:rPr>
          <w:rFonts w:hint="eastAsia" w:ascii="仿宋" w:hAnsi="仿宋" w:eastAsia="仿宋" w:cs="仿宋_GB2312"/>
          <w:sz w:val="30"/>
          <w:szCs w:val="30"/>
        </w:rPr>
        <w:t>yqqzwgk@163.com</w:t>
      </w:r>
    </w:p>
    <w:p>
      <w:pPr>
        <w:spacing w:beforeLines="0" w:afterLines="0"/>
        <w:ind w:left="750" w:hanging="750" w:hangingChars="249"/>
        <w:rPr>
          <w:rFonts w:hint="eastAsia" w:ascii="宋体" w:hAnsi="宋体" w:eastAsia="宋体"/>
          <w:b/>
          <w:sz w:val="30"/>
          <w:szCs w:val="30"/>
        </w:rPr>
      </w:pPr>
    </w:p>
    <w:p>
      <w:pPr>
        <w:spacing w:beforeLines="0" w:afterLines="0"/>
        <w:rPr>
          <w:rFonts w:hint="eastAsia" w:ascii="宋体" w:hAnsi="宋体" w:eastAsia="宋体"/>
          <w:b/>
          <w:sz w:val="30"/>
          <w:szCs w:val="30"/>
        </w:rPr>
      </w:pPr>
    </w:p>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CCEFD"/>
    <w:multiLevelType w:val="multilevel"/>
    <w:tmpl w:val="A83CCEFD"/>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C468F"/>
    <w:rsid w:val="11E85ADD"/>
    <w:rsid w:val="14D93FF2"/>
    <w:rsid w:val="16A6136B"/>
    <w:rsid w:val="1BAD0F26"/>
    <w:rsid w:val="25002970"/>
    <w:rsid w:val="26587AC3"/>
    <w:rsid w:val="31697362"/>
    <w:rsid w:val="37CA51EC"/>
    <w:rsid w:val="39B30879"/>
    <w:rsid w:val="3E151DA5"/>
    <w:rsid w:val="407B298B"/>
    <w:rsid w:val="456749E5"/>
    <w:rsid w:val="48C46894"/>
    <w:rsid w:val="4DC16139"/>
    <w:rsid w:val="51956560"/>
    <w:rsid w:val="532661B6"/>
    <w:rsid w:val="66385490"/>
    <w:rsid w:val="7B2053E1"/>
    <w:rsid w:val="7B473DA5"/>
    <w:rsid w:val="7BAF0B3D"/>
    <w:rsid w:val="7CC40B33"/>
    <w:rsid w:val="7F071B6E"/>
    <w:rsid w:val="7FF7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2"/>
    <w:basedOn w:val="1"/>
    <w:unhideWhenUsed/>
    <w:qFormat/>
    <w:uiPriority w:val="99"/>
    <w:pPr>
      <w:spacing w:beforeLines="0" w:afterLines="0" w:line="351" w:lineRule="atLeast"/>
      <w:ind w:firstLine="623"/>
      <w:textAlignment w:val="baseline"/>
    </w:pPr>
    <w:rPr>
      <w:rFonts w:hint="eastAsia"/>
      <w:color w:val="000000"/>
      <w:sz w:val="31"/>
      <w:szCs w:val="20"/>
    </w:rPr>
  </w:style>
  <w:style w:type="paragraph" w:styleId="3">
    <w:name w:val="Normal (Web)"/>
    <w:basedOn w:val="1"/>
    <w:unhideWhenUsed/>
    <w:qFormat/>
    <w:uiPriority w:val="0"/>
    <w:pPr>
      <w:widowControl/>
      <w:spacing w:before="100" w:beforeLines="0" w:beforeAutospacing="1" w:after="100" w:afterLines="0" w:afterAutospacing="1"/>
      <w:jc w:val="left"/>
    </w:pPr>
    <w:rPr>
      <w:rFonts w:hint="eastAsia"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2021-05-18T07:29:00Z</dcterms:created>
  <dc:creator>Administrator</dc:creator>
  <cp:lastModifiedBy>Administrator</cp:lastModifiedBy>
  <dcterms:modified xsi:type="dcterms:W3CDTF">2021-06-25T06:58:05Z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53A08E8BBED8433AA77A5162B394D314</vt:lpwstr>
  </property>
</Properties>
</file>