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AF" w:rsidRDefault="00421BAF">
      <w:pPr>
        <w:pStyle w:val="Heading210"/>
        <w:keepNext/>
        <w:keepLines/>
        <w:spacing w:after="560" w:line="240" w:lineRule="auto"/>
        <w:jc w:val="both"/>
        <w:rPr>
          <w:lang w:eastAsia="zh-CN"/>
        </w:rPr>
      </w:pPr>
      <w:bookmarkStart w:id="0" w:name="bookmark31"/>
      <w:bookmarkStart w:id="1" w:name="bookmark29"/>
      <w:bookmarkStart w:id="2" w:name="bookmark30"/>
    </w:p>
    <w:p w:rsidR="00421BAF" w:rsidRDefault="00421BAF">
      <w:pPr>
        <w:pStyle w:val="Heading210"/>
        <w:keepNext/>
        <w:keepLines/>
        <w:spacing w:after="560" w:line="240" w:lineRule="auto"/>
        <w:jc w:val="both"/>
        <w:rPr>
          <w:lang w:eastAsia="zh-CN"/>
        </w:rPr>
      </w:pPr>
    </w:p>
    <w:p w:rsidR="00421BAF" w:rsidRDefault="00421BAF">
      <w:pPr>
        <w:pStyle w:val="Heading210"/>
        <w:keepNext/>
        <w:keepLines/>
        <w:spacing w:after="560" w:line="240" w:lineRule="auto"/>
        <w:jc w:val="both"/>
        <w:rPr>
          <w:lang w:eastAsia="zh-CN"/>
        </w:rPr>
      </w:pPr>
    </w:p>
    <w:p w:rsidR="00421BAF" w:rsidRDefault="00E9673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kern w:val="2"/>
          <w:sz w:val="52"/>
          <w:szCs w:val="84"/>
          <w:lang w:eastAsia="zh-CN" w:bidi="ar-SA"/>
        </w:rPr>
      </w:pPr>
      <w:r>
        <w:rPr>
          <w:rFonts w:ascii="华文中宋" w:eastAsia="华文中宋" w:hAnsi="华文中宋" w:cs="华文中宋" w:hint="eastAsia"/>
          <w:b/>
          <w:kern w:val="2"/>
          <w:sz w:val="52"/>
          <w:szCs w:val="84"/>
          <w:lang w:eastAsia="zh-CN" w:bidi="ar-SA"/>
        </w:rPr>
        <w:t>埇桥区</w:t>
      </w:r>
      <w:r w:rsidR="004E626A">
        <w:rPr>
          <w:rFonts w:ascii="华文中宋" w:eastAsia="华文中宋" w:hAnsi="华文中宋" w:cs="华文中宋" w:hint="eastAsia"/>
          <w:b/>
          <w:kern w:val="2"/>
          <w:sz w:val="52"/>
          <w:szCs w:val="84"/>
          <w:lang w:eastAsia="zh-CN" w:bidi="ar-SA"/>
        </w:rPr>
        <w:t>北杨寨行管区</w:t>
      </w:r>
      <w:r>
        <w:rPr>
          <w:rFonts w:ascii="华文中宋" w:eastAsia="华文中宋" w:hAnsi="华文中宋" w:cs="华文中宋" w:hint="eastAsia"/>
          <w:b/>
          <w:kern w:val="2"/>
          <w:sz w:val="52"/>
          <w:szCs w:val="84"/>
          <w:lang w:eastAsia="zh-CN" w:bidi="ar-SA"/>
        </w:rPr>
        <w:t>2022年预算</w:t>
      </w:r>
    </w:p>
    <w:p w:rsidR="00421BAF" w:rsidRDefault="00421BAF">
      <w:pPr>
        <w:pStyle w:val="Heading210"/>
        <w:keepNext/>
        <w:keepLines/>
        <w:spacing w:after="560" w:line="240" w:lineRule="auto"/>
        <w:rPr>
          <w:b/>
          <w:bCs/>
          <w:lang w:val="en-US" w:eastAsia="zh-CN"/>
        </w:rPr>
      </w:pPr>
    </w:p>
    <w:p w:rsidR="00421BAF" w:rsidRDefault="00421BAF">
      <w:pPr>
        <w:pStyle w:val="Heading210"/>
        <w:keepNext/>
        <w:keepLines/>
        <w:spacing w:after="560" w:line="240" w:lineRule="auto"/>
        <w:rPr>
          <w:b/>
          <w:bCs/>
          <w:lang w:val="en-US" w:eastAsia="zh-CN"/>
        </w:rPr>
      </w:pPr>
    </w:p>
    <w:p w:rsidR="00421BAF" w:rsidRDefault="00421BAF">
      <w:pPr>
        <w:pStyle w:val="Heading210"/>
        <w:keepNext/>
        <w:keepLines/>
        <w:spacing w:after="560" w:line="240" w:lineRule="auto"/>
        <w:rPr>
          <w:b/>
          <w:bCs/>
          <w:lang w:val="en-US" w:eastAsia="zh-CN"/>
        </w:rPr>
      </w:pPr>
    </w:p>
    <w:p w:rsidR="00421BAF" w:rsidRDefault="00421BAF">
      <w:pPr>
        <w:pStyle w:val="Heading210"/>
        <w:keepNext/>
        <w:keepLines/>
        <w:spacing w:after="560" w:line="240" w:lineRule="auto"/>
        <w:rPr>
          <w:b/>
          <w:bCs/>
          <w:lang w:val="en-US" w:eastAsia="zh-CN"/>
        </w:rPr>
      </w:pPr>
    </w:p>
    <w:p w:rsidR="005D7F8E" w:rsidRDefault="005D7F8E">
      <w:pPr>
        <w:pStyle w:val="Heading210"/>
        <w:keepNext/>
        <w:keepLines/>
        <w:spacing w:after="560" w:line="240" w:lineRule="auto"/>
        <w:rPr>
          <w:b/>
          <w:bCs/>
          <w:lang w:val="en-US" w:eastAsia="zh-CN"/>
        </w:rPr>
      </w:pPr>
    </w:p>
    <w:p w:rsidR="005D7F8E" w:rsidRDefault="005D7F8E">
      <w:pPr>
        <w:pStyle w:val="Heading210"/>
        <w:keepNext/>
        <w:keepLines/>
        <w:spacing w:after="560" w:line="240" w:lineRule="auto"/>
        <w:rPr>
          <w:b/>
          <w:bCs/>
          <w:lang w:val="en-US" w:eastAsia="zh-CN"/>
        </w:rPr>
      </w:pP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44"/>
          <w:szCs w:val="44"/>
          <w:lang w:eastAsia="zh-CN" w:bidi="ar-SA"/>
        </w:rPr>
      </w:pPr>
      <w:r>
        <w:rPr>
          <w:rFonts w:ascii="黑体" w:eastAsia="黑体" w:hAnsi="黑体" w:hint="eastAsia"/>
          <w:bCs/>
          <w:sz w:val="44"/>
          <w:szCs w:val="44"/>
          <w:lang w:eastAsia="zh-CN" w:bidi="ar-SA"/>
        </w:rPr>
        <w:t>2022年</w:t>
      </w:r>
      <w:r w:rsidR="004E626A">
        <w:rPr>
          <w:rFonts w:ascii="黑体" w:eastAsia="黑体" w:hAnsi="黑体"/>
          <w:bCs/>
          <w:sz w:val="44"/>
          <w:szCs w:val="44"/>
          <w:lang w:eastAsia="zh-CN" w:bidi="ar-SA"/>
        </w:rPr>
        <w:t>2</w:t>
      </w:r>
      <w:r>
        <w:rPr>
          <w:rFonts w:ascii="黑体" w:eastAsia="黑体" w:hAnsi="黑体" w:hint="eastAsia"/>
          <w:bCs/>
          <w:sz w:val="44"/>
          <w:szCs w:val="44"/>
          <w:lang w:eastAsia="zh-CN" w:bidi="ar-SA"/>
        </w:rPr>
        <w:t>月</w:t>
      </w:r>
    </w:p>
    <w:p w:rsidR="00421BAF" w:rsidRDefault="00421BAF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44"/>
          <w:szCs w:val="44"/>
          <w:lang w:eastAsia="zh-CN" w:bidi="ar-SA"/>
        </w:rPr>
      </w:pPr>
    </w:p>
    <w:p w:rsidR="00421BAF" w:rsidRDefault="00421BAF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44"/>
          <w:szCs w:val="44"/>
          <w:lang w:eastAsia="zh-CN" w:bidi="ar-SA"/>
        </w:rPr>
      </w:pP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44"/>
          <w:szCs w:val="44"/>
          <w:lang w:eastAsia="zh-CN" w:bidi="ar-SA"/>
        </w:rPr>
      </w:pPr>
      <w:r>
        <w:rPr>
          <w:rFonts w:ascii="黑体" w:eastAsia="黑体" w:hAnsi="黑体" w:hint="eastAsia"/>
          <w:bCs/>
          <w:sz w:val="44"/>
          <w:szCs w:val="44"/>
          <w:lang w:eastAsia="zh-CN" w:bidi="ar-SA"/>
        </w:rPr>
        <w:lastRenderedPageBreak/>
        <w:t>目 录</w:t>
      </w:r>
      <w:bookmarkEnd w:id="0"/>
      <w:bookmarkEnd w:id="1"/>
      <w:bookmarkEnd w:id="2"/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3"/>
        <w:jc w:val="both"/>
        <w:rPr>
          <w:rFonts w:ascii="仿宋_GB2312" w:eastAsia="仿宋_GB2312" w:hAnsi="仿宋" w:cs="仿宋"/>
          <w:b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b/>
          <w:sz w:val="32"/>
          <w:szCs w:val="32"/>
          <w:lang w:eastAsia="zh-CN"/>
        </w:rPr>
        <w:t>第一部分 部门概况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1.主要职责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2.部门预算单位构成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3.202</w:t>
      </w:r>
      <w:r>
        <w:rPr>
          <w:rFonts w:ascii="仿宋_GB2312" w:eastAsia="仿宋_GB2312" w:hAnsi="仿宋" w:cs="仿宋"/>
          <w:bCs/>
          <w:sz w:val="32"/>
          <w:szCs w:val="32"/>
          <w:lang w:eastAsia="zh-CN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年度主要工作任务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3"/>
        <w:jc w:val="both"/>
        <w:rPr>
          <w:rFonts w:ascii="仿宋_GB2312" w:eastAsia="仿宋_GB2312" w:hAnsi="仿宋" w:cs="仿宋"/>
          <w:b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b/>
          <w:sz w:val="32"/>
          <w:szCs w:val="32"/>
          <w:lang w:eastAsia="zh-CN"/>
        </w:rPr>
        <w:t>第二部分  2022年部门预算表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3" w:name="bookmark34"/>
      <w:bookmarkEnd w:id="3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1.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2022年收支预算总表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4" w:name="bookmark35"/>
      <w:bookmarkEnd w:id="4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2022年收入预算总表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5" w:name="bookmark36"/>
      <w:bookmarkEnd w:id="5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3.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2022年支出预算总表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6" w:name="bookmark37"/>
      <w:bookmarkEnd w:id="6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4.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2022年财政拨款收支预算总表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7" w:name="bookmark38"/>
      <w:bookmarkEnd w:id="7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5.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2022年一般公共预算支出表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8" w:name="bookmark39"/>
      <w:bookmarkEnd w:id="8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6.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2022年一般公共预算基本支出表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9" w:name="bookmark40"/>
      <w:bookmarkEnd w:id="9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7.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2022年政府性基金预算支出表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0" w:name="bookmark41"/>
      <w:bookmarkEnd w:id="10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8.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2022年国有资本经营预算支出表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1" w:name="bookmark42"/>
      <w:bookmarkEnd w:id="11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9.</w:t>
      </w:r>
      <w:r w:rsidR="005D7F8E">
        <w:rPr>
          <w:rFonts w:ascii="仿宋_GB2312" w:eastAsia="仿宋_GB2312" w:hAnsi="仿宋" w:cs="仿宋"/>
          <w:bCs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2022年项目支出表</w:t>
      </w:r>
    </w:p>
    <w:p w:rsidR="00421BAF" w:rsidRDefault="005D7F8E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2" w:name="bookmark43"/>
      <w:bookmarkEnd w:id="12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1</w:t>
      </w:r>
      <w:r>
        <w:rPr>
          <w:rFonts w:ascii="仿宋_GB2312" w:eastAsia="仿宋_GB2312" w:hAnsi="仿宋" w:cs="仿宋"/>
          <w:bCs/>
          <w:sz w:val="32"/>
          <w:szCs w:val="32"/>
          <w:lang w:eastAsia="zh-CN"/>
        </w:rPr>
        <w:t>0.</w:t>
      </w:r>
      <w:r w:rsidR="00E9673C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 w:rsidR="00E9673C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2022年政府采购支出表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  <w:sectPr w:rsidR="00421BAF">
          <w:footerReference w:type="even" r:id="rId7"/>
          <w:footerReference w:type="default" r:id="rId8"/>
          <w:footerReference w:type="first" r:id="rId9"/>
          <w:pgSz w:w="11900" w:h="16840"/>
          <w:pgMar w:top="1368" w:right="1387" w:bottom="1476" w:left="1306" w:header="0" w:footer="3" w:gutter="0"/>
          <w:cols w:space="720"/>
          <w:titlePg/>
          <w:docGrid w:linePitch="360"/>
        </w:sectPr>
      </w:pPr>
      <w:bookmarkStart w:id="13" w:name="bookmark44"/>
      <w:bookmarkEnd w:id="13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11.埇桥区</w:t>
      </w:r>
      <w:r w:rsidR="004E626A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北杨寨行管区</w:t>
      </w:r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2022年政府购买服务支出</w:t>
      </w:r>
      <w:r w:rsidR="00491938"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表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3"/>
        <w:jc w:val="both"/>
        <w:rPr>
          <w:rFonts w:ascii="仿宋_GB2312" w:eastAsia="仿宋_GB2312" w:hAnsi="仿宋" w:cs="仿宋"/>
          <w:b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b/>
          <w:sz w:val="32"/>
          <w:szCs w:val="32"/>
          <w:lang w:eastAsia="zh-CN"/>
        </w:rPr>
        <w:t>第三部分  2022年部门预算情况说明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4" w:name="bookmark45"/>
      <w:bookmarkEnd w:id="14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1.关于2022年收支预算总表的说明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5" w:name="bookmark46"/>
      <w:bookmarkEnd w:id="15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2.关于2022年收入预算总表的说明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6" w:name="bookmark47"/>
      <w:bookmarkEnd w:id="16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3.关于2022年支出预算总表的说明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7" w:name="bookmark48"/>
      <w:bookmarkEnd w:id="17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4.关于2022年财政拨款收支预算总表的说明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8" w:name="bookmark49"/>
      <w:bookmarkEnd w:id="18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5.关于2022年一般公共预算支出表的说明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19" w:name="bookmark50"/>
      <w:bookmarkEnd w:id="19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6.关于2022年一般公共预算基本支出表的说明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20" w:name="bookmark51"/>
      <w:bookmarkEnd w:id="20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7.关于2022年政府性基金预算支出表的说明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21" w:name="bookmark52"/>
      <w:bookmarkEnd w:id="21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8.关于2022年国有资本经营预算支出表的说明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22" w:name="bookmark53"/>
      <w:bookmarkEnd w:id="22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9.关于2022年项目支出表的说明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23" w:name="bookmark54"/>
      <w:bookmarkEnd w:id="23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lastRenderedPageBreak/>
        <w:t>10.关于2022年政府采购支出表的说明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24" w:name="bookmark55"/>
      <w:bookmarkEnd w:id="24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11.关于2022年政府购买服务支出表的说明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2"/>
        <w:rPr>
          <w:rFonts w:ascii="仿宋_GB2312" w:eastAsia="仿宋_GB2312" w:hAnsi="仿宋" w:cs="仿宋"/>
          <w:bCs/>
          <w:sz w:val="32"/>
          <w:szCs w:val="32"/>
          <w:lang w:eastAsia="zh-CN"/>
        </w:rPr>
      </w:pPr>
      <w:bookmarkStart w:id="25" w:name="bookmark56"/>
      <w:bookmarkEnd w:id="25"/>
      <w:r>
        <w:rPr>
          <w:rFonts w:ascii="仿宋_GB2312" w:eastAsia="仿宋_GB2312" w:hAnsi="仿宋" w:cs="仿宋" w:hint="eastAsia"/>
          <w:bCs/>
          <w:sz w:val="32"/>
          <w:szCs w:val="32"/>
          <w:lang w:eastAsia="zh-CN"/>
        </w:rPr>
        <w:t>12.其他重要事项情况说明</w:t>
      </w:r>
    </w:p>
    <w:p w:rsidR="00421BAF" w:rsidRDefault="00E9673C" w:rsidP="005D7F8E">
      <w:pPr>
        <w:pStyle w:val="a6"/>
        <w:adjustRightInd w:val="0"/>
        <w:snapToGrid w:val="0"/>
        <w:spacing w:before="0" w:beforeAutospacing="0" w:after="0" w:afterAutospacing="0" w:line="500" w:lineRule="exact"/>
        <w:ind w:firstLineChars="88" w:firstLine="283"/>
        <w:jc w:val="both"/>
        <w:rPr>
          <w:rFonts w:ascii="仿宋_GB2312" w:eastAsia="仿宋_GB2312" w:hAnsi="仿宋" w:cs="仿宋"/>
          <w:b/>
          <w:sz w:val="32"/>
          <w:szCs w:val="32"/>
          <w:lang w:eastAsia="zh-CN"/>
        </w:rPr>
        <w:sectPr w:rsidR="00421BAF">
          <w:footerReference w:type="even" r:id="rId10"/>
          <w:footerReference w:type="default" r:id="rId11"/>
          <w:type w:val="continuous"/>
          <w:pgSz w:w="11900" w:h="16840"/>
          <w:pgMar w:top="1368" w:right="1387" w:bottom="1476" w:left="1306" w:header="940" w:footer="3" w:gutter="0"/>
          <w:cols w:space="720"/>
          <w:docGrid w:linePitch="360"/>
        </w:sectPr>
      </w:pPr>
      <w:r>
        <w:rPr>
          <w:rFonts w:ascii="仿宋_GB2312" w:eastAsia="仿宋_GB2312" w:hAnsi="仿宋" w:cs="仿宋" w:hint="eastAsia"/>
          <w:b/>
          <w:sz w:val="32"/>
          <w:szCs w:val="32"/>
          <w:lang w:eastAsia="zh-CN"/>
        </w:rPr>
        <w:t>第四部分  名词解释</w:t>
      </w:r>
    </w:p>
    <w:p w:rsidR="00421BAF" w:rsidRDefault="00E9673C">
      <w:pPr>
        <w:pStyle w:val="Bodytext40"/>
        <w:tabs>
          <w:tab w:val="left" w:pos="-850"/>
        </w:tabs>
      </w:pPr>
      <w:r>
        <w:rPr>
          <w:u w:val="single"/>
        </w:rPr>
        <w:lastRenderedPageBreak/>
        <w:t xml:space="preserve"> </w:t>
      </w: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  <w:lang w:eastAsia="zh-CN" w:bidi="ar-SA"/>
        </w:rPr>
      </w:pPr>
      <w:bookmarkStart w:id="26" w:name="bookmark58"/>
      <w:bookmarkStart w:id="27" w:name="bookmark59"/>
      <w:bookmarkStart w:id="28" w:name="bookmark57"/>
      <w:r>
        <w:rPr>
          <w:rFonts w:ascii="黑体" w:eastAsia="黑体" w:hAnsi="黑体" w:hint="eastAsia"/>
          <w:bCs/>
          <w:sz w:val="36"/>
          <w:szCs w:val="36"/>
          <w:lang w:eastAsia="zh-CN" w:bidi="ar-SA"/>
        </w:rPr>
        <w:t>第一部分  部门概况</w:t>
      </w:r>
      <w:bookmarkEnd w:id="26"/>
      <w:bookmarkEnd w:id="27"/>
      <w:bookmarkEnd w:id="28"/>
      <w:r>
        <w:rPr>
          <w:rFonts w:ascii="黑体" w:eastAsia="黑体" w:hAnsi="黑体" w:hint="eastAsia"/>
          <w:bCs/>
          <w:sz w:val="36"/>
          <w:szCs w:val="36"/>
          <w:lang w:eastAsia="zh-CN" w:bidi="ar-SA"/>
        </w:rPr>
        <w:t xml:space="preserve"> </w:t>
      </w: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黑体" w:eastAsia="黑体" w:hAnsi="黑体"/>
          <w:bCs/>
          <w:sz w:val="32"/>
          <w:szCs w:val="32"/>
          <w:lang w:eastAsia="zh-CN"/>
        </w:rPr>
      </w:pPr>
      <w:bookmarkStart w:id="29" w:name="bookmark60"/>
      <w:r>
        <w:rPr>
          <w:rFonts w:ascii="黑体" w:eastAsia="黑体" w:hAnsi="黑体" w:hint="eastAsia"/>
          <w:bCs/>
          <w:sz w:val="32"/>
          <w:szCs w:val="32"/>
          <w:lang w:eastAsia="zh-CN"/>
        </w:rPr>
        <w:t>一、主要职责</w:t>
      </w:r>
    </w:p>
    <w:p w:rsidR="00421BAF" w:rsidRDefault="004E626A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仿宋_GB2312" w:eastAsia="仿宋_GB2312" w:hAnsi="黑体"/>
          <w:bCs/>
          <w:sz w:val="32"/>
          <w:szCs w:val="32"/>
          <w:lang w:eastAsia="zh-CN"/>
        </w:rPr>
      </w:pPr>
      <w:r>
        <w:rPr>
          <w:rFonts w:ascii="仿宋_GB2312" w:eastAsia="仿宋_GB2312" w:hAnsi="黑体" w:hint="eastAsia"/>
          <w:bCs/>
          <w:sz w:val="32"/>
          <w:szCs w:val="32"/>
          <w:lang w:eastAsia="zh-CN"/>
        </w:rPr>
        <w:t>（一）</w:t>
      </w:r>
      <w:r w:rsidRPr="00586CFA">
        <w:rPr>
          <w:rFonts w:ascii="仿宋_GB2312" w:eastAsia="仿宋_GB2312" w:hAnsi="黑体" w:hint="eastAsia"/>
          <w:bCs/>
          <w:sz w:val="32"/>
          <w:szCs w:val="32"/>
          <w:lang w:eastAsia="zh-CN"/>
        </w:rPr>
        <w:t>根据文件规定，本部门主要职责是：（1）制定和组织实施经济、科技和社会发展计划，制定资源开发技术改造和产业结构调整方案，组织指导好各业生产，搞好商品流通，协调好本镇与外地区的经济交流与合作，抓好招商引资，人才引进项目开发，不断培育市场体系，组织经济运行，促进经济发展。（2）制定并组织实施村镇建设规划，部署重点工程建设，地方道路建设及公共设施，水利设施的管理，负责土地、林木、水等自然资源和生态环境的保护，做好护林防火工作。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4）按计划组织本级财政收入和地方税的征收，完成国家财政计划，不断培植税源，管好财政资金，增强财政实力。（5）抓好精神文明建设，丰富群众文化生活，提倡移风易俗，反对封建迷信，破除陈规陋习，树立社会主义新风尚。（6）完成上级政府交办的其它事项</w:t>
      </w:r>
      <w:r w:rsidR="00E9673C">
        <w:rPr>
          <w:rFonts w:ascii="仿宋_GB2312" w:eastAsia="仿宋_GB2312" w:hAnsi="黑体" w:hint="eastAsia"/>
          <w:bCs/>
          <w:sz w:val="32"/>
          <w:szCs w:val="32"/>
          <w:lang w:eastAsia="zh-CN"/>
        </w:rPr>
        <w:t>。</w:t>
      </w: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hAnsi="黑体"/>
          <w:bCs/>
          <w:sz w:val="32"/>
          <w:szCs w:val="32"/>
          <w:lang w:eastAsia="zh-CN"/>
        </w:rPr>
      </w:pPr>
      <w:bookmarkStart w:id="30" w:name="bookmark63"/>
      <w:bookmarkEnd w:id="29"/>
      <w:r>
        <w:rPr>
          <w:rFonts w:ascii="黑体" w:eastAsia="黑体" w:hAnsi="黑体" w:hint="eastAsia"/>
          <w:bCs/>
          <w:sz w:val="32"/>
          <w:szCs w:val="32"/>
          <w:lang w:eastAsia="zh-CN"/>
        </w:rPr>
        <w:t>二</w:t>
      </w:r>
      <w:bookmarkEnd w:id="30"/>
      <w:r>
        <w:rPr>
          <w:rFonts w:ascii="黑体" w:eastAsia="黑体" w:hAnsi="黑体" w:hint="eastAsia"/>
          <w:bCs/>
          <w:sz w:val="32"/>
          <w:szCs w:val="32"/>
          <w:lang w:eastAsia="zh-CN"/>
        </w:rPr>
        <w:t>、部门（单位）预算构成</w:t>
      </w: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仿宋_GB2312" w:eastAsia="仿宋_GB2312" w:hAnsi="仿宋"/>
          <w:sz w:val="32"/>
          <w:szCs w:val="32"/>
          <w:lang w:eastAsia="zh-CN" w:bidi="ar-SA"/>
        </w:rPr>
      </w:pPr>
      <w:r>
        <w:rPr>
          <w:rFonts w:ascii="仿宋_GB2312" w:eastAsia="仿宋_GB2312" w:hAnsi="仿宋" w:hint="eastAsia"/>
          <w:sz w:val="32"/>
          <w:szCs w:val="32"/>
          <w:lang w:eastAsia="zh-CN" w:bidi="ar-SA"/>
        </w:rPr>
        <w:t>从预算单位构成看，埇桥区</w:t>
      </w:r>
      <w:r w:rsidR="004E626A">
        <w:rPr>
          <w:rFonts w:ascii="仿宋_GB2312" w:eastAsia="仿宋_GB2312" w:hAnsi="仿宋" w:hint="eastAsia"/>
          <w:sz w:val="32"/>
          <w:szCs w:val="32"/>
          <w:lang w:eastAsia="zh-CN" w:bidi="ar-SA"/>
        </w:rPr>
        <w:t>北杨寨行管区</w:t>
      </w:r>
      <w:r>
        <w:rPr>
          <w:rFonts w:ascii="仿宋_GB2312" w:eastAsia="仿宋_GB2312" w:hAnsi="仿宋" w:hint="eastAsia"/>
          <w:sz w:val="32"/>
          <w:szCs w:val="32"/>
          <w:lang w:eastAsia="zh-CN" w:bidi="ar-SA"/>
        </w:rPr>
        <w:t>202</w:t>
      </w:r>
      <w:r>
        <w:rPr>
          <w:rFonts w:ascii="仿宋_GB2312" w:eastAsia="仿宋_GB2312" w:hAnsi="仿宋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 w:bidi="ar-SA"/>
        </w:rPr>
        <w:t>年度部门预算包括</w:t>
      </w:r>
      <w:r w:rsidR="004E626A">
        <w:rPr>
          <w:rFonts w:ascii="仿宋_GB2312" w:eastAsia="仿宋_GB2312" w:hAnsi="仿宋" w:hint="eastAsia"/>
          <w:sz w:val="32"/>
          <w:szCs w:val="32"/>
          <w:lang w:eastAsia="zh-CN" w:bidi="ar-SA"/>
        </w:rPr>
        <w:t>北杨寨行管区</w:t>
      </w:r>
      <w:r>
        <w:rPr>
          <w:rFonts w:ascii="仿宋_GB2312" w:eastAsia="仿宋_GB2312" w:hAnsi="仿宋" w:hint="eastAsia"/>
          <w:sz w:val="32"/>
          <w:szCs w:val="32"/>
          <w:lang w:eastAsia="zh-CN" w:bidi="ar-SA"/>
        </w:rPr>
        <w:t>本级预算和</w:t>
      </w:r>
      <w:r w:rsidR="004E626A">
        <w:rPr>
          <w:rFonts w:ascii="仿宋_GB2312" w:eastAsia="仿宋_GB2312" w:hAnsi="仿宋" w:hint="eastAsia"/>
          <w:sz w:val="32"/>
          <w:szCs w:val="32"/>
          <w:lang w:eastAsia="zh-CN" w:bidi="ar-SA"/>
        </w:rPr>
        <w:t>北杨寨行管区</w:t>
      </w:r>
      <w:r>
        <w:rPr>
          <w:rFonts w:ascii="仿宋_GB2312" w:eastAsia="仿宋_GB2312" w:hAnsi="仿宋" w:hint="eastAsia"/>
          <w:sz w:val="32"/>
          <w:szCs w:val="32"/>
          <w:lang w:eastAsia="zh-CN" w:bidi="ar-SA"/>
        </w:rPr>
        <w:t>下属单位预算，纳入部门预算编制范围的单位共</w:t>
      </w:r>
      <w:r w:rsidR="004E626A">
        <w:rPr>
          <w:rFonts w:ascii="仿宋_GB2312" w:eastAsia="仿宋_GB2312" w:hAnsi="仿宋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 w:bidi="ar-SA"/>
        </w:rPr>
        <w:t>个，具体情况见下表。</w:t>
      </w:r>
    </w:p>
    <w:tbl>
      <w:tblPr>
        <w:tblW w:w="9000" w:type="dxa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600"/>
        <w:gridCol w:w="4500"/>
      </w:tblGrid>
      <w:tr w:rsidR="00421BAF" w:rsidTr="004E626A">
        <w:trPr>
          <w:trHeight w:hRule="exact" w:val="39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BAF" w:rsidRDefault="00E9673C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lastRenderedPageBreak/>
              <w:t>序号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BAF" w:rsidRDefault="00E9673C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单 位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1BAF" w:rsidRDefault="00E9673C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单位性质</w:t>
            </w:r>
          </w:p>
        </w:tc>
      </w:tr>
      <w:tr w:rsidR="00421BAF" w:rsidTr="004E626A">
        <w:trPr>
          <w:trHeight w:hRule="exact" w:val="397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BAF" w:rsidRDefault="00E9673C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BAF" w:rsidRDefault="004E626A" w:rsidP="004E626A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北杨寨行管区</w:t>
            </w:r>
            <w:r w:rsidR="00E9673C"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本级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1BAF" w:rsidRDefault="00E9673C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行政单位</w:t>
            </w:r>
          </w:p>
        </w:tc>
      </w:tr>
      <w:tr w:rsidR="004E626A" w:rsidTr="004E626A">
        <w:trPr>
          <w:trHeight w:hRule="exact" w:val="397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26A" w:rsidRDefault="004E626A" w:rsidP="004E626A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26A" w:rsidRDefault="004E626A" w:rsidP="004E626A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北杨寨财政所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E626A" w:rsidRDefault="004E626A" w:rsidP="004E626A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eastAsia="zh-CN" w:bidi="ar-SA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eastAsia="zh-CN" w:bidi="ar-SA"/>
              </w:rPr>
              <w:t>公益一类事业单位</w:t>
            </w:r>
          </w:p>
        </w:tc>
      </w:tr>
    </w:tbl>
    <w:p w:rsidR="004E626A" w:rsidRDefault="004E626A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黑体" w:eastAsia="黑体" w:hAnsi="黑体"/>
          <w:bCs/>
          <w:sz w:val="32"/>
          <w:szCs w:val="32"/>
          <w:lang w:eastAsia="zh-CN"/>
        </w:rPr>
      </w:pPr>
      <w:bookmarkStart w:id="31" w:name="bookmark64"/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黑体" w:eastAsia="黑体" w:hAnsi="黑体"/>
          <w:bCs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sz w:val="32"/>
          <w:szCs w:val="32"/>
          <w:lang w:eastAsia="zh-CN"/>
        </w:rPr>
        <w:t>三</w:t>
      </w:r>
      <w:bookmarkEnd w:id="31"/>
      <w:r>
        <w:rPr>
          <w:rFonts w:ascii="黑体" w:eastAsia="黑体" w:hAnsi="黑体" w:hint="eastAsia"/>
          <w:bCs/>
          <w:sz w:val="32"/>
          <w:szCs w:val="32"/>
          <w:lang w:eastAsia="zh-CN"/>
        </w:rPr>
        <w:t>、2022年度主要工作任务</w:t>
      </w:r>
    </w:p>
    <w:p w:rsidR="00421BAF" w:rsidRDefault="004E626A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仿宋_GB2312" w:eastAsia="仿宋_GB2312" w:hAnsi="黑体"/>
          <w:bCs/>
          <w:sz w:val="32"/>
          <w:szCs w:val="32"/>
          <w:lang w:eastAsia="zh-CN"/>
        </w:rPr>
      </w:pPr>
      <w:bookmarkStart w:id="32" w:name="bookmark68"/>
      <w:bookmarkStart w:id="33" w:name="bookmark67"/>
      <w:bookmarkStart w:id="34" w:name="bookmark69"/>
      <w:r w:rsidRPr="004E626A">
        <w:rPr>
          <w:rFonts w:ascii="仿宋_GB2312" w:eastAsia="仿宋_GB2312" w:hAnsi="仿宋" w:hint="eastAsia"/>
          <w:sz w:val="32"/>
          <w:szCs w:val="32"/>
          <w:lang w:eastAsia="zh-CN" w:bidi="ar-SA"/>
        </w:rPr>
        <w:t>继续实施积极财政政策,充分发挥财政职能作用，促进经济持续健康发展,坚持增收节支,从严控制一般性支出,调整优化支出结构,集中财力办大事,促进经济转型升级和民生改善,公开透明预算制度,提高财政资源配置的效益和效率,加强预算的绩效管理,提高财政资金使用效益,为北杨寨行管区提供优质高效的财政服务</w:t>
      </w:r>
      <w:r w:rsidR="00E9673C">
        <w:rPr>
          <w:rFonts w:ascii="仿宋_GB2312" w:eastAsia="仿宋_GB2312" w:hAnsi="黑体" w:hint="eastAsia"/>
          <w:bCs/>
          <w:sz w:val="32"/>
          <w:szCs w:val="32"/>
          <w:lang w:eastAsia="zh-CN"/>
        </w:rPr>
        <w:t>。</w:t>
      </w:r>
    </w:p>
    <w:p w:rsidR="00421BAF" w:rsidRDefault="00421BAF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  <w:lang w:eastAsia="zh-CN" w:bidi="ar-SA"/>
        </w:rPr>
      </w:pPr>
    </w:p>
    <w:p w:rsidR="004E626A" w:rsidRDefault="004E626A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  <w:lang w:eastAsia="zh-CN" w:bidi="ar-SA"/>
        </w:rPr>
        <w:sectPr w:rsidR="004E62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531" w:right="1251" w:bottom="1602" w:left="1423" w:header="0" w:footer="3" w:gutter="0"/>
          <w:cols w:space="720"/>
          <w:titlePg/>
          <w:docGrid w:linePitch="360"/>
        </w:sectPr>
      </w:pP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  <w:lang w:eastAsia="zh-CN" w:bidi="ar-SA"/>
        </w:rPr>
      </w:pPr>
      <w:r>
        <w:rPr>
          <w:rFonts w:ascii="黑体" w:eastAsia="黑体" w:hAnsi="黑体" w:hint="eastAsia"/>
          <w:bCs/>
          <w:sz w:val="36"/>
          <w:szCs w:val="36"/>
          <w:lang w:eastAsia="zh-CN" w:bidi="ar-SA"/>
        </w:rPr>
        <w:lastRenderedPageBreak/>
        <w:t>第二部分2022年部门（单位）预算表</w:t>
      </w:r>
      <w:bookmarkEnd w:id="32"/>
      <w:bookmarkEnd w:id="33"/>
      <w:bookmarkEnd w:id="34"/>
    </w:p>
    <w:p w:rsidR="00421BAF" w:rsidRDefault="00E9673C">
      <w:pPr>
        <w:pStyle w:val="Other10"/>
        <w:spacing w:after="160" w:line="240" w:lineRule="auto"/>
        <w:ind w:firstLine="0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部门预算公开表1</w:t>
      </w:r>
    </w:p>
    <w:p w:rsidR="00421BAF" w:rsidRDefault="00E9673C">
      <w:pPr>
        <w:pStyle w:val="Other10"/>
        <w:spacing w:after="160" w:line="240" w:lineRule="auto"/>
        <w:ind w:firstLine="460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6"/>
          <w:szCs w:val="36"/>
          <w:lang w:val="en-US" w:eastAsia="zh-CN"/>
        </w:rPr>
        <w:t>北杨寨行管区</w:t>
      </w:r>
      <w:r>
        <w:rPr>
          <w:rFonts w:hint="eastAsia"/>
          <w:b/>
          <w:bCs/>
          <w:sz w:val="36"/>
          <w:szCs w:val="36"/>
          <w:lang w:eastAsia="zh-CN"/>
        </w:rPr>
        <w:t>2022年收支预算总表</w:t>
      </w:r>
    </w:p>
    <w:p w:rsidR="00421BAF" w:rsidRDefault="00E9673C">
      <w:pPr>
        <w:pStyle w:val="Bodytext40"/>
        <w:spacing w:after="80"/>
        <w:ind w:right="800" w:firstLine="0"/>
        <w:jc w:val="right"/>
      </w:pPr>
      <w:r>
        <w:t>单位：万元</w:t>
      </w:r>
    </w:p>
    <w:tbl>
      <w:tblPr>
        <w:tblW w:w="5461" w:type="pct"/>
        <w:jc w:val="center"/>
        <w:tblLook w:val="04A0" w:firstRow="1" w:lastRow="0" w:firstColumn="1" w:lastColumn="0" w:noHBand="0" w:noVBand="1"/>
      </w:tblPr>
      <w:tblGrid>
        <w:gridCol w:w="4247"/>
        <w:gridCol w:w="1017"/>
        <w:gridCol w:w="3616"/>
        <w:gridCol w:w="1186"/>
      </w:tblGrid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bookmarkStart w:id="35" w:name="bookmark70"/>
            <w:bookmarkStart w:id="36" w:name="bookmark71"/>
            <w:bookmarkStart w:id="37" w:name="bookmark72"/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收         入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34479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支</w:t>
            </w: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        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出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收入项目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预算数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支出功能分类科目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预算数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一、一般公共预算拨款收入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（一）一般公共服务支出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398.72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二、政府性基金预算拨款收入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（二）外交支出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三、财政专户管理资金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（三）国防支出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其他财政专户管理资金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</w:p>
        </w:tc>
        <w:tc>
          <w:tcPr>
            <w:tcW w:w="1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（四）公共安全支出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四、其他收入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（五）教育支出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     事业收入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（六）科学技术支出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     经营收入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（七）文化旅游体育与传媒支出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     上级补助收入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（八）社会保障和就业支出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     附属单位上缴收入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（九）社会保险基金支出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     其他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（十）卫生健康支出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五、上级转移支付（提前下达公共预算）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（十一）节能环保支出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六、上级转移支付（提前下达政府性基金）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（十二）城乡社区支出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（十三）农林水支出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（十四）交通运输支出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（十五）资源勘探信息等支出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（十六）商业服务业等支出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（十七）金融支出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（十八）援助其他地区支出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（十九）自然资源海洋气象等支出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（二十）住房保障支出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（二十一）粮油物资储备支出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（二十二）国有资本经营收入安排支出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（二十三）灾害防治及应急管理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（二十四）预备费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（二十五）其他支出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（二十六）转移性支出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（二十七）债务还本支出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（二十八）债务付息支出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（二十九）债务发行费用支出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（三十）抗疫特别国债安排的支出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结转下年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AF34CF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收   入   总   计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515.87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支　出  总　计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F" w:rsidRPr="00AF34CF" w:rsidRDefault="00A34479" w:rsidP="00AF34CF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  <w:t>515.87</w:t>
            </w:r>
          </w:p>
        </w:tc>
      </w:tr>
      <w:tr w:rsidR="00AF34CF" w:rsidRPr="00AF34CF" w:rsidTr="00A34479">
        <w:trPr>
          <w:trHeight w:hRule="exact" w:val="284"/>
          <w:jc w:val="center"/>
        </w:trPr>
        <w:tc>
          <w:tcPr>
            <w:tcW w:w="2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AF34CF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注：本表反映部门各项收入、支出预算安排情况。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4CF" w:rsidRPr="00AF34CF" w:rsidRDefault="00AF34CF" w:rsidP="00AF34CF">
            <w:pPr>
              <w:widowControl/>
              <w:rPr>
                <w:color w:val="auto"/>
                <w:sz w:val="20"/>
                <w:szCs w:val="20"/>
                <w:lang w:eastAsia="zh-CN" w:bidi="ar-SA"/>
              </w:rPr>
            </w:pPr>
          </w:p>
        </w:tc>
      </w:tr>
    </w:tbl>
    <w:p w:rsidR="00421BAF" w:rsidRPr="00AF34CF" w:rsidRDefault="00421BAF">
      <w:pPr>
        <w:pStyle w:val="Heading210"/>
        <w:keepNext/>
        <w:keepLines/>
        <w:spacing w:after="140" w:line="240" w:lineRule="auto"/>
        <w:jc w:val="both"/>
        <w:rPr>
          <w:b/>
          <w:bCs/>
          <w:sz w:val="32"/>
          <w:szCs w:val="32"/>
          <w:lang w:val="en-US" w:eastAsia="zh-CN"/>
        </w:rPr>
        <w:sectPr w:rsidR="00421BAF" w:rsidRPr="00AF34CF">
          <w:pgSz w:w="11900" w:h="16840"/>
          <w:pgMar w:top="1531" w:right="1251" w:bottom="1602" w:left="1423" w:header="0" w:footer="3" w:gutter="0"/>
          <w:cols w:space="720"/>
          <w:titlePg/>
          <w:docGrid w:linePitch="360"/>
        </w:sectPr>
      </w:pPr>
    </w:p>
    <w:p w:rsidR="00421BAF" w:rsidRDefault="00E9673C">
      <w:pPr>
        <w:pStyle w:val="Other10"/>
        <w:tabs>
          <w:tab w:val="left" w:pos="11907"/>
        </w:tabs>
        <w:spacing w:after="160" w:line="240" w:lineRule="auto"/>
        <w:ind w:firstLine="0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2</w:t>
      </w:r>
    </w:p>
    <w:p w:rsidR="00421BAF" w:rsidRDefault="00E9673C">
      <w:pPr>
        <w:pStyle w:val="Other10"/>
        <w:spacing w:after="160" w:line="240" w:lineRule="auto"/>
        <w:ind w:firstLine="460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6"/>
          <w:szCs w:val="36"/>
          <w:lang w:eastAsia="zh-CN"/>
        </w:rPr>
        <w:t>北杨寨行管区</w:t>
      </w:r>
      <w:r>
        <w:rPr>
          <w:rFonts w:hint="eastAsia"/>
          <w:b/>
          <w:bCs/>
          <w:sz w:val="36"/>
          <w:szCs w:val="36"/>
          <w:lang w:eastAsia="zh-CN"/>
        </w:rPr>
        <w:t>202</w:t>
      </w:r>
      <w:r w:rsidR="00AF34CF">
        <w:rPr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  <w:lang w:eastAsia="zh-CN"/>
        </w:rPr>
        <w:t>年收入预算总表</w:t>
      </w:r>
    </w:p>
    <w:p w:rsidR="00421BAF" w:rsidRDefault="00E9673C">
      <w:pPr>
        <w:pStyle w:val="Bodytext40"/>
        <w:spacing w:after="80"/>
        <w:ind w:right="800" w:firstLine="0"/>
        <w:jc w:val="right"/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</w:t>
      </w:r>
      <w:r>
        <w:t>单位：万元</w:t>
      </w:r>
    </w:p>
    <w:tbl>
      <w:tblPr>
        <w:tblW w:w="14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102"/>
        <w:gridCol w:w="1486"/>
        <w:gridCol w:w="660"/>
        <w:gridCol w:w="1116"/>
        <w:gridCol w:w="852"/>
        <w:gridCol w:w="900"/>
        <w:gridCol w:w="504"/>
        <w:gridCol w:w="540"/>
        <w:gridCol w:w="808"/>
        <w:gridCol w:w="997"/>
        <w:gridCol w:w="1071"/>
        <w:gridCol w:w="1003"/>
        <w:gridCol w:w="685"/>
      </w:tblGrid>
      <w:tr w:rsidR="00421BAF" w:rsidTr="00926AC7">
        <w:trPr>
          <w:trHeight w:val="672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lang w:eastAsia="zh-CN" w:bidi="ar"/>
              </w:rPr>
              <w:t>功能分类科目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上年结转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一般公共预算拨款收入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政府性基金预算拨款收入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纳入专户管理的政府非税收入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国有资本经营预算拨款收入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其他收入</w:t>
            </w:r>
          </w:p>
        </w:tc>
      </w:tr>
      <w:tr w:rsidR="00421BAF" w:rsidTr="00926AC7">
        <w:trPr>
          <w:trHeight w:val="9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科目编码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科目名称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421BAF">
            <w:pPr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421BAF">
            <w:pPr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421BAF">
            <w:pPr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421BAF">
            <w:pPr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421BAF">
            <w:pPr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421BAF">
            <w:pPr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小计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事业收入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经营收入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上级补助收入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附属单位上缴收入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1BAF" w:rsidRDefault="00E96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eastAsia="zh-CN" w:bidi="ar"/>
              </w:rPr>
              <w:t>其他</w:t>
            </w: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widowControl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"/>
              </w:rPr>
              <w:t>合计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P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 w:rsidRPr="00C83BF6">
              <w:rPr>
                <w:rFonts w:cs="Arial" w:hint="eastAsia"/>
                <w:sz w:val="18"/>
                <w:szCs w:val="18"/>
              </w:rPr>
              <w:t>515.87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P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P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 w:rsidRPr="00C83BF6">
              <w:rPr>
                <w:rFonts w:cs="Arial" w:hint="eastAsia"/>
                <w:sz w:val="18"/>
                <w:szCs w:val="18"/>
              </w:rPr>
              <w:t>515.87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widowControl/>
              <w:rPr>
                <w:rFonts w:cs="Arial"/>
                <w:sz w:val="22"/>
                <w:szCs w:val="22"/>
                <w:lang w:eastAsia="zh-CN" w:bidi="ar-SA"/>
              </w:rPr>
            </w:pPr>
            <w:r>
              <w:rPr>
                <w:rFonts w:cs="Arial" w:hint="eastAsia"/>
                <w:sz w:val="22"/>
                <w:szCs w:val="22"/>
              </w:rPr>
              <w:t>201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一般公共服务支出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398.72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398.72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20103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政府办公厅（室）及相关机构事务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316.72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316.72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ind w:rightChars="-12" w:right="-29"/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2010301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行政运行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94.89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94.89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2010350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事业运行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221.84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221.84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20106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财政事务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82.00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82.00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2010601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行政运行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71.89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71.89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2010650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事业运行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10.11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10.11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61.50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61.50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20805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行政事业单位养老支出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61.50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61.50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2080505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41.00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2080506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机关事业单位职业年金缴费支出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20.50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20.50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卫生健康支出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24.91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24.91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21011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行政事业单位医疗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24.91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24.91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2101101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行政单位医疗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2101102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事业单位医疗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11.60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11.60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2101103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公务员医疗补助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2101199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其他行政事业单位医疗支出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4.08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221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住房保障支出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30.75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30.75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22102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住房改革支出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30.75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30.75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83BF6" w:rsidTr="00926AC7">
        <w:trPr>
          <w:trHeight w:hRule="exact" w:val="28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2210201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rPr>
                <w:rFonts w:cs="Arial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住房公积金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30.75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30.75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83BF6" w:rsidRDefault="00C83BF6" w:rsidP="00C83BF6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421BAF" w:rsidRDefault="00E9673C" w:rsidP="00926AC7">
      <w:pPr>
        <w:pStyle w:val="Other10"/>
        <w:spacing w:after="160" w:line="20" w:lineRule="exact"/>
        <w:ind w:firstLine="459"/>
        <w:jc w:val="center"/>
        <w:rPr>
          <w:b/>
          <w:bCs/>
          <w:sz w:val="36"/>
          <w:szCs w:val="36"/>
          <w:lang w:val="en-US" w:eastAsia="zh-CN"/>
        </w:rPr>
      </w:pPr>
      <w:r>
        <w:rPr>
          <w:rFonts w:hint="eastAsia"/>
        </w:rPr>
        <w:t xml:space="preserve">                                                                                                  </w:t>
      </w:r>
    </w:p>
    <w:p w:rsidR="00421BAF" w:rsidRDefault="00421BAF">
      <w:pPr>
        <w:pStyle w:val="Heading210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  <w:sectPr w:rsidR="00421BAF">
          <w:pgSz w:w="16840" w:h="11900" w:orient="landscape"/>
          <w:pgMar w:top="1423" w:right="1531" w:bottom="1251" w:left="1602" w:header="0" w:footer="3" w:gutter="0"/>
          <w:cols w:space="720"/>
          <w:titlePg/>
          <w:docGrid w:linePitch="360"/>
        </w:sectPr>
      </w:pPr>
    </w:p>
    <w:p w:rsidR="00421BAF" w:rsidRDefault="00E9673C">
      <w:pPr>
        <w:pStyle w:val="Heading210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3</w:t>
      </w:r>
    </w:p>
    <w:p w:rsidR="00421BAF" w:rsidRDefault="00E9673C">
      <w:pPr>
        <w:pStyle w:val="Heading210"/>
        <w:keepNext/>
        <w:keepLines/>
        <w:spacing w:after="14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4"/>
          <w:szCs w:val="34"/>
          <w:lang w:val="en-US" w:eastAsia="zh-CN" w:bidi="en-US"/>
        </w:rPr>
        <w:t>北杨寨行管区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年支出预算总表</w:t>
      </w:r>
      <w:bookmarkEnd w:id="35"/>
      <w:bookmarkEnd w:id="36"/>
      <w:bookmarkEnd w:id="37"/>
    </w:p>
    <w:p w:rsidR="00421BAF" w:rsidRDefault="00E9673C">
      <w:pPr>
        <w:pStyle w:val="Tablecaption10"/>
        <w:spacing w:line="240" w:lineRule="auto"/>
        <w:ind w:left="8093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2"/>
        <w:gridCol w:w="3421"/>
        <w:gridCol w:w="1513"/>
        <w:gridCol w:w="1515"/>
        <w:gridCol w:w="1515"/>
      </w:tblGrid>
      <w:tr w:rsidR="00926AC7" w:rsidRPr="00926AC7" w:rsidTr="00926AC7">
        <w:trPr>
          <w:trHeight w:val="540"/>
        </w:trPr>
        <w:tc>
          <w:tcPr>
            <w:tcW w:w="2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lang w:eastAsia="zh-CN" w:bidi="ar-SA"/>
              </w:rPr>
              <w:t>功能分类科目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合计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基本支出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项目支出</w:t>
            </w:r>
          </w:p>
        </w:tc>
      </w:tr>
      <w:tr w:rsidR="00926AC7" w:rsidRPr="00926AC7" w:rsidTr="00926AC7">
        <w:trPr>
          <w:trHeight w:val="540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科目编码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科目名称</w:t>
            </w:r>
          </w:p>
        </w:tc>
        <w:tc>
          <w:tcPr>
            <w:tcW w:w="8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一般公共服务支出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398.72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398.72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政府办公厅（室）及相关机构事务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316.72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316.72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2010301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行政运行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94.89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94.89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2010350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事业运行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221.84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221.84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20106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财政事务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82.00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82.00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2010601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行政运行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71.89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71.89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2010650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事业运行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10.11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10.11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208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社会保障和就业支出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20805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行政事业单位养老支出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2080505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机关事业单位基本养老保险缴费支出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41.00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41.00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2080506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机关事业单位职业年金缴费支出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20.50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20.50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卫生健康支出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行政事业单位医疗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2101101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行政单位医疗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4.80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4.80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2101102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事业单位医疗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11.60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11.60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2101103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公务员医疗补助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4.43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4.43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2101199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其他行政事业单位医疗支出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4.08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4.08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221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住房保障支出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22102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住房改革支出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926AC7" w:rsidRPr="00926AC7" w:rsidTr="00926AC7">
        <w:trPr>
          <w:trHeight w:hRule="exact" w:val="454"/>
        </w:trPr>
        <w:tc>
          <w:tcPr>
            <w:tcW w:w="6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2210201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住房公积金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</w:tbl>
    <w:p w:rsidR="00421BAF" w:rsidRDefault="00421BAF">
      <w:pPr>
        <w:sectPr w:rsidR="00421BAF">
          <w:pgSz w:w="11900" w:h="16840"/>
          <w:pgMar w:top="1531" w:right="1251" w:bottom="1602" w:left="1423" w:header="0" w:footer="3" w:gutter="0"/>
          <w:cols w:space="720"/>
          <w:titlePg/>
          <w:docGrid w:linePitch="360"/>
        </w:sectPr>
      </w:pPr>
    </w:p>
    <w:p w:rsidR="00421BAF" w:rsidRDefault="00E9673C">
      <w:pPr>
        <w:pStyle w:val="Heading210"/>
        <w:keepNext/>
        <w:keepLines/>
        <w:spacing w:after="200" w:line="240" w:lineRule="auto"/>
        <w:jc w:val="left"/>
        <w:rPr>
          <w:rFonts w:eastAsia="PMingLiU"/>
          <w:bCs/>
          <w:sz w:val="24"/>
          <w:szCs w:val="24"/>
        </w:rPr>
      </w:pPr>
      <w:bookmarkStart w:id="38" w:name="bookmark75"/>
      <w:bookmarkStart w:id="39" w:name="bookmark74"/>
      <w:bookmarkStart w:id="40" w:name="bookmark73"/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4</w:t>
      </w:r>
    </w:p>
    <w:p w:rsidR="00421BAF" w:rsidRDefault="00E9673C">
      <w:pPr>
        <w:pStyle w:val="Heading210"/>
        <w:keepNext/>
        <w:keepLines/>
        <w:spacing w:after="200" w:line="240" w:lineRule="auto"/>
        <w:jc w:val="lef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4"/>
          <w:szCs w:val="34"/>
          <w:lang w:val="en-US" w:eastAsia="zh-CN" w:bidi="en-US"/>
        </w:rPr>
        <w:t>北杨寨行管区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年财政拨款收支</w:t>
      </w:r>
      <w:bookmarkStart w:id="41" w:name="bookmark76"/>
      <w:bookmarkEnd w:id="38"/>
      <w:r>
        <w:rPr>
          <w:b/>
          <w:bCs/>
          <w:sz w:val="36"/>
          <w:szCs w:val="36"/>
        </w:rPr>
        <w:t>预算总表</w:t>
      </w:r>
      <w:bookmarkEnd w:id="39"/>
      <w:bookmarkEnd w:id="40"/>
      <w:bookmarkEnd w:id="41"/>
    </w:p>
    <w:p w:rsidR="00421BAF" w:rsidRDefault="00E9673C">
      <w:pPr>
        <w:pStyle w:val="Tablecaption10"/>
        <w:spacing w:line="240" w:lineRule="auto"/>
        <w:ind w:firstLine="0"/>
        <w:jc w:val="right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W w:w="5701" w:type="pct"/>
        <w:jc w:val="center"/>
        <w:tblLook w:val="04A0" w:firstRow="1" w:lastRow="0" w:firstColumn="1" w:lastColumn="0" w:noHBand="0" w:noVBand="1"/>
      </w:tblPr>
      <w:tblGrid>
        <w:gridCol w:w="2616"/>
        <w:gridCol w:w="879"/>
        <w:gridCol w:w="3618"/>
        <w:gridCol w:w="821"/>
        <w:gridCol w:w="851"/>
        <w:gridCol w:w="859"/>
        <w:gridCol w:w="27"/>
        <w:gridCol w:w="834"/>
      </w:tblGrid>
      <w:tr w:rsidR="00926AC7" w:rsidRPr="00926AC7" w:rsidTr="0010402D">
        <w:trPr>
          <w:trHeight w:val="405"/>
          <w:jc w:val="center"/>
        </w:trPr>
        <w:tc>
          <w:tcPr>
            <w:tcW w:w="1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 xml:space="preserve">收   入             </w:t>
            </w:r>
          </w:p>
        </w:tc>
        <w:tc>
          <w:tcPr>
            <w:tcW w:w="333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支  出</w:t>
            </w:r>
          </w:p>
        </w:tc>
      </w:tr>
      <w:tr w:rsidR="0010402D" w:rsidRPr="00926AC7" w:rsidTr="0010402D">
        <w:trPr>
          <w:trHeight w:val="945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项目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预算数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项目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合计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一般公共预算财政拨款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政府性基金预算财政拨款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0"/>
                <w:szCs w:val="20"/>
                <w:lang w:eastAsia="zh-CN" w:bidi="ar-SA"/>
              </w:rPr>
              <w:t>国有资本经营预算拨款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一、上年结转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一、本年支出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0.00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0.00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（一）一般公共预算拨款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（一）一般公共服务支出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398.72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398.72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（二）政府性基金预算拨款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（二）外交支出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二、本年收入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（三）国防支出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（一）一般公共预算拨款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（四）公共安全支出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经常收入拨款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（五）教育支出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国库管理非税收入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（六）科学技术支出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一般公共预算清算收入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（七）文化旅游体育与传媒支出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一般公共预算基数供给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（八）社会保障和就业支出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（二）政府性基金预算拨款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（九）社会保险基金支出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（十）卫生健康支出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（十一）节能环保支出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（十二）城乡社区支出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（十三）农林水支出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（十四）交通运输支出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（十五）资源勘探信息等支出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（十六）商业服务业等支出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（十七）金融支出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（十八）援助其他地区支出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（十九）自然资源海洋气象等支出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（二十）住房保障支出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（二十一）粮油物资储备支出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（二十二）国有资本经营收入安排支出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（二十三）灾害防治及应急管理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（二十四）预备费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（二十五）其他支出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（二十六）转移性支出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（二十七）债务还本支出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（二十八）债务付息支出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（二十九）债务发行费用支出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（三十）抗疫特别国债安排的支出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Calibri" w:eastAsia="宋体" w:hAnsi="Calibri" w:cs="Arial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结转下年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hRule="exact" w:val="284"/>
          <w:jc w:val="center"/>
        </w:trPr>
        <w:tc>
          <w:tcPr>
            <w:tcW w:w="1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收入总计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515.87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支出总计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  <w:t>515.87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10402D" w:rsidRPr="00926AC7" w:rsidTr="0010402D">
        <w:trPr>
          <w:trHeight w:val="375"/>
          <w:jc w:val="center"/>
        </w:trPr>
        <w:tc>
          <w:tcPr>
            <w:tcW w:w="3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926AC7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注：本表反映部门财政拨款收入、支出预算情况。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color w:val="auto"/>
                <w:sz w:val="20"/>
                <w:szCs w:val="20"/>
                <w:lang w:eastAsia="zh-CN" w:bidi="ar-S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7" w:rsidRPr="00926AC7" w:rsidRDefault="00926AC7" w:rsidP="00926AC7">
            <w:pPr>
              <w:widowControl/>
              <w:rPr>
                <w:color w:val="auto"/>
                <w:sz w:val="20"/>
                <w:szCs w:val="20"/>
                <w:lang w:eastAsia="zh-CN" w:bidi="ar-SA"/>
              </w:rPr>
            </w:pPr>
          </w:p>
        </w:tc>
      </w:tr>
    </w:tbl>
    <w:p w:rsidR="00421BAF" w:rsidRDefault="00421BAF">
      <w:pPr>
        <w:rPr>
          <w:lang w:eastAsia="zh-CN"/>
        </w:rPr>
        <w:sectPr w:rsidR="00421BAF" w:rsidSect="0010402D">
          <w:pgSz w:w="11900" w:h="16840"/>
          <w:pgMar w:top="1134" w:right="1242" w:bottom="1134" w:left="1435" w:header="0" w:footer="6" w:gutter="0"/>
          <w:cols w:space="720"/>
          <w:docGrid w:linePitch="360"/>
        </w:sectPr>
      </w:pPr>
    </w:p>
    <w:p w:rsidR="00421BAF" w:rsidRDefault="00E9673C">
      <w:pPr>
        <w:pStyle w:val="Heading210"/>
        <w:keepNext/>
        <w:keepLines/>
        <w:spacing w:after="200" w:line="240" w:lineRule="auto"/>
        <w:jc w:val="left"/>
        <w:rPr>
          <w:rFonts w:eastAsia="PMingLiU"/>
          <w:bCs/>
          <w:sz w:val="24"/>
          <w:szCs w:val="24"/>
        </w:rPr>
      </w:pPr>
      <w:bookmarkStart w:id="42" w:name="bookmark79"/>
      <w:bookmarkStart w:id="43" w:name="bookmark77"/>
      <w:bookmarkStart w:id="44" w:name="bookmark78"/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5</w:t>
      </w:r>
    </w:p>
    <w:p w:rsidR="00421BAF" w:rsidRDefault="00E9673C">
      <w:pPr>
        <w:pStyle w:val="Heading210"/>
        <w:keepNext/>
        <w:keepLines/>
        <w:spacing w:after="20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4"/>
          <w:szCs w:val="34"/>
          <w:lang w:val="en-US" w:eastAsia="zh-CN" w:bidi="en-US"/>
        </w:rPr>
        <w:t>北杨寨行管区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年一般公共预算</w:t>
      </w:r>
      <w:bookmarkEnd w:id="42"/>
    </w:p>
    <w:p w:rsidR="00421BAF" w:rsidRDefault="00E9673C">
      <w:pPr>
        <w:pStyle w:val="Heading210"/>
        <w:keepNext/>
        <w:keepLines/>
        <w:spacing w:after="200" w:line="240" w:lineRule="auto"/>
        <w:rPr>
          <w:sz w:val="36"/>
          <w:szCs w:val="36"/>
        </w:rPr>
      </w:pPr>
      <w:bookmarkStart w:id="45" w:name="bookmark80"/>
      <w:r>
        <w:rPr>
          <w:b/>
          <w:bCs/>
          <w:sz w:val="36"/>
          <w:szCs w:val="36"/>
        </w:rPr>
        <w:t>支出表</w:t>
      </w:r>
      <w:bookmarkEnd w:id="43"/>
      <w:bookmarkEnd w:id="44"/>
      <w:bookmarkEnd w:id="45"/>
    </w:p>
    <w:p w:rsidR="00421BAF" w:rsidRDefault="00E9673C" w:rsidP="001E75D9">
      <w:pPr>
        <w:pStyle w:val="Tablecaption10"/>
        <w:spacing w:line="240" w:lineRule="auto"/>
        <w:ind w:firstLine="0"/>
        <w:jc w:val="right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W w:w="5432" w:type="pct"/>
        <w:tblInd w:w="-289" w:type="dxa"/>
        <w:tblLook w:val="04A0" w:firstRow="1" w:lastRow="0" w:firstColumn="1" w:lastColumn="0" w:noHBand="0" w:noVBand="1"/>
      </w:tblPr>
      <w:tblGrid>
        <w:gridCol w:w="1391"/>
        <w:gridCol w:w="3572"/>
        <w:gridCol w:w="1418"/>
        <w:gridCol w:w="1275"/>
        <w:gridCol w:w="1275"/>
      </w:tblGrid>
      <w:tr w:rsidR="001E75D9" w:rsidRPr="001E75D9" w:rsidTr="001E75D9">
        <w:trPr>
          <w:trHeight w:val="420"/>
        </w:trPr>
        <w:tc>
          <w:tcPr>
            <w:tcW w:w="2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功能分类科目</w:t>
            </w:r>
          </w:p>
        </w:tc>
        <w:tc>
          <w:tcPr>
            <w:tcW w:w="222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预算数</w:t>
            </w:r>
          </w:p>
        </w:tc>
      </w:tr>
      <w:tr w:rsidR="001E75D9" w:rsidRPr="001E75D9" w:rsidTr="001E75D9">
        <w:trPr>
          <w:trHeight w:val="42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科目编码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科目名称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合计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基本支出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项目支出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合计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一般公共服务支出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398.72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398.72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政府办公厅（室）及相关机构事务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316.72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316.72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2010301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行政运行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94.89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94.89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2010350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事业运行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221.84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221.84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财政事务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82.00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82.00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2010601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行政运行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71.89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71.89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2010650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事业运行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10.11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10.11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社会保障和就业支出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20805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行政事业单位养老支出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61.50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2080505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机关事业单位基本养老保险缴费支出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41.00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41.00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2080506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机关事业单位职业年金缴费支出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20.50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20.50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卫生健康支出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行政事业单位医疗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24.91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行政单位医疗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2101102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事业单位医疗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11.60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11.60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2101103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公务员医疗补助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4.43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4.43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2101199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其他行政事业单位医疗支出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住房保障支出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22102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住房改革支出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1E75D9" w:rsidRPr="001E75D9" w:rsidTr="001E75D9">
        <w:trPr>
          <w:trHeight w:hRule="exact" w:val="340"/>
        </w:trPr>
        <w:tc>
          <w:tcPr>
            <w:tcW w:w="7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22"/>
                <w:szCs w:val="22"/>
                <w:lang w:eastAsia="zh-CN" w:bidi="ar-SA"/>
              </w:rPr>
              <w:t>2210201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住房公积金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</w:tr>
    </w:tbl>
    <w:p w:rsidR="00421BAF" w:rsidRDefault="00421BAF">
      <w:pPr>
        <w:sectPr w:rsidR="00421BAF" w:rsidSect="002A6806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2041" w:right="2234" w:bottom="2041" w:left="1435" w:header="0" w:footer="6" w:gutter="0"/>
          <w:cols w:space="720"/>
          <w:docGrid w:linePitch="360"/>
        </w:sectPr>
      </w:pPr>
    </w:p>
    <w:p w:rsidR="00421BAF" w:rsidRDefault="00E9673C">
      <w:pPr>
        <w:pStyle w:val="Heading210"/>
        <w:keepNext/>
        <w:keepLines/>
        <w:spacing w:after="300" w:line="643" w:lineRule="exact"/>
        <w:jc w:val="both"/>
        <w:rPr>
          <w:b/>
          <w:bCs/>
          <w:sz w:val="32"/>
          <w:szCs w:val="32"/>
          <w:lang w:eastAsia="zh-CN"/>
        </w:rPr>
      </w:pPr>
      <w:bookmarkStart w:id="46" w:name="bookmark82"/>
      <w:bookmarkStart w:id="47" w:name="bookmark83"/>
      <w:bookmarkStart w:id="48" w:name="bookmark81"/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6</w:t>
      </w:r>
    </w:p>
    <w:p w:rsidR="00421BAF" w:rsidRDefault="00E9673C" w:rsidP="001E75D9">
      <w:pPr>
        <w:pStyle w:val="Heading210"/>
        <w:keepNext/>
        <w:keepLines/>
        <w:spacing w:after="200" w:line="643" w:lineRule="exact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4"/>
          <w:szCs w:val="34"/>
          <w:lang w:val="en-US" w:eastAsia="zh-CN" w:bidi="en-US"/>
        </w:rPr>
        <w:t>北杨寨行管区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年一般公共预算</w:t>
      </w:r>
    </w:p>
    <w:p w:rsidR="00421BAF" w:rsidRDefault="00E9673C" w:rsidP="001E75D9">
      <w:pPr>
        <w:pStyle w:val="Heading210"/>
        <w:keepNext/>
        <w:keepLines/>
        <w:spacing w:after="200" w:line="643" w:lineRule="exact"/>
        <w:rPr>
          <w:sz w:val="36"/>
          <w:szCs w:val="36"/>
        </w:rPr>
      </w:pPr>
      <w:r>
        <w:rPr>
          <w:b/>
          <w:bCs/>
          <w:sz w:val="36"/>
          <w:szCs w:val="36"/>
        </w:rPr>
        <w:t>基本支出表</w:t>
      </w:r>
      <w:bookmarkEnd w:id="46"/>
      <w:bookmarkEnd w:id="47"/>
      <w:bookmarkEnd w:id="48"/>
    </w:p>
    <w:p w:rsidR="00421BAF" w:rsidRDefault="00E9673C" w:rsidP="001E75D9">
      <w:pPr>
        <w:pStyle w:val="Tablecaption10"/>
        <w:spacing w:line="240" w:lineRule="auto"/>
        <w:ind w:firstLine="0"/>
        <w:jc w:val="right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W w:w="5163" w:type="pct"/>
        <w:tblInd w:w="-289" w:type="dxa"/>
        <w:tblLook w:val="04A0" w:firstRow="1" w:lastRow="0" w:firstColumn="1" w:lastColumn="0" w:noHBand="0" w:noVBand="1"/>
      </w:tblPr>
      <w:tblGrid>
        <w:gridCol w:w="1853"/>
        <w:gridCol w:w="4527"/>
        <w:gridCol w:w="2747"/>
      </w:tblGrid>
      <w:tr w:rsidR="001E75D9" w:rsidRPr="001E75D9" w:rsidTr="001E75D9">
        <w:trPr>
          <w:trHeight w:val="420"/>
        </w:trPr>
        <w:tc>
          <w:tcPr>
            <w:tcW w:w="34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经济分类科目</w:t>
            </w:r>
          </w:p>
        </w:tc>
        <w:tc>
          <w:tcPr>
            <w:tcW w:w="1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预算数</w:t>
            </w:r>
          </w:p>
        </w:tc>
      </w:tr>
      <w:tr w:rsidR="001E75D9" w:rsidRPr="001E75D9" w:rsidTr="001E75D9">
        <w:trPr>
          <w:trHeight w:val="420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科目编码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center"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b/>
                <w:bCs/>
                <w:sz w:val="22"/>
                <w:szCs w:val="22"/>
                <w:lang w:eastAsia="zh-CN" w:bidi="ar-SA"/>
              </w:rPr>
              <w:t>科目名称</w:t>
            </w:r>
          </w:p>
        </w:tc>
        <w:tc>
          <w:tcPr>
            <w:tcW w:w="1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b/>
                <w:bCs/>
                <w:sz w:val="22"/>
                <w:szCs w:val="22"/>
                <w:lang w:eastAsia="zh-CN" w:bidi="ar-SA"/>
              </w:rPr>
            </w:pP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合计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515.87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工资福利支出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409.80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30101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基本工资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162.69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30102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津贴补贴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7.69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30102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津贴补贴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45.16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30103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奖金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4.00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30107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绩效工资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26.03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30107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绩效工资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44.04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30108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机关事业单位基本养老保险缴费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41.00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30109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职业年金缴费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20.50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30110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职工基本医疗保险缴费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16.40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30111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公务员医疗补助缴费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5.12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30112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其他社会保障缴费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0.91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30112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其他社会保障缴费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0.51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30113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住房公积金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30.75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30199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其他工资福利支出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5.01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商品和服务支出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51.74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30201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办公费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25.90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30205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水费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0.50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30206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电费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1.00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30207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邮电费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1.00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30211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差旅费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0.50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30228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工会经费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2.05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30228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工会经费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3.07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30229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福利费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0.01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30231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公务用车运行维护费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12.50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30239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其他交通费用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3.05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30299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其他商品和服务支出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0.06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30299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其他商品和服务支出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2.10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对个人和家庭的补助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54.34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30301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离休费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4.13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30301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离休费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0.19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30301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离休费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6.10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30302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退休费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5.08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30302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退休费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22.92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30305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生活补助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12.50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30307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医疗费补助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3.38</w:t>
            </w:r>
          </w:p>
        </w:tc>
      </w:tr>
      <w:tr w:rsidR="001E75D9" w:rsidRPr="001E75D9" w:rsidTr="001E75D9">
        <w:trPr>
          <w:trHeight w:hRule="exact" w:val="284"/>
        </w:trPr>
        <w:tc>
          <w:tcPr>
            <w:tcW w:w="10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30399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其他对个人和家庭的补助支出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5D9" w:rsidRPr="001E75D9" w:rsidRDefault="001E75D9" w:rsidP="001E75D9">
            <w:pPr>
              <w:widowControl/>
              <w:jc w:val="right"/>
              <w:rPr>
                <w:rFonts w:ascii="宋体" w:eastAsia="宋体" w:hAnsi="宋体" w:cs="Arial"/>
                <w:sz w:val="18"/>
                <w:szCs w:val="18"/>
                <w:lang w:eastAsia="zh-CN" w:bidi="ar-SA"/>
              </w:rPr>
            </w:pPr>
            <w:r w:rsidRPr="001E75D9">
              <w:rPr>
                <w:rFonts w:ascii="宋体" w:eastAsia="宋体" w:hAnsi="宋体" w:cs="Arial" w:hint="eastAsia"/>
                <w:sz w:val="18"/>
                <w:szCs w:val="18"/>
                <w:lang w:eastAsia="zh-CN" w:bidi="ar-SA"/>
              </w:rPr>
              <w:t>0.04</w:t>
            </w:r>
          </w:p>
        </w:tc>
      </w:tr>
    </w:tbl>
    <w:p w:rsidR="00421BAF" w:rsidRDefault="00421BAF">
      <w:pPr>
        <w:sectPr w:rsidR="00421BAF" w:rsidSect="001E75D9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/>
          <w:pgMar w:top="1134" w:right="1622" w:bottom="1134" w:left="1429" w:header="0" w:footer="6" w:gutter="0"/>
          <w:pgNumType w:start="6"/>
          <w:cols w:space="720"/>
          <w:docGrid w:linePitch="360"/>
        </w:sectPr>
      </w:pPr>
    </w:p>
    <w:p w:rsidR="00421BAF" w:rsidRDefault="00E9673C">
      <w:pPr>
        <w:pStyle w:val="Heading210"/>
        <w:keepNext/>
        <w:keepLines/>
        <w:spacing w:after="280" w:line="648" w:lineRule="exact"/>
        <w:jc w:val="left"/>
        <w:rPr>
          <w:rFonts w:eastAsia="PMingLiU"/>
          <w:bCs/>
          <w:sz w:val="24"/>
          <w:szCs w:val="24"/>
        </w:rPr>
      </w:pPr>
      <w:bookmarkStart w:id="49" w:name="bookmark85"/>
      <w:bookmarkStart w:id="50" w:name="bookmark84"/>
      <w:bookmarkStart w:id="51" w:name="bookmark86"/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7</w:t>
      </w:r>
    </w:p>
    <w:p w:rsidR="00421BAF" w:rsidRDefault="00E9673C">
      <w:pPr>
        <w:pStyle w:val="Heading210"/>
        <w:keepNext/>
        <w:keepLines/>
        <w:spacing w:after="280" w:line="648" w:lineRule="exact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4"/>
          <w:szCs w:val="34"/>
          <w:lang w:val="en-US" w:eastAsia="zh-CN" w:bidi="en-US"/>
        </w:rPr>
        <w:t>北杨寨行管区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年政府性基金</w:t>
      </w:r>
    </w:p>
    <w:p w:rsidR="00421BAF" w:rsidRDefault="00E9673C">
      <w:pPr>
        <w:pStyle w:val="Heading210"/>
        <w:keepNext/>
        <w:keepLines/>
        <w:spacing w:after="280" w:line="648" w:lineRule="exact"/>
        <w:rPr>
          <w:sz w:val="36"/>
          <w:szCs w:val="36"/>
        </w:rPr>
      </w:pPr>
      <w:r>
        <w:rPr>
          <w:b/>
          <w:bCs/>
          <w:sz w:val="36"/>
          <w:szCs w:val="36"/>
        </w:rPr>
        <w:t>预算支出表</w:t>
      </w:r>
      <w:bookmarkEnd w:id="49"/>
      <w:bookmarkEnd w:id="50"/>
      <w:bookmarkEnd w:id="51"/>
    </w:p>
    <w:p w:rsidR="00421BAF" w:rsidRDefault="00E9673C">
      <w:pPr>
        <w:pStyle w:val="Tablecaption10"/>
        <w:spacing w:line="240" w:lineRule="auto"/>
        <w:ind w:left="7507" w:firstLine="0"/>
        <w:rPr>
          <w:sz w:val="22"/>
          <w:szCs w:val="22"/>
        </w:rPr>
      </w:pPr>
      <w:r>
        <w:rPr>
          <w:sz w:val="22"/>
          <w:szCs w:val="22"/>
        </w:rPr>
        <w:t>单位:万元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2755"/>
        <w:gridCol w:w="1378"/>
        <w:gridCol w:w="1378"/>
        <w:gridCol w:w="1382"/>
      </w:tblGrid>
      <w:tr w:rsidR="00421BAF">
        <w:trPr>
          <w:trHeight w:hRule="exact" w:val="638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本年政府性基金财政拨款支出</w:t>
            </w:r>
          </w:p>
        </w:tc>
      </w:tr>
      <w:tr w:rsidR="00421BAF">
        <w:trPr>
          <w:trHeight w:hRule="exact" w:val="634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>
            <w:pPr>
              <w:rPr>
                <w:lang w:eastAsia="zh-CN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>
            <w:pPr>
              <w:rPr>
                <w:lang w:eastAsia="zh-C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 w:rsidR="00421BAF">
        <w:trPr>
          <w:trHeight w:hRule="exact" w:val="42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</w:tr>
    </w:tbl>
    <w:p w:rsidR="00421BAF" w:rsidRPr="00A209CC" w:rsidRDefault="00E9673C">
      <w:pPr>
        <w:pStyle w:val="Bodytext20"/>
        <w:spacing w:line="624" w:lineRule="exact"/>
        <w:ind w:firstLine="0"/>
        <w:rPr>
          <w:rFonts w:cs="Arial"/>
          <w:sz w:val="22"/>
          <w:szCs w:val="22"/>
          <w:lang w:val="en-US" w:eastAsia="zh-CN" w:bidi="ar-SA"/>
        </w:rPr>
        <w:sectPr w:rsidR="00421BAF" w:rsidRPr="00A209CC">
          <w:pgSz w:w="11900" w:h="16840"/>
          <w:pgMar w:top="3174" w:right="1621" w:bottom="3174" w:left="1429" w:header="0" w:footer="3" w:gutter="0"/>
          <w:cols w:space="720"/>
          <w:docGrid w:linePitch="360"/>
        </w:sectPr>
      </w:pPr>
      <w:r w:rsidRPr="00A209CC">
        <w:rPr>
          <w:rFonts w:cs="Arial"/>
          <w:sz w:val="22"/>
          <w:szCs w:val="22"/>
          <w:lang w:val="en-US" w:eastAsia="zh-CN" w:bidi="ar-SA"/>
        </w:rPr>
        <w:t>注:</w:t>
      </w:r>
      <w:r w:rsidR="00465963" w:rsidRPr="00A209CC">
        <w:rPr>
          <w:rFonts w:cs="Arial"/>
          <w:sz w:val="22"/>
          <w:szCs w:val="22"/>
          <w:lang w:val="en-US" w:eastAsia="zh-CN" w:bidi="ar-SA"/>
        </w:rPr>
        <w:t xml:space="preserve"> </w:t>
      </w:r>
      <w:r w:rsidRPr="00A209CC">
        <w:rPr>
          <w:rFonts w:cs="Arial" w:hint="eastAsia"/>
          <w:sz w:val="22"/>
          <w:szCs w:val="22"/>
          <w:lang w:val="en-US" w:eastAsia="zh-CN" w:bidi="ar-SA"/>
        </w:rPr>
        <w:t>埇桥区</w:t>
      </w:r>
      <w:r w:rsidR="004E626A" w:rsidRPr="00A209CC">
        <w:rPr>
          <w:rFonts w:cs="Arial" w:hint="eastAsia"/>
          <w:sz w:val="22"/>
          <w:szCs w:val="22"/>
          <w:lang w:val="en-US" w:eastAsia="zh-CN" w:bidi="ar-SA"/>
        </w:rPr>
        <w:t>北杨寨行管区</w:t>
      </w:r>
      <w:r w:rsidRPr="00A209CC">
        <w:rPr>
          <w:rFonts w:cs="Arial"/>
          <w:sz w:val="22"/>
          <w:szCs w:val="22"/>
          <w:lang w:val="en-US" w:eastAsia="zh-CN" w:bidi="ar-SA"/>
        </w:rPr>
        <w:t>没有政府性基金预算拨款收入，也没有政府性基金预算拨款安排的支出，故本表无数据。</w:t>
      </w:r>
    </w:p>
    <w:p w:rsidR="00421BAF" w:rsidRDefault="00E9673C">
      <w:pPr>
        <w:pStyle w:val="Heading210"/>
        <w:keepNext/>
        <w:keepLines/>
        <w:spacing w:after="180" w:line="240" w:lineRule="auto"/>
        <w:jc w:val="left"/>
        <w:rPr>
          <w:rFonts w:eastAsia="PMingLiU"/>
          <w:bCs/>
          <w:sz w:val="24"/>
          <w:szCs w:val="24"/>
        </w:rPr>
      </w:pPr>
      <w:bookmarkStart w:id="52" w:name="bookmark89"/>
      <w:bookmarkStart w:id="53" w:name="bookmark88"/>
      <w:bookmarkStart w:id="54" w:name="bookmark87"/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8</w:t>
      </w:r>
    </w:p>
    <w:p w:rsidR="00421BAF" w:rsidRDefault="00E9673C">
      <w:pPr>
        <w:pStyle w:val="Heading210"/>
        <w:keepNext/>
        <w:keepLines/>
        <w:spacing w:after="18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4"/>
          <w:szCs w:val="34"/>
          <w:lang w:val="en-US" w:eastAsia="zh-CN" w:bidi="en-US"/>
        </w:rPr>
        <w:t>北杨寨行管区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2021</w:t>
      </w:r>
      <w:r>
        <w:rPr>
          <w:b/>
          <w:bCs/>
          <w:sz w:val="36"/>
          <w:szCs w:val="36"/>
        </w:rPr>
        <w:t>年国有资本经营</w:t>
      </w:r>
      <w:bookmarkEnd w:id="52"/>
    </w:p>
    <w:p w:rsidR="00421BAF" w:rsidRDefault="00E9673C">
      <w:pPr>
        <w:pStyle w:val="Heading210"/>
        <w:keepNext/>
        <w:keepLines/>
        <w:spacing w:after="180" w:line="240" w:lineRule="auto"/>
        <w:rPr>
          <w:sz w:val="36"/>
          <w:szCs w:val="36"/>
        </w:rPr>
      </w:pPr>
      <w:bookmarkStart w:id="55" w:name="bookmark90"/>
      <w:r>
        <w:rPr>
          <w:b/>
          <w:bCs/>
          <w:sz w:val="36"/>
          <w:szCs w:val="36"/>
        </w:rPr>
        <w:t>支出表</w:t>
      </w:r>
      <w:bookmarkEnd w:id="53"/>
      <w:bookmarkEnd w:id="54"/>
      <w:bookmarkEnd w:id="55"/>
    </w:p>
    <w:p w:rsidR="00421BAF" w:rsidRDefault="00E9673C">
      <w:pPr>
        <w:pStyle w:val="Tablecaption10"/>
        <w:spacing w:line="240" w:lineRule="auto"/>
        <w:ind w:left="7603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2501"/>
        <w:gridCol w:w="1238"/>
        <w:gridCol w:w="1238"/>
        <w:gridCol w:w="1248"/>
      </w:tblGrid>
      <w:tr w:rsidR="00421BAF">
        <w:trPr>
          <w:trHeight w:hRule="exact" w:val="638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国有资本经营预算财政拨款支出</w:t>
            </w:r>
          </w:p>
        </w:tc>
      </w:tr>
      <w:tr w:rsidR="00421BAF">
        <w:trPr>
          <w:trHeight w:hRule="exact" w:val="638"/>
          <w:jc w:val="center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>
            <w:pPr>
              <w:rPr>
                <w:lang w:eastAsia="zh-CN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>
            <w:pPr>
              <w:rPr>
                <w:lang w:eastAsia="zh-C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 w:rsidR="00421BAF">
        <w:trPr>
          <w:trHeight w:hRule="exact" w:val="638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</w:tr>
    </w:tbl>
    <w:p w:rsidR="00421BAF" w:rsidRPr="00B103A0" w:rsidRDefault="00E9673C" w:rsidP="00B103A0">
      <w:pPr>
        <w:pStyle w:val="Bodytext20"/>
        <w:spacing w:line="619" w:lineRule="exact"/>
        <w:ind w:firstLine="0"/>
        <w:rPr>
          <w:rFonts w:cs="Arial"/>
          <w:sz w:val="22"/>
          <w:szCs w:val="22"/>
          <w:lang w:val="en-US" w:eastAsia="zh-CN" w:bidi="ar-SA"/>
        </w:rPr>
        <w:sectPr w:rsidR="00421BAF" w:rsidRPr="00B103A0">
          <w:pgSz w:w="11900" w:h="16840"/>
          <w:pgMar w:top="2847" w:right="1539" w:bottom="2847" w:left="1414" w:header="0" w:footer="3" w:gutter="0"/>
          <w:cols w:space="720"/>
          <w:docGrid w:linePitch="360"/>
        </w:sectPr>
      </w:pPr>
      <w:r w:rsidRPr="00B103A0">
        <w:rPr>
          <w:rFonts w:cs="Arial"/>
          <w:sz w:val="22"/>
          <w:szCs w:val="22"/>
          <w:lang w:val="en-US" w:eastAsia="zh-CN" w:bidi="ar-SA"/>
        </w:rPr>
        <w:t>注:</w:t>
      </w:r>
      <w:r w:rsidRPr="00B103A0">
        <w:rPr>
          <w:rFonts w:cs="Arial" w:hint="eastAsia"/>
          <w:sz w:val="22"/>
          <w:szCs w:val="22"/>
          <w:lang w:val="en-US" w:eastAsia="zh-CN" w:bidi="ar-SA"/>
        </w:rPr>
        <w:t>埇桥区</w:t>
      </w:r>
      <w:r w:rsidR="004E626A" w:rsidRPr="00B103A0">
        <w:rPr>
          <w:rFonts w:cs="Arial" w:hint="eastAsia"/>
          <w:sz w:val="22"/>
          <w:szCs w:val="22"/>
          <w:lang w:val="en-US" w:eastAsia="zh-CN" w:bidi="ar-SA"/>
        </w:rPr>
        <w:t>北杨寨行管区</w:t>
      </w:r>
      <w:r w:rsidRPr="00B103A0">
        <w:rPr>
          <w:rFonts w:cs="Arial"/>
          <w:sz w:val="22"/>
          <w:szCs w:val="22"/>
          <w:lang w:val="en-US" w:eastAsia="zh-CN" w:bidi="ar-SA"/>
        </w:rPr>
        <w:t>没有国有资本经营预算拨款收入，也没有国有资本经营预算拨款安排的支出，故本表无数据。</w:t>
      </w:r>
    </w:p>
    <w:p w:rsidR="00421BAF" w:rsidRDefault="00E9673C">
      <w:pPr>
        <w:pStyle w:val="Heading210"/>
        <w:keepNext/>
        <w:keepLines/>
        <w:spacing w:after="180" w:line="240" w:lineRule="auto"/>
        <w:jc w:val="left"/>
        <w:rPr>
          <w:rFonts w:eastAsia="PMingLiU"/>
          <w:bCs/>
          <w:sz w:val="24"/>
          <w:szCs w:val="24"/>
        </w:rPr>
      </w:pPr>
      <w:bookmarkStart w:id="56" w:name="bookmark91"/>
      <w:bookmarkStart w:id="57" w:name="bookmark93"/>
      <w:bookmarkStart w:id="58" w:name="bookmark92"/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9</w:t>
      </w:r>
    </w:p>
    <w:p w:rsidR="00421BAF" w:rsidRDefault="00E9673C">
      <w:pPr>
        <w:pStyle w:val="Heading210"/>
        <w:keepNext/>
        <w:keepLines/>
        <w:spacing w:after="180" w:line="240" w:lineRule="auto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6"/>
          <w:szCs w:val="36"/>
          <w:lang w:val="en-US" w:eastAsia="zh-CN"/>
        </w:rPr>
        <w:t>北杨寨行管区</w:t>
      </w:r>
      <w:r>
        <w:rPr>
          <w:rFonts w:hint="eastAsia"/>
          <w:b/>
          <w:bCs/>
          <w:sz w:val="36"/>
          <w:szCs w:val="36"/>
          <w:lang w:eastAsia="zh-CN"/>
        </w:rPr>
        <w:t>2022年项目支出表</w:t>
      </w:r>
      <w:bookmarkEnd w:id="56"/>
      <w:bookmarkEnd w:id="57"/>
      <w:bookmarkEnd w:id="58"/>
    </w:p>
    <w:p w:rsidR="00421BAF" w:rsidRDefault="00E9673C">
      <w:pPr>
        <w:pStyle w:val="Tablecaption10"/>
        <w:spacing w:line="240" w:lineRule="auto"/>
        <w:ind w:firstLineChars="4061" w:firstLine="7716"/>
        <w:rPr>
          <w:sz w:val="19"/>
          <w:szCs w:val="19"/>
        </w:rPr>
      </w:pPr>
      <w:r>
        <w:rPr>
          <w:sz w:val="19"/>
          <w:szCs w:val="19"/>
        </w:rPr>
        <w:t>单位:万元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63"/>
        <w:gridCol w:w="571"/>
        <w:gridCol w:w="571"/>
        <w:gridCol w:w="566"/>
        <w:gridCol w:w="571"/>
        <w:gridCol w:w="571"/>
        <w:gridCol w:w="571"/>
        <w:gridCol w:w="571"/>
        <w:gridCol w:w="557"/>
        <w:gridCol w:w="552"/>
        <w:gridCol w:w="662"/>
        <w:gridCol w:w="850"/>
      </w:tblGrid>
      <w:tr w:rsidR="00421BAF">
        <w:trPr>
          <w:trHeight w:hRule="exact" w:val="638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项目名称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36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 单位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</w:t>
            </w:r>
          </w:p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计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本年财政拨款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AF" w:rsidRDefault="00E9673C">
            <w:pPr>
              <w:pStyle w:val="Other10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财政拨款结转结 余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2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 政 专 户 管 理 资 金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09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 位 资 金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上级 转移 支付</w:t>
            </w:r>
          </w:p>
          <w:p w:rsidR="00421BAF" w:rsidRDefault="00E9673C">
            <w:pPr>
              <w:pStyle w:val="Other10"/>
              <w:spacing w:line="314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（提 前下 达一 般公 共预 算）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09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上级转 移支付</w:t>
            </w:r>
          </w:p>
          <w:p w:rsidR="00421BAF" w:rsidRDefault="00E9673C">
            <w:pPr>
              <w:pStyle w:val="Other10"/>
              <w:spacing w:line="309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（提前 下达政 府性基</w:t>
            </w:r>
          </w:p>
          <w:p w:rsidR="00421BAF" w:rsidRDefault="00E9673C">
            <w:pPr>
              <w:pStyle w:val="Other10"/>
              <w:spacing w:line="309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金）</w:t>
            </w:r>
          </w:p>
        </w:tc>
      </w:tr>
      <w:tr w:rsidR="00421BAF">
        <w:trPr>
          <w:trHeight w:hRule="exact" w:val="2506"/>
          <w:jc w:val="center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般 公 共 预 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性 基 金 预 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AF" w:rsidRDefault="00E9673C">
            <w:pPr>
              <w:pStyle w:val="Other10"/>
              <w:spacing w:line="311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收 入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般 公 共 预 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性 基 金 预 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AF" w:rsidRDefault="00E9673C">
            <w:pPr>
              <w:pStyle w:val="Other10"/>
              <w:spacing w:line="311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收 入</w:t>
            </w: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/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/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421BAF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AF" w:rsidRDefault="00421BAF"/>
        </w:tc>
      </w:tr>
      <w:tr w:rsidR="00421BAF">
        <w:trPr>
          <w:trHeight w:hRule="exact" w:val="64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</w:tr>
    </w:tbl>
    <w:p w:rsidR="00421BAF" w:rsidRDefault="00421BAF">
      <w:pPr>
        <w:spacing w:after="199" w:line="1" w:lineRule="exact"/>
      </w:pPr>
    </w:p>
    <w:p w:rsidR="00421BAF" w:rsidRPr="00B103A0" w:rsidRDefault="00E9673C" w:rsidP="00B103A0">
      <w:pPr>
        <w:pStyle w:val="Bodytext20"/>
        <w:spacing w:after="260" w:line="240" w:lineRule="auto"/>
        <w:ind w:firstLine="0"/>
        <w:rPr>
          <w:rFonts w:cs="Arial"/>
          <w:sz w:val="22"/>
          <w:szCs w:val="22"/>
          <w:lang w:val="en-US" w:eastAsia="zh-CN" w:bidi="ar-SA"/>
        </w:rPr>
        <w:sectPr w:rsidR="00421BAF" w:rsidRPr="00B103A0" w:rsidSect="002A6806">
          <w:headerReference w:type="even" r:id="rId26"/>
          <w:headerReference w:type="default" r:id="rId27"/>
          <w:footerReference w:type="even" r:id="rId28"/>
          <w:footerReference w:type="default" r:id="rId29"/>
          <w:pgSz w:w="11900" w:h="16840"/>
          <w:pgMar w:top="2041" w:right="1480" w:bottom="2041" w:left="1429" w:header="0" w:footer="6" w:gutter="0"/>
          <w:cols w:space="720"/>
          <w:docGrid w:linePitch="360"/>
        </w:sectPr>
      </w:pPr>
      <w:r w:rsidRPr="00B103A0">
        <w:rPr>
          <w:rFonts w:cs="Arial"/>
          <w:sz w:val="22"/>
          <w:szCs w:val="22"/>
          <w:lang w:val="en-US" w:eastAsia="zh-CN" w:bidi="ar-SA"/>
        </w:rPr>
        <w:t>注:宿州市</w:t>
      </w:r>
      <w:r w:rsidR="004E626A" w:rsidRPr="00B103A0">
        <w:rPr>
          <w:rFonts w:cs="Arial" w:hint="eastAsia"/>
          <w:sz w:val="22"/>
          <w:szCs w:val="22"/>
          <w:lang w:val="en-US" w:eastAsia="zh-CN" w:bidi="ar-SA"/>
        </w:rPr>
        <w:t>北杨寨行管区</w:t>
      </w:r>
      <w:r w:rsidRPr="00B103A0">
        <w:rPr>
          <w:rFonts w:cs="Arial"/>
          <w:sz w:val="22"/>
          <w:szCs w:val="22"/>
          <w:lang w:val="en-US" w:eastAsia="zh-CN" w:bidi="ar-SA"/>
        </w:rPr>
        <w:t>没有使用一般公共预算拨款、政府性基金预算拨款、国有资本经营预算拨款、财政专户管理资金和单位资金安排的项目支出, 故本表无数据”。</w:t>
      </w:r>
    </w:p>
    <w:p w:rsidR="00421BAF" w:rsidRDefault="00E9673C">
      <w:pPr>
        <w:pStyle w:val="Heading210"/>
        <w:keepNext/>
        <w:keepLines/>
        <w:spacing w:after="300" w:line="648" w:lineRule="exact"/>
        <w:jc w:val="left"/>
        <w:rPr>
          <w:rFonts w:eastAsia="PMingLiU"/>
          <w:bCs/>
          <w:sz w:val="24"/>
          <w:szCs w:val="24"/>
        </w:rPr>
      </w:pPr>
      <w:bookmarkStart w:id="59" w:name="bookmark94"/>
      <w:bookmarkStart w:id="60" w:name="bookmark96"/>
      <w:bookmarkStart w:id="61" w:name="bookmark95"/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10</w:t>
      </w:r>
    </w:p>
    <w:p w:rsidR="00421BAF" w:rsidRDefault="00E9673C">
      <w:pPr>
        <w:pStyle w:val="Heading210"/>
        <w:keepNext/>
        <w:keepLines/>
        <w:spacing w:after="300" w:line="648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4"/>
          <w:szCs w:val="34"/>
          <w:lang w:val="en-US" w:eastAsia="zh-CN" w:bidi="en-US"/>
        </w:rPr>
        <w:t>北杨寨行管区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年部门政府采购</w:t>
      </w:r>
    </w:p>
    <w:p w:rsidR="00421BAF" w:rsidRDefault="00E9673C">
      <w:pPr>
        <w:pStyle w:val="Heading210"/>
        <w:keepNext/>
        <w:keepLines/>
        <w:spacing w:after="300" w:line="648" w:lineRule="exact"/>
        <w:rPr>
          <w:sz w:val="36"/>
          <w:szCs w:val="36"/>
        </w:rPr>
      </w:pPr>
      <w:r>
        <w:rPr>
          <w:b/>
          <w:bCs/>
          <w:sz w:val="36"/>
          <w:szCs w:val="36"/>
        </w:rPr>
        <w:t>支出表</w:t>
      </w:r>
      <w:bookmarkEnd w:id="59"/>
      <w:bookmarkEnd w:id="60"/>
      <w:bookmarkEnd w:id="61"/>
    </w:p>
    <w:p w:rsidR="00421BAF" w:rsidRDefault="00E9673C">
      <w:pPr>
        <w:pStyle w:val="Tablecaption10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734"/>
        <w:gridCol w:w="730"/>
        <w:gridCol w:w="734"/>
        <w:gridCol w:w="730"/>
        <w:gridCol w:w="734"/>
        <w:gridCol w:w="730"/>
        <w:gridCol w:w="1354"/>
      </w:tblGrid>
      <w:tr w:rsidR="00421BAF">
        <w:trPr>
          <w:trHeight w:hRule="exact" w:val="16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0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单位</w:t>
            </w:r>
            <w:r>
              <w:rPr>
                <w:sz w:val="19"/>
                <w:szCs w:val="19"/>
                <w:lang w:val="zh-CN" w:eastAsia="zh-CN" w:bidi="zh-CN"/>
              </w:rPr>
              <w:t>/支</w:t>
            </w:r>
            <w:r>
              <w:rPr>
                <w:sz w:val="19"/>
                <w:szCs w:val="19"/>
              </w:rPr>
              <w:t>出项目/政府 采购品目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 公共 预算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2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 性基 金预 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0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国有 资本 经营 预算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06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社会 保险 基金 预算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09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财政 专户 管理 资金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单位资金</w:t>
            </w:r>
          </w:p>
        </w:tc>
      </w:tr>
      <w:tr w:rsidR="00421BAF">
        <w:trPr>
          <w:trHeight w:hRule="exact" w:val="65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</w:tr>
    </w:tbl>
    <w:p w:rsidR="00421BAF" w:rsidRPr="00B103A0" w:rsidRDefault="00E9673C">
      <w:pPr>
        <w:pStyle w:val="Bodytext20"/>
        <w:spacing w:after="160" w:line="605" w:lineRule="exact"/>
        <w:ind w:firstLine="0"/>
        <w:rPr>
          <w:rFonts w:cs="Arial"/>
          <w:sz w:val="22"/>
          <w:szCs w:val="22"/>
          <w:lang w:val="en-US" w:eastAsia="zh-CN" w:bidi="ar-SA"/>
        </w:rPr>
        <w:sectPr w:rsidR="00421BAF" w:rsidRPr="00B103A0">
          <w:headerReference w:type="even" r:id="rId30"/>
          <w:headerReference w:type="default" r:id="rId31"/>
          <w:footerReference w:type="even" r:id="rId32"/>
          <w:footerReference w:type="default" r:id="rId33"/>
          <w:pgSz w:w="11900" w:h="16840"/>
          <w:pgMar w:top="2857" w:right="1620" w:bottom="2857" w:left="1419" w:header="0" w:footer="3" w:gutter="0"/>
          <w:pgNumType w:start="21"/>
          <w:cols w:space="720"/>
          <w:docGrid w:linePitch="360"/>
        </w:sectPr>
      </w:pPr>
      <w:r w:rsidRPr="00B103A0">
        <w:rPr>
          <w:rFonts w:cs="Arial"/>
          <w:sz w:val="22"/>
          <w:szCs w:val="22"/>
          <w:lang w:val="en-US" w:eastAsia="zh-CN" w:bidi="ar-SA"/>
        </w:rPr>
        <w:t>注:</w:t>
      </w:r>
      <w:r w:rsidR="00B103A0" w:rsidRPr="00B103A0">
        <w:rPr>
          <w:rFonts w:cs="Arial" w:hint="eastAsia"/>
          <w:sz w:val="22"/>
          <w:szCs w:val="22"/>
          <w:lang w:val="en-US" w:eastAsia="zh-CN" w:bidi="ar-SA"/>
        </w:rPr>
        <w:t>埇桥区</w:t>
      </w:r>
      <w:r w:rsidR="004E626A" w:rsidRPr="00B103A0">
        <w:rPr>
          <w:rFonts w:cs="Arial" w:hint="eastAsia"/>
          <w:sz w:val="22"/>
          <w:szCs w:val="22"/>
          <w:lang w:val="en-US" w:eastAsia="zh-CN" w:bidi="ar-SA"/>
        </w:rPr>
        <w:t>北杨寨行管区</w:t>
      </w:r>
      <w:r w:rsidRPr="00B103A0">
        <w:rPr>
          <w:rFonts w:cs="Arial"/>
          <w:sz w:val="22"/>
          <w:szCs w:val="22"/>
          <w:lang w:val="en-US" w:eastAsia="zh-CN" w:bidi="ar-SA"/>
        </w:rPr>
        <w:t>没有使用一般公共预算拨款、政府性基金预算拨款、国有资本经营预算拨款、财政专户管理资金和单位资金安排的政府采购支出，故本</w:t>
      </w:r>
      <w:r w:rsidR="00B103A0" w:rsidRPr="00B103A0">
        <w:rPr>
          <w:rFonts w:cs="Arial" w:hint="eastAsia"/>
          <w:sz w:val="22"/>
          <w:szCs w:val="22"/>
          <w:lang w:val="en-US" w:eastAsia="zh-CN" w:bidi="ar-SA"/>
        </w:rPr>
        <w:t>表无数据</w:t>
      </w:r>
      <w:r w:rsidRPr="00B103A0">
        <w:rPr>
          <w:rFonts w:cs="Arial" w:hint="eastAsia"/>
          <w:sz w:val="22"/>
          <w:szCs w:val="22"/>
          <w:lang w:val="en-US" w:eastAsia="zh-CN" w:bidi="ar-SA"/>
        </w:rPr>
        <w:t>。</w:t>
      </w:r>
    </w:p>
    <w:p w:rsidR="00421BAF" w:rsidRDefault="00E9673C">
      <w:pPr>
        <w:pStyle w:val="Heading210"/>
        <w:keepNext/>
        <w:keepLines/>
        <w:spacing w:after="200" w:line="240" w:lineRule="auto"/>
        <w:ind w:firstLine="180"/>
        <w:jc w:val="both"/>
        <w:rPr>
          <w:rFonts w:eastAsia="PMingLiU"/>
          <w:bCs/>
          <w:sz w:val="24"/>
          <w:szCs w:val="24"/>
        </w:rPr>
      </w:pPr>
      <w:bookmarkStart w:id="62" w:name="bookmark99"/>
      <w:bookmarkStart w:id="63" w:name="bookmark98"/>
      <w:bookmarkStart w:id="64" w:name="bookmark97"/>
      <w:r>
        <w:rPr>
          <w:rFonts w:hint="eastAsia"/>
          <w:bCs/>
          <w:sz w:val="24"/>
          <w:szCs w:val="24"/>
          <w:lang w:eastAsia="zh-CN"/>
        </w:rPr>
        <w:lastRenderedPageBreak/>
        <w:t>部门预算公开表</w:t>
      </w:r>
      <w:r>
        <w:rPr>
          <w:rFonts w:eastAsia="PMingLiU"/>
          <w:bCs/>
          <w:sz w:val="24"/>
          <w:szCs w:val="24"/>
        </w:rPr>
        <w:t>11</w:t>
      </w:r>
    </w:p>
    <w:p w:rsidR="00421BAF" w:rsidRDefault="00E9673C">
      <w:pPr>
        <w:pStyle w:val="Heading210"/>
        <w:keepNext/>
        <w:keepLines/>
        <w:spacing w:after="200" w:line="240" w:lineRule="auto"/>
        <w:ind w:firstLine="180"/>
        <w:jc w:val="both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 w:rsidR="004E626A">
        <w:rPr>
          <w:rFonts w:hint="eastAsia"/>
          <w:b/>
          <w:bCs/>
          <w:sz w:val="34"/>
          <w:szCs w:val="34"/>
          <w:lang w:val="en-US" w:eastAsia="zh-CN" w:bidi="en-US"/>
        </w:rPr>
        <w:t>北杨寨行管区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年部门政府购买服务</w:t>
      </w:r>
      <w:bookmarkEnd w:id="62"/>
    </w:p>
    <w:p w:rsidR="00421BAF" w:rsidRDefault="00E9673C">
      <w:pPr>
        <w:pStyle w:val="Heading210"/>
        <w:keepNext/>
        <w:keepLines/>
        <w:spacing w:after="300" w:line="240" w:lineRule="auto"/>
        <w:rPr>
          <w:sz w:val="36"/>
          <w:szCs w:val="36"/>
        </w:rPr>
      </w:pPr>
      <w:bookmarkStart w:id="65" w:name="bookmark100"/>
      <w:r>
        <w:rPr>
          <w:b/>
          <w:bCs/>
          <w:sz w:val="36"/>
          <w:szCs w:val="36"/>
        </w:rPr>
        <w:t>支出表</w:t>
      </w:r>
      <w:bookmarkEnd w:id="63"/>
      <w:bookmarkEnd w:id="64"/>
      <w:bookmarkEnd w:id="65"/>
    </w:p>
    <w:p w:rsidR="00421BAF" w:rsidRDefault="00E9673C">
      <w:pPr>
        <w:pStyle w:val="Tablecaption10"/>
        <w:spacing w:line="240" w:lineRule="auto"/>
        <w:ind w:left="7536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595"/>
        <w:gridCol w:w="600"/>
        <w:gridCol w:w="595"/>
        <w:gridCol w:w="595"/>
        <w:gridCol w:w="595"/>
        <w:gridCol w:w="595"/>
        <w:gridCol w:w="1790"/>
        <w:gridCol w:w="595"/>
        <w:gridCol w:w="595"/>
        <w:gridCol w:w="1219"/>
      </w:tblGrid>
      <w:tr w:rsidR="00421BAF">
        <w:trPr>
          <w:trHeight w:hRule="exact" w:val="251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单位名 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left="20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 目 名 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级 目 录 名 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级 目 录 名 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三级目录名称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AF" w:rsidRDefault="00E9673C">
            <w:pPr>
              <w:pStyle w:val="Other10"/>
              <w:spacing w:line="313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购 买 服 务 内 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312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购 买 数 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AF" w:rsidRDefault="00E9673C">
            <w:pPr>
              <w:pStyle w:val="Other1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购买金额</w:t>
            </w:r>
          </w:p>
        </w:tc>
      </w:tr>
      <w:tr w:rsidR="00421BAF">
        <w:trPr>
          <w:trHeight w:hRule="exact" w:val="92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BAF" w:rsidRDefault="00421BAF">
            <w:pPr>
              <w:rPr>
                <w:sz w:val="10"/>
                <w:szCs w:val="10"/>
              </w:rPr>
            </w:pPr>
          </w:p>
        </w:tc>
      </w:tr>
    </w:tbl>
    <w:p w:rsidR="00421BAF" w:rsidRPr="00E778DE" w:rsidRDefault="00E9673C">
      <w:pPr>
        <w:pStyle w:val="Bodytext20"/>
        <w:spacing w:line="599" w:lineRule="exact"/>
        <w:ind w:left="280" w:firstLine="0"/>
        <w:jc w:val="both"/>
        <w:rPr>
          <w:rFonts w:cs="Arial"/>
          <w:sz w:val="22"/>
          <w:szCs w:val="22"/>
          <w:lang w:val="en-US" w:eastAsia="zh-CN" w:bidi="ar-SA"/>
        </w:rPr>
      </w:pPr>
      <w:r w:rsidRPr="00E778DE">
        <w:rPr>
          <w:rFonts w:cs="Arial"/>
          <w:sz w:val="22"/>
          <w:szCs w:val="22"/>
          <w:lang w:val="en-US" w:eastAsia="zh-CN" w:bidi="ar-SA"/>
        </w:rPr>
        <w:t>注:</w:t>
      </w:r>
      <w:r w:rsidR="00E778DE" w:rsidRPr="00E778DE">
        <w:rPr>
          <w:rFonts w:cs="Arial" w:hint="eastAsia"/>
          <w:sz w:val="22"/>
          <w:szCs w:val="22"/>
          <w:lang w:val="en-US" w:eastAsia="zh-CN" w:bidi="ar-SA"/>
        </w:rPr>
        <w:t>埇桥区</w:t>
      </w:r>
      <w:r w:rsidR="004E626A" w:rsidRPr="00E778DE">
        <w:rPr>
          <w:rFonts w:cs="Arial" w:hint="eastAsia"/>
          <w:sz w:val="22"/>
          <w:szCs w:val="22"/>
          <w:lang w:val="en-US" w:eastAsia="zh-CN" w:bidi="ar-SA"/>
        </w:rPr>
        <w:t>北杨寨行管区</w:t>
      </w:r>
      <w:r w:rsidRPr="00E778DE">
        <w:rPr>
          <w:rFonts w:cs="Arial"/>
          <w:sz w:val="22"/>
          <w:szCs w:val="22"/>
          <w:lang w:val="en-US" w:eastAsia="zh-CN" w:bidi="ar-SA"/>
        </w:rPr>
        <w:t>没有安排政府购买服务支出，故本表无数据。</w:t>
      </w:r>
    </w:p>
    <w:p w:rsidR="00421BAF" w:rsidRDefault="00421BAF">
      <w:pPr>
        <w:pStyle w:val="Bodytext10"/>
        <w:spacing w:line="240" w:lineRule="auto"/>
        <w:ind w:firstLine="0"/>
        <w:jc w:val="both"/>
        <w:rPr>
          <w:sz w:val="34"/>
          <w:szCs w:val="34"/>
        </w:rPr>
      </w:pPr>
    </w:p>
    <w:p w:rsidR="00421BAF" w:rsidRDefault="00421BAF">
      <w:pPr>
        <w:pStyle w:val="Bodytext10"/>
        <w:spacing w:line="240" w:lineRule="auto"/>
        <w:ind w:firstLine="0"/>
        <w:jc w:val="both"/>
        <w:rPr>
          <w:sz w:val="34"/>
          <w:szCs w:val="34"/>
        </w:rPr>
      </w:pPr>
    </w:p>
    <w:p w:rsidR="00421BAF" w:rsidRDefault="00421BAF">
      <w:pPr>
        <w:pStyle w:val="Bodytext10"/>
        <w:spacing w:line="240" w:lineRule="auto"/>
        <w:ind w:firstLine="0"/>
        <w:jc w:val="both"/>
        <w:rPr>
          <w:sz w:val="34"/>
          <w:szCs w:val="34"/>
        </w:rPr>
      </w:pPr>
    </w:p>
    <w:p w:rsidR="00421BAF" w:rsidRDefault="00421BAF">
      <w:pPr>
        <w:pStyle w:val="Bodytext10"/>
        <w:spacing w:line="240" w:lineRule="auto"/>
        <w:ind w:firstLine="0"/>
        <w:jc w:val="both"/>
        <w:rPr>
          <w:sz w:val="34"/>
          <w:szCs w:val="34"/>
        </w:rPr>
      </w:pPr>
    </w:p>
    <w:p w:rsidR="00421BAF" w:rsidRDefault="00421BAF">
      <w:pPr>
        <w:pStyle w:val="Bodytext10"/>
        <w:spacing w:line="240" w:lineRule="auto"/>
        <w:ind w:firstLine="0"/>
        <w:jc w:val="both"/>
        <w:rPr>
          <w:sz w:val="34"/>
          <w:szCs w:val="34"/>
        </w:rPr>
      </w:pPr>
    </w:p>
    <w:p w:rsidR="00421BAF" w:rsidRDefault="00421BAF">
      <w:pPr>
        <w:pStyle w:val="Bodytext10"/>
        <w:spacing w:line="240" w:lineRule="auto"/>
        <w:ind w:firstLine="0"/>
        <w:jc w:val="center"/>
        <w:rPr>
          <w:sz w:val="34"/>
          <w:szCs w:val="34"/>
        </w:rPr>
      </w:pPr>
    </w:p>
    <w:p w:rsidR="00421BAF" w:rsidRDefault="00421BAF">
      <w:pPr>
        <w:pStyle w:val="Bodytext10"/>
        <w:spacing w:line="240" w:lineRule="auto"/>
        <w:ind w:firstLine="0"/>
        <w:jc w:val="center"/>
        <w:rPr>
          <w:rFonts w:ascii="黑体" w:eastAsia="PMingLiU" w:hAnsi="黑体" w:cs="黑体"/>
          <w:sz w:val="36"/>
          <w:szCs w:val="36"/>
        </w:rPr>
      </w:pPr>
    </w:p>
    <w:p w:rsidR="00E778DE" w:rsidRDefault="00E778DE">
      <w:pPr>
        <w:widowControl/>
        <w:rPr>
          <w:rFonts w:ascii="黑体" w:eastAsia="黑体" w:hAnsi="黑体" w:cs="黑体"/>
          <w:sz w:val="36"/>
          <w:szCs w:val="36"/>
          <w:lang w:val="zh-TW" w:eastAsia="zh-TW" w:bidi="zh-TW"/>
        </w:rPr>
      </w:pPr>
      <w:r>
        <w:rPr>
          <w:rFonts w:ascii="黑体" w:eastAsia="黑体" w:hAnsi="黑体" w:cs="黑体"/>
          <w:sz w:val="36"/>
          <w:szCs w:val="36"/>
          <w:lang w:eastAsia="zh-CN"/>
        </w:rPr>
        <w:br w:type="page"/>
      </w:r>
    </w:p>
    <w:p w:rsidR="00421BAF" w:rsidRDefault="00E9673C">
      <w:pPr>
        <w:pStyle w:val="Bodytext10"/>
        <w:spacing w:line="240" w:lineRule="auto"/>
        <w:ind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第三部分2022年部门预算情况说明</w:t>
      </w:r>
    </w:p>
    <w:p w:rsidR="00421BAF" w:rsidRDefault="00E9673C">
      <w:pPr>
        <w:pStyle w:val="Bodytext30"/>
        <w:tabs>
          <w:tab w:val="left" w:pos="130"/>
        </w:tabs>
        <w:spacing w:after="0"/>
        <w:ind w:right="0" w:hanging="1440"/>
        <w:jc w:val="left"/>
      </w:pPr>
      <w:r>
        <w:rPr>
          <w:u w:val="single"/>
        </w:rPr>
        <w:t xml:space="preserve"> </w:t>
      </w: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黑体" w:eastAsia="黑体" w:hAnsi="黑体"/>
          <w:bCs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sz w:val="32"/>
          <w:szCs w:val="32"/>
          <w:lang w:eastAsia="zh-CN"/>
        </w:rPr>
        <w:t>―、关于2022年收支预算总表的说明</w:t>
      </w:r>
    </w:p>
    <w:p w:rsidR="00421BAF" w:rsidRDefault="00E9673C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lang w:eastAsia="zh-CN"/>
        </w:rPr>
      </w:pPr>
      <w:r>
        <w:rPr>
          <w:rFonts w:ascii="仿宋_GB2312" w:eastAsia="仿宋_GB2312" w:hAnsi="仿宋" w:cs="Times New Roman" w:hint="eastAsia"/>
          <w:kern w:val="2"/>
          <w:sz w:val="32"/>
          <w:szCs w:val="32"/>
          <w:lang w:eastAsia="zh-CN" w:bidi="ar-SA"/>
        </w:rPr>
        <w:t>按照综合预算的原则，埇桥区</w:t>
      </w:r>
      <w:r w:rsidR="004E626A">
        <w:rPr>
          <w:rFonts w:ascii="仿宋_GB2312" w:eastAsia="仿宋_GB2312" w:hAnsi="仿宋" w:cs="Times New Roman" w:hint="eastAsia"/>
          <w:kern w:val="2"/>
          <w:sz w:val="32"/>
          <w:szCs w:val="32"/>
          <w:lang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sz w:val="32"/>
          <w:szCs w:val="32"/>
          <w:lang w:eastAsia="zh-CN" w:bidi="ar-SA"/>
        </w:rPr>
        <w:t>所有收入和支出均纳入部门预算管</w:t>
      </w:r>
      <w:bookmarkStart w:id="66" w:name="_GoBack"/>
      <w:bookmarkEnd w:id="66"/>
      <w:r>
        <w:rPr>
          <w:rFonts w:ascii="仿宋_GB2312" w:eastAsia="仿宋_GB2312" w:hAnsi="仿宋" w:cs="Times New Roman" w:hint="eastAsia"/>
          <w:kern w:val="2"/>
          <w:sz w:val="32"/>
          <w:szCs w:val="32"/>
          <w:lang w:eastAsia="zh-CN" w:bidi="ar-SA"/>
        </w:rPr>
        <w:t>理。埇桥区</w:t>
      </w:r>
      <w:r w:rsidR="00537B90">
        <w:rPr>
          <w:rFonts w:ascii="仿宋_GB2312" w:eastAsia="仿宋_GB2312" w:hAnsi="仿宋" w:cs="Times New Roman" w:hint="eastAsia"/>
          <w:kern w:val="2"/>
          <w:sz w:val="32"/>
          <w:szCs w:val="32"/>
          <w:lang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sz w:val="32"/>
          <w:szCs w:val="32"/>
          <w:lang w:eastAsia="zh-CN" w:bidi="ar-SA"/>
        </w:rPr>
        <w:t>2022年收支总预算</w:t>
      </w:r>
      <w:r w:rsidR="00537B90">
        <w:rPr>
          <w:rFonts w:ascii="仿宋_GB2312" w:eastAsia="仿宋_GB2312" w:hAnsi="仿宋" w:cs="Times New Roman"/>
          <w:kern w:val="2"/>
          <w:sz w:val="32"/>
          <w:szCs w:val="32"/>
          <w:lang w:eastAsia="zh-CN" w:bidi="ar-SA"/>
        </w:rPr>
        <w:t>515.87</w:t>
      </w:r>
      <w:r>
        <w:rPr>
          <w:rFonts w:ascii="仿宋_GB2312" w:eastAsia="仿宋_GB2312" w:hAnsi="仿宋" w:cs="Times New Roman" w:hint="eastAsia"/>
          <w:kern w:val="2"/>
          <w:sz w:val="32"/>
          <w:szCs w:val="32"/>
          <w:lang w:eastAsia="zh-CN" w:bidi="ar-SA"/>
        </w:rPr>
        <w:t>万元，收入包括一般公共预算拨款收入，支出包括：一般公共服务支出、社会保障和就业支出、卫生健康支出、住房保障支出。</w:t>
      </w:r>
    </w:p>
    <w:p w:rsidR="00421BAF" w:rsidRDefault="00E9673C">
      <w:pPr>
        <w:pStyle w:val="Bodytext10"/>
        <w:spacing w:line="580" w:lineRule="exact"/>
        <w:jc w:val="both"/>
        <w:rPr>
          <w:rFonts w:ascii="黑体" w:eastAsia="黑体" w:hAnsi="黑体"/>
          <w:bCs/>
          <w:lang w:val="en-US" w:eastAsia="zh-CN" w:bidi="en-US"/>
        </w:rPr>
      </w:pPr>
      <w:r>
        <w:rPr>
          <w:rFonts w:ascii="黑体" w:eastAsia="黑体" w:hAnsi="黑体" w:hint="eastAsia"/>
          <w:bCs/>
          <w:lang w:val="en-US" w:eastAsia="zh-CN" w:bidi="en-US"/>
        </w:rPr>
        <w:t>二、关于2022年收入预算总表的说明</w:t>
      </w:r>
    </w:p>
    <w:p w:rsidR="00421BAF" w:rsidRDefault="00E9673C">
      <w:pPr>
        <w:pStyle w:val="Bodytext10"/>
        <w:spacing w:line="580" w:lineRule="exact"/>
        <w:jc w:val="both"/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2022年收入预算</w:t>
      </w:r>
      <w:r w:rsidR="00537B90">
        <w:rPr>
          <w:rFonts w:ascii="仿宋_GB2312" w:eastAsia="仿宋_GB2312" w:hAnsi="仿宋" w:cs="Times New Roman"/>
          <w:kern w:val="2"/>
          <w:lang w:val="en-US" w:eastAsia="zh-CN" w:bidi="ar-SA"/>
        </w:rPr>
        <w:t>515.87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万元，其中，本年收入</w:t>
      </w:r>
      <w:r w:rsidR="00537B90">
        <w:rPr>
          <w:rFonts w:ascii="仿宋_GB2312" w:eastAsia="仿宋_GB2312" w:hAnsi="仿宋" w:cs="Times New Roman"/>
          <w:kern w:val="2"/>
          <w:lang w:val="en-US" w:eastAsia="zh-CN" w:bidi="ar-SA"/>
        </w:rPr>
        <w:t>515.87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万元，上年结转结余</w:t>
      </w:r>
      <w:r w:rsidR="00537B90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</w:t>
      </w:r>
      <w:r>
        <w:rPr>
          <w:lang w:val="en-US" w:eastAsia="zh-CN" w:bidi="en-US"/>
        </w:rPr>
        <w:t>。</w:t>
      </w:r>
    </w:p>
    <w:p w:rsidR="00421BAF" w:rsidRDefault="00E9673C" w:rsidP="00537B90">
      <w:pPr>
        <w:pStyle w:val="Bodytext10"/>
        <w:tabs>
          <w:tab w:val="left" w:leader="dot" w:pos="4838"/>
          <w:tab w:val="left" w:leader="dot" w:pos="5059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 w:rsidRP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本年收入</w:t>
      </w:r>
      <w:r w:rsidR="00537B90" w:rsidRPr="00537B90">
        <w:rPr>
          <w:rFonts w:ascii="仿宋_GB2312" w:eastAsia="仿宋_GB2312" w:hAnsi="仿宋" w:cs="Times New Roman"/>
          <w:kern w:val="2"/>
          <w:lang w:val="en-US" w:eastAsia="zh-CN" w:bidi="ar-SA"/>
        </w:rPr>
        <w:t>515.87</w:t>
      </w:r>
      <w:r w:rsidRP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</w:t>
      </w:r>
      <w:r w:rsidR="00537B90" w:rsidRP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全部为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一般公共预算拨款收入，比2021年预算增加</w:t>
      </w:r>
      <w:r w:rsid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1</w:t>
      </w:r>
      <w:r w:rsidR="00537B90">
        <w:rPr>
          <w:rFonts w:ascii="仿宋_GB2312" w:eastAsia="仿宋_GB2312" w:hAnsi="仿宋" w:cs="Times New Roman"/>
          <w:kern w:val="2"/>
          <w:lang w:val="en-US" w:eastAsia="zh-CN" w:bidi="ar-SA"/>
        </w:rPr>
        <w:t>58.58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万元，增长</w:t>
      </w:r>
      <w:r w:rsid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4</w:t>
      </w:r>
      <w:r w:rsidR="00537B90">
        <w:rPr>
          <w:rFonts w:ascii="仿宋_GB2312" w:eastAsia="仿宋_GB2312" w:hAnsi="仿宋" w:cs="Times New Roman"/>
          <w:kern w:val="2"/>
          <w:lang w:val="en-US" w:eastAsia="zh-CN" w:bidi="ar-SA"/>
        </w:rPr>
        <w:t>4.38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%，增长原因主要是</w:t>
      </w:r>
      <w:r w:rsid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工资增加及退役军人工资纳入预算。</w:t>
      </w:r>
    </w:p>
    <w:p w:rsidR="00421BAF" w:rsidRDefault="00421BAF">
      <w:pPr>
        <w:pStyle w:val="Bodytext30"/>
        <w:tabs>
          <w:tab w:val="left" w:pos="-192"/>
        </w:tabs>
        <w:spacing w:after="0" w:line="180" w:lineRule="auto"/>
        <w:ind w:right="0" w:hanging="1440"/>
        <w:jc w:val="left"/>
        <w:rPr>
          <w:rFonts w:ascii="仿宋_GB2312" w:eastAsia="仿宋_GB2312" w:hAnsi="仿宋"/>
          <w:kern w:val="2"/>
          <w:lang w:val="en-US" w:eastAsia="zh-CN" w:bidi="ar-SA"/>
        </w:rPr>
      </w:pPr>
    </w:p>
    <w:p w:rsidR="00421BAF" w:rsidRDefault="00E9673C">
      <w:pPr>
        <w:pStyle w:val="Bodytext10"/>
        <w:spacing w:line="547" w:lineRule="exact"/>
        <w:jc w:val="both"/>
        <w:rPr>
          <w:rFonts w:ascii="黑体" w:eastAsia="黑体" w:hAnsi="黑体"/>
          <w:bCs/>
          <w:lang w:val="en-US" w:eastAsia="zh-CN" w:bidi="en-US"/>
        </w:rPr>
      </w:pPr>
      <w:r>
        <w:rPr>
          <w:rFonts w:ascii="黑体" w:eastAsia="黑体" w:hAnsi="黑体" w:hint="eastAsia"/>
          <w:bCs/>
          <w:lang w:val="en-US" w:eastAsia="zh-CN" w:bidi="en-US"/>
        </w:rPr>
        <w:t>三、关于2022年支出预算总表的说明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2022年支出预算</w:t>
      </w:r>
      <w:r w:rsidR="00537B90">
        <w:rPr>
          <w:rFonts w:ascii="仿宋_GB2312" w:eastAsia="仿宋_GB2312" w:hAnsi="仿宋" w:cs="Times New Roman"/>
          <w:kern w:val="2"/>
          <w:lang w:val="en-US" w:eastAsia="zh-CN" w:bidi="ar-SA"/>
        </w:rPr>
        <w:t>515.87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万元，比</w:t>
      </w:r>
      <w:r>
        <w:rPr>
          <w:rFonts w:ascii="仿宋_GB2312" w:eastAsia="仿宋_GB2312" w:hAnsi="仿宋" w:cs="Times New Roman" w:hint="eastAsia"/>
          <w:kern w:val="2"/>
          <w:lang w:val="zh-CN" w:eastAsia="zh-CN" w:bidi="ar-SA"/>
        </w:rPr>
        <w:t>2021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年预算增加</w:t>
      </w:r>
      <w:r w:rsid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1</w:t>
      </w:r>
      <w:r w:rsidR="00537B90">
        <w:rPr>
          <w:rFonts w:ascii="仿宋_GB2312" w:eastAsia="仿宋_GB2312" w:hAnsi="仿宋" w:cs="Times New Roman"/>
          <w:kern w:val="2"/>
          <w:lang w:val="en-US" w:eastAsia="zh-CN" w:bidi="ar-SA"/>
        </w:rPr>
        <w:t>58.58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万元，增长</w:t>
      </w:r>
      <w:r w:rsid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4</w:t>
      </w:r>
      <w:r w:rsidR="00537B90">
        <w:rPr>
          <w:rFonts w:ascii="仿宋_GB2312" w:eastAsia="仿宋_GB2312" w:hAnsi="仿宋" w:cs="Times New Roman"/>
          <w:kern w:val="2"/>
          <w:lang w:val="en-US" w:eastAsia="zh-CN" w:bidi="ar-SA"/>
        </w:rPr>
        <w:t>4.38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%,增长原因主要是</w:t>
      </w:r>
      <w:r w:rsidR="00537B90">
        <w:rPr>
          <w:rFonts w:ascii="仿宋_GB2312" w:eastAsia="仿宋_GB2312" w:hAnsi="仿宋" w:cs="Times New Roman" w:hint="eastAsia"/>
          <w:kern w:val="2"/>
          <w:lang w:val="en-US" w:eastAsia="zh-CN" w:bidi="ar-SA"/>
        </w:rPr>
        <w:t>工资增加及退役军人工资纳入预算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。其中，基本支出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515.87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100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%,主要用于保障机构日常运转、完成日常工作任务;项目支出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万元。</w:t>
      </w:r>
    </w:p>
    <w:p w:rsidR="00421BAF" w:rsidRDefault="00E9673C">
      <w:pPr>
        <w:pStyle w:val="Bodytext10"/>
        <w:tabs>
          <w:tab w:val="left" w:pos="1304"/>
        </w:tabs>
        <w:spacing w:line="583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bookmarkStart w:id="67" w:name="bookmark101"/>
      <w:r>
        <w:rPr>
          <w:rFonts w:ascii="黑体" w:eastAsia="黑体" w:hAnsi="黑体" w:hint="eastAsia"/>
          <w:bCs/>
          <w:lang w:val="en-US" w:eastAsia="zh-CN" w:bidi="en-US"/>
        </w:rPr>
        <w:t>四</w:t>
      </w:r>
      <w:bookmarkEnd w:id="67"/>
      <w:r>
        <w:rPr>
          <w:rFonts w:ascii="黑体" w:eastAsia="黑体" w:hAnsi="黑体" w:hint="eastAsia"/>
          <w:bCs/>
          <w:lang w:val="en-US" w:eastAsia="zh-CN" w:bidi="en-US"/>
        </w:rPr>
        <w:t>、关于2022年财政拨款收支预算总表的说明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2022年财政拨款收支预算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515.87</w:t>
      </w:r>
      <w:r>
        <w:rPr>
          <w:rFonts w:ascii="仿宋_GB2312" w:eastAsia="仿宋_GB2312" w:hAnsi="仿宋" w:cs="Times New Roman" w:hint="eastAsia"/>
          <w:kern w:val="2"/>
          <w:lang w:val="zh-CN" w:eastAsia="zh-CN" w:bidi="ar-SA"/>
        </w:rPr>
        <w:t>万元。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收入按资金来源分</w:t>
      </w:r>
      <w:r w:rsidR="00BF6C91">
        <w:rPr>
          <w:rFonts w:ascii="仿宋_GB2312" w:eastAsia="仿宋_GB2312" w:hAnsi="仿宋" w:cs="Times New Roman" w:hint="eastAsia"/>
          <w:kern w:val="2"/>
          <w:lang w:val="en-US" w:eastAsia="zh-CN" w:bidi="ar-SA"/>
        </w:rPr>
        <w:t>全部为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一般公共预算拨款;按资金年度分</w:t>
      </w:r>
      <w:r w:rsidR="00BF6C91">
        <w:rPr>
          <w:rFonts w:ascii="仿宋_GB2312" w:eastAsia="仿宋_GB2312" w:hAnsi="仿宋" w:cs="Times New Roman" w:hint="eastAsia"/>
          <w:kern w:val="2"/>
          <w:lang w:val="en-US" w:eastAsia="zh-CN" w:bidi="ar-SA"/>
        </w:rPr>
        <w:lastRenderedPageBreak/>
        <w:t>全部为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本年财政拨款收入</w:t>
      </w:r>
      <w:r>
        <w:rPr>
          <w:rFonts w:ascii="仿宋_GB2312" w:eastAsia="仿宋_GB2312" w:hAnsi="仿宋" w:cs="Times New Roman" w:hint="eastAsia"/>
          <w:kern w:val="2"/>
          <w:lang w:val="zh-CN" w:eastAsia="zh-CN" w:bidi="ar-SA"/>
        </w:rPr>
        <w:t>。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支出按功能分类分为:一般公共服务支出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398.72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77.29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%;社会保障和就业支出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61.5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11.92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%;卫生健康支出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24.91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4.83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%;住房保障支出</w:t>
      </w:r>
      <w:r w:rsidR="00BF6C91">
        <w:rPr>
          <w:rFonts w:ascii="仿宋_GB2312" w:eastAsia="仿宋_GB2312" w:hAnsi="仿宋" w:cs="Times New Roman"/>
          <w:kern w:val="2"/>
          <w:lang w:val="en-US" w:eastAsia="zh-CN" w:bidi="ar-SA"/>
        </w:rPr>
        <w:t>30.75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 w:rsidR="00593CB0">
        <w:rPr>
          <w:rFonts w:ascii="仿宋_GB2312" w:eastAsia="仿宋_GB2312" w:hAnsi="仿宋" w:cs="Times New Roman"/>
          <w:kern w:val="2"/>
          <w:lang w:val="en-US" w:eastAsia="zh-CN" w:bidi="ar-SA"/>
        </w:rPr>
        <w:t>5.96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%。</w:t>
      </w:r>
    </w:p>
    <w:p w:rsidR="00421BAF" w:rsidRDefault="00E9673C">
      <w:pPr>
        <w:pStyle w:val="Bodytext10"/>
        <w:tabs>
          <w:tab w:val="left" w:pos="1304"/>
        </w:tabs>
        <w:spacing w:line="583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bookmarkStart w:id="68" w:name="bookmark102"/>
      <w:r>
        <w:rPr>
          <w:rFonts w:ascii="黑体" w:eastAsia="黑体" w:hAnsi="黑体" w:hint="eastAsia"/>
          <w:bCs/>
          <w:lang w:val="en-US" w:eastAsia="zh-CN" w:bidi="en-US"/>
        </w:rPr>
        <w:t>五</w:t>
      </w:r>
      <w:bookmarkEnd w:id="68"/>
      <w:r>
        <w:rPr>
          <w:rFonts w:ascii="黑体" w:eastAsia="黑体" w:hAnsi="黑体" w:hint="eastAsia"/>
          <w:bCs/>
          <w:lang w:val="en-US" w:eastAsia="zh-CN" w:bidi="en-US"/>
        </w:rPr>
        <w:t>、关于2022年一般公共预算支出表的说明</w:t>
      </w:r>
    </w:p>
    <w:p w:rsidR="00421BAF" w:rsidRDefault="00E9673C">
      <w:pPr>
        <w:pStyle w:val="Bodytext10"/>
        <w:spacing w:line="583" w:lineRule="exact"/>
        <w:ind w:firstLine="660"/>
      </w:pPr>
      <w:bookmarkStart w:id="69" w:name="bookmark103"/>
      <w:r>
        <w:rPr>
          <w:rFonts w:ascii="Times New Roman" w:eastAsia="Times New Roman" w:hAnsi="Times New Roman" w:cs="Times New Roman"/>
          <w:b/>
          <w:bCs/>
        </w:rPr>
        <w:t>（</w:t>
      </w:r>
      <w:bookmarkEnd w:id="69"/>
      <w:r>
        <w:rPr>
          <w:b/>
          <w:bCs/>
        </w:rPr>
        <w:t>一</w:t>
      </w:r>
      <w:r>
        <w:rPr>
          <w:rFonts w:ascii="Times New Roman" w:eastAsia="Times New Roman" w:hAnsi="Times New Roman" w:cs="Times New Roman"/>
          <w:b/>
          <w:bCs/>
        </w:rPr>
        <w:t>）</w:t>
      </w:r>
      <w:r>
        <w:rPr>
          <w:b/>
          <w:bCs/>
        </w:rPr>
        <w:t>一般公共预算支出规模变化情况。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2022年一般公共预算支出</w:t>
      </w:r>
      <w:r w:rsidR="00593CB0">
        <w:rPr>
          <w:rFonts w:ascii="仿宋_GB2312" w:eastAsia="仿宋_GB2312" w:hAnsi="仿宋" w:cs="Times New Roman"/>
          <w:kern w:val="2"/>
          <w:lang w:val="en-US" w:eastAsia="zh-CN" w:bidi="ar-SA"/>
        </w:rPr>
        <w:t>515.87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万元，比2021年预算增加</w:t>
      </w:r>
      <w:r w:rsidR="00593CB0">
        <w:rPr>
          <w:rFonts w:ascii="仿宋_GB2312" w:eastAsia="仿宋_GB2312" w:hAnsi="仿宋" w:cs="Times New Roman" w:hint="eastAsia"/>
          <w:kern w:val="2"/>
          <w:lang w:val="en-US" w:eastAsia="zh-CN" w:bidi="ar-SA"/>
        </w:rPr>
        <w:t>1</w:t>
      </w:r>
      <w:r w:rsidR="00593CB0">
        <w:rPr>
          <w:rFonts w:ascii="仿宋_GB2312" w:eastAsia="仿宋_GB2312" w:hAnsi="仿宋" w:cs="Times New Roman"/>
          <w:kern w:val="2"/>
          <w:lang w:val="en-US" w:eastAsia="zh-CN" w:bidi="ar-SA"/>
        </w:rPr>
        <w:t>58.58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万元，增长</w:t>
      </w:r>
      <w:r w:rsidR="00593CB0">
        <w:rPr>
          <w:rFonts w:ascii="仿宋_GB2312" w:eastAsia="仿宋_GB2312" w:hAnsi="仿宋" w:cs="Times New Roman" w:hint="eastAsia"/>
          <w:kern w:val="2"/>
          <w:lang w:val="en-US" w:eastAsia="zh-CN" w:bidi="ar-SA"/>
        </w:rPr>
        <w:t>4</w:t>
      </w:r>
      <w:r w:rsidR="00593CB0">
        <w:rPr>
          <w:rFonts w:ascii="仿宋_GB2312" w:eastAsia="仿宋_GB2312" w:hAnsi="仿宋" w:cs="Times New Roman"/>
          <w:kern w:val="2"/>
          <w:lang w:val="en-US" w:eastAsia="zh-CN" w:bidi="ar-SA"/>
        </w:rPr>
        <w:t>4.38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%,主要原因:一是</w:t>
      </w:r>
      <w:r w:rsidR="00593CB0">
        <w:rPr>
          <w:rFonts w:ascii="仿宋_GB2312" w:eastAsia="仿宋_GB2312" w:hAnsi="仿宋" w:cs="Times New Roman" w:hint="eastAsia"/>
          <w:kern w:val="2"/>
          <w:lang w:val="en-US" w:eastAsia="zh-CN" w:bidi="ar-SA"/>
        </w:rPr>
        <w:t>人员工资增加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；二是</w:t>
      </w:r>
      <w:r w:rsidR="00593CB0">
        <w:rPr>
          <w:rFonts w:ascii="仿宋_GB2312" w:eastAsia="仿宋_GB2312" w:hAnsi="仿宋" w:cs="Times New Roman" w:hint="eastAsia"/>
          <w:kern w:val="2"/>
          <w:lang w:val="en-US" w:eastAsia="zh-CN" w:bidi="ar-SA"/>
        </w:rPr>
        <w:t>退役军人工资纳入预算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。</w:t>
      </w:r>
    </w:p>
    <w:p w:rsidR="00421BAF" w:rsidRDefault="00E9673C">
      <w:pPr>
        <w:pStyle w:val="Bodytext10"/>
        <w:spacing w:line="569" w:lineRule="exact"/>
      </w:pPr>
      <w:bookmarkStart w:id="70" w:name="bookmark104"/>
      <w:r>
        <w:rPr>
          <w:rFonts w:ascii="Times New Roman" w:eastAsia="Times New Roman" w:hAnsi="Times New Roman" w:cs="Times New Roman"/>
          <w:b/>
          <w:bCs/>
        </w:rPr>
        <w:t>（</w:t>
      </w:r>
      <w:bookmarkEnd w:id="70"/>
      <w:r>
        <w:rPr>
          <w:b/>
          <w:bCs/>
        </w:rPr>
        <w:t>二</w:t>
      </w:r>
      <w:r>
        <w:rPr>
          <w:rFonts w:ascii="Times New Roman" w:eastAsia="Times New Roman" w:hAnsi="Times New Roman" w:cs="Times New Roman"/>
          <w:b/>
          <w:bCs/>
        </w:rPr>
        <w:t>）</w:t>
      </w:r>
      <w:r>
        <w:rPr>
          <w:b/>
          <w:bCs/>
        </w:rPr>
        <w:t>一般公共预算支出结构情况。</w:t>
      </w:r>
    </w:p>
    <w:p w:rsidR="00421BAF" w:rsidRDefault="00593CB0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一般公共服务支出</w:t>
      </w:r>
      <w:r>
        <w:rPr>
          <w:rFonts w:ascii="仿宋_GB2312" w:eastAsia="仿宋_GB2312" w:hAnsi="仿宋" w:cs="Times New Roman"/>
          <w:kern w:val="2"/>
          <w:lang w:val="en-US" w:eastAsia="zh-CN" w:bidi="ar-SA"/>
        </w:rPr>
        <w:t>398.72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>
        <w:rPr>
          <w:rFonts w:ascii="仿宋_GB2312" w:eastAsia="仿宋_GB2312" w:hAnsi="仿宋" w:cs="Times New Roman"/>
          <w:kern w:val="2"/>
          <w:lang w:val="en-US" w:eastAsia="zh-CN" w:bidi="ar-SA"/>
        </w:rPr>
        <w:t>77.29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%;社会保障和就业支出</w:t>
      </w:r>
      <w:r>
        <w:rPr>
          <w:rFonts w:ascii="仿宋_GB2312" w:eastAsia="仿宋_GB2312" w:hAnsi="仿宋" w:cs="Times New Roman"/>
          <w:kern w:val="2"/>
          <w:lang w:val="en-US" w:eastAsia="zh-CN" w:bidi="ar-SA"/>
        </w:rPr>
        <w:t>61.5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>
        <w:rPr>
          <w:rFonts w:ascii="仿宋_GB2312" w:eastAsia="仿宋_GB2312" w:hAnsi="仿宋" w:cs="Times New Roman"/>
          <w:kern w:val="2"/>
          <w:lang w:val="en-US" w:eastAsia="zh-CN" w:bidi="ar-SA"/>
        </w:rPr>
        <w:t>11.92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%;卫生健康支出</w:t>
      </w:r>
      <w:r>
        <w:rPr>
          <w:rFonts w:ascii="仿宋_GB2312" w:eastAsia="仿宋_GB2312" w:hAnsi="仿宋" w:cs="Times New Roman"/>
          <w:kern w:val="2"/>
          <w:lang w:val="en-US" w:eastAsia="zh-CN" w:bidi="ar-SA"/>
        </w:rPr>
        <w:t>24.91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>
        <w:rPr>
          <w:rFonts w:ascii="仿宋_GB2312" w:eastAsia="仿宋_GB2312" w:hAnsi="仿宋" w:cs="Times New Roman"/>
          <w:kern w:val="2"/>
          <w:lang w:val="en-US" w:eastAsia="zh-CN" w:bidi="ar-SA"/>
        </w:rPr>
        <w:t>4.83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%;住房保障支出</w:t>
      </w:r>
      <w:r>
        <w:rPr>
          <w:rFonts w:ascii="仿宋_GB2312" w:eastAsia="仿宋_GB2312" w:hAnsi="仿宋" w:cs="Times New Roman"/>
          <w:kern w:val="2"/>
          <w:lang w:val="en-US" w:eastAsia="zh-CN" w:bidi="ar-SA"/>
        </w:rPr>
        <w:t>30.75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万元，占</w:t>
      </w:r>
      <w:r>
        <w:rPr>
          <w:rFonts w:ascii="仿宋_GB2312" w:eastAsia="仿宋_GB2312" w:hAnsi="仿宋" w:cs="Times New Roman"/>
          <w:kern w:val="2"/>
          <w:lang w:val="en-US" w:eastAsia="zh-CN" w:bidi="ar-SA"/>
        </w:rPr>
        <w:t>5.96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</w:t>
      </w:r>
      <w:r w:rsidR="00E9673C">
        <w:rPr>
          <w:rFonts w:ascii="仿宋_GB2312" w:eastAsia="仿宋_GB2312" w:hAnsi="仿宋" w:cs="Times New Roman" w:hint="eastAsia"/>
          <w:kern w:val="2"/>
          <w:lang w:val="en-US" w:eastAsia="zh-CN" w:bidi="ar-SA"/>
        </w:rPr>
        <w:t>。</w:t>
      </w:r>
    </w:p>
    <w:p w:rsidR="00421BAF" w:rsidRDefault="00E9673C">
      <w:pPr>
        <w:pStyle w:val="Bodytext10"/>
        <w:spacing w:line="580" w:lineRule="exact"/>
        <w:ind w:firstLine="660"/>
        <w:jc w:val="both"/>
      </w:pPr>
      <w:bookmarkStart w:id="71" w:name="bookmark105"/>
      <w:r>
        <w:rPr>
          <w:rFonts w:ascii="Times New Roman" w:eastAsia="Times New Roman" w:hAnsi="Times New Roman" w:cs="Times New Roman"/>
          <w:b/>
          <w:bCs/>
        </w:rPr>
        <w:t>（</w:t>
      </w:r>
      <w:bookmarkEnd w:id="71"/>
      <w:r>
        <w:rPr>
          <w:b/>
          <w:bCs/>
        </w:rPr>
        <w:t>三</w:t>
      </w:r>
      <w:r>
        <w:rPr>
          <w:rFonts w:ascii="Times New Roman" w:eastAsia="Times New Roman" w:hAnsi="Times New Roman" w:cs="Times New Roman"/>
          <w:b/>
          <w:bCs/>
        </w:rPr>
        <w:t>）</w:t>
      </w:r>
      <w:r>
        <w:rPr>
          <w:b/>
          <w:bCs/>
        </w:rPr>
        <w:t>一般公共预算支出具体使用情况。</w:t>
      </w:r>
    </w:p>
    <w:p w:rsidR="00593CB0" w:rsidRDefault="00593CB0" w:rsidP="00593CB0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  <w:lang w:eastAsia="zh-CN"/>
        </w:rPr>
      </w:pPr>
      <w:bookmarkStart w:id="72" w:name="bookmark106"/>
      <w:bookmarkStart w:id="73" w:name="bookmark110"/>
      <w:bookmarkEnd w:id="72"/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1.</w:t>
      </w:r>
      <w:r>
        <w:rPr>
          <w:rFonts w:ascii="仿宋_GB2312" w:hAnsi="仿宋" w:hint="eastAsia"/>
          <w:b/>
          <w:szCs w:val="32"/>
          <w:lang w:eastAsia="zh-CN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一般公共服务支出（类）</w:t>
      </w:r>
      <w:r>
        <w:rPr>
          <w:rFonts w:ascii="仿宋_GB2312" w:eastAsia="仿宋_GB2312" w:hAnsi="仿宋" w:hint="eastAsia"/>
          <w:b/>
          <w:color w:val="FF000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 xml:space="preserve"> 政府办公厅（室）及相关机构事务（款）行政运行（项）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"/>
          <w:sz w:val="32"/>
          <w:szCs w:val="32"/>
          <w:lang w:eastAsia="zh-CN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>
        <w:rPr>
          <w:rFonts w:ascii="仿宋_GB2312" w:eastAsia="仿宋_GB2312" w:hAnsi="仿宋"/>
          <w:sz w:val="32"/>
          <w:szCs w:val="32"/>
          <w:lang w:eastAsia="zh-CN"/>
        </w:rPr>
        <w:t>94.89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万元，比202</w:t>
      </w:r>
      <w:r>
        <w:rPr>
          <w:rFonts w:ascii="仿宋_GB2312" w:eastAsia="仿宋_GB2312" w:hAnsi="仿宋"/>
          <w:sz w:val="32"/>
          <w:szCs w:val="32"/>
          <w:lang w:eastAsia="zh-CN"/>
        </w:rPr>
        <w:t>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年预算增加</w:t>
      </w:r>
      <w:r>
        <w:rPr>
          <w:rFonts w:ascii="仿宋_GB2312" w:eastAsia="仿宋_GB2312" w:hAnsi="仿宋"/>
          <w:sz w:val="32"/>
          <w:szCs w:val="32"/>
          <w:lang w:eastAsia="zh-CN"/>
        </w:rPr>
        <w:t>36.24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万元，增长</w:t>
      </w:r>
      <w:r>
        <w:rPr>
          <w:rFonts w:ascii="仿宋_GB2312" w:eastAsia="仿宋_GB2312" w:hAnsi="仿宋"/>
          <w:sz w:val="32"/>
          <w:szCs w:val="32"/>
          <w:lang w:eastAsia="zh-CN"/>
        </w:rPr>
        <w:t>61.79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%，增长原因主要是人员工资增加及增加党委、群团人员工资预算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支出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 w:rsidR="00593CB0" w:rsidRDefault="00593CB0" w:rsidP="00593CB0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/>
          <w:b/>
          <w:sz w:val="32"/>
          <w:szCs w:val="32"/>
          <w:lang w:eastAsia="zh-CN"/>
        </w:rPr>
        <w:t>2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.</w:t>
      </w:r>
      <w:r>
        <w:rPr>
          <w:rFonts w:ascii="仿宋_GB2312" w:hAnsi="仿宋" w:hint="eastAsia"/>
          <w:b/>
          <w:szCs w:val="32"/>
          <w:lang w:eastAsia="zh-CN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一般公共服务支出（类）</w:t>
      </w:r>
      <w:r>
        <w:rPr>
          <w:rFonts w:ascii="仿宋_GB2312" w:eastAsia="仿宋_GB2312" w:hAnsi="仿宋" w:hint="eastAsia"/>
          <w:b/>
          <w:color w:val="FF000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 xml:space="preserve"> 政府办公厅（室）及相关机构事务（款）事业运行（项）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"/>
          <w:sz w:val="32"/>
          <w:szCs w:val="32"/>
          <w:lang w:eastAsia="zh-CN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>
        <w:rPr>
          <w:rFonts w:ascii="仿宋_GB2312" w:eastAsia="仿宋_GB2312" w:hAnsi="仿宋"/>
          <w:sz w:val="32"/>
          <w:szCs w:val="32"/>
          <w:lang w:eastAsia="zh-CN"/>
        </w:rPr>
        <w:t>221.84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万元，比202</w:t>
      </w:r>
      <w:r>
        <w:rPr>
          <w:rFonts w:ascii="仿宋_GB2312" w:eastAsia="仿宋_GB2312" w:hAnsi="仿宋"/>
          <w:sz w:val="32"/>
          <w:szCs w:val="32"/>
          <w:lang w:eastAsia="zh-CN"/>
        </w:rPr>
        <w:t>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年预算增加</w:t>
      </w:r>
      <w:r>
        <w:rPr>
          <w:rFonts w:ascii="仿宋_GB2312" w:eastAsia="仿宋_GB2312" w:hAnsi="仿宋"/>
          <w:sz w:val="32"/>
          <w:szCs w:val="32"/>
          <w:lang w:eastAsia="zh-CN"/>
        </w:rPr>
        <w:t>221.84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万元，增长原因主要是去年没此类预算。                       </w:t>
      </w:r>
    </w:p>
    <w:p w:rsidR="00593CB0" w:rsidRDefault="00593CB0" w:rsidP="00593CB0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/>
          <w:b/>
          <w:sz w:val="32"/>
          <w:szCs w:val="32"/>
          <w:lang w:eastAsia="zh-CN"/>
        </w:rPr>
        <w:t>3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.</w:t>
      </w:r>
      <w:r w:rsidRPr="0044447F">
        <w:rPr>
          <w:rFonts w:ascii="仿宋_GB2312" w:eastAsia="仿宋_GB2312" w:hAnsi="仿宋" w:hint="eastAsia"/>
          <w:b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一般公共服务支出（类）</w:t>
      </w:r>
      <w:r>
        <w:rPr>
          <w:rFonts w:ascii="仿宋_GB2312" w:eastAsia="仿宋_GB2312" w:hAnsi="仿宋" w:hint="eastAsia"/>
          <w:b/>
          <w:color w:val="FF000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 xml:space="preserve"> </w:t>
      </w:r>
      <w:r w:rsidRPr="0044447F">
        <w:rPr>
          <w:rFonts w:ascii="仿宋_GB2312" w:eastAsia="仿宋_GB2312" w:hAnsi="仿宋" w:hint="eastAsia"/>
          <w:b/>
          <w:sz w:val="32"/>
          <w:szCs w:val="32"/>
          <w:lang w:eastAsia="zh-CN"/>
        </w:rPr>
        <w:t>财政事务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（款）行政运行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lastRenderedPageBreak/>
        <w:t>（项）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202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>
        <w:rPr>
          <w:rFonts w:ascii="仿宋_GB2312" w:eastAsia="仿宋_GB2312" w:hAnsi="仿宋"/>
          <w:sz w:val="32"/>
          <w:szCs w:val="32"/>
          <w:lang w:eastAsia="zh-CN"/>
        </w:rPr>
        <w:t>71.89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万元，比20</w:t>
      </w:r>
      <w:r>
        <w:rPr>
          <w:rFonts w:ascii="仿宋_GB2312" w:eastAsia="仿宋_GB2312" w:hAnsi="仿宋"/>
          <w:sz w:val="32"/>
          <w:szCs w:val="32"/>
          <w:lang w:eastAsia="zh-CN"/>
        </w:rPr>
        <w:t>21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年预算减少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5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万元，下降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6.5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%，下降原因主要是人员调出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及退休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，支出减少。</w:t>
      </w:r>
    </w:p>
    <w:p w:rsidR="00F70C4B" w:rsidRDefault="00F70C4B" w:rsidP="00F70C4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/>
          <w:b/>
          <w:sz w:val="32"/>
          <w:szCs w:val="32"/>
          <w:lang w:eastAsia="zh-CN"/>
        </w:rPr>
        <w:t>4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.</w:t>
      </w:r>
      <w:r w:rsidRPr="0044447F">
        <w:rPr>
          <w:rFonts w:ascii="仿宋_GB2312" w:eastAsia="仿宋_GB2312" w:hAnsi="仿宋" w:hint="eastAsia"/>
          <w:b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一般公共服务支出（类）</w:t>
      </w:r>
      <w:r>
        <w:rPr>
          <w:rFonts w:ascii="仿宋_GB2312" w:eastAsia="仿宋_GB2312" w:hAnsi="仿宋" w:hint="eastAsia"/>
          <w:b/>
          <w:color w:val="FF0000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 xml:space="preserve"> </w:t>
      </w:r>
      <w:r w:rsidRPr="0044447F">
        <w:rPr>
          <w:rFonts w:ascii="仿宋_GB2312" w:eastAsia="仿宋_GB2312" w:hAnsi="仿宋" w:hint="eastAsia"/>
          <w:b/>
          <w:sz w:val="32"/>
          <w:szCs w:val="32"/>
          <w:lang w:eastAsia="zh-CN"/>
        </w:rPr>
        <w:t>财政事务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（款）事业运行（项）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202</w:t>
      </w:r>
      <w:r>
        <w:rPr>
          <w:rFonts w:ascii="仿宋_GB2312" w:eastAsia="仿宋_GB2312" w:hAnsi="仿宋"/>
          <w:sz w:val="32"/>
          <w:szCs w:val="32"/>
          <w:lang w:eastAsia="zh-CN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>
        <w:rPr>
          <w:rFonts w:ascii="仿宋_GB2312" w:eastAsia="仿宋_GB2312" w:hAnsi="仿宋"/>
          <w:sz w:val="32"/>
          <w:szCs w:val="32"/>
          <w:lang w:eastAsia="zh-CN"/>
        </w:rPr>
        <w:t>10.11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万元，比20</w:t>
      </w:r>
      <w:r>
        <w:rPr>
          <w:rFonts w:ascii="仿宋_GB2312" w:eastAsia="仿宋_GB2312" w:hAnsi="仿宋"/>
          <w:sz w:val="32"/>
          <w:szCs w:val="32"/>
          <w:lang w:eastAsia="zh-CN"/>
        </w:rPr>
        <w:t>21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年预算增加</w:t>
      </w:r>
      <w:r>
        <w:rPr>
          <w:rFonts w:ascii="仿宋_GB2312" w:eastAsia="仿宋_GB2312" w:hAnsi="仿宋"/>
          <w:sz w:val="32"/>
          <w:szCs w:val="32"/>
          <w:lang w:eastAsia="zh-CN"/>
        </w:rPr>
        <w:t>10.11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万元，增长原因主要是去年没此类预算。</w:t>
      </w:r>
    </w:p>
    <w:p w:rsidR="00593CB0" w:rsidRDefault="00593CB0" w:rsidP="00593CB0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  <w:lang w:eastAsia="zh-CN"/>
        </w:rPr>
      </w:pPr>
      <w:r>
        <w:rPr>
          <w:rFonts w:ascii="仿宋_GB2312" w:eastAsia="仿宋_GB2312" w:hAnsi="仿宋"/>
          <w:b/>
          <w:sz w:val="32"/>
          <w:szCs w:val="32"/>
          <w:lang w:eastAsia="zh-CN"/>
        </w:rPr>
        <w:t>5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.社会保障和就业支出（类）  行政事业单位养老支出（款）</w:t>
      </w:r>
      <w:r>
        <w:rPr>
          <w:rFonts w:ascii="宋体" w:hAnsi="宋体" w:cs="宋体" w:hint="eastAsia"/>
          <w:sz w:val="18"/>
          <w:szCs w:val="18"/>
          <w:lang w:eastAsia="zh-CN" w:bidi="ar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机关事业单位基本养老保险缴费支出（项）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202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41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万元，比202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增加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15.47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增长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60.6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%，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增长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原因主要是人员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工资增加及增加退役军人预算支出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 w:rsidR="00593CB0" w:rsidRDefault="00593CB0" w:rsidP="00F70C4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/>
          <w:b/>
          <w:sz w:val="32"/>
          <w:szCs w:val="32"/>
          <w:lang w:eastAsia="zh-CN"/>
        </w:rPr>
        <w:t>6.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社会保障和就业支出（类）  行政事业单位养老支出（款）机关事业单位职业年金缴费支出（项）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202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20.5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万元，比202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增加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10.15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增长</w:t>
      </w:r>
      <w:r w:rsidR="00F70C4B">
        <w:rPr>
          <w:rFonts w:ascii="仿宋_GB2312" w:eastAsia="仿宋_GB2312" w:hAnsi="仿宋"/>
          <w:sz w:val="32"/>
          <w:szCs w:val="32"/>
          <w:lang w:eastAsia="zh-CN"/>
        </w:rPr>
        <w:t>98.07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%，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增长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原因主要是</w:t>
      </w:r>
      <w:r w:rsidR="00F70C4B">
        <w:rPr>
          <w:rFonts w:ascii="仿宋_GB2312" w:eastAsia="仿宋_GB2312" w:hAnsi="仿宋" w:hint="eastAsia"/>
          <w:sz w:val="32"/>
          <w:szCs w:val="32"/>
          <w:lang w:eastAsia="zh-CN"/>
        </w:rPr>
        <w:t>人员工资增加及增加退役军人预算支出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 w:rsidR="00593CB0" w:rsidRDefault="00B20945" w:rsidP="00F70C4B">
      <w:pPr>
        <w:pStyle w:val="Style2"/>
        <w:spacing w:line="600" w:lineRule="exact"/>
        <w:rPr>
          <w:lang w:eastAsia="zh-CN"/>
        </w:rPr>
      </w:pPr>
      <w:r>
        <w:rPr>
          <w:rFonts w:ascii="仿宋_GB2312" w:hAnsi="仿宋"/>
          <w:b/>
          <w:sz w:val="32"/>
          <w:szCs w:val="32"/>
          <w:lang w:eastAsia="zh-CN"/>
        </w:rPr>
        <w:t>7</w:t>
      </w:r>
      <w:r w:rsidR="00593CB0">
        <w:rPr>
          <w:rFonts w:hint="eastAsia"/>
          <w:b/>
          <w:bCs/>
          <w:lang w:eastAsia="zh-CN"/>
        </w:rPr>
        <w:t>.</w:t>
      </w:r>
      <w:r w:rsidR="00593CB0">
        <w:rPr>
          <w:rFonts w:hint="eastAsia"/>
          <w:b/>
          <w:bCs/>
          <w:lang w:eastAsia="zh-CN"/>
        </w:rPr>
        <w:t>卫生健康支出（类）</w:t>
      </w:r>
      <w:r w:rsidR="00593CB0">
        <w:rPr>
          <w:rFonts w:hint="eastAsia"/>
          <w:b/>
          <w:bCs/>
          <w:lang w:eastAsia="zh-CN"/>
        </w:rPr>
        <w:t xml:space="preserve">  </w:t>
      </w:r>
      <w:r w:rsidR="00593CB0">
        <w:rPr>
          <w:rFonts w:hint="eastAsia"/>
          <w:b/>
          <w:bCs/>
          <w:lang w:eastAsia="zh-CN"/>
        </w:rPr>
        <w:t>行政事业单位医疗（款）行政单位医疗（项）</w:t>
      </w:r>
      <w:r w:rsidR="00593CB0">
        <w:rPr>
          <w:rFonts w:hint="eastAsia"/>
          <w:lang w:eastAsia="zh-CN"/>
        </w:rPr>
        <w:t>202</w:t>
      </w:r>
      <w:r w:rsidR="00F70C4B">
        <w:rPr>
          <w:lang w:eastAsia="zh-CN"/>
        </w:rPr>
        <w:t>2</w:t>
      </w:r>
      <w:r w:rsidR="00593CB0">
        <w:rPr>
          <w:rFonts w:hint="eastAsia"/>
          <w:lang w:eastAsia="zh-CN"/>
        </w:rPr>
        <w:t>年预算</w:t>
      </w:r>
      <w:r w:rsidR="00F70C4B">
        <w:rPr>
          <w:lang w:eastAsia="zh-CN"/>
        </w:rPr>
        <w:t>4.8</w:t>
      </w:r>
      <w:r w:rsidR="00593CB0">
        <w:rPr>
          <w:rFonts w:hint="eastAsia"/>
          <w:lang w:eastAsia="zh-CN"/>
        </w:rPr>
        <w:t>万元，比</w:t>
      </w:r>
      <w:r w:rsidR="00593CB0">
        <w:rPr>
          <w:rFonts w:hint="eastAsia"/>
          <w:lang w:eastAsia="zh-CN"/>
        </w:rPr>
        <w:t>202</w:t>
      </w:r>
      <w:r w:rsidR="00F70C4B">
        <w:rPr>
          <w:lang w:eastAsia="zh-CN"/>
        </w:rPr>
        <w:t>1</w:t>
      </w:r>
      <w:r w:rsidR="00593CB0">
        <w:rPr>
          <w:rFonts w:hint="eastAsia"/>
          <w:lang w:eastAsia="zh-CN"/>
        </w:rPr>
        <w:t>年预算减少</w:t>
      </w:r>
      <w:r w:rsidR="00F70C4B">
        <w:rPr>
          <w:lang w:eastAsia="zh-CN"/>
        </w:rPr>
        <w:t>1.27</w:t>
      </w:r>
      <w:r w:rsidR="00593CB0">
        <w:rPr>
          <w:rFonts w:hint="eastAsia"/>
          <w:lang w:eastAsia="zh-CN"/>
        </w:rPr>
        <w:t>万元，下降</w:t>
      </w:r>
      <w:r w:rsidR="00F70C4B">
        <w:rPr>
          <w:lang w:eastAsia="zh-CN"/>
        </w:rPr>
        <w:t>20.92</w:t>
      </w:r>
      <w:r w:rsidR="00593CB0">
        <w:rPr>
          <w:rFonts w:hint="eastAsia"/>
          <w:lang w:eastAsia="zh-CN"/>
        </w:rPr>
        <w:t>%</w:t>
      </w:r>
      <w:r w:rsidR="00593CB0">
        <w:rPr>
          <w:rFonts w:hint="eastAsia"/>
          <w:lang w:eastAsia="zh-CN"/>
        </w:rPr>
        <w:t>，下降原因主要是</w:t>
      </w:r>
      <w:r w:rsidR="00593CB0">
        <w:rPr>
          <w:rFonts w:ascii="仿宋_GB2312" w:hAnsi="仿宋" w:hint="eastAsia"/>
          <w:sz w:val="32"/>
          <w:szCs w:val="32"/>
          <w:lang w:eastAsia="zh-CN"/>
        </w:rPr>
        <w:t>人员调出</w:t>
      </w:r>
      <w:r w:rsidR="00F70C4B">
        <w:rPr>
          <w:rFonts w:ascii="仿宋_GB2312" w:hAnsi="仿宋" w:hint="eastAsia"/>
          <w:sz w:val="32"/>
          <w:szCs w:val="32"/>
          <w:lang w:eastAsia="zh-CN"/>
        </w:rPr>
        <w:t>及退休</w:t>
      </w:r>
      <w:r w:rsidR="00593CB0">
        <w:rPr>
          <w:rFonts w:ascii="仿宋_GB2312" w:hAnsi="仿宋" w:hint="eastAsia"/>
          <w:sz w:val="32"/>
          <w:szCs w:val="32"/>
          <w:lang w:eastAsia="zh-CN"/>
        </w:rPr>
        <w:t>，缴费减少</w:t>
      </w:r>
      <w:r w:rsidR="00593CB0">
        <w:rPr>
          <w:rFonts w:hint="eastAsia"/>
          <w:lang w:eastAsia="zh-CN"/>
        </w:rPr>
        <w:t>。</w:t>
      </w:r>
    </w:p>
    <w:p w:rsidR="00593CB0" w:rsidRDefault="00B20945" w:rsidP="00F70C4B">
      <w:pPr>
        <w:pStyle w:val="Style2"/>
        <w:spacing w:line="600" w:lineRule="exact"/>
        <w:rPr>
          <w:lang w:eastAsia="zh-CN"/>
        </w:rPr>
      </w:pPr>
      <w:r>
        <w:rPr>
          <w:lang w:eastAsia="zh-CN"/>
        </w:rPr>
        <w:t>8</w:t>
      </w:r>
      <w:r w:rsidR="00593CB0">
        <w:rPr>
          <w:rFonts w:hint="eastAsia"/>
          <w:lang w:eastAsia="zh-CN"/>
        </w:rPr>
        <w:t>.</w:t>
      </w:r>
      <w:r w:rsidR="00593CB0">
        <w:rPr>
          <w:rFonts w:hint="eastAsia"/>
          <w:b/>
          <w:bCs/>
          <w:lang w:eastAsia="zh-CN"/>
        </w:rPr>
        <w:t>卫生健康支出（类）</w:t>
      </w:r>
      <w:r w:rsidR="00593CB0">
        <w:rPr>
          <w:rFonts w:hint="eastAsia"/>
          <w:b/>
          <w:bCs/>
          <w:lang w:eastAsia="zh-CN"/>
        </w:rPr>
        <w:t xml:space="preserve">  </w:t>
      </w:r>
      <w:r w:rsidR="00593CB0">
        <w:rPr>
          <w:rFonts w:hint="eastAsia"/>
          <w:b/>
          <w:bCs/>
          <w:lang w:eastAsia="zh-CN"/>
        </w:rPr>
        <w:t>行政事业单位医疗（款）事业单位医疗（项）</w:t>
      </w:r>
      <w:r w:rsidR="00593CB0">
        <w:rPr>
          <w:rFonts w:hint="eastAsia"/>
          <w:lang w:eastAsia="zh-CN"/>
        </w:rPr>
        <w:t>202</w:t>
      </w:r>
      <w:r>
        <w:rPr>
          <w:lang w:eastAsia="zh-CN"/>
        </w:rPr>
        <w:t>2</w:t>
      </w:r>
      <w:r w:rsidR="00593CB0">
        <w:rPr>
          <w:rFonts w:hint="eastAsia"/>
          <w:lang w:eastAsia="zh-CN"/>
        </w:rPr>
        <w:t>年预算</w:t>
      </w:r>
      <w:r w:rsidR="00F70C4B">
        <w:rPr>
          <w:lang w:eastAsia="zh-CN"/>
        </w:rPr>
        <w:t>11.6</w:t>
      </w:r>
      <w:r w:rsidR="00593CB0">
        <w:rPr>
          <w:rFonts w:hint="eastAsia"/>
          <w:lang w:eastAsia="zh-CN"/>
        </w:rPr>
        <w:t>万元，比</w:t>
      </w:r>
      <w:r w:rsidR="00593CB0">
        <w:rPr>
          <w:rFonts w:hint="eastAsia"/>
          <w:lang w:eastAsia="zh-CN"/>
        </w:rPr>
        <w:t>202</w:t>
      </w:r>
      <w:r>
        <w:rPr>
          <w:lang w:eastAsia="zh-CN"/>
        </w:rPr>
        <w:t>1</w:t>
      </w:r>
      <w:r w:rsidR="00593CB0">
        <w:rPr>
          <w:rFonts w:hint="eastAsia"/>
          <w:lang w:eastAsia="zh-CN"/>
        </w:rPr>
        <w:t>年预算增加</w:t>
      </w:r>
      <w:r w:rsidR="00F70C4B">
        <w:rPr>
          <w:lang w:eastAsia="zh-CN"/>
        </w:rPr>
        <w:t>7.79</w:t>
      </w:r>
      <w:r w:rsidR="00593CB0">
        <w:rPr>
          <w:rFonts w:hint="eastAsia"/>
          <w:lang w:eastAsia="zh-CN"/>
        </w:rPr>
        <w:t>万元，</w:t>
      </w:r>
      <w:r>
        <w:rPr>
          <w:rFonts w:hint="eastAsia"/>
          <w:lang w:eastAsia="zh-CN"/>
        </w:rPr>
        <w:t>增长</w:t>
      </w:r>
      <w:r w:rsidR="00F70C4B">
        <w:rPr>
          <w:lang w:eastAsia="zh-CN"/>
        </w:rPr>
        <w:t>204.46</w:t>
      </w:r>
      <w:r w:rsidR="00593CB0">
        <w:rPr>
          <w:rFonts w:hint="eastAsia"/>
          <w:lang w:eastAsia="zh-CN"/>
        </w:rPr>
        <w:t>%</w:t>
      </w:r>
      <w:r w:rsidR="00593CB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增长</w:t>
      </w:r>
      <w:r w:rsidR="00593CB0">
        <w:rPr>
          <w:rFonts w:hint="eastAsia"/>
          <w:lang w:eastAsia="zh-CN"/>
        </w:rPr>
        <w:t>原因主要是</w:t>
      </w:r>
      <w:r>
        <w:rPr>
          <w:rFonts w:ascii="仿宋_GB2312" w:hAnsi="仿宋" w:hint="eastAsia"/>
          <w:sz w:val="32"/>
          <w:szCs w:val="32"/>
          <w:lang w:eastAsia="zh-CN"/>
        </w:rPr>
        <w:t>人员工资增加及增加退役军人预算支出</w:t>
      </w:r>
      <w:r w:rsidR="00593CB0">
        <w:rPr>
          <w:rFonts w:hint="eastAsia"/>
          <w:lang w:eastAsia="zh-CN"/>
        </w:rPr>
        <w:t>。</w:t>
      </w:r>
    </w:p>
    <w:p w:rsidR="00593CB0" w:rsidRDefault="00B20945" w:rsidP="00F70C4B">
      <w:pPr>
        <w:pStyle w:val="Style2"/>
        <w:spacing w:line="600" w:lineRule="exact"/>
        <w:rPr>
          <w:lang w:eastAsia="zh-CN"/>
        </w:rPr>
      </w:pPr>
      <w:r>
        <w:rPr>
          <w:lang w:eastAsia="zh-CN"/>
        </w:rPr>
        <w:t>9</w:t>
      </w:r>
      <w:r w:rsidR="00593CB0">
        <w:rPr>
          <w:rFonts w:hint="eastAsia"/>
          <w:lang w:eastAsia="zh-CN"/>
        </w:rPr>
        <w:t>.</w:t>
      </w:r>
      <w:r w:rsidR="00593CB0">
        <w:rPr>
          <w:rFonts w:hint="eastAsia"/>
          <w:b/>
          <w:bCs/>
          <w:lang w:eastAsia="zh-CN"/>
        </w:rPr>
        <w:t>卫生健康支出（类）</w:t>
      </w:r>
      <w:r w:rsidR="00593CB0">
        <w:rPr>
          <w:rFonts w:hint="eastAsia"/>
          <w:b/>
          <w:bCs/>
          <w:lang w:eastAsia="zh-CN"/>
        </w:rPr>
        <w:t xml:space="preserve">  </w:t>
      </w:r>
      <w:r w:rsidR="00593CB0">
        <w:rPr>
          <w:rFonts w:hint="eastAsia"/>
          <w:b/>
          <w:bCs/>
          <w:lang w:eastAsia="zh-CN"/>
        </w:rPr>
        <w:t>行政事业单位医疗（款）公务员医疗补助（项）</w:t>
      </w:r>
      <w:r w:rsidR="00593CB0">
        <w:rPr>
          <w:rFonts w:hint="eastAsia"/>
          <w:lang w:eastAsia="zh-CN"/>
        </w:rPr>
        <w:t>202</w:t>
      </w:r>
      <w:r>
        <w:rPr>
          <w:lang w:eastAsia="zh-CN"/>
        </w:rPr>
        <w:t>2</w:t>
      </w:r>
      <w:r w:rsidR="00593CB0">
        <w:rPr>
          <w:rFonts w:hint="eastAsia"/>
          <w:lang w:eastAsia="zh-CN"/>
        </w:rPr>
        <w:t>年预算</w:t>
      </w:r>
      <w:r>
        <w:rPr>
          <w:lang w:eastAsia="zh-CN"/>
        </w:rPr>
        <w:t>4.43</w:t>
      </w:r>
      <w:r w:rsidR="00593CB0">
        <w:rPr>
          <w:rFonts w:hint="eastAsia"/>
          <w:lang w:eastAsia="zh-CN"/>
        </w:rPr>
        <w:t>万元，比</w:t>
      </w:r>
      <w:r w:rsidR="00593CB0">
        <w:rPr>
          <w:rFonts w:hint="eastAsia"/>
          <w:lang w:eastAsia="zh-CN"/>
        </w:rPr>
        <w:t>202</w:t>
      </w:r>
      <w:r>
        <w:rPr>
          <w:lang w:eastAsia="zh-CN"/>
        </w:rPr>
        <w:t>1</w:t>
      </w:r>
      <w:r w:rsidR="00593CB0">
        <w:rPr>
          <w:rFonts w:hint="eastAsia"/>
          <w:lang w:eastAsia="zh-CN"/>
        </w:rPr>
        <w:t>年预算减少</w:t>
      </w:r>
      <w:r>
        <w:rPr>
          <w:lang w:eastAsia="zh-CN"/>
        </w:rPr>
        <w:t>0.45</w:t>
      </w:r>
      <w:r w:rsidR="00593CB0">
        <w:rPr>
          <w:rFonts w:hint="eastAsia"/>
          <w:lang w:eastAsia="zh-CN"/>
        </w:rPr>
        <w:t>万元，下降</w:t>
      </w:r>
      <w:r>
        <w:rPr>
          <w:lang w:eastAsia="zh-CN"/>
        </w:rPr>
        <w:t>9.22</w:t>
      </w:r>
      <w:r w:rsidR="00593CB0">
        <w:rPr>
          <w:rFonts w:hint="eastAsia"/>
          <w:lang w:eastAsia="zh-CN"/>
        </w:rPr>
        <w:t>%</w:t>
      </w:r>
      <w:r w:rsidR="00593CB0">
        <w:rPr>
          <w:rFonts w:hint="eastAsia"/>
          <w:lang w:eastAsia="zh-CN"/>
        </w:rPr>
        <w:t>，下降原因主要是</w:t>
      </w:r>
      <w:r w:rsidR="00593CB0">
        <w:rPr>
          <w:rFonts w:ascii="仿宋_GB2312" w:hAnsi="仿宋" w:hint="eastAsia"/>
          <w:sz w:val="32"/>
          <w:szCs w:val="32"/>
          <w:lang w:eastAsia="zh-CN"/>
        </w:rPr>
        <w:t>人员调出，缴费减少。</w:t>
      </w:r>
      <w:r w:rsidR="00593CB0">
        <w:rPr>
          <w:rFonts w:hint="eastAsia"/>
          <w:lang w:eastAsia="zh-CN"/>
        </w:rPr>
        <w:t xml:space="preserve">   </w:t>
      </w:r>
    </w:p>
    <w:p w:rsidR="00593CB0" w:rsidRDefault="00B20945" w:rsidP="00F70C4B">
      <w:pPr>
        <w:pStyle w:val="Style2"/>
        <w:spacing w:line="600" w:lineRule="exact"/>
        <w:rPr>
          <w:lang w:eastAsia="zh-CN"/>
        </w:rPr>
      </w:pPr>
      <w:r>
        <w:rPr>
          <w:lang w:eastAsia="zh-CN"/>
        </w:rPr>
        <w:lastRenderedPageBreak/>
        <w:t>10</w:t>
      </w:r>
      <w:r w:rsidR="00593CB0">
        <w:rPr>
          <w:rFonts w:hint="eastAsia"/>
          <w:lang w:eastAsia="zh-CN"/>
        </w:rPr>
        <w:t>.</w:t>
      </w:r>
      <w:r w:rsidR="00593CB0">
        <w:rPr>
          <w:rFonts w:hint="eastAsia"/>
          <w:b/>
          <w:bCs/>
          <w:lang w:eastAsia="zh-CN"/>
        </w:rPr>
        <w:t>卫生健康支出（类）</w:t>
      </w:r>
      <w:r w:rsidR="00593CB0">
        <w:rPr>
          <w:rFonts w:hint="eastAsia"/>
          <w:b/>
          <w:bCs/>
          <w:lang w:eastAsia="zh-CN"/>
        </w:rPr>
        <w:t xml:space="preserve">  </w:t>
      </w:r>
      <w:r w:rsidR="00593CB0">
        <w:rPr>
          <w:rFonts w:hint="eastAsia"/>
          <w:b/>
          <w:bCs/>
          <w:lang w:eastAsia="zh-CN"/>
        </w:rPr>
        <w:t>行政事业单位医疗（款）其他行政事业单位医疗支出（项）</w:t>
      </w:r>
      <w:r w:rsidR="00593CB0">
        <w:rPr>
          <w:rFonts w:hint="eastAsia"/>
          <w:lang w:eastAsia="zh-CN"/>
        </w:rPr>
        <w:t>202</w:t>
      </w:r>
      <w:r>
        <w:rPr>
          <w:lang w:eastAsia="zh-CN"/>
        </w:rPr>
        <w:t>2</w:t>
      </w:r>
      <w:r w:rsidR="00593CB0">
        <w:rPr>
          <w:rFonts w:hint="eastAsia"/>
          <w:lang w:eastAsia="zh-CN"/>
        </w:rPr>
        <w:t>年预算</w:t>
      </w:r>
      <w:r>
        <w:rPr>
          <w:lang w:eastAsia="zh-CN"/>
        </w:rPr>
        <w:t>4.08</w:t>
      </w:r>
      <w:r w:rsidR="00593CB0">
        <w:rPr>
          <w:rFonts w:hint="eastAsia"/>
          <w:lang w:eastAsia="zh-CN"/>
        </w:rPr>
        <w:t>万元，比</w:t>
      </w:r>
      <w:r w:rsidR="00593CB0">
        <w:rPr>
          <w:rFonts w:hint="eastAsia"/>
          <w:lang w:eastAsia="zh-CN"/>
        </w:rPr>
        <w:t>202</w:t>
      </w:r>
      <w:r>
        <w:rPr>
          <w:lang w:eastAsia="zh-CN"/>
        </w:rPr>
        <w:t>1</w:t>
      </w:r>
      <w:r w:rsidR="00593CB0">
        <w:rPr>
          <w:rFonts w:hint="eastAsia"/>
          <w:lang w:eastAsia="zh-CN"/>
        </w:rPr>
        <w:t>年预算</w:t>
      </w:r>
      <w:r>
        <w:rPr>
          <w:rFonts w:hint="eastAsia"/>
          <w:lang w:eastAsia="zh-CN"/>
        </w:rPr>
        <w:t>增加</w:t>
      </w:r>
      <w:r>
        <w:rPr>
          <w:lang w:eastAsia="zh-CN"/>
        </w:rPr>
        <w:t>2.59</w:t>
      </w:r>
      <w:r w:rsidR="00593CB0">
        <w:rPr>
          <w:rFonts w:hint="eastAsia"/>
          <w:lang w:eastAsia="zh-CN"/>
        </w:rPr>
        <w:t>万元，</w:t>
      </w:r>
      <w:r>
        <w:rPr>
          <w:rFonts w:hint="eastAsia"/>
          <w:lang w:eastAsia="zh-CN"/>
        </w:rPr>
        <w:t>增长</w:t>
      </w:r>
      <w:r>
        <w:rPr>
          <w:lang w:eastAsia="zh-CN"/>
        </w:rPr>
        <w:t>173.83</w:t>
      </w:r>
      <w:r w:rsidR="00593CB0">
        <w:rPr>
          <w:rFonts w:hint="eastAsia"/>
          <w:lang w:eastAsia="zh-CN"/>
        </w:rPr>
        <w:t>%</w:t>
      </w:r>
      <w:r w:rsidR="00593CB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增长</w:t>
      </w:r>
      <w:r w:rsidR="00593CB0">
        <w:rPr>
          <w:rFonts w:hint="eastAsia"/>
          <w:lang w:eastAsia="zh-CN"/>
        </w:rPr>
        <w:t>原因主要是</w:t>
      </w:r>
      <w:r>
        <w:rPr>
          <w:rFonts w:ascii="仿宋_GB2312" w:hAnsi="仿宋" w:hint="eastAsia"/>
          <w:sz w:val="32"/>
          <w:szCs w:val="32"/>
          <w:lang w:eastAsia="zh-CN"/>
        </w:rPr>
        <w:t>人员工资增加及增加退役军人预算支出</w:t>
      </w:r>
      <w:r w:rsidR="00593CB0">
        <w:rPr>
          <w:rFonts w:hint="eastAsia"/>
          <w:lang w:eastAsia="zh-CN"/>
        </w:rPr>
        <w:t>。</w:t>
      </w:r>
    </w:p>
    <w:p w:rsidR="00593CB0" w:rsidRDefault="00593CB0" w:rsidP="00F70C4B">
      <w:pPr>
        <w:adjustRightInd w:val="0"/>
        <w:snapToGrid w:val="0"/>
        <w:spacing w:line="600" w:lineRule="exact"/>
        <w:ind w:firstLineChars="200" w:firstLine="643"/>
        <w:rPr>
          <w:lang w:eastAsia="zh-CN"/>
        </w:rPr>
      </w:pPr>
      <w:r>
        <w:rPr>
          <w:rFonts w:ascii="仿宋_GB2312" w:eastAsia="仿宋_GB2312" w:hAnsi="仿宋"/>
          <w:b/>
          <w:sz w:val="32"/>
          <w:szCs w:val="32"/>
          <w:lang w:eastAsia="zh-CN"/>
        </w:rPr>
        <w:t>1</w:t>
      </w:r>
      <w:r w:rsidR="00B20945">
        <w:rPr>
          <w:rFonts w:ascii="仿宋_GB2312" w:eastAsia="仿宋_GB2312" w:hAnsi="仿宋"/>
          <w:b/>
          <w:sz w:val="32"/>
          <w:szCs w:val="32"/>
          <w:lang w:eastAsia="zh-CN"/>
        </w:rPr>
        <w:t>1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.住房保障支出（类）  住房改革支出（款）住房公积金（项）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202</w:t>
      </w:r>
      <w:r w:rsidR="00B20945">
        <w:rPr>
          <w:rFonts w:ascii="仿宋_GB2312" w:eastAsia="仿宋_GB2312" w:hAnsi="仿宋"/>
          <w:sz w:val="32"/>
          <w:szCs w:val="32"/>
          <w:lang w:eastAsia="zh-CN"/>
        </w:rPr>
        <w:t>2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 w:rsidR="00B20945">
        <w:rPr>
          <w:rFonts w:ascii="仿宋_GB2312" w:eastAsia="仿宋_GB2312" w:hAnsi="仿宋"/>
          <w:sz w:val="32"/>
          <w:szCs w:val="32"/>
          <w:lang w:eastAsia="zh-CN"/>
        </w:rPr>
        <w:t>30.75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万元，比202</w:t>
      </w:r>
      <w:r w:rsidR="00B20945">
        <w:rPr>
          <w:rFonts w:ascii="仿宋_GB2312" w:eastAsia="仿宋_GB2312" w:hAnsi="仿宋"/>
          <w:sz w:val="32"/>
          <w:szCs w:val="32"/>
          <w:lang w:eastAsia="zh-CN"/>
        </w:rPr>
        <w:t>1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年预算</w:t>
      </w:r>
      <w:r w:rsidR="00B20945">
        <w:rPr>
          <w:rFonts w:ascii="仿宋_GB2312" w:eastAsia="仿宋_GB2312" w:hAnsi="仿宋" w:hint="eastAsia"/>
          <w:sz w:val="32"/>
          <w:szCs w:val="32"/>
          <w:lang w:eastAsia="zh-CN"/>
        </w:rPr>
        <w:t>增加</w:t>
      </w:r>
      <w:r w:rsidR="00B20945">
        <w:rPr>
          <w:rFonts w:ascii="仿宋_GB2312" w:eastAsia="仿宋_GB2312" w:hAnsi="仿宋"/>
          <w:sz w:val="32"/>
          <w:szCs w:val="32"/>
          <w:lang w:eastAsia="zh-CN"/>
        </w:rPr>
        <w:t>11.6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万元，</w:t>
      </w:r>
      <w:r w:rsidR="00B20945">
        <w:rPr>
          <w:rFonts w:ascii="仿宋_GB2312" w:eastAsia="仿宋_GB2312" w:hAnsi="仿宋" w:hint="eastAsia"/>
          <w:sz w:val="32"/>
          <w:szCs w:val="32"/>
          <w:lang w:eastAsia="zh-CN"/>
        </w:rPr>
        <w:t>增长</w:t>
      </w:r>
      <w:r w:rsidR="00B20945">
        <w:rPr>
          <w:rFonts w:ascii="仿宋_GB2312" w:eastAsia="仿宋_GB2312" w:hAnsi="仿宋"/>
          <w:sz w:val="32"/>
          <w:szCs w:val="32"/>
          <w:lang w:eastAsia="zh-CN"/>
        </w:rPr>
        <w:t>60.57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%，</w:t>
      </w:r>
      <w:r w:rsidR="00B20945" w:rsidRPr="00B20945">
        <w:rPr>
          <w:rFonts w:ascii="仿宋_GB2312" w:eastAsia="仿宋_GB2312" w:hAnsi="仿宋" w:hint="eastAsia"/>
          <w:sz w:val="32"/>
          <w:szCs w:val="32"/>
          <w:lang w:eastAsia="zh-CN"/>
        </w:rPr>
        <w:t>增长原因主要是</w:t>
      </w:r>
      <w:r w:rsidR="00B20945">
        <w:rPr>
          <w:rFonts w:ascii="仿宋_GB2312" w:eastAsia="仿宋_GB2312" w:hAnsi="仿宋" w:hint="eastAsia"/>
          <w:sz w:val="32"/>
          <w:szCs w:val="32"/>
          <w:lang w:eastAsia="zh-CN"/>
        </w:rPr>
        <w:t>人员工资增加及增加退役军人预算支出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 w:rsidR="00421BAF" w:rsidRDefault="00E9673C" w:rsidP="00F70C4B">
      <w:pPr>
        <w:pStyle w:val="Bodytext10"/>
        <w:tabs>
          <w:tab w:val="left" w:pos="1304"/>
        </w:tabs>
        <w:spacing w:line="600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r>
        <w:rPr>
          <w:rFonts w:ascii="黑体" w:eastAsia="黑体" w:hAnsi="黑体" w:hint="eastAsia"/>
          <w:bCs/>
          <w:lang w:val="en-US" w:eastAsia="zh-CN" w:bidi="en-US"/>
        </w:rPr>
        <w:t>六</w:t>
      </w:r>
      <w:bookmarkEnd w:id="73"/>
      <w:r>
        <w:rPr>
          <w:rFonts w:ascii="黑体" w:eastAsia="黑体" w:hAnsi="黑体" w:hint="eastAsia"/>
          <w:bCs/>
          <w:lang w:val="en-US" w:eastAsia="zh-CN" w:bidi="en-US"/>
        </w:rPr>
        <w:t>、关于2022年一般公共预算基本支出表的说明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2022年一般公共预算基本支出</w:t>
      </w:r>
      <w:r w:rsidR="00B20945">
        <w:rPr>
          <w:rFonts w:ascii="仿宋_GB2312" w:eastAsia="仿宋_GB2312" w:hAnsi="仿宋" w:cs="Times New Roman"/>
          <w:kern w:val="2"/>
          <w:lang w:val="en-US" w:eastAsia="zh-CN" w:bidi="ar-SA"/>
        </w:rPr>
        <w:t>515.87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万元，其中，人员经费</w:t>
      </w:r>
      <w:r w:rsidR="00B20945">
        <w:rPr>
          <w:rFonts w:ascii="仿宋_GB2312" w:eastAsia="仿宋_GB2312" w:hAnsi="仿宋" w:cs="Times New Roman"/>
          <w:kern w:val="2"/>
          <w:lang w:val="en-US" w:eastAsia="zh-CN" w:bidi="ar-SA"/>
        </w:rPr>
        <w:t>464.13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万元，公用经费</w:t>
      </w:r>
      <w:r w:rsidR="00B20945">
        <w:rPr>
          <w:rFonts w:ascii="仿宋_GB2312" w:eastAsia="仿宋_GB2312" w:hAnsi="仿宋" w:cs="Times New Roman"/>
          <w:kern w:val="2"/>
          <w:lang w:val="en-US" w:eastAsia="zh-CN" w:bidi="ar-SA"/>
        </w:rPr>
        <w:t>51.74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万元。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bookmarkStart w:id="74" w:name="bookmark111"/>
      <w:r>
        <w:rPr>
          <w:rFonts w:ascii="仿宋_GB2312" w:eastAsia="仿宋_GB2312" w:hAnsi="仿宋" w:cs="Times New Roman" w:hint="eastAsia"/>
          <w:b/>
          <w:bCs/>
          <w:kern w:val="2"/>
          <w:lang w:val="en-US" w:eastAsia="zh-CN" w:bidi="ar-SA"/>
        </w:rPr>
        <w:t>（</w:t>
      </w:r>
      <w:bookmarkEnd w:id="74"/>
      <w:r>
        <w:rPr>
          <w:rFonts w:ascii="仿宋_GB2312" w:eastAsia="仿宋_GB2312" w:hAnsi="仿宋" w:cs="Times New Roman" w:hint="eastAsia"/>
          <w:b/>
          <w:bCs/>
          <w:kern w:val="2"/>
          <w:lang w:val="en-US" w:eastAsia="zh-CN" w:bidi="ar-SA"/>
        </w:rPr>
        <w:t>一）人员经费</w:t>
      </w:r>
      <w:r w:rsidR="00B20945">
        <w:rPr>
          <w:rFonts w:ascii="仿宋_GB2312" w:eastAsia="仿宋_GB2312" w:hAnsi="仿宋" w:cs="Times New Roman"/>
          <w:b/>
          <w:bCs/>
          <w:kern w:val="2"/>
          <w:lang w:val="en-US" w:eastAsia="zh-CN" w:bidi="ar-SA"/>
        </w:rPr>
        <w:t>464.13</w:t>
      </w:r>
      <w:r>
        <w:rPr>
          <w:rFonts w:ascii="仿宋_GB2312" w:eastAsia="仿宋_GB2312" w:hAnsi="仿宋" w:cs="Times New Roman" w:hint="eastAsia"/>
          <w:b/>
          <w:bCs/>
          <w:kern w:val="2"/>
          <w:lang w:val="en-US" w:eastAsia="zh-CN" w:bidi="ar-SA"/>
        </w:rPr>
        <w:t>万元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，主要包括:基本工资、津贴补贴、</w:t>
      </w:r>
      <w:r w:rsidR="00B20945">
        <w:rPr>
          <w:rFonts w:ascii="仿宋_GB2312" w:eastAsia="仿宋_GB2312" w:hAnsi="仿宋" w:cs="Times New Roman" w:hint="eastAsia"/>
          <w:kern w:val="2"/>
          <w:lang w:val="en-US" w:eastAsia="zh-CN" w:bidi="ar-SA"/>
        </w:rPr>
        <w:t>奖金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、绩效工资、机关事业单位基本养老保险费、职业年金缴费、职工基本医疗保险缴费、公务员医疗补助缴费、其他社会保障缴费、住房公积金、其他工资福利支出、离休费、退休费、生活补助、医疗费补助、对其他个人和家庭的补助支出。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b/>
          <w:bCs/>
          <w:kern w:val="2"/>
          <w:lang w:val="en-US" w:eastAsia="zh-CN" w:bidi="ar-SA"/>
        </w:rPr>
        <w:t>（二）公用经费</w:t>
      </w:r>
      <w:r w:rsidR="00B20945">
        <w:rPr>
          <w:rFonts w:ascii="仿宋_GB2312" w:eastAsia="仿宋_GB2312" w:hAnsi="仿宋" w:cs="Times New Roman"/>
          <w:b/>
          <w:bCs/>
          <w:kern w:val="2"/>
          <w:lang w:val="en-US" w:eastAsia="zh-CN" w:bidi="ar-SA"/>
        </w:rPr>
        <w:t>51.74</w:t>
      </w:r>
      <w:r>
        <w:rPr>
          <w:rFonts w:ascii="仿宋_GB2312" w:eastAsia="仿宋_GB2312" w:hAnsi="仿宋" w:cs="Times New Roman" w:hint="eastAsia"/>
          <w:b/>
          <w:bCs/>
          <w:kern w:val="2"/>
          <w:lang w:val="en-US" w:eastAsia="zh-CN" w:bidi="ar-SA"/>
        </w:rPr>
        <w:t>万元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，主要包括:办公费、水费、电费、邮电费、差旅费、工会经费、福利费、公务用车运行维护费、其他交通费用、</w:t>
      </w:r>
      <w:r w:rsidR="00B20945">
        <w:rPr>
          <w:rFonts w:ascii="仿宋_GB2312" w:eastAsia="仿宋_GB2312" w:hAnsi="仿宋" w:cs="Times New Roman" w:hint="eastAsia"/>
          <w:kern w:val="2"/>
          <w:lang w:val="en-US" w:eastAsia="zh-CN" w:bidi="ar-SA"/>
        </w:rPr>
        <w:t>其他商品服务支出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。</w:t>
      </w:r>
    </w:p>
    <w:p w:rsidR="00421BAF" w:rsidRDefault="00E9673C">
      <w:pPr>
        <w:pStyle w:val="Bodytext10"/>
        <w:tabs>
          <w:tab w:val="left" w:pos="1304"/>
        </w:tabs>
        <w:spacing w:line="583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bookmarkStart w:id="75" w:name="bookmark113"/>
      <w:r>
        <w:rPr>
          <w:rFonts w:ascii="黑体" w:eastAsia="黑体" w:hAnsi="黑体" w:hint="eastAsia"/>
          <w:bCs/>
          <w:lang w:val="en-US" w:eastAsia="zh-CN" w:bidi="en-US"/>
        </w:rPr>
        <w:t>七</w:t>
      </w:r>
      <w:bookmarkEnd w:id="75"/>
      <w:r>
        <w:rPr>
          <w:rFonts w:ascii="黑体" w:eastAsia="黑体" w:hAnsi="黑体" w:hint="eastAsia"/>
          <w:bCs/>
          <w:lang w:val="en-US" w:eastAsia="zh-CN" w:bidi="en-US"/>
        </w:rPr>
        <w:t>、关于2022年政府性基金预算支出表的说明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2022年没有政府性基金预算拨款收入，也没有使用政府性基金预算拨款安排的支出。</w:t>
      </w:r>
    </w:p>
    <w:p w:rsidR="00421BAF" w:rsidRDefault="00E9673C">
      <w:pPr>
        <w:pStyle w:val="Bodytext10"/>
        <w:tabs>
          <w:tab w:val="left" w:pos="1304"/>
        </w:tabs>
        <w:spacing w:line="583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bookmarkStart w:id="76" w:name="bookmark116"/>
      <w:r>
        <w:rPr>
          <w:rFonts w:ascii="黑体" w:eastAsia="黑体" w:hAnsi="黑体" w:hint="eastAsia"/>
          <w:bCs/>
          <w:lang w:val="en-US" w:eastAsia="zh-CN" w:bidi="en-US"/>
        </w:rPr>
        <w:t>八</w:t>
      </w:r>
      <w:bookmarkEnd w:id="76"/>
      <w:r>
        <w:rPr>
          <w:rFonts w:ascii="黑体" w:eastAsia="黑体" w:hAnsi="黑体" w:hint="eastAsia"/>
          <w:bCs/>
          <w:lang w:val="en-US" w:eastAsia="zh-CN" w:bidi="en-US"/>
        </w:rPr>
        <w:t>、关于2022年国有资本经营预算支出表的说明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lastRenderedPageBreak/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2022年没有国有资本经营预算拨款收入，也没有使用国有资本经营预算拨款安排的支出。</w:t>
      </w:r>
    </w:p>
    <w:p w:rsidR="00421BAF" w:rsidRDefault="00E9673C">
      <w:pPr>
        <w:pStyle w:val="Bodytext10"/>
        <w:tabs>
          <w:tab w:val="left" w:pos="1304"/>
        </w:tabs>
        <w:spacing w:line="583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r>
        <w:rPr>
          <w:rFonts w:ascii="黑体" w:eastAsia="黑体" w:hAnsi="黑体" w:hint="eastAsia"/>
          <w:bCs/>
          <w:lang w:val="en-US" w:eastAsia="zh-CN" w:bidi="en-US"/>
        </w:rPr>
        <w:t>九、关于2022年项目支出表的说明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2022年没有使用一般公共预算拨款、政府性基金预算拨款、国有资本经营预算拨款、财政专户管理资金和单位资金安排的项目</w:t>
      </w:r>
      <w:r>
        <w:rPr>
          <w:rFonts w:ascii="仿宋_GB2312" w:eastAsia="仿宋_GB2312" w:hAnsi="仿宋" w:cs="Times New Roman" w:hint="eastAsia"/>
          <w:kern w:val="2"/>
          <w:lang w:val="zh-CN" w:eastAsia="zh-CN" w:bidi="ar-SA"/>
        </w:rPr>
        <w:t>支出。</w:t>
      </w:r>
    </w:p>
    <w:p w:rsidR="00421BAF" w:rsidRDefault="00E9673C">
      <w:pPr>
        <w:pStyle w:val="Bodytext10"/>
        <w:tabs>
          <w:tab w:val="left" w:pos="1304"/>
        </w:tabs>
        <w:spacing w:line="583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r>
        <w:rPr>
          <w:rFonts w:ascii="黑体" w:eastAsia="黑体" w:hAnsi="黑体" w:hint="eastAsia"/>
          <w:bCs/>
          <w:lang w:val="en-US" w:eastAsia="zh-CN" w:bidi="en-US"/>
        </w:rPr>
        <w:t>十、关于2022年政府采购支出表的说明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2022年没有使用一般公共预算拨款、政府性基金预算拨款、国有资本经营预算拨款、财政专户管理资金和单位资金安排的政府采购支出。</w:t>
      </w:r>
    </w:p>
    <w:p w:rsidR="00421BAF" w:rsidRDefault="00E9673C">
      <w:pPr>
        <w:pStyle w:val="Bodytext10"/>
        <w:tabs>
          <w:tab w:val="left" w:pos="1304"/>
        </w:tabs>
        <w:spacing w:line="583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r>
        <w:rPr>
          <w:rFonts w:ascii="黑体" w:eastAsia="黑体" w:hAnsi="黑体" w:hint="eastAsia"/>
          <w:bCs/>
          <w:lang w:val="en-US" w:eastAsia="zh-CN" w:bidi="en-US"/>
        </w:rPr>
        <w:t>十一、关于2022年政府购买服务支出表的说明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2022年没有安排政府购买服务支出。</w:t>
      </w:r>
    </w:p>
    <w:p w:rsidR="00421BAF" w:rsidRDefault="00E9673C">
      <w:pPr>
        <w:pStyle w:val="Bodytext10"/>
        <w:tabs>
          <w:tab w:val="left" w:pos="1304"/>
        </w:tabs>
        <w:spacing w:line="583" w:lineRule="exact"/>
        <w:ind w:firstLine="680"/>
        <w:jc w:val="both"/>
        <w:rPr>
          <w:rFonts w:ascii="黑体" w:eastAsia="黑体" w:hAnsi="黑体"/>
          <w:bCs/>
          <w:lang w:val="en-US" w:eastAsia="zh-CN" w:bidi="en-US"/>
        </w:rPr>
      </w:pPr>
      <w:r>
        <w:rPr>
          <w:rFonts w:ascii="黑体" w:eastAsia="黑体" w:hAnsi="黑体" w:hint="eastAsia"/>
          <w:bCs/>
          <w:lang w:val="en-US" w:eastAsia="zh-CN" w:bidi="en-US"/>
        </w:rPr>
        <w:t>十二、其他重要事项情况说明</w:t>
      </w:r>
    </w:p>
    <w:p w:rsidR="00421BAF" w:rsidRDefault="00E9673C">
      <w:pPr>
        <w:pStyle w:val="Bodytext10"/>
        <w:spacing w:line="581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（</w:t>
      </w:r>
      <w:r w:rsidR="00597D03">
        <w:rPr>
          <w:rFonts w:asciiTheme="minorEastAsia" w:eastAsiaTheme="minorEastAsia" w:hAnsiTheme="minorEastAsia" w:cs="Times New Roman" w:hint="eastAsia"/>
          <w:b/>
          <w:bCs/>
          <w:lang w:eastAsia="zh-CN"/>
        </w:rPr>
        <w:t>一</w:t>
      </w:r>
      <w:r>
        <w:rPr>
          <w:rFonts w:ascii="Times New Roman" w:eastAsia="Times New Roman" w:hAnsi="Times New Roman" w:cs="Times New Roman"/>
          <w:b/>
          <w:bCs/>
        </w:rPr>
        <w:t>）机关运行经费。</w:t>
      </w:r>
    </w:p>
    <w:p w:rsidR="007E61A1" w:rsidRDefault="00E9673C" w:rsidP="007E61A1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2022年机关运行经费财政拨款预算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51.74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万元，比2021年预算减少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1.37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万元，下降</w:t>
      </w:r>
      <w:r w:rsidR="00597D03">
        <w:rPr>
          <w:rFonts w:ascii="仿宋_GB2312" w:eastAsia="仿宋_GB2312" w:hAnsi="仿宋" w:cs="Times New Roman" w:hint="eastAsia"/>
          <w:kern w:val="2"/>
          <w:lang w:val="en-US" w:eastAsia="zh-CN" w:bidi="ar-SA"/>
        </w:rPr>
        <w:t>2.58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%,下降主要原因是</w:t>
      </w:r>
      <w:r w:rsidR="00597D03">
        <w:rPr>
          <w:rFonts w:ascii="仿宋_GB2312" w:eastAsia="仿宋_GB2312" w:hAnsi="仿宋" w:cs="Times New Roman" w:hint="eastAsia"/>
          <w:kern w:val="2"/>
          <w:lang w:val="en-US" w:eastAsia="zh-CN" w:bidi="ar-SA"/>
        </w:rPr>
        <w:t>人员调出及退休，机关运行开支减少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。</w:t>
      </w:r>
      <w:bookmarkStart w:id="77" w:name="bookmark126"/>
    </w:p>
    <w:p w:rsidR="00421BAF" w:rsidRDefault="00E9673C" w:rsidP="007E61A1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（</w:t>
      </w:r>
      <w:bookmarkEnd w:id="77"/>
      <w:r w:rsidR="00597D03">
        <w:rPr>
          <w:rFonts w:asciiTheme="minorEastAsia" w:eastAsiaTheme="minorEastAsia" w:hAnsiTheme="minorEastAsia" w:cs="Times New Roman" w:hint="eastAsia"/>
          <w:b/>
          <w:bCs/>
          <w:lang w:eastAsia="zh-CN"/>
        </w:rPr>
        <w:t>二</w:t>
      </w:r>
      <w:r>
        <w:rPr>
          <w:rFonts w:ascii="Times New Roman" w:eastAsia="Times New Roman" w:hAnsi="Times New Roman" w:cs="Times New Roman"/>
          <w:b/>
          <w:bCs/>
        </w:rPr>
        <w:t>）政府采购情况。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</w:t>
      </w:r>
      <w:r w:rsidR="00597D03">
        <w:rPr>
          <w:rFonts w:ascii="仿宋_GB2312" w:eastAsia="仿宋_GB2312" w:hAnsi="仿宋" w:cs="Times New Roman" w:hint="eastAsia"/>
          <w:kern w:val="2"/>
          <w:lang w:val="en-US" w:eastAsia="zh-CN" w:bidi="ar-SA"/>
        </w:rPr>
        <w:t>无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政府采购。</w:t>
      </w:r>
    </w:p>
    <w:p w:rsidR="00421BAF" w:rsidRDefault="00E9673C">
      <w:pPr>
        <w:pStyle w:val="Bodytext10"/>
        <w:spacing w:line="581" w:lineRule="exact"/>
        <w:rPr>
          <w:rFonts w:ascii="Times New Roman" w:eastAsia="Times New Roman" w:hAnsi="Times New Roman" w:cs="Times New Roman"/>
          <w:b/>
          <w:bCs/>
        </w:rPr>
      </w:pPr>
      <w:bookmarkStart w:id="78" w:name="bookmark127"/>
      <w:r>
        <w:rPr>
          <w:rFonts w:ascii="Times New Roman" w:eastAsia="Times New Roman" w:hAnsi="Times New Roman" w:cs="Times New Roman"/>
          <w:b/>
          <w:bCs/>
        </w:rPr>
        <w:t>（</w:t>
      </w:r>
      <w:bookmarkEnd w:id="78"/>
      <w:r w:rsidR="00597D03">
        <w:rPr>
          <w:rFonts w:asciiTheme="minorEastAsia" w:eastAsiaTheme="minorEastAsia" w:hAnsiTheme="minorEastAsia" w:cs="Times New Roman" w:hint="eastAsia"/>
          <w:b/>
          <w:bCs/>
          <w:lang w:eastAsia="zh-CN"/>
        </w:rPr>
        <w:t>三</w:t>
      </w:r>
      <w:r>
        <w:rPr>
          <w:rFonts w:ascii="Times New Roman" w:eastAsia="Times New Roman" w:hAnsi="Times New Roman" w:cs="Times New Roman"/>
          <w:b/>
          <w:bCs/>
        </w:rPr>
        <w:t>）国有资产占有使用情况。</w:t>
      </w:r>
    </w:p>
    <w:p w:rsidR="007E61A1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截至2021年12月31日，埇桥区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共有车辆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5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辆，其中其他用车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5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辆。单位价值50万元以上的通用设备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台（套），单位价值100万元以上的专用设备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台（套）。</w:t>
      </w:r>
    </w:p>
    <w:p w:rsidR="00421BAF" w:rsidRDefault="00E9673C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lastRenderedPageBreak/>
        <w:t>2022年部门预算安排购置公务用车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辆，购置费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</w:t>
      </w:r>
      <w:r w:rsidR="00597D03">
        <w:rPr>
          <w:rFonts w:ascii="仿宋_GB2312" w:eastAsia="仿宋_GB2312" w:hAnsi="仿宋" w:cs="Times New Roman" w:hint="eastAsia"/>
          <w:kern w:val="2"/>
          <w:lang w:val="en-US" w:eastAsia="zh-CN" w:bidi="ar-SA"/>
        </w:rPr>
        <w:t>元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;安排购置单位价值50万元以上的通用设备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台（套），购置费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万元；安排购置单位价值100万元以上专用设备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台（套），购置费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万元。</w:t>
      </w:r>
    </w:p>
    <w:p w:rsidR="00421BAF" w:rsidRDefault="00E9673C">
      <w:pPr>
        <w:pStyle w:val="Bodytext10"/>
        <w:spacing w:line="581" w:lineRule="exact"/>
        <w:rPr>
          <w:rFonts w:ascii="Times New Roman" w:eastAsia="Times New Roman" w:hAnsi="Times New Roman" w:cs="Times New Roman"/>
          <w:b/>
          <w:bCs/>
        </w:rPr>
      </w:pPr>
      <w:bookmarkStart w:id="79" w:name="bookmark128"/>
      <w:r>
        <w:rPr>
          <w:rFonts w:ascii="Times New Roman" w:eastAsia="Times New Roman" w:hAnsi="Times New Roman" w:cs="Times New Roman"/>
          <w:b/>
          <w:bCs/>
        </w:rPr>
        <w:t>（</w:t>
      </w:r>
      <w:bookmarkEnd w:id="79"/>
      <w:r w:rsidR="00597D03">
        <w:rPr>
          <w:rFonts w:asciiTheme="minorEastAsia" w:eastAsiaTheme="minorEastAsia" w:hAnsiTheme="minorEastAsia" w:cs="Times New Roman" w:hint="eastAsia"/>
          <w:b/>
          <w:bCs/>
          <w:lang w:eastAsia="zh-CN"/>
        </w:rPr>
        <w:t>四</w:t>
      </w:r>
      <w:r>
        <w:rPr>
          <w:rFonts w:ascii="Times New Roman" w:eastAsia="Times New Roman" w:hAnsi="Times New Roman" w:cs="Times New Roman"/>
          <w:b/>
          <w:bCs/>
        </w:rPr>
        <w:t>）绩效目标设置情况。</w:t>
      </w:r>
    </w:p>
    <w:p w:rsidR="00421BAF" w:rsidRDefault="00E9673C" w:rsidP="00180738">
      <w:pPr>
        <w:pStyle w:val="Bodytext1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eastAsia="仿宋_GB2312" w:hAnsi="仿宋" w:cs="Times New Roman"/>
          <w:kern w:val="2"/>
          <w:lang w:val="en-US" w:eastAsia="zh-CN" w:bidi="ar-SA"/>
        </w:rPr>
        <w:sectPr w:rsidR="00421BAF">
          <w:headerReference w:type="even" r:id="rId34"/>
          <w:headerReference w:type="default" r:id="rId35"/>
          <w:footerReference w:type="even" r:id="rId36"/>
          <w:footerReference w:type="default" r:id="rId37"/>
          <w:pgSz w:w="11900" w:h="16840"/>
          <w:pgMar w:top="1378" w:right="1625" w:bottom="1560" w:left="1433" w:header="0" w:footer="3" w:gutter="0"/>
          <w:cols w:space="720"/>
          <w:docGrid w:linePitch="360"/>
        </w:sectPr>
      </w:pP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2022年，埇桥区</w:t>
      </w:r>
      <w:r w:rsidR="004E626A">
        <w:rPr>
          <w:rFonts w:ascii="仿宋_GB2312" w:eastAsia="仿宋_GB2312" w:hAnsi="仿宋" w:cs="Times New Roman" w:hint="eastAsia"/>
          <w:kern w:val="2"/>
          <w:lang w:val="en-US" w:eastAsia="zh-CN" w:bidi="ar-SA"/>
        </w:rPr>
        <w:t>北杨寨行管区</w:t>
      </w:r>
      <w:r w:rsidR="00597D03">
        <w:rPr>
          <w:rFonts w:ascii="仿宋_GB2312" w:eastAsia="仿宋_GB2312" w:hAnsi="仿宋" w:cs="Times New Roman"/>
          <w:kern w:val="2"/>
          <w:lang w:val="en-US" w:eastAsia="zh-CN" w:bidi="ar-SA"/>
        </w:rPr>
        <w:t>0</w:t>
      </w:r>
      <w:r>
        <w:rPr>
          <w:rFonts w:ascii="仿宋_GB2312" w:eastAsia="仿宋_GB2312" w:hAnsi="仿宋" w:cs="Times New Roman" w:hint="eastAsia"/>
          <w:kern w:val="2"/>
          <w:lang w:val="en-US" w:eastAsia="zh-CN" w:bidi="ar-SA"/>
        </w:rPr>
        <w:t>个项目实行了绩效目标管理。</w:t>
      </w:r>
    </w:p>
    <w:p w:rsidR="00421BAF" w:rsidRDefault="00E9673C" w:rsidP="007015C4">
      <w:pPr>
        <w:pStyle w:val="Bodytext10"/>
        <w:spacing w:line="560" w:lineRule="exact"/>
        <w:ind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第四部分名词解释</w:t>
      </w:r>
    </w:p>
    <w:p w:rsidR="00421BAF" w:rsidRDefault="00E9673C" w:rsidP="007015C4">
      <w:pPr>
        <w:pStyle w:val="Bodytext10"/>
        <w:tabs>
          <w:tab w:val="left" w:pos="1271"/>
        </w:tabs>
        <w:spacing w:line="560" w:lineRule="exact"/>
        <w:jc w:val="both"/>
      </w:pPr>
      <w:bookmarkStart w:id="80" w:name="bookmark129"/>
      <w:r>
        <w:rPr>
          <w:b/>
          <w:bCs/>
        </w:rPr>
        <w:t>一</w:t>
      </w:r>
      <w:bookmarkEnd w:id="80"/>
      <w:r>
        <w:rPr>
          <w:b/>
          <w:bCs/>
        </w:rPr>
        <w:t>、</w:t>
      </w:r>
      <w:r>
        <w:rPr>
          <w:b/>
          <w:bCs/>
        </w:rPr>
        <w:tab/>
        <w:t>财政拨款收入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指部门或单位从同级财政部门取得的财政预算资金。</w:t>
      </w:r>
    </w:p>
    <w:p w:rsidR="00421BAF" w:rsidRDefault="00E9673C" w:rsidP="007015C4">
      <w:pPr>
        <w:pStyle w:val="Bodytext10"/>
        <w:tabs>
          <w:tab w:val="left" w:pos="1275"/>
        </w:tabs>
        <w:spacing w:line="560" w:lineRule="exact"/>
        <w:jc w:val="both"/>
      </w:pPr>
      <w:bookmarkStart w:id="81" w:name="bookmark130"/>
      <w:r>
        <w:rPr>
          <w:b/>
          <w:bCs/>
        </w:rPr>
        <w:t>二</w:t>
      </w:r>
      <w:bookmarkEnd w:id="81"/>
      <w:r>
        <w:rPr>
          <w:b/>
          <w:bCs/>
        </w:rPr>
        <w:t>、</w:t>
      </w:r>
      <w:r>
        <w:rPr>
          <w:b/>
          <w:bCs/>
        </w:rPr>
        <w:tab/>
        <w:t>事业收入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指事业单位开展专业业务活动及辅助活动所取得的收入。</w:t>
      </w:r>
    </w:p>
    <w:p w:rsidR="00421BAF" w:rsidRDefault="00E9673C" w:rsidP="007015C4">
      <w:pPr>
        <w:pStyle w:val="Bodytext10"/>
        <w:tabs>
          <w:tab w:val="left" w:pos="1275"/>
        </w:tabs>
        <w:spacing w:line="560" w:lineRule="exact"/>
        <w:jc w:val="both"/>
      </w:pPr>
      <w:bookmarkStart w:id="82" w:name="bookmark131"/>
      <w:r>
        <w:rPr>
          <w:b/>
          <w:bCs/>
        </w:rPr>
        <w:t>三</w:t>
      </w:r>
      <w:bookmarkEnd w:id="82"/>
      <w:r>
        <w:rPr>
          <w:b/>
          <w:bCs/>
        </w:rPr>
        <w:t>、</w:t>
      </w:r>
      <w:r>
        <w:rPr>
          <w:b/>
          <w:bCs/>
        </w:rPr>
        <w:tab/>
        <w:t>财政专户管理资金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指按照非税收入管理相关规定，纳入财政专户管理的教育收费等。</w:t>
      </w:r>
    </w:p>
    <w:p w:rsidR="00421BAF" w:rsidRDefault="00E9673C" w:rsidP="007015C4">
      <w:pPr>
        <w:pStyle w:val="Bodytext10"/>
        <w:tabs>
          <w:tab w:val="left" w:pos="1304"/>
        </w:tabs>
        <w:spacing w:line="560" w:lineRule="exact"/>
        <w:jc w:val="both"/>
      </w:pPr>
      <w:bookmarkStart w:id="83" w:name="bookmark132"/>
      <w:r>
        <w:rPr>
          <w:b/>
          <w:bCs/>
        </w:rPr>
        <w:t>四</w:t>
      </w:r>
      <w:bookmarkEnd w:id="83"/>
      <w:r>
        <w:rPr>
          <w:b/>
          <w:bCs/>
        </w:rPr>
        <w:t>、</w:t>
      </w:r>
      <w:r>
        <w:rPr>
          <w:b/>
          <w:bCs/>
        </w:rPr>
        <w:tab/>
        <w:t>事业单位经营收入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指事业单位在专业业务活动及其辅 助活动之外开展非独立核算经营活动取得的收入。</w:t>
      </w:r>
    </w:p>
    <w:p w:rsidR="00421BAF" w:rsidRDefault="00E9673C" w:rsidP="007015C4">
      <w:pPr>
        <w:pStyle w:val="Bodytext10"/>
        <w:tabs>
          <w:tab w:val="left" w:pos="1271"/>
        </w:tabs>
        <w:spacing w:line="560" w:lineRule="exact"/>
        <w:jc w:val="both"/>
      </w:pPr>
      <w:bookmarkStart w:id="84" w:name="bookmark133"/>
      <w:r>
        <w:rPr>
          <w:b/>
          <w:bCs/>
        </w:rPr>
        <w:t>五</w:t>
      </w:r>
      <w:bookmarkEnd w:id="84"/>
      <w:r>
        <w:rPr>
          <w:b/>
          <w:bCs/>
        </w:rPr>
        <w:t>、</w:t>
      </w:r>
      <w:r>
        <w:rPr>
          <w:b/>
          <w:bCs/>
        </w:rPr>
        <w:tab/>
        <w:t>附属单位上缴收入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本单位所属下级单位上缴给本单位的全部收入。</w:t>
      </w:r>
    </w:p>
    <w:p w:rsidR="00421BAF" w:rsidRDefault="00E9673C" w:rsidP="007015C4">
      <w:pPr>
        <w:pStyle w:val="Bodytext10"/>
        <w:tabs>
          <w:tab w:val="left" w:pos="1280"/>
        </w:tabs>
        <w:spacing w:line="560" w:lineRule="exact"/>
        <w:jc w:val="both"/>
      </w:pPr>
      <w:bookmarkStart w:id="85" w:name="bookmark134"/>
      <w:r>
        <w:rPr>
          <w:b/>
          <w:bCs/>
        </w:rPr>
        <w:t>六</w:t>
      </w:r>
      <w:bookmarkEnd w:id="85"/>
      <w:r>
        <w:rPr>
          <w:b/>
          <w:bCs/>
        </w:rPr>
        <w:t>、</w:t>
      </w:r>
      <w:r>
        <w:rPr>
          <w:b/>
          <w:bCs/>
        </w:rPr>
        <w:tab/>
        <w:t>上年结转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指以前年度安排、结转到本年仍按原用途继续使用的资金。</w:t>
      </w:r>
    </w:p>
    <w:p w:rsidR="00421BAF" w:rsidRDefault="00E9673C" w:rsidP="007015C4">
      <w:pPr>
        <w:pStyle w:val="Bodytext10"/>
        <w:tabs>
          <w:tab w:val="left" w:pos="1271"/>
        </w:tabs>
        <w:spacing w:line="560" w:lineRule="exact"/>
        <w:jc w:val="both"/>
      </w:pPr>
      <w:bookmarkStart w:id="86" w:name="bookmark135"/>
      <w:r>
        <w:rPr>
          <w:b/>
          <w:bCs/>
        </w:rPr>
        <w:t>七</w:t>
      </w:r>
      <w:bookmarkEnd w:id="86"/>
      <w:r>
        <w:rPr>
          <w:b/>
          <w:bCs/>
        </w:rPr>
        <w:t>、</w:t>
      </w:r>
      <w:r>
        <w:rPr>
          <w:b/>
          <w:bCs/>
        </w:rPr>
        <w:tab/>
        <w:t>结转下年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指以前年度预算安排、因客观条件发生变化无法按原计划实施，需以后年度按原用途继续使用的资金。</w:t>
      </w:r>
    </w:p>
    <w:p w:rsidR="00421BAF" w:rsidRDefault="00E9673C" w:rsidP="007015C4">
      <w:pPr>
        <w:pStyle w:val="Bodytext10"/>
        <w:tabs>
          <w:tab w:val="left" w:pos="1271"/>
        </w:tabs>
        <w:spacing w:line="560" w:lineRule="exact"/>
        <w:jc w:val="both"/>
      </w:pPr>
      <w:bookmarkStart w:id="87" w:name="bookmark136"/>
      <w:r>
        <w:rPr>
          <w:b/>
          <w:bCs/>
        </w:rPr>
        <w:t>八</w:t>
      </w:r>
      <w:bookmarkEnd w:id="87"/>
      <w:r>
        <w:rPr>
          <w:b/>
          <w:bCs/>
        </w:rPr>
        <w:t>、</w:t>
      </w:r>
      <w:r>
        <w:rPr>
          <w:b/>
          <w:bCs/>
        </w:rPr>
        <w:tab/>
        <w:t>基本支出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指为保障机构正常运转、完成日常工作任务而发生的人员支出和公用支出。</w:t>
      </w:r>
    </w:p>
    <w:p w:rsidR="00421BAF" w:rsidRDefault="00E9673C" w:rsidP="007015C4">
      <w:pPr>
        <w:pStyle w:val="Bodytext10"/>
        <w:tabs>
          <w:tab w:val="left" w:pos="1285"/>
        </w:tabs>
        <w:spacing w:line="560" w:lineRule="exact"/>
        <w:jc w:val="both"/>
      </w:pPr>
      <w:bookmarkStart w:id="88" w:name="bookmark137"/>
      <w:r>
        <w:rPr>
          <w:b/>
          <w:bCs/>
        </w:rPr>
        <w:t>九</w:t>
      </w:r>
      <w:bookmarkEnd w:id="88"/>
      <w:r>
        <w:rPr>
          <w:b/>
          <w:bCs/>
        </w:rPr>
        <w:t>、</w:t>
      </w:r>
      <w:r>
        <w:rPr>
          <w:b/>
          <w:bCs/>
        </w:rPr>
        <w:tab/>
        <w:t>项目支出</w:t>
      </w:r>
      <w:r>
        <w:rPr>
          <w:rFonts w:ascii="Times New Roman" w:eastAsia="Times New Roman" w:hAnsi="Times New Roman" w:cs="Times New Roman"/>
        </w:rPr>
        <w:t>:</w:t>
      </w:r>
      <w:r>
        <w:t>指在除基本支出之外的支出，主要用于完成 特定的工作任务和事业发展目标。</w:t>
      </w:r>
    </w:p>
    <w:p w:rsidR="00421BAF" w:rsidRDefault="00E9673C" w:rsidP="007015C4">
      <w:pPr>
        <w:pStyle w:val="Bodytext10"/>
        <w:spacing w:line="560" w:lineRule="exact"/>
        <w:jc w:val="both"/>
        <w:rPr>
          <w:rFonts w:eastAsia="PMingLiU"/>
        </w:rPr>
      </w:pPr>
      <w:r>
        <w:rPr>
          <w:b/>
          <w:bCs/>
        </w:rPr>
        <w:t>十、机关运行经费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t>为保障行政单位</w:t>
      </w:r>
      <w:r>
        <w:rPr>
          <w:rFonts w:ascii="Times New Roman" w:eastAsia="Times New Roman" w:hAnsi="Times New Roman" w:cs="Times New Roman"/>
        </w:rPr>
        <w:t>（</w:t>
      </w:r>
      <w:r>
        <w:t>包括参照公务员法管理 的事业单位</w:t>
      </w:r>
      <w:r>
        <w:rPr>
          <w:rFonts w:ascii="Times New Roman" w:eastAsia="Times New Roman" w:hAnsi="Times New Roman" w:cs="Times New Roman"/>
        </w:rPr>
        <w:t>）</w:t>
      </w:r>
      <w:r>
        <w:t>运行用于购买货物和服务的各项资金，包括办公及 印刷费、邮电费、差旅费、会议费、福利费、日常维修费、一 般设备购置费、办公用房水电费、办公用房取暖费、办公用房物业管理费、公务用车运行维护费以及其他费用。</w:t>
      </w:r>
    </w:p>
    <w:sectPr w:rsidR="00421BAF">
      <w:headerReference w:type="even" r:id="rId38"/>
      <w:headerReference w:type="default" r:id="rId39"/>
      <w:footerReference w:type="even" r:id="rId40"/>
      <w:footerReference w:type="default" r:id="rId41"/>
      <w:pgSz w:w="11900" w:h="16840"/>
      <w:pgMar w:top="1422" w:right="1560" w:bottom="1856" w:left="1412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DF" w:rsidRDefault="00B42ADF"/>
  </w:endnote>
  <w:endnote w:type="continuationSeparator" w:id="0">
    <w:p w:rsidR="00B42ADF" w:rsidRDefault="00B42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6219825</wp:posOffset>
              </wp:positionH>
              <wp:positionV relativeFrom="page">
                <wp:posOffset>9702165</wp:posOffset>
              </wp:positionV>
              <wp:extent cx="152400" cy="12192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35" type="#_x0000_t202" style="position:absolute;margin-left:489.75pt;margin-top:763.95pt;width:12pt;height:9.6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9906635</wp:posOffset>
              </wp:positionV>
              <wp:extent cx="152400" cy="12192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6" type="#_x0000_t202" style="position:absolute;margin-left:94.45pt;margin-top:780.05pt;width:12pt;height:9.6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  <w:r>
                            <w:t>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5" o:spid="_x0000_s1037" type="#_x0000_t202" style="position:absolute;margin-left:73.8pt;margin-top:780.05pt;width:32.65pt;height:9.6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  <w:r>
                      <w:t>一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38" type="#_x0000_t202" style="position:absolute;margin-left:73.8pt;margin-top:780.05pt;width:32.65pt;height:9.6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" filled="f" stroked="f">
              <v:textbox style="mso-fit-shape-to-text:t" inset="0,0,0,0">
                <w:txbxContent>
                  <w:p w:rsidR="00B20945" w:rsidRDefault="00B20945"/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39" type="#_x0000_t202" style="position:absolute;margin-left:77.4pt;margin-top:780.05pt;width:32.65pt;height:9.6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5957570</wp:posOffset>
              </wp:positionH>
              <wp:positionV relativeFrom="page">
                <wp:posOffset>9702165</wp:posOffset>
              </wp:positionV>
              <wp:extent cx="402590" cy="12192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40" type="#_x0000_t202" style="position:absolute;margin-left:469.1pt;margin-top:763.95pt;width:31.7pt;height:9.6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" o:spid="_x0000_s1041" type="#_x0000_t202" style="position:absolute;margin-left:72.75pt;margin-top:780.05pt;width:32.65pt;height:9.6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" filled="f" stroked="f">
              <v:textbox style="mso-fit-shape-to-text:t" inset="0,0,0,0">
                <w:txbxContent>
                  <w:p w:rsidR="00B20945" w:rsidRDefault="00B20945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1210310</wp:posOffset>
              </wp:positionH>
              <wp:positionV relativeFrom="page">
                <wp:posOffset>9906000</wp:posOffset>
              </wp:positionV>
              <wp:extent cx="73025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95.3pt;margin-top:780pt;width:5.7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9702165</wp:posOffset>
              </wp:positionV>
              <wp:extent cx="414655" cy="12192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42" type="#_x0000_t202" style="position:absolute;margin-left:470.2pt;margin-top:763.95pt;width:32.65pt;height:9.6pt;z-index:-2516398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" filled="f" stroked="f">
              <v:textbox style="mso-fit-shape-to-text:t" inset="0,0,0,0">
                <w:txbxContent>
                  <w:p w:rsidR="00B20945" w:rsidRDefault="00B2094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9906000</wp:posOffset>
              </wp:positionV>
              <wp:extent cx="575945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  <w:r>
                            <w:t>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9 </w:t>
                          </w:r>
                          <w: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7" type="#_x0000_t202" style="position:absolute;margin-left:454.85pt;margin-top:780pt;width:45.35pt;height:9.6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  <w:r>
                      <w:t>一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9 </w:t>
                    </w:r>
                    <w: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9906000</wp:posOffset>
              </wp:positionV>
              <wp:extent cx="575945" cy="12192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454.85pt;margin-top:780pt;width:45.35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" filled="f" stroked="f">
              <v:textbox style="mso-fit-shape-to-text:t" inset="0,0,0,0">
                <w:txbxContent>
                  <w:p w:rsidR="00B20945" w:rsidRDefault="00B20945"/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1195705</wp:posOffset>
              </wp:positionH>
              <wp:positionV relativeFrom="page">
                <wp:posOffset>9718675</wp:posOffset>
              </wp:positionV>
              <wp:extent cx="152400" cy="1219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0" type="#_x0000_t202" style="position:absolute;margin-left:94.15pt;margin-top:765.25pt;width:12pt;height:9.6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6215380</wp:posOffset>
              </wp:positionH>
              <wp:positionV relativeFrom="page">
                <wp:posOffset>9770110</wp:posOffset>
              </wp:positionV>
              <wp:extent cx="146050" cy="1219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1" type="#_x0000_t202" style="position:absolute;margin-left:489.4pt;margin-top:769.3pt;width:11.5pt;height:9.6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" filled="f" stroked="f">
              <v:textbox style="mso-fit-shape-to-text:t" inset="0,0,0,0">
                <w:txbxContent>
                  <w:p w:rsidR="00B20945" w:rsidRDefault="00B20945"/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9834880</wp:posOffset>
              </wp:positionV>
              <wp:extent cx="152400" cy="1219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32" type="#_x0000_t202" style="position:absolute;margin-left:94.45pt;margin-top:774.4pt;width:12pt;height:9.6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1200150</wp:posOffset>
              </wp:positionH>
              <wp:positionV relativeFrom="page">
                <wp:posOffset>9906635</wp:posOffset>
              </wp:positionV>
              <wp:extent cx="152400" cy="12192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33" type="#_x0000_t202" style="position:absolute;margin-left:94.5pt;margin-top:780.05pt;width:12pt;height:9.6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DF" w:rsidRDefault="00B42ADF"/>
  </w:footnote>
  <w:footnote w:type="continuationSeparator" w:id="0">
    <w:p w:rsidR="00B42ADF" w:rsidRDefault="00B42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998220</wp:posOffset>
              </wp:positionV>
              <wp:extent cx="1283335" cy="1187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29" type="#_x0000_t202" style="position:absolute;margin-left:390.3pt;margin-top:78.6pt;width:101.05pt;height:9.3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5128895</wp:posOffset>
              </wp:positionH>
              <wp:positionV relativeFrom="page">
                <wp:posOffset>1558290</wp:posOffset>
              </wp:positionV>
              <wp:extent cx="1289050" cy="11874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0945" w:rsidRDefault="00B20945">
                          <w:pPr>
                            <w:pStyle w:val="Headerorfooter10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34" type="#_x0000_t202" style="position:absolute;margin-left:403.85pt;margin-top:122.7pt;width:101.5pt;height:9.3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" filled="f" stroked="f">
              <v:textbox style="mso-fit-shape-to-text:t" inset="0,0,0,0">
                <w:txbxContent>
                  <w:p w:rsidR="00B20945" w:rsidRDefault="00B20945">
                    <w:pPr>
                      <w:pStyle w:val="Headerorfooter10"/>
                      <w:ind w:righ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5" w:rsidRDefault="00B20945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5E"/>
    <w:rsid w:val="00024F84"/>
    <w:rsid w:val="0010402D"/>
    <w:rsid w:val="00180738"/>
    <w:rsid w:val="00195F5F"/>
    <w:rsid w:val="001C1CBD"/>
    <w:rsid w:val="001E75D9"/>
    <w:rsid w:val="00286742"/>
    <w:rsid w:val="002A6806"/>
    <w:rsid w:val="002F755E"/>
    <w:rsid w:val="003632F6"/>
    <w:rsid w:val="00395F3A"/>
    <w:rsid w:val="003C35A8"/>
    <w:rsid w:val="00421BAF"/>
    <w:rsid w:val="00435705"/>
    <w:rsid w:val="00465963"/>
    <w:rsid w:val="00491938"/>
    <w:rsid w:val="004D6968"/>
    <w:rsid w:val="004E626A"/>
    <w:rsid w:val="00537B90"/>
    <w:rsid w:val="00593CB0"/>
    <w:rsid w:val="00597D03"/>
    <w:rsid w:val="005D7F8E"/>
    <w:rsid w:val="006216A3"/>
    <w:rsid w:val="006F0B75"/>
    <w:rsid w:val="007015C4"/>
    <w:rsid w:val="007E61A1"/>
    <w:rsid w:val="00836334"/>
    <w:rsid w:val="008841DC"/>
    <w:rsid w:val="008A3139"/>
    <w:rsid w:val="00924E53"/>
    <w:rsid w:val="00926AC7"/>
    <w:rsid w:val="00A133BD"/>
    <w:rsid w:val="00A209CC"/>
    <w:rsid w:val="00A34479"/>
    <w:rsid w:val="00AF34CF"/>
    <w:rsid w:val="00B103A0"/>
    <w:rsid w:val="00B20945"/>
    <w:rsid w:val="00B42ADF"/>
    <w:rsid w:val="00BF6C91"/>
    <w:rsid w:val="00C40D0E"/>
    <w:rsid w:val="00C83BF6"/>
    <w:rsid w:val="00CA5ABB"/>
    <w:rsid w:val="00D63708"/>
    <w:rsid w:val="00D73DBF"/>
    <w:rsid w:val="00D76007"/>
    <w:rsid w:val="00E51412"/>
    <w:rsid w:val="00E778DE"/>
    <w:rsid w:val="00E9673C"/>
    <w:rsid w:val="00EB536B"/>
    <w:rsid w:val="00EB7B03"/>
    <w:rsid w:val="00EC5BFC"/>
    <w:rsid w:val="00EF4589"/>
    <w:rsid w:val="00F21013"/>
    <w:rsid w:val="00F62005"/>
    <w:rsid w:val="00F70C4B"/>
    <w:rsid w:val="00FE08F6"/>
    <w:rsid w:val="00FF0DFC"/>
    <w:rsid w:val="08F66E15"/>
    <w:rsid w:val="102F217B"/>
    <w:rsid w:val="127301BC"/>
    <w:rsid w:val="1F4E63A4"/>
    <w:rsid w:val="250A05A3"/>
    <w:rsid w:val="413569F2"/>
    <w:rsid w:val="42CE4911"/>
    <w:rsid w:val="443778D4"/>
    <w:rsid w:val="5A576E9F"/>
    <w:rsid w:val="7C12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55900-003F-4147-B54C-035B75EC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2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pPr>
      <w:spacing w:line="351" w:lineRule="atLeast"/>
      <w:ind w:firstLine="623"/>
      <w:textAlignment w:val="baseline"/>
    </w:pPr>
    <w:rPr>
      <w:rFonts w:eastAsia="仿宋_GB2312"/>
      <w:sz w:val="31"/>
      <w:szCs w:val="20"/>
    </w:r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color w:val="FA4148"/>
      <w:sz w:val="124"/>
      <w:szCs w:val="12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980"/>
      <w:ind w:firstLine="280"/>
      <w:outlineLvl w:val="0"/>
    </w:pPr>
    <w:rPr>
      <w:rFonts w:ascii="宋体" w:eastAsia="宋体" w:hAnsi="宋体" w:cs="宋体"/>
      <w:color w:val="FA4148"/>
      <w:sz w:val="124"/>
      <w:szCs w:val="12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580" w:line="610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5">
    <w:name w:val="Body text|5_"/>
    <w:basedOn w:val="a0"/>
    <w:link w:val="Bodytext5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50">
    <w:name w:val="Body text|5"/>
    <w:basedOn w:val="a"/>
    <w:link w:val="Bodytext5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pPr>
      <w:ind w:right="13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4080"/>
      <w:ind w:right="710"/>
      <w:jc w:val="center"/>
    </w:pPr>
    <w:rPr>
      <w:sz w:val="32"/>
      <w:szCs w:val="32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576" w:lineRule="exact"/>
      <w:ind w:firstLine="64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Bodytext6">
    <w:name w:val="Body text|6_"/>
    <w:basedOn w:val="a0"/>
    <w:link w:val="Bodytext60"/>
    <w:rPr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Bodytext60">
    <w:name w:val="Body text|6"/>
    <w:basedOn w:val="a"/>
    <w:link w:val="Bodytext6"/>
    <w:pPr>
      <w:spacing w:after="400"/>
      <w:jc w:val="center"/>
    </w:pPr>
    <w:rPr>
      <w:sz w:val="44"/>
      <w:szCs w:val="44"/>
      <w:lang w:val="zh-TW" w:eastAsia="zh-TW" w:bidi="zh-TW"/>
    </w:rPr>
  </w:style>
  <w:style w:type="character" w:customStyle="1" w:styleId="Bodytext4">
    <w:name w:val="Body text|4_"/>
    <w:basedOn w:val="a0"/>
    <w:link w:val="Bodytext40"/>
    <w:rPr>
      <w:rFonts w:ascii="宋体" w:eastAsia="宋体" w:hAnsi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pPr>
      <w:ind w:hanging="1440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Heading31">
    <w:name w:val="Heading #3|1_"/>
    <w:basedOn w:val="a0"/>
    <w:link w:val="Heading310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pPr>
      <w:spacing w:after="4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line="595" w:lineRule="exact"/>
      <w:ind w:firstLine="640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a4">
    <w:name w:val="批注框文本 字符"/>
    <w:basedOn w:val="a0"/>
    <w:link w:val="a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eader" Target="header15.xml"/><Relationship Id="rId21" Type="http://schemas.openxmlformats.org/officeDocument/2006/relationships/footer" Target="footer10.xml"/><Relationship Id="rId34" Type="http://schemas.openxmlformats.org/officeDocument/2006/relationships/header" Target="header12.xm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9.xml"/><Relationship Id="rId29" Type="http://schemas.openxmlformats.org/officeDocument/2006/relationships/footer" Target="footer14.xml"/><Relationship Id="rId41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footer" Target="footer18.xml"/><Relationship Id="rId40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eader" Target="header7.xml"/><Relationship Id="rId28" Type="http://schemas.openxmlformats.org/officeDocument/2006/relationships/footer" Target="footer13.xml"/><Relationship Id="rId36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43" Type="http://schemas.openxmlformats.org/officeDocument/2006/relationships/theme" Target="theme/theme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5" Type="http://schemas.openxmlformats.org/officeDocument/2006/relationships/footer" Target="footer12.xml"/><Relationship Id="rId33" Type="http://schemas.openxmlformats.org/officeDocument/2006/relationships/footer" Target="footer16.xml"/><Relationship Id="rId38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25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关于养老保险基金年终决算有关问题的通知</dc:title>
  <dc:creator>番茄花园</dc:creator>
  <cp:lastModifiedBy>xt256.com</cp:lastModifiedBy>
  <cp:revision>33</cp:revision>
  <cp:lastPrinted>2022-02-28T12:11:00Z</cp:lastPrinted>
  <dcterms:created xsi:type="dcterms:W3CDTF">2022-02-23T06:49:00Z</dcterms:created>
  <dcterms:modified xsi:type="dcterms:W3CDTF">2022-03-10T07:06:00Z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61E047677970474DB9F5720FFD36CBB5</vt:lpwstr>
  </property>
</Properties>
</file>