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line="588" w:lineRule="exact"/>
        <w:ind w:firstLine="640"/>
        <w:jc w:val="both"/>
        <w:rPr>
          <w:lang w:eastAsia="zh-CN"/>
        </w:rPr>
      </w:pPr>
    </w:p>
    <w:p>
      <w:pPr>
        <w:widowControl w:val="0"/>
        <w:overflowPunct w:val="0"/>
        <w:spacing w:line="588" w:lineRule="exact"/>
        <w:ind w:firstLine="720"/>
        <w:jc w:val="both"/>
        <w:rPr>
          <w:rFonts w:eastAsia="方正小标宋简体"/>
          <w:sz w:val="36"/>
          <w:szCs w:val="36"/>
          <w:lang w:eastAsia="zh-CN"/>
        </w:rPr>
      </w:pPr>
    </w:p>
    <w:p>
      <w:pPr>
        <w:widowControl w:val="0"/>
        <w:overflowPunct w:val="0"/>
        <w:spacing w:line="640" w:lineRule="exact"/>
        <w:ind w:firstLine="0" w:firstLineChars="0"/>
        <w:jc w:val="center"/>
        <w:rPr>
          <w:rFonts w:eastAsia="方正小标宋简体"/>
          <w:w w:val="100"/>
          <w:sz w:val="44"/>
          <w:szCs w:val="44"/>
          <w:lang w:eastAsia="zh-CN"/>
        </w:rPr>
      </w:pPr>
      <w:r>
        <w:rPr>
          <w:rFonts w:eastAsia="方正小标宋简体"/>
          <w:w w:val="100"/>
          <w:sz w:val="44"/>
          <w:szCs w:val="44"/>
          <w:lang w:eastAsia="zh-CN"/>
        </w:rPr>
        <w:t>宿州市“十四五”城镇污水处理及资源化</w:t>
      </w:r>
    </w:p>
    <w:p>
      <w:pPr>
        <w:widowControl w:val="0"/>
        <w:overflowPunct w:val="0"/>
        <w:spacing w:line="640" w:lineRule="exact"/>
        <w:ind w:firstLine="0" w:firstLineChars="0"/>
        <w:jc w:val="center"/>
        <w:rPr>
          <w:rFonts w:eastAsia="方正小标宋简体"/>
          <w:w w:val="100"/>
          <w:sz w:val="44"/>
          <w:szCs w:val="44"/>
          <w:lang w:eastAsia="zh-CN"/>
        </w:rPr>
      </w:pPr>
      <w:r>
        <w:rPr>
          <w:rFonts w:eastAsia="方正小标宋简体"/>
          <w:w w:val="100"/>
          <w:sz w:val="44"/>
          <w:szCs w:val="44"/>
          <w:lang w:eastAsia="zh-CN"/>
        </w:rPr>
        <w:t>利用发展规划</w:t>
      </w: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widowControl w:val="0"/>
        <w:overflowPunct w:val="0"/>
        <w:spacing w:line="588" w:lineRule="exact"/>
        <w:ind w:firstLine="640"/>
        <w:jc w:val="both"/>
        <w:rPr>
          <w:lang w:eastAsia="zh-CN"/>
        </w:rPr>
      </w:pPr>
    </w:p>
    <w:p>
      <w:pPr>
        <w:pStyle w:val="25"/>
        <w:spacing w:after="0" w:line="600" w:lineRule="exact"/>
        <w:ind w:left="0" w:leftChars="0" w:right="800" w:rightChars="250" w:firstLine="0" w:firstLineChars="0"/>
        <w:jc w:val="center"/>
        <w:rPr>
          <w:rFonts w:eastAsia="楷体_GB2312" w:cs="Times New Roman"/>
          <w:kern w:val="0"/>
          <w:sz w:val="32"/>
          <w:szCs w:val="28"/>
        </w:rPr>
      </w:pPr>
      <w:bookmarkStart w:id="0" w:name="page2"/>
      <w:bookmarkEnd w:id="0"/>
    </w:p>
    <w:p>
      <w:pPr>
        <w:pStyle w:val="25"/>
        <w:spacing w:after="0" w:line="600" w:lineRule="exact"/>
        <w:ind w:left="0" w:leftChars="0" w:right="800" w:rightChars="250" w:firstLine="0" w:firstLineChars="0"/>
        <w:jc w:val="center"/>
        <w:rPr>
          <w:rFonts w:eastAsia="楷体_GB2312" w:cs="Times New Roman"/>
          <w:kern w:val="0"/>
          <w:sz w:val="32"/>
          <w:szCs w:val="28"/>
        </w:rPr>
      </w:pPr>
    </w:p>
    <w:p>
      <w:pPr>
        <w:pStyle w:val="25"/>
        <w:spacing w:after="0" w:line="600" w:lineRule="exact"/>
        <w:ind w:left="0" w:leftChars="0" w:right="800" w:rightChars="250" w:firstLine="0" w:firstLineChars="0"/>
        <w:jc w:val="center"/>
        <w:rPr>
          <w:rFonts w:eastAsia="楷体_GB2312" w:cs="Times New Roman"/>
          <w:kern w:val="0"/>
          <w:sz w:val="32"/>
          <w:szCs w:val="28"/>
        </w:rPr>
      </w:pPr>
    </w:p>
    <w:p>
      <w:pPr>
        <w:pStyle w:val="25"/>
        <w:spacing w:after="0" w:line="600" w:lineRule="exact"/>
        <w:ind w:left="0" w:leftChars="0" w:right="800" w:rightChars="250" w:firstLine="0" w:firstLineChars="0"/>
        <w:jc w:val="center"/>
        <w:rPr>
          <w:rFonts w:eastAsia="楷体_GB2312" w:cs="Times New Roman"/>
          <w:kern w:val="0"/>
          <w:sz w:val="32"/>
          <w:szCs w:val="28"/>
        </w:rPr>
      </w:pPr>
    </w:p>
    <w:p>
      <w:pPr>
        <w:pStyle w:val="25"/>
        <w:spacing w:after="0" w:line="600" w:lineRule="exact"/>
        <w:ind w:left="0" w:leftChars="0" w:right="800" w:rightChars="250" w:firstLine="0" w:firstLineChars="0"/>
        <w:jc w:val="center"/>
        <w:rPr>
          <w:rFonts w:eastAsia="楷体_GB2312" w:cs="Times New Roman"/>
          <w:kern w:val="0"/>
          <w:sz w:val="32"/>
          <w:szCs w:val="28"/>
        </w:rPr>
      </w:pPr>
    </w:p>
    <w:p>
      <w:pPr>
        <w:pStyle w:val="25"/>
        <w:spacing w:after="0" w:line="600" w:lineRule="exact"/>
        <w:ind w:left="0" w:leftChars="0" w:right="800" w:rightChars="250" w:firstLine="0" w:firstLineChars="0"/>
        <w:jc w:val="center"/>
        <w:rPr>
          <w:rFonts w:eastAsia="楷体_GB2312" w:cs="Times New Roman"/>
          <w:kern w:val="0"/>
          <w:sz w:val="32"/>
          <w:szCs w:val="28"/>
        </w:rPr>
      </w:pPr>
    </w:p>
    <w:p>
      <w:pPr>
        <w:pStyle w:val="25"/>
        <w:spacing w:after="0" w:line="600" w:lineRule="exact"/>
        <w:ind w:left="0" w:leftChars="0" w:right="800" w:rightChars="250" w:firstLine="0" w:firstLineChars="0"/>
        <w:jc w:val="center"/>
        <w:rPr>
          <w:rFonts w:eastAsia="楷体_GB2312" w:cs="Times New Roman"/>
          <w:kern w:val="0"/>
          <w:sz w:val="32"/>
          <w:szCs w:val="28"/>
        </w:rPr>
      </w:pPr>
    </w:p>
    <w:p>
      <w:pPr>
        <w:pStyle w:val="25"/>
        <w:spacing w:after="0" w:line="600" w:lineRule="exact"/>
        <w:ind w:left="0" w:leftChars="0" w:right="800" w:rightChars="250" w:firstLine="0" w:firstLineChars="0"/>
        <w:jc w:val="center"/>
        <w:rPr>
          <w:rFonts w:eastAsia="楷体_GB2312" w:cs="Times New Roman"/>
          <w:kern w:val="0"/>
          <w:sz w:val="32"/>
          <w:szCs w:val="28"/>
        </w:rPr>
      </w:pPr>
      <w:r>
        <w:rPr>
          <w:rFonts w:eastAsia="楷体_GB2312" w:cs="Times New Roman"/>
          <w:kern w:val="0"/>
          <w:sz w:val="32"/>
          <w:szCs w:val="28"/>
        </w:rPr>
        <w:t>宿州市发展和改革委员会</w:t>
      </w:r>
    </w:p>
    <w:p>
      <w:pPr>
        <w:pStyle w:val="25"/>
        <w:spacing w:after="0" w:line="600" w:lineRule="exact"/>
        <w:ind w:left="0" w:leftChars="0" w:right="800" w:rightChars="250" w:firstLine="0" w:firstLineChars="0"/>
        <w:jc w:val="center"/>
        <w:rPr>
          <w:rFonts w:eastAsia="楷体" w:cs="Times New Roman"/>
          <w:bCs/>
          <w:sz w:val="32"/>
          <w:szCs w:val="32"/>
        </w:rPr>
      </w:pPr>
      <w:r>
        <w:rPr>
          <w:rFonts w:eastAsia="楷体" w:cs="Times New Roman"/>
          <w:bCs/>
          <w:sz w:val="32"/>
          <w:szCs w:val="32"/>
        </w:rPr>
        <w:t>2022年8月</w:t>
      </w:r>
    </w:p>
    <w:p>
      <w:pPr>
        <w:ind w:firstLine="640"/>
        <w:rPr>
          <w:kern w:val="2"/>
          <w:lang w:eastAsia="zh-CN"/>
        </w:rPr>
      </w:pPr>
      <w:r>
        <w:br w:type="page"/>
      </w:r>
    </w:p>
    <w:sdt>
      <w:sdtPr>
        <w:rPr>
          <w:rFonts w:ascii="Times New Roman" w:hAnsi="Times New Roman" w:eastAsia="仿宋_GB2312" w:cs="Times New Roman"/>
          <w:color w:val="auto"/>
          <w:szCs w:val="24"/>
          <w:lang w:val="zh-CN" w:eastAsia="en-US"/>
        </w:rPr>
        <w:id w:val="-1683733213"/>
        <w:docPartObj>
          <w:docPartGallery w:val="Table of Contents"/>
          <w:docPartUnique/>
        </w:docPartObj>
      </w:sdtPr>
      <w:sdtEndPr>
        <w:rPr>
          <w:rFonts w:ascii="Times New Roman" w:hAnsi="Times New Roman" w:eastAsia="仿宋_GB2312" w:cs="Times New Roman"/>
          <w:b/>
          <w:bCs/>
          <w:color w:val="auto"/>
          <w:szCs w:val="24"/>
          <w:lang w:val="zh-CN" w:eastAsia="en-US"/>
        </w:rPr>
      </w:sdtEndPr>
      <w:sdtContent>
        <w:p>
          <w:pPr>
            <w:pStyle w:val="58"/>
            <w:ind w:firstLine="640"/>
            <w:jc w:val="center"/>
            <w:rPr>
              <w:rFonts w:ascii="Times New Roman" w:hAnsi="Times New Roman" w:eastAsia="黑体" w:cs="Times New Roman"/>
              <w:color w:val="auto"/>
            </w:rPr>
          </w:pPr>
          <w:r>
            <w:rPr>
              <w:rFonts w:ascii="Times New Roman" w:hAnsi="Times New Roman" w:eastAsia="黑体" w:cs="Times New Roman"/>
              <w:color w:val="auto"/>
              <w:lang w:val="zh-CN"/>
            </w:rPr>
            <w:t>目 录</w:t>
          </w:r>
        </w:p>
        <w:p>
          <w:pPr>
            <w:pStyle w:val="17"/>
            <w:tabs>
              <w:tab w:val="right" w:leader="dot" w:pos="8296"/>
            </w:tabs>
            <w:spacing w:before="0" w:after="0" w:line="560" w:lineRule="exact"/>
            <w:ind w:left="0" w:leftChars="0" w:right="0" w:rightChars="0"/>
            <w:rPr>
              <w:rFonts w:ascii="Times New Roman" w:hAnsi="Times New Roman" w:eastAsia="黑体" w:cs="Times New Roman"/>
              <w:b w:val="0"/>
              <w:bCs w:val="0"/>
              <w:caps w:val="0"/>
              <w:kern w:val="2"/>
              <w:sz w:val="32"/>
              <w:szCs w:val="32"/>
              <w:lang w:eastAsia="zh-CN"/>
            </w:rPr>
          </w:pPr>
          <w:r>
            <w:rPr>
              <w:rFonts w:hint="eastAsia" w:ascii="楷体_GB2312" w:hAnsi="Times New Roman" w:eastAsia="楷体_GB2312" w:cs="Times New Roman"/>
              <w:sz w:val="32"/>
              <w:szCs w:val="32"/>
            </w:rPr>
            <w:fldChar w:fldCharType="begin"/>
          </w:r>
          <w:r>
            <w:rPr>
              <w:rFonts w:hint="eastAsia" w:ascii="楷体_GB2312" w:hAnsi="Times New Roman" w:eastAsia="楷体_GB2312" w:cs="Times New Roman"/>
              <w:sz w:val="32"/>
              <w:szCs w:val="32"/>
            </w:rPr>
            <w:instrText xml:space="preserve"> TOC \o "1-3" \h \z \u </w:instrText>
          </w:r>
          <w:r>
            <w:rPr>
              <w:rFonts w:hint="eastAsia" w:ascii="楷体_GB2312" w:hAnsi="Times New Roman" w:eastAsia="楷体_GB2312" w:cs="Times New Roman"/>
              <w:sz w:val="32"/>
              <w:szCs w:val="32"/>
            </w:rPr>
            <w:fldChar w:fldCharType="separate"/>
          </w:r>
          <w:r>
            <w:fldChar w:fldCharType="begin"/>
          </w:r>
          <w:r>
            <w:instrText xml:space="preserve"> HYPERLINK \l "_Toc110875165" </w:instrText>
          </w:r>
          <w:r>
            <w:fldChar w:fldCharType="separate"/>
          </w:r>
          <w:r>
            <w:rPr>
              <w:rStyle w:val="29"/>
              <w:rFonts w:ascii="Times New Roman" w:hAnsi="Times New Roman" w:eastAsia="黑体" w:cs="Times New Roman"/>
              <w:sz w:val="32"/>
              <w:szCs w:val="32"/>
              <w:lang w:eastAsia="zh-CN"/>
            </w:rPr>
            <w:t>一、发展环境</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_Toc110875165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1</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17"/>
            <w:tabs>
              <w:tab w:val="right" w:leader="dot" w:pos="8296"/>
            </w:tabs>
            <w:spacing w:before="0" w:after="0" w:line="560" w:lineRule="exact"/>
            <w:ind w:left="0" w:leftChars="0" w:right="0" w:rightChars="0"/>
            <w:rPr>
              <w:rFonts w:ascii="Times New Roman" w:hAnsi="Times New Roman" w:eastAsia="黑体" w:cs="Times New Roman"/>
              <w:b w:val="0"/>
              <w:bCs w:val="0"/>
              <w:caps w:val="0"/>
              <w:kern w:val="2"/>
              <w:sz w:val="32"/>
              <w:szCs w:val="32"/>
              <w:lang w:eastAsia="zh-CN"/>
            </w:rPr>
          </w:pPr>
          <w:r>
            <w:fldChar w:fldCharType="begin"/>
          </w:r>
          <w:r>
            <w:instrText xml:space="preserve"> HYPERLINK \l "_Toc110875166" </w:instrText>
          </w:r>
          <w:r>
            <w:fldChar w:fldCharType="separate"/>
          </w:r>
          <w:r>
            <w:rPr>
              <w:rStyle w:val="29"/>
              <w:rFonts w:ascii="Times New Roman" w:hAnsi="Times New Roman" w:eastAsia="黑体" w:cs="Times New Roman"/>
              <w:sz w:val="32"/>
              <w:szCs w:val="32"/>
              <w:lang w:eastAsia="zh-CN"/>
            </w:rPr>
            <w:t>二、总体要求</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_Toc110875166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21"/>
            <w:tabs>
              <w:tab w:val="right" w:leader="dot" w:pos="8296"/>
            </w:tabs>
            <w:spacing w:line="560" w:lineRule="exact"/>
            <w:ind w:left="0" w:right="0" w:firstLine="62" w:firstLineChars="31"/>
            <w:rPr>
              <w:rFonts w:ascii="Times New Roman" w:hAnsi="Times New Roman" w:eastAsia="楷体_GB2312" w:cs="Times New Roman"/>
              <w:smallCaps w:val="0"/>
              <w:kern w:val="2"/>
              <w:sz w:val="32"/>
              <w:szCs w:val="32"/>
              <w:lang w:eastAsia="zh-CN"/>
            </w:rPr>
          </w:pPr>
          <w:r>
            <w:fldChar w:fldCharType="begin"/>
          </w:r>
          <w:r>
            <w:instrText xml:space="preserve"> HYPERLINK \l "_Toc110875167" </w:instrText>
          </w:r>
          <w:r>
            <w:fldChar w:fldCharType="separate"/>
          </w:r>
          <w:r>
            <w:rPr>
              <w:rStyle w:val="29"/>
              <w:rFonts w:ascii="Times New Roman" w:hAnsi="Times New Roman" w:eastAsia="楷体_GB2312" w:cs="Times New Roman"/>
              <w:sz w:val="32"/>
              <w:szCs w:val="32"/>
              <w:lang w:eastAsia="zh-CN"/>
            </w:rPr>
            <w:t>（一）指导思想</w:t>
          </w:r>
          <w:r>
            <w:rPr>
              <w:rFonts w:ascii="Times New Roman" w:hAnsi="Times New Roman" w:eastAsia="楷体_GB2312" w:cs="Times New Roman"/>
              <w:sz w:val="32"/>
              <w:szCs w:val="32"/>
            </w:rPr>
            <w:tab/>
          </w:r>
          <w:r>
            <w:rPr>
              <w:rFonts w:ascii="Times New Roman" w:hAnsi="Times New Roman" w:eastAsia="楷体_GB2312" w:cs="Times New Roman"/>
              <w:sz w:val="32"/>
              <w:szCs w:val="32"/>
            </w:rPr>
            <w:fldChar w:fldCharType="begin"/>
          </w:r>
          <w:r>
            <w:rPr>
              <w:rFonts w:ascii="Times New Roman" w:hAnsi="Times New Roman" w:eastAsia="楷体_GB2312" w:cs="Times New Roman"/>
              <w:sz w:val="32"/>
              <w:szCs w:val="32"/>
            </w:rPr>
            <w:instrText xml:space="preserve"> PAGEREF _Toc110875167 \h </w:instrText>
          </w:r>
          <w:r>
            <w:rPr>
              <w:rFonts w:ascii="Times New Roman" w:hAnsi="Times New Roman" w:eastAsia="楷体_GB2312" w:cs="Times New Roman"/>
              <w:sz w:val="32"/>
              <w:szCs w:val="32"/>
            </w:rPr>
            <w:fldChar w:fldCharType="separate"/>
          </w:r>
          <w:r>
            <w:rPr>
              <w:rFonts w:ascii="Times New Roman" w:hAnsi="Times New Roman" w:eastAsia="楷体_GB2312" w:cs="Times New Roman"/>
              <w:sz w:val="32"/>
              <w:szCs w:val="32"/>
            </w:rPr>
            <w:t>3</w:t>
          </w:r>
          <w:r>
            <w:rPr>
              <w:rFonts w:ascii="Times New Roman" w:hAnsi="Times New Roman" w:eastAsia="楷体_GB2312" w:cs="Times New Roman"/>
              <w:sz w:val="32"/>
              <w:szCs w:val="32"/>
            </w:rPr>
            <w:fldChar w:fldCharType="end"/>
          </w:r>
          <w:r>
            <w:rPr>
              <w:rFonts w:ascii="Times New Roman" w:hAnsi="Times New Roman" w:eastAsia="楷体_GB2312" w:cs="Times New Roman"/>
              <w:sz w:val="32"/>
              <w:szCs w:val="32"/>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"_Toc110875168" </w:instrText>
          </w:r>
          <w:r>
            <w:fldChar w:fldCharType="separate"/>
          </w:r>
          <w:r>
            <w:rPr>
              <w:rStyle w:val="29"/>
              <w:rFonts w:ascii="Times New Roman" w:hAnsi="Times New Roman" w:eastAsia="楷体_GB2312" w:cs="Times New Roman"/>
              <w:sz w:val="32"/>
              <w:szCs w:val="32"/>
              <w:lang w:eastAsia="zh-CN"/>
            </w:rPr>
            <w:t>（二）基本原则</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_Toc110875168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3</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"_Toc110875169" </w:instrText>
          </w:r>
          <w:r>
            <w:fldChar w:fldCharType="separate"/>
          </w:r>
          <w:r>
            <w:rPr>
              <w:rStyle w:val="29"/>
              <w:rFonts w:ascii="Times New Roman" w:hAnsi="Times New Roman" w:eastAsia="楷体_GB2312" w:cs="Times New Roman"/>
              <w:sz w:val="32"/>
              <w:szCs w:val="32"/>
              <w:lang w:eastAsia="zh-CN"/>
            </w:rPr>
            <w:t>（三）主要目标</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_Toc110875169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4</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"_Toc110875170" </w:instrText>
          </w:r>
          <w:r>
            <w:fldChar w:fldCharType="separate"/>
          </w:r>
          <w:r>
            <w:rPr>
              <w:rStyle w:val="29"/>
              <w:rFonts w:ascii="Times New Roman" w:hAnsi="Times New Roman" w:eastAsia="黑体" w:cs="Times New Roman"/>
              <w:sz w:val="32"/>
              <w:szCs w:val="32"/>
              <w:lang w:eastAsia="zh-CN"/>
            </w:rPr>
            <w:t>三、重点建设任务</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_Toc110875170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5</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"_Toc110875171" </w:instrText>
          </w:r>
          <w:r>
            <w:fldChar w:fldCharType="separate"/>
          </w:r>
          <w:r>
            <w:rPr>
              <w:rStyle w:val="29"/>
              <w:rFonts w:ascii="Times New Roman" w:hAnsi="Times New Roman" w:eastAsia="楷体_GB2312" w:cs="Times New Roman"/>
              <w:sz w:val="32"/>
              <w:szCs w:val="32"/>
              <w:lang w:eastAsia="zh-CN"/>
            </w:rPr>
            <w:t>（一）加快补齐城镇污水管网短板</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_Toc110875171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5</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"_Toc110875174" </w:instrText>
          </w:r>
          <w:r>
            <w:fldChar w:fldCharType="separate"/>
          </w:r>
          <w:r>
            <w:rPr>
              <w:rStyle w:val="29"/>
              <w:rFonts w:ascii="Times New Roman" w:hAnsi="Times New Roman" w:eastAsia="楷体_GB2312" w:cs="Times New Roman"/>
              <w:sz w:val="32"/>
              <w:szCs w:val="32"/>
              <w:lang w:eastAsia="zh-CN"/>
            </w:rPr>
            <w:t>（二）强化城镇生活污水设施弱项</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_Toc110875174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7</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"_Toc110875177" </w:instrText>
          </w:r>
          <w:r>
            <w:fldChar w:fldCharType="separate"/>
          </w:r>
          <w:r>
            <w:rPr>
              <w:rStyle w:val="29"/>
              <w:rFonts w:ascii="Times New Roman" w:hAnsi="Times New Roman" w:eastAsia="楷体_GB2312" w:cs="Times New Roman"/>
              <w:sz w:val="32"/>
              <w:szCs w:val="32"/>
              <w:lang w:eastAsia="zh-CN"/>
            </w:rPr>
            <w:t>（三）持续加强再生水利用设施建设</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_Toc110875177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9</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"_Toc110875180" </w:instrText>
          </w:r>
          <w:r>
            <w:fldChar w:fldCharType="separate"/>
          </w:r>
          <w:r>
            <w:rPr>
              <w:rStyle w:val="29"/>
              <w:rFonts w:ascii="Times New Roman" w:hAnsi="Times New Roman" w:eastAsia="楷体_GB2312" w:cs="Times New Roman"/>
              <w:sz w:val="32"/>
              <w:szCs w:val="32"/>
              <w:lang w:eastAsia="zh-CN"/>
            </w:rPr>
            <w:t>（四）着力破解污泥处置难点</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_Toc110875180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10</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"_Toc110875183" </w:instrText>
          </w:r>
          <w:r>
            <w:fldChar w:fldCharType="separate"/>
          </w:r>
          <w:r>
            <w:rPr>
              <w:rStyle w:val="29"/>
              <w:rFonts w:ascii="Times New Roman" w:hAnsi="Times New Roman" w:eastAsia="黑体" w:cs="Times New Roman"/>
              <w:sz w:val="32"/>
              <w:szCs w:val="32"/>
              <w:lang w:eastAsia="zh-CN"/>
            </w:rPr>
            <w:t>四、环境影响评价</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_Toc110875183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12</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"_Toc110875184" </w:instrText>
          </w:r>
          <w:r>
            <w:fldChar w:fldCharType="separate"/>
          </w:r>
          <w:r>
            <w:rPr>
              <w:rStyle w:val="29"/>
              <w:rFonts w:ascii="Times New Roman" w:hAnsi="Times New Roman" w:eastAsia="楷体_GB2312" w:cs="Times New Roman"/>
              <w:sz w:val="32"/>
              <w:szCs w:val="32"/>
              <w:lang w:eastAsia="zh-CN"/>
            </w:rPr>
            <w:t>（一）评价范围与环境保护目标</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_Toc110875184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12</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"_Toc110875185" </w:instrText>
          </w:r>
          <w:r>
            <w:fldChar w:fldCharType="separate"/>
          </w:r>
          <w:r>
            <w:rPr>
              <w:rStyle w:val="29"/>
              <w:rFonts w:ascii="Times New Roman" w:hAnsi="Times New Roman" w:eastAsia="楷体_GB2312" w:cs="Times New Roman"/>
              <w:sz w:val="32"/>
              <w:szCs w:val="32"/>
              <w:lang w:eastAsia="zh-CN"/>
            </w:rPr>
            <w:t>（二）规划项目与“三线一单”符合性分析</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_Toc110875185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13</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"_Toc110875186" </w:instrText>
          </w:r>
          <w:r>
            <w:fldChar w:fldCharType="separate"/>
          </w:r>
          <w:r>
            <w:rPr>
              <w:rStyle w:val="29"/>
              <w:rFonts w:ascii="Times New Roman" w:hAnsi="Times New Roman" w:eastAsia="楷体_GB2312" w:cs="Times New Roman"/>
              <w:sz w:val="32"/>
              <w:szCs w:val="32"/>
              <w:lang w:eastAsia="zh-CN"/>
            </w:rPr>
            <w:t>（三）环境影响分析</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_Toc110875186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13</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"_Toc110875189" </w:instrText>
          </w:r>
          <w:r>
            <w:fldChar w:fldCharType="separate"/>
          </w:r>
          <w:r>
            <w:rPr>
              <w:rStyle w:val="29"/>
              <w:rFonts w:ascii="Times New Roman" w:hAnsi="Times New Roman" w:eastAsia="楷体_GB2312" w:cs="Times New Roman"/>
              <w:sz w:val="32"/>
              <w:szCs w:val="32"/>
              <w:lang w:eastAsia="zh-CN"/>
            </w:rPr>
            <w:t>（四）环境影响减缓对策和措施</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_Toc110875189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15</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"_Toc110875196" </w:instrText>
          </w:r>
          <w:r>
            <w:fldChar w:fldCharType="separate"/>
          </w:r>
          <w:r>
            <w:rPr>
              <w:rStyle w:val="29"/>
              <w:rFonts w:ascii="Times New Roman" w:hAnsi="Times New Roman" w:eastAsia="楷体_GB2312" w:cs="Times New Roman"/>
              <w:sz w:val="32"/>
              <w:szCs w:val="32"/>
              <w:lang w:eastAsia="zh-CN"/>
            </w:rPr>
            <w:t>（五）评价结论</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_Toc110875196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20</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"_Toc110875197" </w:instrText>
          </w:r>
          <w:r>
            <w:fldChar w:fldCharType="separate"/>
          </w:r>
          <w:r>
            <w:rPr>
              <w:rStyle w:val="29"/>
              <w:rFonts w:ascii="Times New Roman" w:hAnsi="Times New Roman" w:eastAsia="黑体" w:cs="Times New Roman"/>
              <w:sz w:val="32"/>
              <w:szCs w:val="32"/>
              <w:lang w:eastAsia="zh-CN"/>
            </w:rPr>
            <w:t>五、运行与维护</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_Toc110875197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21</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"_Toc110875198" </w:instrText>
          </w:r>
          <w:r>
            <w:fldChar w:fldCharType="separate"/>
          </w:r>
          <w:r>
            <w:rPr>
              <w:rStyle w:val="29"/>
              <w:rFonts w:ascii="Times New Roman" w:hAnsi="Times New Roman" w:eastAsia="楷体_GB2312" w:cs="Times New Roman"/>
              <w:sz w:val="32"/>
              <w:szCs w:val="32"/>
              <w:lang w:eastAsia="zh-CN"/>
            </w:rPr>
            <w:t>（一）健全考核激励机制</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_Toc110875198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21</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"_Toc110875199" </w:instrText>
          </w:r>
          <w:r>
            <w:fldChar w:fldCharType="separate"/>
          </w:r>
          <w:r>
            <w:rPr>
              <w:rStyle w:val="29"/>
              <w:rFonts w:ascii="Times New Roman" w:hAnsi="Times New Roman" w:eastAsia="楷体_GB2312" w:cs="Times New Roman"/>
              <w:sz w:val="32"/>
              <w:szCs w:val="32"/>
              <w:lang w:eastAsia="zh-CN"/>
            </w:rPr>
            <w:t>（二）推行专业化运行维护</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_Toc110875199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21</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"_Toc110875200" </w:instrText>
          </w:r>
          <w:r>
            <w:fldChar w:fldCharType="separate"/>
          </w:r>
          <w:r>
            <w:rPr>
              <w:rStyle w:val="29"/>
              <w:rFonts w:ascii="Times New Roman" w:hAnsi="Times New Roman" w:eastAsia="楷体_GB2312" w:cs="Times New Roman"/>
              <w:sz w:val="32"/>
              <w:szCs w:val="32"/>
              <w:lang w:eastAsia="zh-CN"/>
            </w:rPr>
            <w:t>（三）创新建设管理模式</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_Toc110875200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21</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"_Toc110875201" </w:instrText>
          </w:r>
          <w:r>
            <w:fldChar w:fldCharType="separate"/>
          </w:r>
          <w:r>
            <w:rPr>
              <w:rStyle w:val="29"/>
              <w:rFonts w:ascii="Times New Roman" w:hAnsi="Times New Roman" w:eastAsia="楷体_GB2312" w:cs="Times New Roman"/>
              <w:sz w:val="32"/>
              <w:szCs w:val="32"/>
              <w:lang w:eastAsia="zh-CN"/>
            </w:rPr>
            <w:t>（四）推进信息系统建设</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_Toc110875201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22</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"_Toc110875202" </w:instrText>
          </w:r>
          <w:r>
            <w:fldChar w:fldCharType="separate"/>
          </w:r>
          <w:r>
            <w:rPr>
              <w:rStyle w:val="29"/>
              <w:rFonts w:ascii="Times New Roman" w:hAnsi="Times New Roman" w:eastAsia="黑体" w:cs="Times New Roman"/>
              <w:sz w:val="32"/>
              <w:szCs w:val="32"/>
              <w:lang w:eastAsia="zh-CN"/>
            </w:rPr>
            <w:t>六、资金筹措</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_Toc110875202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22</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"_Toc110875203" </w:instrText>
          </w:r>
          <w:r>
            <w:fldChar w:fldCharType="separate"/>
          </w:r>
          <w:r>
            <w:rPr>
              <w:rStyle w:val="29"/>
              <w:rFonts w:ascii="Times New Roman" w:hAnsi="Times New Roman" w:eastAsia="黑体" w:cs="Times New Roman"/>
              <w:sz w:val="32"/>
              <w:szCs w:val="32"/>
              <w:lang w:eastAsia="zh-CN"/>
            </w:rPr>
            <w:t>七、保障措施</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_Toc110875203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23</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"_Toc110875204" </w:instrText>
          </w:r>
          <w:r>
            <w:fldChar w:fldCharType="separate"/>
          </w:r>
          <w:r>
            <w:rPr>
              <w:rStyle w:val="29"/>
              <w:rFonts w:ascii="Times New Roman" w:hAnsi="Times New Roman" w:eastAsia="楷体_GB2312" w:cs="Times New Roman"/>
              <w:sz w:val="32"/>
              <w:szCs w:val="32"/>
              <w:lang w:eastAsia="zh-CN"/>
            </w:rPr>
            <w:t>（一）强化地方责任落实</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_Toc110875204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23</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"_Toc110875205" </w:instrText>
          </w:r>
          <w:r>
            <w:fldChar w:fldCharType="separate"/>
          </w:r>
          <w:r>
            <w:rPr>
              <w:rStyle w:val="29"/>
              <w:rFonts w:ascii="Times New Roman" w:hAnsi="Times New Roman" w:eastAsia="楷体_GB2312" w:cs="Times New Roman"/>
              <w:sz w:val="32"/>
              <w:szCs w:val="32"/>
              <w:lang w:eastAsia="zh-CN"/>
            </w:rPr>
            <w:t>（二）强化重点要素保障</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_Toc110875205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23</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"_Toc110875206" </w:instrText>
          </w:r>
          <w:r>
            <w:fldChar w:fldCharType="separate"/>
          </w:r>
          <w:r>
            <w:rPr>
              <w:rStyle w:val="29"/>
              <w:rFonts w:ascii="Times New Roman" w:hAnsi="Times New Roman" w:eastAsia="楷体_GB2312" w:cs="Times New Roman"/>
              <w:sz w:val="32"/>
              <w:szCs w:val="32"/>
              <w:lang w:eastAsia="zh-CN"/>
            </w:rPr>
            <w:t>（三）强化日常监督管理</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_Toc110875206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24</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21"/>
            <w:tabs>
              <w:tab w:val="right" w:leader="dot" w:pos="8296"/>
            </w:tabs>
            <w:spacing w:line="560" w:lineRule="exact"/>
            <w:ind w:left="0" w:right="0" w:firstLine="62" w:firstLineChars="31"/>
            <w:rPr>
              <w:rStyle w:val="29"/>
              <w:rFonts w:ascii="Times New Roman" w:hAnsi="Times New Roman" w:cs="Times New Roman"/>
              <w:sz w:val="32"/>
              <w:szCs w:val="32"/>
            </w:rPr>
          </w:pPr>
          <w:r>
            <w:fldChar w:fldCharType="begin"/>
          </w:r>
          <w:r>
            <w:instrText xml:space="preserve"> HYPERLINK \l "_Toc110875207" </w:instrText>
          </w:r>
          <w:r>
            <w:fldChar w:fldCharType="separate"/>
          </w:r>
          <w:r>
            <w:rPr>
              <w:rStyle w:val="29"/>
              <w:rFonts w:ascii="Times New Roman" w:hAnsi="Times New Roman" w:eastAsia="楷体_GB2312" w:cs="Times New Roman"/>
              <w:sz w:val="32"/>
              <w:szCs w:val="32"/>
              <w:lang w:eastAsia="zh-CN"/>
            </w:rPr>
            <w:t>（四）强化规划组织实施</w:t>
          </w:r>
          <w:r>
            <w:rPr>
              <w:rStyle w:val="29"/>
              <w:rFonts w:ascii="Times New Roman" w:hAnsi="Times New Roman" w:cs="Times New Roman"/>
              <w:sz w:val="32"/>
              <w:szCs w:val="32"/>
              <w:lang w:eastAsia="zh-CN"/>
            </w:rPr>
            <w:tab/>
          </w:r>
          <w:r>
            <w:rPr>
              <w:rStyle w:val="29"/>
              <w:rFonts w:ascii="Times New Roman" w:hAnsi="Times New Roman" w:cs="Times New Roman"/>
              <w:sz w:val="32"/>
              <w:szCs w:val="32"/>
              <w:lang w:eastAsia="zh-CN"/>
            </w:rPr>
            <w:fldChar w:fldCharType="begin"/>
          </w:r>
          <w:r>
            <w:rPr>
              <w:rStyle w:val="29"/>
              <w:rFonts w:ascii="Times New Roman" w:hAnsi="Times New Roman" w:cs="Times New Roman"/>
              <w:sz w:val="32"/>
              <w:szCs w:val="32"/>
              <w:lang w:eastAsia="zh-CN"/>
            </w:rPr>
            <w:instrText xml:space="preserve"> PAGEREF _Toc110875207 \h </w:instrText>
          </w:r>
          <w:r>
            <w:rPr>
              <w:rStyle w:val="29"/>
              <w:rFonts w:ascii="Times New Roman" w:hAnsi="Times New Roman" w:cs="Times New Roman"/>
              <w:sz w:val="32"/>
              <w:szCs w:val="32"/>
              <w:lang w:eastAsia="zh-CN"/>
            </w:rPr>
            <w:fldChar w:fldCharType="separate"/>
          </w:r>
          <w:r>
            <w:rPr>
              <w:rStyle w:val="29"/>
              <w:rFonts w:ascii="Times New Roman" w:hAnsi="Times New Roman" w:cs="Times New Roman"/>
              <w:sz w:val="32"/>
              <w:szCs w:val="32"/>
              <w:lang w:eastAsia="zh-CN"/>
            </w:rPr>
            <w:t>24</w:t>
          </w:r>
          <w:r>
            <w:rPr>
              <w:rStyle w:val="29"/>
              <w:rFonts w:ascii="Times New Roman" w:hAnsi="Times New Roman" w:cs="Times New Roman"/>
              <w:sz w:val="32"/>
              <w:szCs w:val="32"/>
              <w:lang w:eastAsia="zh-CN"/>
            </w:rPr>
            <w:fldChar w:fldCharType="end"/>
          </w:r>
          <w:r>
            <w:rPr>
              <w:rStyle w:val="29"/>
              <w:rFonts w:ascii="Times New Roman" w:hAnsi="Times New Roman"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"_Toc110875208" </w:instrText>
          </w:r>
          <w:r>
            <w:fldChar w:fldCharType="separate"/>
          </w:r>
          <w:r>
            <w:rPr>
              <w:rStyle w:val="29"/>
              <w:rFonts w:ascii="Times New Roman" w:hAnsi="Times New Roman" w:eastAsia="黑体" w:cs="Times New Roman"/>
              <w:sz w:val="32"/>
              <w:szCs w:val="32"/>
              <w:lang w:eastAsia="zh-CN"/>
            </w:rPr>
            <w:t>附件</w:t>
          </w:r>
          <w:r>
            <w:rPr>
              <w:rStyle w:val="29"/>
              <w:rFonts w:hint="eastAsia" w:ascii="Times New Roman" w:hAnsi="Times New Roman" w:eastAsia="黑体" w:cs="Times New Roman"/>
              <w:sz w:val="32"/>
              <w:szCs w:val="32"/>
              <w:lang w:val="en-US" w:eastAsia="zh-CN"/>
            </w:rPr>
            <w:t>1</w:t>
          </w:r>
          <w:r>
            <w:rPr>
              <w:rStyle w:val="29"/>
              <w:rFonts w:ascii="Times New Roman" w:hAnsi="Times New Roman" w:eastAsia="黑体" w:cs="Times New Roman"/>
              <w:sz w:val="32"/>
              <w:szCs w:val="32"/>
              <w:lang w:eastAsia="zh-CN"/>
            </w:rPr>
            <w:t>：</w:t>
          </w:r>
          <w:r>
            <w:rPr>
              <w:rStyle w:val="29"/>
              <w:rFonts w:hint="eastAsia" w:ascii="Times New Roman" w:hAnsi="Times New Roman" w:eastAsia="黑体" w:cs="Times New Roman"/>
              <w:sz w:val="32"/>
              <w:szCs w:val="32"/>
              <w:lang w:eastAsia="zh-CN"/>
            </w:rPr>
            <w:t>宿州市“十四五”城镇污水处理及资源化利用设施规模</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_Toc110875208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25</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pStyle w:val="17"/>
            <w:tabs>
              <w:tab w:val="right" w:leader="dot" w:pos="8296"/>
            </w:tabs>
            <w:spacing w:before="0" w:after="0" w:line="560" w:lineRule="exact"/>
            <w:ind w:left="0" w:leftChars="0" w:right="0" w:rightChars="0"/>
            <w:rPr>
              <w:rStyle w:val="29"/>
              <w:rFonts w:ascii="Times New Roman" w:hAnsi="Times New Roman" w:eastAsia="黑体" w:cs="Times New Roman"/>
              <w:sz w:val="32"/>
              <w:szCs w:val="32"/>
            </w:rPr>
          </w:pPr>
          <w:r>
            <w:fldChar w:fldCharType="begin"/>
          </w:r>
          <w:r>
            <w:instrText xml:space="preserve"> HYPERLINK \l "_Toc110875209" </w:instrText>
          </w:r>
          <w:r>
            <w:fldChar w:fldCharType="separate"/>
          </w:r>
          <w:r>
            <w:rPr>
              <w:rStyle w:val="29"/>
              <w:rFonts w:ascii="Times New Roman" w:hAnsi="Times New Roman" w:eastAsia="黑体" w:cs="Times New Roman"/>
              <w:sz w:val="32"/>
              <w:szCs w:val="32"/>
              <w:lang w:eastAsia="zh-CN"/>
            </w:rPr>
            <w:t>附件</w:t>
          </w:r>
          <w:r>
            <w:rPr>
              <w:rStyle w:val="29"/>
              <w:rFonts w:hint="eastAsia" w:ascii="Times New Roman" w:hAnsi="Times New Roman" w:eastAsia="黑体" w:cs="Times New Roman"/>
              <w:sz w:val="32"/>
              <w:szCs w:val="32"/>
              <w:lang w:val="en-US" w:eastAsia="zh-CN"/>
            </w:rPr>
            <w:t>2</w:t>
          </w:r>
          <w:r>
            <w:rPr>
              <w:rStyle w:val="29"/>
              <w:rFonts w:ascii="Times New Roman" w:hAnsi="Times New Roman" w:eastAsia="黑体" w:cs="Times New Roman"/>
              <w:sz w:val="32"/>
              <w:szCs w:val="32"/>
              <w:lang w:eastAsia="zh-CN"/>
            </w:rPr>
            <w:t>：</w:t>
          </w:r>
          <w:r>
            <w:rPr>
              <w:rStyle w:val="29"/>
              <w:rFonts w:hint="eastAsia" w:ascii="Times New Roman" w:hAnsi="Times New Roman" w:eastAsia="黑体" w:cs="Times New Roman"/>
              <w:sz w:val="32"/>
              <w:szCs w:val="32"/>
              <w:lang w:eastAsia="zh-CN"/>
            </w:rPr>
            <w:t>宿州市“十四五”城镇污水处理及资源化利用设施建设项目库</w:t>
          </w:r>
          <w:r>
            <w:rPr>
              <w:rStyle w:val="29"/>
              <w:rFonts w:ascii="Times New Roman" w:hAnsi="Times New Roman" w:eastAsia="黑体" w:cs="Times New Roman"/>
              <w:sz w:val="32"/>
              <w:szCs w:val="32"/>
              <w:lang w:eastAsia="zh-CN"/>
            </w:rPr>
            <w:tab/>
          </w:r>
          <w:r>
            <w:rPr>
              <w:rStyle w:val="29"/>
              <w:rFonts w:ascii="Times New Roman" w:hAnsi="Times New Roman" w:eastAsia="黑体" w:cs="Times New Roman"/>
              <w:sz w:val="32"/>
              <w:szCs w:val="32"/>
              <w:lang w:eastAsia="zh-CN"/>
            </w:rPr>
            <w:fldChar w:fldCharType="begin"/>
          </w:r>
          <w:r>
            <w:rPr>
              <w:rStyle w:val="29"/>
              <w:rFonts w:ascii="Times New Roman" w:hAnsi="Times New Roman" w:eastAsia="黑体" w:cs="Times New Roman"/>
              <w:sz w:val="32"/>
              <w:szCs w:val="32"/>
              <w:lang w:eastAsia="zh-CN"/>
            </w:rPr>
            <w:instrText xml:space="preserve"> PAGEREF _Toc110875209 \h </w:instrText>
          </w:r>
          <w:r>
            <w:rPr>
              <w:rStyle w:val="29"/>
              <w:rFonts w:ascii="Times New Roman" w:hAnsi="Times New Roman" w:eastAsia="黑体" w:cs="Times New Roman"/>
              <w:sz w:val="32"/>
              <w:szCs w:val="32"/>
              <w:lang w:eastAsia="zh-CN"/>
            </w:rPr>
            <w:fldChar w:fldCharType="separate"/>
          </w:r>
          <w:r>
            <w:rPr>
              <w:rStyle w:val="29"/>
              <w:rFonts w:ascii="Times New Roman" w:hAnsi="Times New Roman" w:eastAsia="黑体" w:cs="Times New Roman"/>
              <w:sz w:val="32"/>
              <w:szCs w:val="32"/>
              <w:lang w:eastAsia="zh-CN"/>
            </w:rPr>
            <w:t>26</w:t>
          </w:r>
          <w:r>
            <w:rPr>
              <w:rStyle w:val="29"/>
              <w:rFonts w:ascii="Times New Roman" w:hAnsi="Times New Roman" w:eastAsia="黑体" w:cs="Times New Roman"/>
              <w:sz w:val="32"/>
              <w:szCs w:val="32"/>
              <w:lang w:eastAsia="zh-CN"/>
            </w:rPr>
            <w:fldChar w:fldCharType="end"/>
          </w:r>
          <w:r>
            <w:rPr>
              <w:rStyle w:val="29"/>
              <w:rFonts w:ascii="Times New Roman" w:hAnsi="Times New Roman" w:eastAsia="黑体" w:cs="Times New Roman"/>
              <w:sz w:val="32"/>
              <w:szCs w:val="32"/>
              <w:lang w:eastAsia="zh-CN"/>
            </w:rPr>
            <w:fldChar w:fldCharType="end"/>
          </w:r>
        </w:p>
        <w:p>
          <w:pPr>
            <w:spacing w:line="520" w:lineRule="exact"/>
            <w:ind w:firstLine="643"/>
          </w:pPr>
          <w:r>
            <w:rPr>
              <w:rFonts w:hint="eastAsia" w:ascii="楷体_GB2312" w:eastAsia="楷体_GB2312"/>
              <w:b/>
              <w:bCs/>
              <w:szCs w:val="32"/>
              <w:lang w:val="zh-CN"/>
            </w:rPr>
            <w:fldChar w:fldCharType="end"/>
          </w:r>
        </w:p>
      </w:sdtContent>
    </w:sdt>
    <w:p>
      <w:pPr>
        <w:pStyle w:val="25"/>
        <w:spacing w:after="0" w:line="600" w:lineRule="exact"/>
        <w:ind w:left="0" w:leftChars="0" w:right="800" w:rightChars="250" w:firstLine="0" w:firstLineChars="0"/>
        <w:jc w:val="center"/>
        <w:rPr>
          <w:rFonts w:eastAsia="楷体" w:cs="Times New Roman"/>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640"/>
        <w:jc w:val="both"/>
        <w:rPr>
          <w:szCs w:val="32"/>
          <w:lang w:eastAsia="zh-CN"/>
        </w:rPr>
      </w:pPr>
      <w:r>
        <w:rPr>
          <w:szCs w:val="32"/>
          <w:lang w:eastAsia="zh-CN"/>
        </w:rPr>
        <w:t>为科学指导全市有序开展城镇污水处理及资源化利用工作，规范全市污水处理及资源化利用设施健康有序发展，根据《中华人民共和国水污染防治法》《国家发展改革委住房城乡建设部关于印发&lt;“十四五”城镇污水处理及资源化利用发展规划&gt;的通知》及省级相关政策规划等，编制本规划。</w:t>
      </w:r>
      <w:bookmarkStart w:id="1" w:name="page1_1"/>
      <w:bookmarkEnd w:id="1"/>
      <w:bookmarkStart w:id="2" w:name="_Toc499165152"/>
      <w:bookmarkStart w:id="3" w:name="_Toc488270107"/>
      <w:bookmarkStart w:id="4" w:name="_Toc1975458077"/>
      <w:r>
        <w:rPr>
          <w:szCs w:val="32"/>
          <w:lang w:eastAsia="zh-CN"/>
        </w:rPr>
        <w:t>本次规划范围宿州市全市，规划期限为2021-2025年，展望到2035年。</w:t>
      </w:r>
    </w:p>
    <w:p>
      <w:pPr>
        <w:pStyle w:val="3"/>
        <w:ind w:firstLine="643"/>
        <w:rPr>
          <w:lang w:eastAsia="zh-CN"/>
        </w:rPr>
      </w:pPr>
      <w:bookmarkStart w:id="5" w:name="_Toc110875165"/>
      <w:r>
        <w:rPr>
          <w:lang w:eastAsia="zh-CN"/>
        </w:rPr>
        <w:t>一、发展环境</w:t>
      </w:r>
      <w:bookmarkEnd w:id="5"/>
    </w:p>
    <w:bookmarkEnd w:id="2"/>
    <w:bookmarkEnd w:id="3"/>
    <w:bookmarkEnd w:id="4"/>
    <w:p>
      <w:pPr>
        <w:ind w:firstLine="640"/>
        <w:jc w:val="both"/>
        <w:rPr>
          <w:lang w:eastAsia="zh-CN"/>
        </w:rPr>
      </w:pPr>
      <w:r>
        <w:rPr>
          <w:szCs w:val="32"/>
          <w:lang w:eastAsia="zh-CN"/>
        </w:rPr>
        <w:t>城镇污水收集处理及再生利用设施是我市城镇环境基础设施的核心组成部分，是持续打好污染防治攻坚战的重要抓手，是国民经济发展、居民健康生活的重要保障，对改善城镇人居环境、推进城市治理体系和治理能力现代化、推动高质量发展具有重要作用。</w:t>
      </w:r>
    </w:p>
    <w:p>
      <w:pPr>
        <w:ind w:firstLine="640"/>
        <w:jc w:val="both"/>
        <w:rPr>
          <w:lang w:eastAsia="zh-CN"/>
        </w:rPr>
      </w:pPr>
      <w:r>
        <w:rPr>
          <w:lang w:eastAsia="zh-CN"/>
        </w:rPr>
        <w:t>“十三五”期间，宿州市城镇污水处理及资源化利用实现阶段性成就，生态环境明显改善。市级及县级集中式饮用水水源地水质达标率100%，成功入选全国首批20个黑臭水体治理示范城市。农村人居环境明显改善，建成91个乡镇驻地生活污水治理设施，完成改厕30.4万户。持续推进主城区污水治理三年攻坚行动，完成约300公里排水管网的清淤检测和修复；完成省环保督察整改的199个雨污混错接点治理；完成77个合流制入河排口的治理；完成151个小区和88条街巷的雨污分流改造，新、改建排水管网100余公里。提前实现“初见成效”目标，主城区12条黑臭水体全部通过省住建厅和生态环境厅的联合验收，黑臭水体消除比例达100%。2020年城镇生活污水集中处理率达到96.23%。</w:t>
      </w:r>
    </w:p>
    <w:p>
      <w:pPr>
        <w:ind w:firstLine="640"/>
        <w:jc w:val="both"/>
        <w:rPr>
          <w:lang w:eastAsia="zh-CN"/>
        </w:rPr>
      </w:pPr>
      <w:r>
        <w:rPr>
          <w:lang w:eastAsia="zh-CN"/>
        </w:rPr>
        <w:t>但同时也应看到，我市城镇污水处理设施建设还存在部分短板弱项，与实现高质量发展、加快生态文明建设、满足人民群众日益增长的优美生态环境需要仍有一定差距。主要表现在：城镇污水收集管网建设不配套。雨污分流不彻底，城镇污水管网错接、漏接等问题突出，导致污水处理设施进水量不足、进水浓度偏低；部分城乡结合带存在污水管网建设空白区。城镇污水处理厂处理能力不足。污泥无害化处置不规范较、处置率偏低、利用处置能力不足，仍以填埋为主。“十四五”时期是我市进入新发展阶段、推动高质量发展的重要时期，展望未来，我市将以建设高标准城镇污水处理设施体系为目标，抓住污水收集处理中的主要矛盾和薄弱环节，加快补齐设施短板，完善和优化主城区污水处理系统，建立完善执法运行监管体制机制，提升污水处理工作效能，改善城市水环境质量，努力实现“水清岸绿、鱼翔浅底”的治理目标，提高人民群众的获得感、幸福感。</w:t>
      </w:r>
    </w:p>
    <w:p>
      <w:pPr>
        <w:pStyle w:val="3"/>
        <w:ind w:firstLine="643"/>
        <w:rPr>
          <w:lang w:eastAsia="zh-CN"/>
        </w:rPr>
      </w:pPr>
      <w:bookmarkStart w:id="6" w:name="_Toc62633862"/>
      <w:bookmarkStart w:id="7" w:name="_Toc1929733763"/>
      <w:bookmarkStart w:id="8" w:name="_Toc314943068"/>
      <w:bookmarkStart w:id="9" w:name="_Toc1262"/>
      <w:bookmarkStart w:id="10" w:name="_Toc110875166"/>
      <w:r>
        <w:rPr>
          <w:lang w:eastAsia="zh-CN"/>
        </w:rPr>
        <w:t>二、总体要求</w:t>
      </w:r>
      <w:bookmarkEnd w:id="6"/>
      <w:bookmarkEnd w:id="7"/>
      <w:bookmarkEnd w:id="8"/>
      <w:bookmarkEnd w:id="9"/>
      <w:bookmarkEnd w:id="10"/>
    </w:p>
    <w:p>
      <w:pPr>
        <w:pStyle w:val="2"/>
        <w:keepNext w:val="0"/>
        <w:keepLines w:val="0"/>
        <w:widowControl w:val="0"/>
        <w:overflowPunct w:val="0"/>
        <w:spacing w:line="588" w:lineRule="exact"/>
        <w:ind w:firstLine="643"/>
        <w:jc w:val="both"/>
        <w:rPr>
          <w:rFonts w:cs="Times New Roman"/>
          <w:lang w:eastAsia="zh-CN"/>
        </w:rPr>
      </w:pPr>
      <w:bookmarkStart w:id="11" w:name="_Toc62633863"/>
      <w:bookmarkStart w:id="12" w:name="_Toc1304077759"/>
      <w:bookmarkStart w:id="13" w:name="_Toc13358"/>
      <w:bookmarkStart w:id="14" w:name="_Toc110875167"/>
      <w:bookmarkStart w:id="15" w:name="_Toc348360529"/>
      <w:r>
        <w:rPr>
          <w:rFonts w:cs="Times New Roman"/>
          <w:lang w:eastAsia="zh-CN"/>
        </w:rPr>
        <w:t>（一）指导思想</w:t>
      </w:r>
      <w:bookmarkEnd w:id="11"/>
      <w:bookmarkEnd w:id="12"/>
      <w:bookmarkEnd w:id="13"/>
      <w:bookmarkEnd w:id="14"/>
      <w:bookmarkEnd w:id="15"/>
    </w:p>
    <w:p>
      <w:pPr>
        <w:ind w:firstLine="640"/>
        <w:jc w:val="both"/>
        <w:rPr>
          <w:szCs w:val="32"/>
          <w:lang w:eastAsia="zh-CN"/>
        </w:rPr>
      </w:pPr>
      <w:r>
        <w:rPr>
          <w:szCs w:val="32"/>
          <w:lang w:eastAsia="zh-CN"/>
        </w:rPr>
        <w:t>以习近平新时代中国特色社会主义思想为指导，深入贯彻习近平生态文明思想，全面贯彻落实党的十九大和十九届历次全会精神，牢固树立新发展理念，以改善水生态环境质量为目标，以提升城镇污水收集处理效能为导向，统筹谋划、聚焦重点、问题导向、分类施策，加快形成“布局合理、系统协调、安全高效、节能低碳”的城镇污水收集处理及资源化利用新格局，实现污水处理高质量发展、可持续发展，为美好宿州市建设开好局、起好步。</w:t>
      </w:r>
    </w:p>
    <w:p>
      <w:pPr>
        <w:pStyle w:val="2"/>
        <w:ind w:firstLine="643"/>
        <w:rPr>
          <w:rFonts w:cs="Times New Roman"/>
          <w:lang w:eastAsia="zh-CN"/>
        </w:rPr>
      </w:pPr>
      <w:bookmarkStart w:id="16" w:name="_Toc9811"/>
      <w:bookmarkStart w:id="17" w:name="_Toc171458803"/>
      <w:bookmarkStart w:id="18" w:name="_Toc62633864"/>
      <w:bookmarkStart w:id="19" w:name="_Toc559466877"/>
      <w:bookmarkStart w:id="20" w:name="_Toc110875168"/>
      <w:r>
        <w:rPr>
          <w:rFonts w:cs="Times New Roman"/>
          <w:lang w:eastAsia="zh-CN"/>
        </w:rPr>
        <w:t>（二）基本原则</w:t>
      </w:r>
      <w:bookmarkEnd w:id="16"/>
      <w:bookmarkEnd w:id="17"/>
      <w:bookmarkEnd w:id="18"/>
      <w:bookmarkEnd w:id="19"/>
      <w:bookmarkEnd w:id="20"/>
    </w:p>
    <w:p>
      <w:pPr>
        <w:ind w:firstLine="643"/>
        <w:jc w:val="both"/>
        <w:rPr>
          <w:lang w:eastAsia="zh-CN"/>
        </w:rPr>
      </w:pPr>
      <w:r>
        <w:rPr>
          <w:b/>
          <w:bCs/>
          <w:lang w:eastAsia="zh-CN"/>
        </w:rPr>
        <w:t>导向明确，水污并治</w:t>
      </w:r>
      <w:r>
        <w:rPr>
          <w:lang w:eastAsia="zh-CN"/>
        </w:rPr>
        <w:t>。改变以达标排放作为治污目的的观念，树立以水体环境功能目标为导向的理念。改变过去治污、治水与治河相互孤立、互不衔接的方式，建立三者的有机结合，统一到生态治理的高度。</w:t>
      </w:r>
    </w:p>
    <w:p>
      <w:pPr>
        <w:ind w:firstLine="643"/>
        <w:jc w:val="both"/>
        <w:rPr>
          <w:lang w:eastAsia="zh-CN"/>
        </w:rPr>
      </w:pPr>
      <w:r>
        <w:rPr>
          <w:b/>
          <w:bCs/>
          <w:lang w:eastAsia="zh-CN"/>
        </w:rPr>
        <w:t>城乡统筹，均衡发展</w:t>
      </w:r>
      <w:r>
        <w:rPr>
          <w:lang w:eastAsia="zh-CN"/>
        </w:rPr>
        <w:t>。坚持城乡污水统筹治理，充分利用城区污水厂的辐射能力，接纳周边社区及附近农村居民点的污水集中处理。按照统一规划、统一管理、联合运行的原则组织实施，打破行政边界及现有污水分区界限，实现污水厂互备、管网互联，设施容量共享。</w:t>
      </w:r>
    </w:p>
    <w:p>
      <w:pPr>
        <w:ind w:firstLine="643"/>
        <w:jc w:val="both"/>
        <w:rPr>
          <w:lang w:eastAsia="zh-CN"/>
        </w:rPr>
      </w:pPr>
      <w:r>
        <w:rPr>
          <w:b/>
          <w:bCs/>
          <w:lang w:eastAsia="zh-CN"/>
        </w:rPr>
        <w:t>依据合理，近远结合</w:t>
      </w:r>
      <w:r>
        <w:rPr>
          <w:lang w:eastAsia="zh-CN"/>
        </w:rPr>
        <w:t>。以国土空间总体规划为依据，协调详细规划，对接相关专业规划，确保系统性，整体性。污水处理设施、污水收集系统的建设与城镇化进程相结合，远近结合，避免重复建设。</w:t>
      </w:r>
    </w:p>
    <w:p>
      <w:pPr>
        <w:ind w:firstLine="643"/>
        <w:jc w:val="both"/>
        <w:rPr>
          <w:lang w:eastAsia="zh-CN"/>
        </w:rPr>
      </w:pPr>
      <w:r>
        <w:rPr>
          <w:b/>
          <w:bCs/>
          <w:lang w:eastAsia="zh-CN"/>
        </w:rPr>
        <w:t>系统完善，整体提升。</w:t>
      </w:r>
      <w:r>
        <w:rPr>
          <w:lang w:eastAsia="zh-CN"/>
        </w:rPr>
        <w:t>坚持“源头抓起”、“厂网并重、管网先行”“泥水并重”治理理念。遵循循环经济理念，加强再生水回用工作，挖掘再生水用户，坚持全系统整体提升，逐步弥补薄弱环节。</w:t>
      </w:r>
    </w:p>
    <w:p>
      <w:pPr>
        <w:ind w:firstLine="643"/>
        <w:jc w:val="both"/>
        <w:rPr>
          <w:szCs w:val="32"/>
          <w:lang w:eastAsia="zh-CN"/>
        </w:rPr>
      </w:pPr>
      <w:r>
        <w:rPr>
          <w:b/>
          <w:bCs/>
          <w:szCs w:val="32"/>
          <w:lang w:eastAsia="zh-CN"/>
        </w:rPr>
        <w:t>政府主导，市场并行。</w:t>
      </w:r>
      <w:r>
        <w:rPr>
          <w:szCs w:val="32"/>
          <w:lang w:eastAsia="zh-CN"/>
        </w:rPr>
        <w:t>发挥政府引导作用，加强政府规划引导、政策扶持、基础设施等方面作用。吸引社会资本，规范市场主体行为，发挥市场配置资源的决定性作用。</w:t>
      </w:r>
    </w:p>
    <w:p>
      <w:pPr>
        <w:pStyle w:val="2"/>
        <w:ind w:firstLine="643"/>
        <w:rPr>
          <w:rFonts w:cs="Times New Roman"/>
          <w:lang w:eastAsia="zh-CN"/>
        </w:rPr>
      </w:pPr>
      <w:bookmarkStart w:id="21" w:name="_Toc1896"/>
      <w:bookmarkStart w:id="22" w:name="_Toc110875169"/>
      <w:bookmarkStart w:id="23" w:name="_Toc62633865"/>
      <w:bookmarkStart w:id="24" w:name="_Toc1993627843"/>
      <w:bookmarkStart w:id="25" w:name="_Toc417020460"/>
      <w:r>
        <w:rPr>
          <w:rFonts w:cs="Times New Roman"/>
          <w:lang w:eastAsia="zh-CN"/>
        </w:rPr>
        <w:t>（三）主要目标</w:t>
      </w:r>
      <w:bookmarkEnd w:id="21"/>
      <w:bookmarkEnd w:id="22"/>
      <w:bookmarkEnd w:id="23"/>
      <w:bookmarkEnd w:id="24"/>
      <w:bookmarkEnd w:id="25"/>
    </w:p>
    <w:p>
      <w:pPr>
        <w:ind w:firstLine="640"/>
        <w:jc w:val="both"/>
        <w:rPr>
          <w:lang w:eastAsia="zh-CN"/>
        </w:rPr>
      </w:pPr>
      <w:r>
        <w:rPr>
          <w:lang w:eastAsia="zh-CN"/>
        </w:rPr>
        <w:t>到2025年底，基本消除本市建成区生活污水直排口和污水管网覆盖空白区，城市生活污水集中收集率提高达到72%；市区集中处理率达到90%以上，县域集中处理率达到80%以上，污水处理能力能够满足当地经济社会发展和水生态环境需要。</w:t>
      </w:r>
    </w:p>
    <w:p>
      <w:pPr>
        <w:ind w:firstLine="640"/>
        <w:rPr>
          <w:lang w:eastAsia="zh-CN"/>
        </w:rPr>
      </w:pPr>
      <w:r>
        <w:rPr>
          <w:lang w:eastAsia="zh-CN"/>
        </w:rPr>
        <w:t>到2025年底，城市污水再生利用率达到25%以上，再生水资源化利用率达50%以上。</w:t>
      </w:r>
    </w:p>
    <w:p>
      <w:pPr>
        <w:ind w:firstLine="640"/>
        <w:jc w:val="both"/>
        <w:rPr>
          <w:lang w:eastAsia="zh-CN"/>
        </w:rPr>
      </w:pPr>
      <w:r>
        <w:rPr>
          <w:lang w:eastAsia="zh-CN"/>
        </w:rPr>
        <w:t>到2025年底，市区和县城污泥无害化处理处置水平进一步提升，市区污泥无害化处置率达到95%，县城污泥无害化处置率达到80%。</w:t>
      </w:r>
    </w:p>
    <w:p>
      <w:pPr>
        <w:ind w:firstLine="640"/>
        <w:jc w:val="both"/>
        <w:rPr>
          <w:lang w:eastAsia="zh-CN"/>
        </w:rPr>
      </w:pPr>
      <w:r>
        <w:rPr>
          <w:lang w:eastAsia="zh-CN"/>
        </w:rPr>
        <w:t>展望2035年，全市城乡生活污水处理设施和污水收集管网基本全覆盖，全面实现污泥无害化处置，污水再生利用率显著提升，城镇生活污水处理厂实现稳定、安全、高效运营，全民共享绿色、生态、安全的城镇水生态环境。</w:t>
      </w:r>
      <w:bookmarkStart w:id="26" w:name="_Toc22541"/>
      <w:bookmarkStart w:id="27" w:name="_Toc1586337404"/>
      <w:bookmarkStart w:id="28" w:name="_Toc62633866"/>
      <w:bookmarkStart w:id="29" w:name="_Toc2028800436"/>
    </w:p>
    <w:p>
      <w:pPr>
        <w:pStyle w:val="3"/>
        <w:ind w:firstLine="643"/>
        <w:rPr>
          <w:lang w:eastAsia="zh-CN"/>
        </w:rPr>
      </w:pPr>
      <w:bookmarkStart w:id="30" w:name="_Toc110875170"/>
      <w:r>
        <w:rPr>
          <w:lang w:eastAsia="zh-CN"/>
        </w:rPr>
        <w:t>三、重点建设任务</w:t>
      </w:r>
      <w:bookmarkEnd w:id="26"/>
      <w:bookmarkEnd w:id="27"/>
      <w:bookmarkEnd w:id="28"/>
      <w:bookmarkEnd w:id="29"/>
      <w:bookmarkEnd w:id="30"/>
    </w:p>
    <w:p>
      <w:pPr>
        <w:pStyle w:val="2"/>
        <w:ind w:firstLine="643"/>
        <w:rPr>
          <w:rFonts w:cs="Times New Roman"/>
          <w:lang w:eastAsia="zh-CN"/>
        </w:rPr>
      </w:pPr>
      <w:bookmarkStart w:id="31" w:name="_Toc1015132771"/>
      <w:bookmarkStart w:id="32" w:name="_Toc110875171"/>
      <w:bookmarkStart w:id="33" w:name="_Toc31520"/>
      <w:bookmarkStart w:id="34" w:name="_Toc1507929976"/>
      <w:bookmarkStart w:id="35" w:name="_Toc62633867"/>
      <w:r>
        <w:rPr>
          <w:rFonts w:cs="Times New Roman"/>
          <w:lang w:eastAsia="zh-CN"/>
        </w:rPr>
        <w:t>（一）加快补齐城镇污水管网短板</w:t>
      </w:r>
      <w:bookmarkEnd w:id="31"/>
      <w:bookmarkEnd w:id="32"/>
      <w:bookmarkEnd w:id="33"/>
      <w:bookmarkEnd w:id="34"/>
      <w:bookmarkEnd w:id="35"/>
    </w:p>
    <w:p>
      <w:pPr>
        <w:pStyle w:val="4"/>
        <w:ind w:firstLine="643"/>
        <w:rPr>
          <w:lang w:eastAsia="zh-CN"/>
        </w:rPr>
      </w:pPr>
      <w:bookmarkStart w:id="36" w:name="_Toc110875172"/>
      <w:r>
        <w:rPr>
          <w:lang w:eastAsia="zh-CN"/>
        </w:rPr>
        <w:t>1.建设任务</w:t>
      </w:r>
      <w:bookmarkEnd w:id="36"/>
    </w:p>
    <w:p>
      <w:pPr>
        <w:ind w:firstLine="640"/>
        <w:jc w:val="both"/>
        <w:rPr>
          <w:lang w:eastAsia="zh-CN"/>
        </w:rPr>
      </w:pPr>
      <w:r>
        <w:rPr>
          <w:lang w:eastAsia="zh-CN"/>
        </w:rPr>
        <w:t>推进污水管网建设和雨污合流管网改造，提升污水处理效能，努力实现城市生活污水集中处理设施全覆盖，生活污水全收集、全处理。</w:t>
      </w:r>
      <w:r>
        <w:rPr>
          <w:b/>
          <w:bCs/>
          <w:lang w:eastAsia="zh-CN"/>
        </w:rPr>
        <w:t>统筹推进污水管网建设</w:t>
      </w:r>
      <w:r>
        <w:rPr>
          <w:lang w:eastAsia="zh-CN"/>
        </w:rPr>
        <w:t>，强化小区（城中村）、城乡结合处等生活污水管网建设，力求全市各处做到生活污水应收尽收。加强支、户线管网连接，补齐“毛细血管”，消除污水收集空白区。</w:t>
      </w:r>
      <w:r>
        <w:rPr>
          <w:b/>
          <w:bCs/>
          <w:lang w:eastAsia="zh-CN"/>
        </w:rPr>
        <w:t>积极开展污水管网消隐改造</w:t>
      </w:r>
      <w:r>
        <w:rPr>
          <w:lang w:eastAsia="zh-CN"/>
        </w:rPr>
        <w:t>，全面排查居民小区、公共建筑和单位庭院内部雨污水管网、总排口接管等情况，摸清每栋楼宇雨污水去向，列出问题清单，推进实施管网修复改造和建设。</w:t>
      </w:r>
      <w:r>
        <w:rPr>
          <w:b/>
          <w:bCs/>
          <w:lang w:eastAsia="zh-CN"/>
        </w:rPr>
        <w:t>因地制宜实施雨污分流改造</w:t>
      </w:r>
      <w:r>
        <w:rPr>
          <w:lang w:eastAsia="zh-CN"/>
        </w:rPr>
        <w:t>，采用源头治理、末端拦截、分散调蓄、就地处理等多种方式，削减合流制溢流污染；新建小区配套建设污水收集管网，并与市政污水管网准确连接。“十四五”期间，全市新建污水配套管网145公里，改造老旧管网65公里，改造合流制管网26公里。</w:t>
      </w:r>
    </w:p>
    <w:p>
      <w:pPr>
        <w:ind w:firstLine="0" w:firstLineChars="0"/>
        <w:jc w:val="center"/>
        <w:rPr>
          <w:b/>
          <w:sz w:val="28"/>
          <w:szCs w:val="28"/>
          <w:lang w:eastAsia="zh-CN"/>
        </w:rPr>
      </w:pPr>
      <w:r>
        <w:rPr>
          <w:rFonts w:eastAsia="宋体"/>
          <w:b/>
          <w:sz w:val="28"/>
          <w:szCs w:val="28"/>
          <w:lang w:eastAsia="zh-CN"/>
        </w:rPr>
        <w:t>专栏1  管网建设专项行动</w:t>
      </w:r>
    </w:p>
    <w:tbl>
      <w:tblPr>
        <w:tblStyle w:val="56"/>
        <w:tblW w:w="80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080" w:type="dxa"/>
            <w:tcBorders>
              <w:left w:val="single" w:color="auto" w:sz="4" w:space="0"/>
            </w:tcBorders>
            <w:vAlign w:val="center"/>
          </w:tcPr>
          <w:p>
            <w:pPr>
              <w:widowControl/>
              <w:autoSpaceDE w:val="0"/>
              <w:autoSpaceDN w:val="0"/>
              <w:spacing w:line="360" w:lineRule="auto"/>
              <w:ind w:firstLine="560"/>
              <w:jc w:val="both"/>
              <w:rPr>
                <w:sz w:val="28"/>
                <w:szCs w:val="28"/>
                <w:lang w:eastAsia="zh-CN"/>
              </w:rPr>
            </w:pPr>
            <w:r>
              <w:rPr>
                <w:sz w:val="28"/>
                <w:szCs w:val="28"/>
                <w:lang w:eastAsia="zh-CN"/>
              </w:rPr>
              <w:t>城镇新区建设按照雨污分流原则同步配套建设污水管网，同时逐步消除城中村、城乡结合部污水管网的空白。全市规划新建污水管网145公里，其中：城市29公里，县城116公里。</w:t>
            </w:r>
          </w:p>
          <w:p>
            <w:pPr>
              <w:widowControl/>
              <w:autoSpaceDE/>
              <w:autoSpaceDN/>
              <w:spacing w:line="360" w:lineRule="auto"/>
              <w:ind w:firstLine="560"/>
              <w:rPr>
                <w:szCs w:val="28"/>
                <w:lang w:eastAsia="zh-CN"/>
              </w:rPr>
            </w:pPr>
            <w:r>
              <w:rPr>
                <w:sz w:val="28"/>
                <w:szCs w:val="28"/>
                <w:lang w:eastAsia="zh-CN"/>
              </w:rPr>
              <w:t>全面完成市政排水管网排查与检测工作，对老旧管网、合流制管网进行改造，对雨污混错接现象进行整改，努力提高污水收集效率。全市改造老旧管网65公里，合流制管网26公里。</w:t>
            </w:r>
          </w:p>
        </w:tc>
      </w:tr>
    </w:tbl>
    <w:p>
      <w:pPr>
        <w:pStyle w:val="4"/>
        <w:ind w:firstLine="643"/>
        <w:rPr>
          <w:lang w:eastAsia="zh-CN"/>
        </w:rPr>
      </w:pPr>
      <w:bookmarkStart w:id="37" w:name="_Toc110875173"/>
      <w:r>
        <w:rPr>
          <w:lang w:eastAsia="zh-CN"/>
        </w:rPr>
        <w:t>2.技术要求</w:t>
      </w:r>
      <w:bookmarkEnd w:id="37"/>
    </w:p>
    <w:p>
      <w:pPr>
        <w:ind w:firstLine="643"/>
        <w:jc w:val="both"/>
        <w:rPr>
          <w:lang w:eastAsia="zh-CN"/>
        </w:rPr>
      </w:pPr>
      <w:r>
        <w:rPr>
          <w:b/>
          <w:bCs/>
          <w:lang w:eastAsia="zh-CN"/>
        </w:rPr>
        <w:t>污水管网排查及改造</w:t>
      </w:r>
      <w:r>
        <w:rPr>
          <w:lang w:eastAsia="zh-CN"/>
        </w:rPr>
        <w:t>。采取地毯式排查，排查全市辖区污水管网、雨污合流制管网等设施功能及运行状况等，摸清污水管网家底、厘清污水收集设施问题。针对排查问题，采取清单式改造，根据污水管网排查结果，认真梳理编制三张清单，即无问题清单，小改清单（结合现有项目改造），大改清单（需单独立项）。</w:t>
      </w:r>
    </w:p>
    <w:p>
      <w:pPr>
        <w:ind w:firstLine="643"/>
        <w:jc w:val="both"/>
        <w:rPr>
          <w:lang w:eastAsia="zh-CN"/>
        </w:rPr>
      </w:pPr>
      <w:r>
        <w:rPr>
          <w:b/>
          <w:bCs/>
          <w:lang w:eastAsia="zh-CN"/>
        </w:rPr>
        <w:t>污水管网建设。</w:t>
      </w:r>
      <w:r>
        <w:rPr>
          <w:lang w:eastAsia="zh-CN"/>
        </w:rPr>
        <w:t>新建污水收集管网采取分流制系统。增加、改造现有雨水排放系统，确保污水管网的独立性，对雨水管网与污水管网进行隔离。定期开展分流制排水系统管网的检查，推进管网病害诊断与修复，强化污水收集管网外来水入渗入流、倒灌排查治理。</w:t>
      </w:r>
    </w:p>
    <w:p>
      <w:pPr>
        <w:ind w:firstLine="643"/>
        <w:jc w:val="both"/>
        <w:rPr>
          <w:lang w:eastAsia="zh-CN"/>
        </w:rPr>
      </w:pPr>
      <w:r>
        <w:rPr>
          <w:b/>
          <w:bCs/>
          <w:lang w:eastAsia="zh-CN"/>
        </w:rPr>
        <w:t>污水直排口治理。</w:t>
      </w:r>
      <w:r>
        <w:rPr>
          <w:lang w:eastAsia="zh-CN"/>
        </w:rPr>
        <w:t>应开展旱天生活污水直排口的溯源检查与治理，从源头控制污水进入雨水管道。根据直排口具体分布情况，采取不同处理技术，因地制宜采用建设调蓄池、新建截流井或截污管、建设污水收集池等工程措施，降低合流制排水区域溢流污染。对污水直排口远离现状污水管网，近期无法纳入污水处理厂范围，可在直排口末端采用适宜的污水分散处理。对污水直排口在污水处理厂纳污范围内的，可将上游污水混流、偷排偷接管道进行改造或者可在上游管网高位处进行有效截污处理。</w:t>
      </w:r>
    </w:p>
    <w:p>
      <w:pPr>
        <w:ind w:firstLine="643"/>
        <w:jc w:val="both"/>
        <w:rPr>
          <w:lang w:eastAsia="zh-CN"/>
        </w:rPr>
      </w:pPr>
      <w:r>
        <w:rPr>
          <w:b/>
          <w:bCs/>
          <w:lang w:eastAsia="zh-CN"/>
        </w:rPr>
        <w:t>片区系统化整治。</w:t>
      </w:r>
      <w:r>
        <w:rPr>
          <w:lang w:eastAsia="zh-CN"/>
        </w:rPr>
        <w:t>系统排查进水生化需氧量（BOD5）浓度低于100mg/L的生活污水处理厂，摸清进水浓度降低的原因，针对具体问题制定“一厂一策”系统化整治方案，稳步提升污水收集处理设施效能。</w:t>
      </w:r>
    </w:p>
    <w:p>
      <w:pPr>
        <w:ind w:firstLine="643"/>
        <w:jc w:val="both"/>
        <w:rPr>
          <w:lang w:eastAsia="zh-CN"/>
        </w:rPr>
      </w:pPr>
      <w:r>
        <w:rPr>
          <w:b/>
          <w:bCs/>
          <w:lang w:eastAsia="zh-CN"/>
        </w:rPr>
        <w:t>管网建设质量管控。</w:t>
      </w:r>
      <w:r>
        <w:rPr>
          <w:lang w:eastAsia="zh-CN"/>
        </w:rPr>
        <w:t>加强管网施工全过程质量管控，严把管网建设质量关，严格规范管道验收和移交程序。按照质量终身责任追究要求，强化设计、施工、监理等行业信用体系建设。</w:t>
      </w:r>
    </w:p>
    <w:p>
      <w:pPr>
        <w:pStyle w:val="2"/>
        <w:ind w:firstLine="643"/>
        <w:rPr>
          <w:rFonts w:cs="Times New Roman"/>
          <w:lang w:eastAsia="zh-CN"/>
        </w:rPr>
      </w:pPr>
      <w:bookmarkStart w:id="38" w:name="_Toc62633868"/>
      <w:bookmarkStart w:id="39" w:name="_Toc110875174"/>
      <w:bookmarkStart w:id="40" w:name="_Toc16593"/>
      <w:bookmarkStart w:id="41" w:name="_Toc1536235754"/>
      <w:bookmarkStart w:id="42" w:name="_Toc678869768"/>
      <w:r>
        <w:rPr>
          <w:rFonts w:cs="Times New Roman"/>
          <w:lang w:eastAsia="zh-CN"/>
        </w:rPr>
        <w:t>（二）强化城镇生活污水设施弱项</w:t>
      </w:r>
      <w:bookmarkEnd w:id="38"/>
      <w:bookmarkEnd w:id="39"/>
      <w:bookmarkEnd w:id="40"/>
      <w:bookmarkEnd w:id="41"/>
      <w:bookmarkEnd w:id="42"/>
    </w:p>
    <w:p>
      <w:pPr>
        <w:pStyle w:val="4"/>
        <w:ind w:firstLine="643"/>
        <w:rPr>
          <w:bCs/>
          <w:szCs w:val="32"/>
          <w:lang w:eastAsia="zh-CN"/>
        </w:rPr>
      </w:pPr>
      <w:bookmarkStart w:id="43" w:name="_Toc110875175"/>
      <w:r>
        <w:rPr>
          <w:bCs/>
          <w:szCs w:val="32"/>
          <w:lang w:eastAsia="zh-CN"/>
        </w:rPr>
        <w:t>1</w:t>
      </w:r>
      <w:r>
        <w:rPr>
          <w:szCs w:val="32"/>
          <w:lang w:eastAsia="zh-CN"/>
        </w:rPr>
        <w:t>.</w:t>
      </w:r>
      <w:r>
        <w:rPr>
          <w:bCs/>
          <w:szCs w:val="32"/>
          <w:lang w:eastAsia="zh-CN"/>
        </w:rPr>
        <w:t>建设任务</w:t>
      </w:r>
      <w:bookmarkEnd w:id="43"/>
    </w:p>
    <w:p>
      <w:pPr>
        <w:ind w:firstLine="640"/>
        <w:jc w:val="both"/>
        <w:rPr>
          <w:lang w:eastAsia="zh-CN"/>
        </w:rPr>
      </w:pPr>
      <w:r>
        <w:rPr>
          <w:lang w:eastAsia="zh-CN"/>
        </w:rPr>
        <w:t>积极推进城镇生活污水高标准处理，推动城镇污水处理厂扩容和提质增效，确保生活污水收集及处理能力与服务片区人口、经济社会发展水平、水环境质量改善要求相匹配。加快推进老城区、城乡结合等生活污水处理设施薄弱处新（改扩）建生活污水处理设施，补齐处理能力短板。乡镇地区优先采取城旁接管、就近集中联建等方式解决污水处理问题。摸排现有污水处理设施运行状况，统筹设施本底条件和区域发展需求，通过“规范一批、改造一批、拆除一批”，提升污水处理能力。</w:t>
      </w:r>
    </w:p>
    <w:p>
      <w:pPr>
        <w:ind w:firstLine="0" w:firstLineChars="0"/>
        <w:jc w:val="center"/>
        <w:rPr>
          <w:rFonts w:eastAsia="黑体"/>
          <w:bCs/>
          <w:sz w:val="28"/>
          <w:szCs w:val="28"/>
          <w:lang w:eastAsia="zh-CN"/>
        </w:rPr>
      </w:pPr>
      <w:r>
        <w:rPr>
          <w:rFonts w:eastAsia="黑体"/>
          <w:bCs/>
          <w:sz w:val="28"/>
          <w:szCs w:val="28"/>
          <w:lang w:eastAsia="zh-CN"/>
        </w:rPr>
        <w:t>专栏2  城镇污水处理厂建设专项行动</w:t>
      </w:r>
    </w:p>
    <w:tbl>
      <w:tblPr>
        <w:tblStyle w:val="56"/>
        <w:tblW w:w="86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2" w:hRule="atLeast"/>
          <w:jc w:val="center"/>
        </w:trPr>
        <w:tc>
          <w:tcPr>
            <w:tcW w:w="8648" w:type="dxa"/>
            <w:tcBorders>
              <w:left w:val="single" w:color="auto" w:sz="4" w:space="0"/>
            </w:tcBorders>
            <w:vAlign w:val="center"/>
          </w:tcPr>
          <w:p>
            <w:pPr>
              <w:widowControl/>
              <w:autoSpaceDE/>
              <w:autoSpaceDN/>
              <w:spacing w:line="360" w:lineRule="auto"/>
              <w:ind w:firstLine="560"/>
              <w:rPr>
                <w:szCs w:val="28"/>
                <w:lang w:eastAsia="zh-CN"/>
              </w:rPr>
            </w:pPr>
            <w:r>
              <w:rPr>
                <w:sz w:val="28"/>
                <w:szCs w:val="22"/>
                <w:lang w:eastAsia="zh-CN"/>
              </w:rPr>
              <w:t>按照宿州市国民经济和社会发展需求，加快城镇污水处理设施建设，补齐现有污水处理能力不足的短板；适度超前谋划常住人口50万以上的城市污水处理厂建设规模。全市新增城镇污水处理能力7万立方米/日。</w:t>
            </w:r>
          </w:p>
        </w:tc>
      </w:tr>
    </w:tbl>
    <w:p>
      <w:pPr>
        <w:pStyle w:val="4"/>
        <w:ind w:firstLine="643"/>
        <w:rPr>
          <w:lang w:eastAsia="zh-CN"/>
        </w:rPr>
      </w:pPr>
      <w:bookmarkStart w:id="44" w:name="_Toc110875176"/>
      <w:r>
        <w:rPr>
          <w:lang w:eastAsia="zh-CN"/>
        </w:rPr>
        <w:t>2.技术要求</w:t>
      </w:r>
      <w:bookmarkEnd w:id="44"/>
    </w:p>
    <w:p>
      <w:pPr>
        <w:ind w:firstLine="643"/>
        <w:jc w:val="both"/>
        <w:rPr>
          <w:lang w:eastAsia="zh-CN"/>
        </w:rPr>
      </w:pPr>
      <w:r>
        <w:rPr>
          <w:b/>
          <w:bCs/>
          <w:lang w:eastAsia="zh-CN"/>
        </w:rPr>
        <w:t>污水处理厂布局。</w:t>
      </w:r>
      <w:r>
        <w:rPr>
          <w:lang w:eastAsia="zh-CN"/>
        </w:rPr>
        <w:t>结合宿州市总体规划，综合考虑人口、自然地理、气候条件、产业发展，以及污水收集能力和污水资源化利用需求等情况，科学布局污水处理设施。依据人口密集程度、生活污水量差异，分别采用集中处理方式、分散式处理或就近集中联建等方式。新建污水处理厂应结合污泥无害化处置方式，一并考虑污泥减量化处理方案。</w:t>
      </w:r>
    </w:p>
    <w:p>
      <w:pPr>
        <w:ind w:firstLine="643"/>
        <w:rPr>
          <w:lang w:eastAsia="zh-CN"/>
        </w:rPr>
      </w:pPr>
      <w:r>
        <w:rPr>
          <w:b/>
          <w:bCs/>
          <w:lang w:eastAsia="zh-CN"/>
        </w:rPr>
        <w:t>污水处理厂排放标准。</w:t>
      </w:r>
      <w:r>
        <w:rPr>
          <w:lang w:eastAsia="zh-CN"/>
        </w:rPr>
        <w:t>新建城镇污水处理厂出水水质应执行《城镇污水处理厂污染物排放标准》（GB18918）中一级A排放标准。邻近居民区和环境敏感区的污水处理厂对主要臭气排放工序采取加盖密闭和微负压收集臭气，并配套除臭设施。</w:t>
      </w:r>
    </w:p>
    <w:p>
      <w:pPr>
        <w:ind w:firstLine="643"/>
        <w:jc w:val="both"/>
        <w:rPr>
          <w:lang w:eastAsia="zh-CN"/>
        </w:rPr>
      </w:pPr>
      <w:r>
        <w:rPr>
          <w:b/>
          <w:bCs/>
          <w:lang w:eastAsia="zh-CN"/>
        </w:rPr>
        <w:t>合流制溢流污水快速净化设施。</w:t>
      </w:r>
      <w:r>
        <w:rPr>
          <w:lang w:eastAsia="zh-CN"/>
        </w:rPr>
        <w:t>针对截流管道中合流污水超过污水厂处理能力的情况，应设置调蓄池，与污水厂形成联动，进一步减少溢流次数，削减溢流污染物总量。根据污水颗粒物和漂浮物含量实际情况，采用化学沉淀处理、电解沉淀法、微生物处理法等方法，实现高效去除可沉积颗粒物和漂浮物，促进水环境质量长效保持。</w:t>
      </w:r>
    </w:p>
    <w:p>
      <w:pPr>
        <w:pStyle w:val="2"/>
        <w:ind w:firstLine="643"/>
        <w:rPr>
          <w:rFonts w:cs="Times New Roman"/>
          <w:lang w:eastAsia="zh-CN"/>
        </w:rPr>
      </w:pPr>
      <w:bookmarkStart w:id="45" w:name="_Toc22837"/>
      <w:bookmarkStart w:id="46" w:name="_Toc62633869"/>
      <w:bookmarkStart w:id="47" w:name="_Toc978190004"/>
      <w:bookmarkStart w:id="48" w:name="_Toc1852454015"/>
      <w:bookmarkStart w:id="49" w:name="_Toc110875177"/>
      <w:r>
        <w:rPr>
          <w:rFonts w:cs="Times New Roman"/>
          <w:lang w:eastAsia="zh-CN"/>
        </w:rPr>
        <w:t>（三）</w:t>
      </w:r>
      <w:bookmarkEnd w:id="45"/>
      <w:bookmarkEnd w:id="46"/>
      <w:bookmarkEnd w:id="47"/>
      <w:bookmarkEnd w:id="48"/>
      <w:r>
        <w:rPr>
          <w:rFonts w:cs="Times New Roman"/>
          <w:lang w:eastAsia="zh-CN"/>
        </w:rPr>
        <w:t>持续加强再生水利用设施建设</w:t>
      </w:r>
      <w:bookmarkEnd w:id="49"/>
    </w:p>
    <w:p>
      <w:pPr>
        <w:pStyle w:val="4"/>
        <w:ind w:firstLine="643"/>
        <w:rPr>
          <w:lang w:eastAsia="zh-CN"/>
        </w:rPr>
      </w:pPr>
      <w:bookmarkStart w:id="50" w:name="_Toc110875178"/>
      <w:r>
        <w:rPr>
          <w:lang w:eastAsia="zh-CN"/>
        </w:rPr>
        <w:t>1.建设任务</w:t>
      </w:r>
      <w:bookmarkEnd w:id="50"/>
    </w:p>
    <w:p>
      <w:pPr>
        <w:widowControl w:val="0"/>
        <w:overflowPunct w:val="0"/>
        <w:spacing w:line="588" w:lineRule="exact"/>
        <w:ind w:firstLine="640"/>
        <w:jc w:val="both"/>
        <w:rPr>
          <w:szCs w:val="32"/>
          <w:lang w:eastAsia="zh-CN"/>
        </w:rPr>
      </w:pPr>
      <w:r>
        <w:rPr>
          <w:szCs w:val="32"/>
          <w:lang w:eastAsia="zh-CN"/>
        </w:rPr>
        <w:t>结合现有污水处理厂设施，以保障水生态安全和水资源利用为目标，合理规划布局再生水利用设施建设，深入实施泗县污水处理厂中水回用工程，推动再生水规模化利用。合理优化再生水供用结构，推广再生水用于市政杂用、园林绿化、工业、服务业、河湖湿地生态补水。重点推进生产生活用水再生水替代，逐步实现市政杂用、园林绿化、工业、服务业用水应供尽供、可替尽替。积极开展城市再生水循环利用，在</w:t>
      </w:r>
      <w:r>
        <w:rPr>
          <w:lang w:eastAsia="zh-CN"/>
        </w:rPr>
        <w:t>河湖水系、调蓄再生水，在污水处理厂下游、支流入干流处等关键节点因地制宜采取生态净化措施，进一步改善水生态环境。</w:t>
      </w:r>
    </w:p>
    <w:p>
      <w:pPr>
        <w:pStyle w:val="4"/>
        <w:ind w:firstLine="643"/>
        <w:rPr>
          <w:szCs w:val="32"/>
          <w:lang w:eastAsia="zh-CN"/>
        </w:rPr>
      </w:pPr>
      <w:bookmarkStart w:id="51" w:name="_Toc110875179"/>
      <w:r>
        <w:rPr>
          <w:lang w:eastAsia="zh-CN"/>
        </w:rPr>
        <w:t>2.技术要求</w:t>
      </w:r>
      <w:bookmarkEnd w:id="51"/>
    </w:p>
    <w:p>
      <w:pPr>
        <w:widowControl w:val="0"/>
        <w:overflowPunct w:val="0"/>
        <w:spacing w:line="588" w:lineRule="exact"/>
        <w:ind w:firstLine="640"/>
        <w:jc w:val="both"/>
        <w:rPr>
          <w:szCs w:val="32"/>
          <w:lang w:eastAsia="zh-CN"/>
        </w:rPr>
      </w:pPr>
      <w:r>
        <w:rPr>
          <w:szCs w:val="32"/>
          <w:lang w:eastAsia="zh-CN"/>
        </w:rPr>
        <w:t>积极推广再生水用于工业生产和市政杂用水的同时，鼓励将再生水作为河湖湿地生态补水。结合我市水资源利用、水环境提升、水生态改善等需求，指导供水公司积极开发北部备用岩溶地下水，鼓励企业建设开发区水厂，实现集中供水，提高水资源利用效率。采用先进生活污水处工艺，提高城镇污水处理厂出水水质。推进工业生产、园林绿化、道路清洗、车辆冲洗、建筑施工等领域优先使用再生水。再生水的利用优先选择用水量大、水质要求不高的用户，并沿主输水管道配套建设集中供水点，供周边城镇园林绿化和道路清扫用水。</w:t>
      </w:r>
    </w:p>
    <w:p>
      <w:pPr>
        <w:pStyle w:val="2"/>
        <w:ind w:firstLine="643"/>
        <w:rPr>
          <w:rFonts w:cs="Times New Roman"/>
          <w:lang w:eastAsia="zh-CN"/>
        </w:rPr>
      </w:pPr>
      <w:bookmarkStart w:id="52" w:name="_Toc12559"/>
      <w:bookmarkStart w:id="53" w:name="_Toc1348785338"/>
      <w:bookmarkStart w:id="54" w:name="_Toc110875180"/>
      <w:bookmarkStart w:id="55" w:name="_Toc1009872526"/>
      <w:bookmarkStart w:id="56" w:name="_Toc62633870"/>
      <w:r>
        <w:rPr>
          <w:rFonts w:cs="Times New Roman"/>
          <w:lang w:eastAsia="zh-CN"/>
        </w:rPr>
        <w:t>（四）着力破解污泥处置难点</w:t>
      </w:r>
      <w:bookmarkEnd w:id="52"/>
      <w:bookmarkEnd w:id="53"/>
      <w:bookmarkEnd w:id="54"/>
      <w:bookmarkEnd w:id="55"/>
      <w:bookmarkEnd w:id="56"/>
    </w:p>
    <w:p>
      <w:pPr>
        <w:pStyle w:val="4"/>
        <w:ind w:firstLine="643"/>
        <w:rPr>
          <w:bCs/>
          <w:szCs w:val="32"/>
          <w:lang w:eastAsia="zh-CN"/>
        </w:rPr>
      </w:pPr>
      <w:bookmarkStart w:id="57" w:name="_Toc110875181"/>
      <w:r>
        <w:rPr>
          <w:bCs/>
          <w:szCs w:val="32"/>
          <w:lang w:eastAsia="zh-CN"/>
        </w:rPr>
        <w:t>1</w:t>
      </w:r>
      <w:r>
        <w:rPr>
          <w:szCs w:val="32"/>
          <w:lang w:eastAsia="zh-CN"/>
        </w:rPr>
        <w:t>.</w:t>
      </w:r>
      <w:r>
        <w:rPr>
          <w:bCs/>
          <w:szCs w:val="32"/>
          <w:lang w:eastAsia="zh-CN"/>
        </w:rPr>
        <w:t>建设任务</w:t>
      </w:r>
      <w:bookmarkEnd w:id="57"/>
    </w:p>
    <w:p>
      <w:pPr>
        <w:widowControl w:val="0"/>
        <w:overflowPunct w:val="0"/>
        <w:spacing w:line="588" w:lineRule="exact"/>
        <w:ind w:firstLine="640"/>
        <w:jc w:val="both"/>
        <w:rPr>
          <w:lang w:eastAsia="zh-CN"/>
        </w:rPr>
      </w:pPr>
      <w:r>
        <w:rPr>
          <w:szCs w:val="32"/>
          <w:lang w:eastAsia="zh-CN"/>
        </w:rPr>
        <w:t>按照“泥水同步、远近结合”的原则，将污泥处置设施纳入本地污水处理设施建设规划。加快推进灵璧县污泥无害化处理设施。加大污水处理厂污泥处理设施的改造力度，重点建设污泥深度脱水处理设施，确保县以上集中式城镇污水处理厂和年产污泥1000吨以上的工业企业出厂污泥含水率逐步下降，实现污泥源头减量。</w:t>
      </w:r>
      <w:r>
        <w:rPr>
          <w:lang w:eastAsia="zh-CN"/>
        </w:rPr>
        <w:t>完善污泥处理产物的卫生学控制指标体系，出台并推动切实可行、便于实施的处理产物利用与处置规范和标准。根据污泥处置难易程度，制定对应监管政策，实施差别化的处置价格政策，倒逼污泥产生单位削减有毒有害物质使用量，减少污泥产生量。根据各县（区）</w:t>
      </w:r>
      <w:r>
        <w:rPr>
          <w:szCs w:val="32"/>
          <w:lang w:eastAsia="zh-CN"/>
        </w:rPr>
        <w:t>污水处理</w:t>
      </w:r>
      <w:r>
        <w:rPr>
          <w:lang w:eastAsia="zh-CN"/>
        </w:rPr>
        <w:t>厂的实际情况，因厂分类采用污泥生物处理技术、污泥化学处理技术、污泥物理处理技术等，严格把关污泥出厂各项指标，做好污泥的无害化处理。</w:t>
      </w:r>
    </w:p>
    <w:p>
      <w:pPr>
        <w:pStyle w:val="4"/>
        <w:ind w:firstLine="643"/>
        <w:rPr>
          <w:bCs/>
          <w:szCs w:val="32"/>
          <w:lang w:eastAsia="zh-CN"/>
        </w:rPr>
      </w:pPr>
      <w:bookmarkStart w:id="58" w:name="_Toc110875182"/>
      <w:r>
        <w:rPr>
          <w:bCs/>
          <w:szCs w:val="32"/>
          <w:lang w:eastAsia="zh-CN"/>
        </w:rPr>
        <w:t>2</w:t>
      </w:r>
      <w:r>
        <w:rPr>
          <w:szCs w:val="32"/>
          <w:lang w:eastAsia="zh-CN"/>
        </w:rPr>
        <w:t>.</w:t>
      </w:r>
      <w:r>
        <w:rPr>
          <w:bCs/>
          <w:szCs w:val="32"/>
          <w:lang w:eastAsia="zh-CN"/>
        </w:rPr>
        <w:t>技术要求</w:t>
      </w:r>
      <w:bookmarkEnd w:id="58"/>
    </w:p>
    <w:p>
      <w:pPr>
        <w:widowControl w:val="0"/>
        <w:overflowPunct w:val="0"/>
        <w:spacing w:line="588" w:lineRule="exact"/>
        <w:ind w:firstLine="643"/>
        <w:jc w:val="both"/>
        <w:rPr>
          <w:szCs w:val="32"/>
          <w:lang w:eastAsia="zh-CN"/>
        </w:rPr>
      </w:pPr>
      <w:r>
        <w:rPr>
          <w:b/>
          <w:bCs/>
          <w:szCs w:val="32"/>
          <w:lang w:eastAsia="zh-CN"/>
        </w:rPr>
        <w:t>关于污泥无害化处置。</w:t>
      </w:r>
      <w:r>
        <w:rPr>
          <w:szCs w:val="32"/>
          <w:lang w:eastAsia="zh-CN"/>
        </w:rPr>
        <w:t>污泥处理系统应设计成全封闭系统，并将病菌、病毒和寄生虫卵的杀灭作为重要的衡量指标。鼓励采用常规厌氧消化、热水解厌氧消化、好氧堆肥、石灰稳定、干化焚烧和热处理等技术。鼓励采用污泥和餐厨、厨余废弃物共建处理设施方式，提升城市有机废弃物综合处置水平。</w:t>
      </w:r>
    </w:p>
    <w:p>
      <w:pPr>
        <w:widowControl w:val="0"/>
        <w:overflowPunct w:val="0"/>
        <w:spacing w:line="588" w:lineRule="exact"/>
        <w:ind w:firstLine="643"/>
        <w:jc w:val="both"/>
        <w:rPr>
          <w:szCs w:val="32"/>
          <w:lang w:eastAsia="zh-CN"/>
        </w:rPr>
      </w:pPr>
      <w:r>
        <w:rPr>
          <w:b/>
          <w:bCs/>
          <w:szCs w:val="32"/>
          <w:lang w:eastAsia="zh-CN"/>
        </w:rPr>
        <w:t>关于污泥卫生填埋处置。</w:t>
      </w:r>
      <w:r>
        <w:rPr>
          <w:szCs w:val="32"/>
          <w:lang w:eastAsia="zh-CN"/>
        </w:rPr>
        <w:t>做好垃圾填埋场的防渗工作，减少对地下水的污染。对污泥垃圾在填埋场采取填埋时。污泥的含量应满足相应的标准要求，对进入生活垃圾卫生填埋场的污泥含水率≤60%，污泥和与生活垃圾的混合比例≤8%。采用协同处置方式的，卫生填埋可作为协同处置设施故障或检修等情况时的应急处置措施。</w:t>
      </w:r>
    </w:p>
    <w:p>
      <w:pPr>
        <w:ind w:firstLine="643"/>
        <w:rPr>
          <w:szCs w:val="32"/>
          <w:lang w:eastAsia="zh-CN"/>
        </w:rPr>
      </w:pPr>
      <w:r>
        <w:rPr>
          <w:b/>
          <w:bCs/>
          <w:lang w:eastAsia="zh-CN"/>
        </w:rPr>
        <w:t>关于污泥资源化利用。</w:t>
      </w:r>
      <w:r>
        <w:rPr>
          <w:lang w:eastAsia="zh-CN"/>
        </w:rPr>
        <w:t>根据污泥自身特点，按照不同处置方法，推广污泥在土地、建材、能源等方面的利用。通过将污泥与秸秆、树枝、稻壳等堆肥处理，可施用于农田、林木、花</w:t>
      </w:r>
      <w:r>
        <w:rPr>
          <w:szCs w:val="32"/>
          <w:lang w:eastAsia="zh-CN"/>
        </w:rPr>
        <w:t>卉育苗栽培基质。将有机质含量偏低、不宜用于土地利用的污泥通过技术方法制成水泥、陶粒及污泥砖，提升污泥在建材方面的可利用性。对于热值较高的污泥，通过化学或生物方法，将污泥制油、制煤等，推进污泥能源方面利用。</w:t>
      </w:r>
    </w:p>
    <w:p>
      <w:pPr>
        <w:pStyle w:val="3"/>
        <w:ind w:firstLine="643"/>
        <w:rPr>
          <w:lang w:eastAsia="zh-CN"/>
        </w:rPr>
      </w:pPr>
      <w:bookmarkStart w:id="59" w:name="_Toc110875183"/>
      <w:bookmarkStart w:id="60" w:name="_Toc17893"/>
      <w:bookmarkStart w:id="61" w:name="_Toc62633873"/>
      <w:bookmarkStart w:id="62" w:name="_Toc1880167962"/>
      <w:bookmarkStart w:id="63" w:name="_Toc312906305"/>
      <w:r>
        <w:rPr>
          <w:lang w:eastAsia="zh-CN"/>
        </w:rPr>
        <w:t>四、环境影响评价</w:t>
      </w:r>
      <w:bookmarkEnd w:id="59"/>
    </w:p>
    <w:p>
      <w:pPr>
        <w:pStyle w:val="2"/>
        <w:ind w:firstLine="643"/>
        <w:rPr>
          <w:rFonts w:cs="Times New Roman"/>
          <w:lang w:eastAsia="zh-CN"/>
        </w:rPr>
      </w:pPr>
      <w:bookmarkStart w:id="64" w:name="_Toc23007"/>
      <w:bookmarkStart w:id="65" w:name="_Toc110875184"/>
      <w:r>
        <w:rPr>
          <w:rFonts w:cs="Times New Roman"/>
          <w:lang w:eastAsia="zh-CN"/>
        </w:rPr>
        <w:t>（一）评价范围与环境保护目标</w:t>
      </w:r>
      <w:bookmarkEnd w:id="64"/>
      <w:bookmarkEnd w:id="65"/>
    </w:p>
    <w:p>
      <w:pPr>
        <w:ind w:firstLine="640"/>
        <w:rPr>
          <w:lang w:eastAsia="zh-CN"/>
        </w:rPr>
      </w:pPr>
      <w:r>
        <w:rPr>
          <w:lang w:eastAsia="zh-CN"/>
        </w:rPr>
        <w:t>城镇污水处理设施各类建设项目分布全市各地，评价范围为污水处理设施所在县（区）。项目区范围内无自然保护区、风景名胜区和文物古迹等特殊保护对象。根据项目特点及周围环境调查，环境保护对象如下：</w:t>
      </w:r>
    </w:p>
    <w:p>
      <w:pPr>
        <w:ind w:firstLine="640"/>
        <w:jc w:val="both"/>
        <w:rPr>
          <w:lang w:eastAsia="zh-CN"/>
        </w:rPr>
      </w:pPr>
      <w:r>
        <w:rPr>
          <w:lang w:eastAsia="zh-CN"/>
        </w:rPr>
        <w:t>1.污水处理厂出水排放执行《城镇污水处理厂污染物排放标准》GB18918-2002中一级A标准。</w:t>
      </w:r>
    </w:p>
    <w:p>
      <w:pPr>
        <w:ind w:firstLine="640"/>
        <w:jc w:val="both"/>
        <w:rPr>
          <w:lang w:eastAsia="zh-CN"/>
        </w:rPr>
      </w:pPr>
      <w:r>
        <w:rPr>
          <w:lang w:eastAsia="zh-CN"/>
        </w:rPr>
        <w:t>2.施工期的噪声执行《建筑施工场界环境噪声排放标准》（GB12523-2011）。保护建设区域声环境质量达到《声环境质量标准》GB3096-2008中2类标准。</w:t>
      </w:r>
    </w:p>
    <w:p>
      <w:pPr>
        <w:ind w:firstLine="640"/>
        <w:jc w:val="both"/>
        <w:rPr>
          <w:lang w:eastAsia="zh-CN"/>
        </w:rPr>
      </w:pPr>
      <w:r>
        <w:rPr>
          <w:lang w:eastAsia="zh-CN"/>
        </w:rPr>
        <w:t>3.污水处理厂产生的污泥实现无害化处置，分别满足《城镇污水处理厂污泥处置园林绿化用泥质》CJ/T248-2008、《城镇污水处理厂污泥处置土地改良泥质》CJ/T291-2008、《城镇污水处理厂污泥处置混合填埋泥质》CJ/T249-2008、《城镇污水处理厂污泥处置制砖用泥质》GB/T25031-2010等规范要求。</w:t>
      </w:r>
    </w:p>
    <w:p>
      <w:pPr>
        <w:pStyle w:val="2"/>
        <w:ind w:firstLine="643"/>
        <w:rPr>
          <w:rFonts w:cs="Times New Roman"/>
          <w:lang w:eastAsia="zh-CN"/>
        </w:rPr>
      </w:pPr>
      <w:bookmarkStart w:id="66" w:name="_Toc26128"/>
      <w:bookmarkStart w:id="67" w:name="_Toc110875185"/>
      <w:r>
        <w:rPr>
          <w:rFonts w:cs="Times New Roman"/>
          <w:lang w:eastAsia="zh-CN"/>
        </w:rPr>
        <w:t>（二）规划项目与“三线一单”符合性分析</w:t>
      </w:r>
      <w:bookmarkEnd w:id="66"/>
      <w:bookmarkEnd w:id="67"/>
    </w:p>
    <w:p>
      <w:pPr>
        <w:ind w:firstLine="640"/>
        <w:jc w:val="both"/>
        <w:rPr>
          <w:lang w:eastAsia="zh-CN"/>
        </w:rPr>
      </w:pPr>
      <w:bookmarkStart w:id="68" w:name="_Hlk43549631"/>
      <w:r>
        <w:rPr>
          <w:lang w:eastAsia="zh-CN"/>
        </w:rPr>
        <w:t>“三线一单”</w:t>
      </w:r>
      <w:bookmarkEnd w:id="68"/>
      <w:r>
        <w:rPr>
          <w:lang w:eastAsia="zh-CN"/>
        </w:rPr>
        <w:t>（生态保护红线、环境质量底线、资源利用上线和生态环境准入清单）是推进生态环境保护精细化管理、强化国土空间环境管控、推进绿色发展高质量发展的一项重要工作，对于协调经济发展和生态环境保护、持续优化区域发展与保护格局、推动环境质量改善和经济高质量发展具有重要意义。各地在污水处理设施选址时均需按照环保“三同时”要求，履行相关环评手续，满足生态保护红线、环境质量底线、资源利用上线和生态环境准入清单的规定。</w:t>
      </w:r>
    </w:p>
    <w:p>
      <w:pPr>
        <w:pStyle w:val="2"/>
        <w:ind w:firstLine="643"/>
        <w:rPr>
          <w:rFonts w:cs="Times New Roman"/>
          <w:lang w:eastAsia="zh-CN"/>
        </w:rPr>
      </w:pPr>
      <w:bookmarkStart w:id="69" w:name="_Toc110875186"/>
      <w:bookmarkStart w:id="70" w:name="_Toc2750"/>
      <w:r>
        <w:rPr>
          <w:rFonts w:cs="Times New Roman"/>
          <w:lang w:eastAsia="zh-CN"/>
        </w:rPr>
        <w:t>（三）环境影响分析</w:t>
      </w:r>
      <w:bookmarkEnd w:id="69"/>
      <w:bookmarkEnd w:id="70"/>
    </w:p>
    <w:p>
      <w:pPr>
        <w:pStyle w:val="4"/>
        <w:ind w:firstLine="643"/>
        <w:rPr>
          <w:lang w:eastAsia="zh-CN"/>
        </w:rPr>
      </w:pPr>
      <w:bookmarkStart w:id="71" w:name="_Toc110875187"/>
      <w:r>
        <w:rPr>
          <w:lang w:eastAsia="zh-CN"/>
        </w:rPr>
        <w:t>1.施工期对环境的影响</w:t>
      </w:r>
      <w:bookmarkEnd w:id="71"/>
    </w:p>
    <w:p>
      <w:pPr>
        <w:ind w:firstLine="640"/>
        <w:rPr>
          <w:lang w:eastAsia="zh-CN"/>
        </w:rPr>
      </w:pPr>
      <w:r>
        <w:rPr>
          <w:lang w:eastAsia="zh-CN"/>
        </w:rPr>
        <w:t>（1）对空气质量的影响</w:t>
      </w:r>
    </w:p>
    <w:p>
      <w:pPr>
        <w:ind w:firstLine="640"/>
        <w:jc w:val="both"/>
        <w:rPr>
          <w:lang w:eastAsia="zh-CN"/>
        </w:rPr>
      </w:pPr>
      <w:r>
        <w:rPr>
          <w:lang w:eastAsia="zh-CN"/>
        </w:rPr>
        <w:t>施工期，频繁使用机动车运送原材料、设备和建筑机械设备以及临时采用柴油发电机供电，车辆及设备的运行会排放一定量的一氧化碳、氮氧化合物以及未完全燃烧的碳氢化物等，同时产生扬尘污染大气环境。扬尘污染造成大气中总悬浮颗粒物值增高，根据类比资料，施工扬尘的起尘量与许多因素有关。影响起尘量的因素包括：基础开挖起尘量、施工渣土堆场起尘量、进出车辆夹带泥砂量、水泥搬运量、弃土外运装载起尘量以及起尘高度、采取的防护措施、空气湿度、风速等因素有关。</w:t>
      </w:r>
    </w:p>
    <w:p>
      <w:pPr>
        <w:ind w:firstLine="640"/>
        <w:rPr>
          <w:lang w:eastAsia="zh-CN"/>
        </w:rPr>
      </w:pPr>
      <w:r>
        <w:rPr>
          <w:lang w:eastAsia="zh-CN"/>
        </w:rPr>
        <w:t>（2）对水环境的影响</w:t>
      </w:r>
    </w:p>
    <w:p>
      <w:pPr>
        <w:ind w:firstLine="640"/>
        <w:jc w:val="both"/>
        <w:rPr>
          <w:lang w:eastAsia="zh-CN"/>
        </w:rPr>
      </w:pPr>
      <w:r>
        <w:rPr>
          <w:lang w:eastAsia="zh-CN"/>
        </w:rPr>
        <w:t>施工期对水环境影响的主要污染源来自施工人员产生的生活污水、施工废水等，主要污染物是化学需氧量、生化需氧量、固体悬浮物、石油类等。</w:t>
      </w:r>
    </w:p>
    <w:p>
      <w:pPr>
        <w:ind w:firstLine="640"/>
        <w:jc w:val="both"/>
        <w:rPr>
          <w:lang w:eastAsia="zh-CN"/>
        </w:rPr>
      </w:pPr>
      <w:r>
        <w:rPr>
          <w:lang w:eastAsia="zh-CN"/>
        </w:rPr>
        <w:t>生活污水来源施工人员生活污水的排放，施工废水主要来自地基、护坡开挖、钻孔产生的泥浆水，各种施工机械设备运转的冷却和洗涤用水以及施工现场的清洗水，含有大量的泥砂、油污。</w:t>
      </w:r>
    </w:p>
    <w:p>
      <w:pPr>
        <w:ind w:firstLine="640"/>
        <w:rPr>
          <w:lang w:eastAsia="zh-CN"/>
        </w:rPr>
      </w:pPr>
      <w:r>
        <w:rPr>
          <w:lang w:eastAsia="zh-CN"/>
        </w:rPr>
        <w:t>（3）对声环境的影响</w:t>
      </w:r>
    </w:p>
    <w:p>
      <w:pPr>
        <w:ind w:firstLine="640"/>
        <w:jc w:val="both"/>
        <w:rPr>
          <w:lang w:eastAsia="zh-CN"/>
        </w:rPr>
      </w:pPr>
      <w:r>
        <w:rPr>
          <w:lang w:eastAsia="zh-CN"/>
        </w:rPr>
        <w:t>施工期噪声主要来自施工机械噪声、施工作业噪声和运输车辆噪声。施工机械噪声由施工机械所造成，如挖土机械、混凝土搅拌机等，多为点声源；施工作业噪声主要指一些零星的敲打声、装卸建材的撞击声、施工人员的吆喝声、拆装模板的撞击声等，多为瞬间噪声；运输车辆的噪声属于交通噪声。在这些噪声中对声环境影响最大的是施工机械噪声。</w:t>
      </w:r>
    </w:p>
    <w:p>
      <w:pPr>
        <w:ind w:firstLine="640"/>
        <w:rPr>
          <w:lang w:eastAsia="zh-CN"/>
        </w:rPr>
      </w:pPr>
      <w:r>
        <w:rPr>
          <w:lang w:eastAsia="zh-CN"/>
        </w:rPr>
        <w:t>（4）对土壤环境的影响</w:t>
      </w:r>
    </w:p>
    <w:p>
      <w:pPr>
        <w:ind w:firstLine="640"/>
        <w:jc w:val="both"/>
        <w:rPr>
          <w:lang w:eastAsia="zh-CN"/>
        </w:rPr>
      </w:pPr>
      <w:r>
        <w:rPr>
          <w:lang w:eastAsia="zh-CN"/>
        </w:rPr>
        <w:t>施工期的固废主要有施工人员产生的生活垃圾和各种施工垃圾等。其中建筑垃圾主要有基坑开挖产生的弃土、建材损耗产生的建筑垃圾等，包括砂土、石块、水泥、铁丝等杂物。</w:t>
      </w:r>
    </w:p>
    <w:p>
      <w:pPr>
        <w:pStyle w:val="4"/>
        <w:ind w:firstLine="643"/>
        <w:rPr>
          <w:lang w:eastAsia="zh-CN"/>
        </w:rPr>
      </w:pPr>
      <w:bookmarkStart w:id="72" w:name="_Toc110875188"/>
      <w:r>
        <w:rPr>
          <w:lang w:eastAsia="zh-CN"/>
        </w:rPr>
        <w:t>2.营运期对环境的影响</w:t>
      </w:r>
      <w:bookmarkEnd w:id="72"/>
    </w:p>
    <w:p>
      <w:pPr>
        <w:ind w:firstLine="640"/>
        <w:jc w:val="both"/>
        <w:rPr>
          <w:lang w:eastAsia="zh-CN"/>
        </w:rPr>
      </w:pPr>
      <w:r>
        <w:rPr>
          <w:lang w:eastAsia="zh-CN"/>
        </w:rPr>
        <w:t>污水处理厂、再生水厂、污泥处理处置厂及污水提升泵站在运营过程中产生的废气、固废、噪声对外界环境都有一定的影响。</w:t>
      </w:r>
    </w:p>
    <w:p>
      <w:pPr>
        <w:pStyle w:val="2"/>
        <w:ind w:firstLine="643"/>
        <w:rPr>
          <w:rFonts w:cs="Times New Roman"/>
          <w:lang w:eastAsia="zh-CN"/>
        </w:rPr>
      </w:pPr>
      <w:bookmarkStart w:id="73" w:name="_Toc1894"/>
      <w:bookmarkStart w:id="74" w:name="_Toc110875189"/>
      <w:r>
        <w:rPr>
          <w:rFonts w:cs="Times New Roman"/>
          <w:lang w:eastAsia="zh-CN"/>
        </w:rPr>
        <w:t>（四）环境影响减缓对策和措施</w:t>
      </w:r>
      <w:bookmarkEnd w:id="73"/>
      <w:bookmarkEnd w:id="74"/>
    </w:p>
    <w:p>
      <w:pPr>
        <w:pStyle w:val="4"/>
        <w:ind w:firstLine="643"/>
        <w:rPr>
          <w:lang w:eastAsia="zh-CN"/>
        </w:rPr>
      </w:pPr>
      <w:bookmarkStart w:id="75" w:name="_Toc110875190"/>
      <w:bookmarkStart w:id="76" w:name="_Toc15875"/>
      <w:r>
        <w:rPr>
          <w:lang w:eastAsia="zh-CN"/>
        </w:rPr>
        <w:t>1.大气污染防控对策和措施</w:t>
      </w:r>
      <w:bookmarkEnd w:id="75"/>
      <w:bookmarkEnd w:id="76"/>
    </w:p>
    <w:p>
      <w:pPr>
        <w:ind w:firstLine="640"/>
        <w:jc w:val="both"/>
        <w:rPr>
          <w:lang w:eastAsia="zh-CN"/>
        </w:rPr>
      </w:pPr>
      <w:r>
        <w:rPr>
          <w:lang w:eastAsia="zh-CN"/>
        </w:rPr>
        <w:t>（1）对施工现场进行科学管理，砂石料应统一堆放，水泥应设专门库房存放；减少搬运环节，搬运时轻举轻放，防止包装袋破裂。</w:t>
      </w:r>
    </w:p>
    <w:p>
      <w:pPr>
        <w:ind w:firstLine="640"/>
        <w:jc w:val="both"/>
        <w:rPr>
          <w:lang w:eastAsia="zh-CN"/>
        </w:rPr>
      </w:pPr>
      <w:r>
        <w:rPr>
          <w:lang w:eastAsia="zh-CN"/>
        </w:rPr>
        <w:t>（2）在施工现场四周设置防风抑尘网（墙）进行遮挡，并在建筑结构施工架外侧设置有效的防尘网或防尘布，减少施工扬尘扩散范围。</w:t>
      </w:r>
    </w:p>
    <w:p>
      <w:pPr>
        <w:ind w:firstLine="640"/>
        <w:jc w:val="both"/>
        <w:rPr>
          <w:lang w:eastAsia="zh-CN"/>
        </w:rPr>
      </w:pPr>
      <w:r>
        <w:rPr>
          <w:lang w:eastAsia="zh-CN"/>
        </w:rPr>
        <w:t>（3）对施工道路进行硬质覆盖；对施工现场砂石、灰土等物料应当采取封闭、遮盖等有效防尘措施；建设单位应当按规定使用预拌混凝土。</w:t>
      </w:r>
    </w:p>
    <w:p>
      <w:pPr>
        <w:ind w:firstLine="640"/>
        <w:jc w:val="both"/>
        <w:rPr>
          <w:lang w:eastAsia="zh-CN"/>
        </w:rPr>
      </w:pPr>
      <w:r>
        <w:rPr>
          <w:lang w:eastAsia="zh-CN"/>
        </w:rPr>
        <w:t>（4）施工过程中产生的建筑垃圾应及时清运并送指定的垃圾处置场处置；不能及时清运的，应当采取封闭、遮盖等有效防尘措施。</w:t>
      </w:r>
    </w:p>
    <w:p>
      <w:pPr>
        <w:ind w:firstLine="640"/>
        <w:jc w:val="both"/>
        <w:rPr>
          <w:lang w:eastAsia="zh-CN"/>
        </w:rPr>
      </w:pPr>
      <w:r>
        <w:rPr>
          <w:lang w:eastAsia="zh-CN"/>
        </w:rPr>
        <w:t>（5）装卸产生扬尘的物质、清理楼层及平整场地等活动时，应当采取湿式作业等有效防尘措施。</w:t>
      </w:r>
    </w:p>
    <w:p>
      <w:pPr>
        <w:ind w:firstLine="640"/>
        <w:jc w:val="both"/>
        <w:rPr>
          <w:lang w:eastAsia="zh-CN"/>
        </w:rPr>
      </w:pPr>
      <w:r>
        <w:rPr>
          <w:lang w:eastAsia="zh-CN"/>
        </w:rPr>
        <w:t>（6）运输沙石、水泥、土方、垃圾等的车辆，应当实行密闭运输，严禁产生抛撒滴漏现象；运输车辆驶出工地前必须做除泥除尘处理，严禁车轮带泥的车辆上路行驶。</w:t>
      </w:r>
    </w:p>
    <w:p>
      <w:pPr>
        <w:ind w:firstLine="640"/>
        <w:jc w:val="both"/>
        <w:rPr>
          <w:lang w:eastAsia="zh-CN"/>
        </w:rPr>
      </w:pPr>
      <w:r>
        <w:rPr>
          <w:lang w:eastAsia="zh-CN"/>
        </w:rPr>
        <w:t>（7）在风速五级以上易产生扬尘的天气，应暂时停止土方开挖，并采取有效措施，防止扬尘污染。</w:t>
      </w:r>
    </w:p>
    <w:p>
      <w:pPr>
        <w:ind w:firstLine="640"/>
        <w:jc w:val="both"/>
        <w:rPr>
          <w:lang w:eastAsia="zh-CN"/>
        </w:rPr>
      </w:pPr>
      <w:r>
        <w:rPr>
          <w:lang w:eastAsia="zh-CN"/>
        </w:rPr>
        <w:t>（8）项目建设期间，对于临时堆场，须采取覆盖防尘布，且定期喷洒粉尘抑制剂，防止风蚀。</w:t>
      </w:r>
    </w:p>
    <w:p>
      <w:pPr>
        <w:ind w:firstLine="640"/>
        <w:jc w:val="both"/>
        <w:rPr>
          <w:lang w:eastAsia="zh-CN"/>
        </w:rPr>
      </w:pPr>
      <w:r>
        <w:rPr>
          <w:lang w:eastAsia="zh-CN"/>
        </w:rPr>
        <w:t>（9）在施工过程中如果对周边的居民可能产生不良影响，应在靠近居民的一侧加设1.8米以上的屏障，降低施工对外界环境的影响。</w:t>
      </w:r>
    </w:p>
    <w:p>
      <w:pPr>
        <w:ind w:firstLine="640"/>
        <w:jc w:val="both"/>
        <w:rPr>
          <w:lang w:eastAsia="zh-CN"/>
        </w:rPr>
      </w:pPr>
      <w:r>
        <w:rPr>
          <w:lang w:eastAsia="zh-CN"/>
        </w:rPr>
        <w:t>（10）清淤污泥时应随清随运，并采用密封的车辆运输，不在施工区域存放，能够有效减低，施工对居民的影响。</w:t>
      </w:r>
    </w:p>
    <w:p>
      <w:pPr>
        <w:pStyle w:val="4"/>
        <w:ind w:firstLine="643"/>
        <w:rPr>
          <w:lang w:eastAsia="zh-CN"/>
        </w:rPr>
      </w:pPr>
      <w:bookmarkStart w:id="77" w:name="_Toc3676"/>
      <w:bookmarkStart w:id="78" w:name="_Toc110875191"/>
      <w:r>
        <w:rPr>
          <w:lang w:eastAsia="zh-CN"/>
        </w:rPr>
        <w:t>2.废水污染防控对策与措施</w:t>
      </w:r>
      <w:bookmarkEnd w:id="77"/>
      <w:bookmarkEnd w:id="78"/>
    </w:p>
    <w:p>
      <w:pPr>
        <w:ind w:firstLine="640"/>
        <w:jc w:val="both"/>
        <w:rPr>
          <w:lang w:eastAsia="zh-CN"/>
        </w:rPr>
      </w:pPr>
      <w:r>
        <w:rPr>
          <w:lang w:eastAsia="zh-CN"/>
        </w:rPr>
        <w:t>（1）在现场进行搅拌作业的，在搅拌机前设置沉淀池，污水经沉淀池沉淀后，可以进行二次使用。对于不能二次使用的施工废水，经沉淀池沉淀后排入市政污水管网。</w:t>
      </w:r>
    </w:p>
    <w:p>
      <w:pPr>
        <w:ind w:firstLine="640"/>
        <w:jc w:val="both"/>
        <w:rPr>
          <w:lang w:eastAsia="zh-CN"/>
        </w:rPr>
      </w:pPr>
      <w:r>
        <w:rPr>
          <w:lang w:eastAsia="zh-CN"/>
        </w:rPr>
        <w:t>（2）在施工场地设置临时蓄水池，将开挖基础产生的地下排水收集储存，并回用于施工场地裸地和土方的洒水抑尘。</w:t>
      </w:r>
    </w:p>
    <w:p>
      <w:pPr>
        <w:ind w:firstLine="640"/>
        <w:jc w:val="both"/>
        <w:rPr>
          <w:lang w:eastAsia="zh-CN"/>
        </w:rPr>
      </w:pPr>
      <w:r>
        <w:rPr>
          <w:lang w:eastAsia="zh-CN"/>
        </w:rPr>
        <w:t>（3）在施工场地内的冲洗平台下方设置循环水池，将车辆冲洗产生的废水简单沉淀处理后再循环使用，以节约用水。</w:t>
      </w:r>
    </w:p>
    <w:p>
      <w:pPr>
        <w:ind w:firstLine="640"/>
        <w:jc w:val="both"/>
        <w:rPr>
          <w:lang w:eastAsia="zh-CN"/>
        </w:rPr>
      </w:pPr>
      <w:r>
        <w:rPr>
          <w:lang w:eastAsia="zh-CN"/>
        </w:rPr>
        <w:t>（4）工地厨房产生的废水有大量的动、植物油，在工地食堂附近设置隔油池，对食堂废水预处理后排入化粪池或达到要求后排入市政污水管网。</w:t>
      </w:r>
    </w:p>
    <w:p>
      <w:pPr>
        <w:ind w:firstLine="640"/>
        <w:jc w:val="both"/>
        <w:rPr>
          <w:lang w:eastAsia="zh-CN"/>
        </w:rPr>
      </w:pPr>
      <w:r>
        <w:rPr>
          <w:lang w:eastAsia="zh-CN"/>
        </w:rPr>
        <w:t>（5）在施工现场配置无害化化粪池，处理施工人员产生的厕所粪便污水；或使用移动厕所，由专业公司处理。</w:t>
      </w:r>
    </w:p>
    <w:p>
      <w:pPr>
        <w:pStyle w:val="4"/>
        <w:ind w:firstLine="643"/>
        <w:rPr>
          <w:lang w:eastAsia="zh-CN"/>
        </w:rPr>
      </w:pPr>
      <w:bookmarkStart w:id="79" w:name="_Toc110875192"/>
      <w:bookmarkStart w:id="80" w:name="_Toc4854"/>
      <w:r>
        <w:rPr>
          <w:lang w:eastAsia="zh-CN"/>
        </w:rPr>
        <w:t>3.噪声污染防控对策与措施</w:t>
      </w:r>
      <w:bookmarkEnd w:id="79"/>
      <w:bookmarkEnd w:id="80"/>
    </w:p>
    <w:p>
      <w:pPr>
        <w:ind w:firstLine="640"/>
        <w:jc w:val="both"/>
        <w:rPr>
          <w:lang w:eastAsia="zh-CN"/>
        </w:rPr>
      </w:pPr>
      <w:r>
        <w:rPr>
          <w:lang w:eastAsia="zh-CN"/>
        </w:rPr>
        <w:t>（1）施工期合理安排施工时间，减少高噪声设备对周边居民生活的影响。在考试期间、午休期间和夜间禁止使用高噪声设备，夜杜绝施工噪声扰民。</w:t>
      </w:r>
    </w:p>
    <w:p>
      <w:pPr>
        <w:ind w:firstLine="640"/>
        <w:jc w:val="both"/>
        <w:rPr>
          <w:lang w:eastAsia="zh-CN"/>
        </w:rPr>
      </w:pPr>
      <w:r>
        <w:rPr>
          <w:lang w:eastAsia="zh-CN"/>
        </w:rPr>
        <w:t>（2）采取隔声降噪措施。施工场地的固定高噪声设备设在操作间，或搭建隔声棚、设置声屏障；施工场界采取围挡措施，施工车辆进出现场应减速，并减少鸣笛，要求场界噪声达标。</w:t>
      </w:r>
    </w:p>
    <w:p>
      <w:pPr>
        <w:ind w:firstLine="640"/>
        <w:jc w:val="both"/>
        <w:rPr>
          <w:lang w:eastAsia="zh-CN"/>
        </w:rPr>
      </w:pPr>
      <w:r>
        <w:rPr>
          <w:lang w:eastAsia="zh-CN"/>
        </w:rPr>
        <w:t>（3）加强监督管理。施工作业时间应避开居民休息时间，对确需在居民区连续施工的项目，需经生态环境主管部门批准，提前公告周围居民。</w:t>
      </w:r>
      <w:r>
        <w:rPr>
          <w:color w:val="0000FF"/>
          <w:lang w:eastAsia="zh-CN"/>
        </w:rPr>
        <w:t>生态环境主管部门</w:t>
      </w:r>
      <w:r>
        <w:rPr>
          <w:lang w:eastAsia="zh-CN"/>
        </w:rPr>
        <w:t>应加强对建筑施工场地的现场监督检查。</w:t>
      </w:r>
    </w:p>
    <w:p>
      <w:pPr>
        <w:pStyle w:val="4"/>
        <w:ind w:firstLine="643"/>
        <w:rPr>
          <w:lang w:eastAsia="zh-CN"/>
        </w:rPr>
      </w:pPr>
      <w:bookmarkStart w:id="81" w:name="_Toc110875193"/>
      <w:bookmarkStart w:id="82" w:name="_Toc28076"/>
      <w:r>
        <w:rPr>
          <w:lang w:eastAsia="zh-CN"/>
        </w:rPr>
        <w:t>4.土壤污染防控对策与措施</w:t>
      </w:r>
      <w:bookmarkEnd w:id="81"/>
      <w:bookmarkEnd w:id="82"/>
    </w:p>
    <w:p>
      <w:pPr>
        <w:ind w:firstLine="640"/>
        <w:jc w:val="both"/>
        <w:rPr>
          <w:lang w:eastAsia="zh-CN"/>
        </w:rPr>
      </w:pPr>
      <w:r>
        <w:rPr>
          <w:lang w:eastAsia="zh-CN"/>
        </w:rPr>
        <w:t>（1）生活垃圾收集后由环卫部门统一清运。</w:t>
      </w:r>
    </w:p>
    <w:p>
      <w:pPr>
        <w:ind w:firstLine="640"/>
        <w:jc w:val="both"/>
        <w:rPr>
          <w:lang w:eastAsia="zh-CN"/>
        </w:rPr>
      </w:pPr>
      <w:r>
        <w:rPr>
          <w:lang w:eastAsia="zh-CN"/>
        </w:rPr>
        <w:t>（2）建筑垃圾按照业主指定地点堆放。施工中清除的污泥要随清随运，并采用密封的车辆运输，有效降低对土壤环境的影响。</w:t>
      </w:r>
    </w:p>
    <w:p>
      <w:pPr>
        <w:pStyle w:val="4"/>
        <w:ind w:firstLine="643"/>
        <w:rPr>
          <w:lang w:eastAsia="zh-CN"/>
        </w:rPr>
      </w:pPr>
      <w:bookmarkStart w:id="83" w:name="_Toc1961"/>
      <w:bookmarkStart w:id="84" w:name="_Toc110875194"/>
      <w:r>
        <w:rPr>
          <w:lang w:eastAsia="zh-CN"/>
        </w:rPr>
        <w:t>5.水土保持</w:t>
      </w:r>
      <w:bookmarkEnd w:id="83"/>
      <w:r>
        <w:rPr>
          <w:lang w:eastAsia="zh-CN"/>
        </w:rPr>
        <w:t>措施</w:t>
      </w:r>
      <w:bookmarkEnd w:id="84"/>
    </w:p>
    <w:p>
      <w:pPr>
        <w:ind w:firstLine="640"/>
        <w:jc w:val="both"/>
        <w:rPr>
          <w:lang w:eastAsia="zh-CN"/>
        </w:rPr>
      </w:pPr>
      <w:r>
        <w:rPr>
          <w:lang w:eastAsia="zh-CN"/>
        </w:rPr>
        <w:t>城镇污水处理设施建设工程施工容易产生水土流失的作业主要包括建筑物基坑的开挖、回填施工，管道的开挖、回填施工，必要的取土、弃渣等施工。因此水土流失防治重点区域为主体工程区、取土场区、弃土临时堆场区。项目施工时应采取水土保持工程措施、植物措施和临时遮挡相结合的方式，最大程度减少水土流失。</w:t>
      </w:r>
    </w:p>
    <w:p>
      <w:pPr>
        <w:ind w:firstLine="640"/>
        <w:jc w:val="both"/>
        <w:rPr>
          <w:lang w:eastAsia="zh-CN"/>
        </w:rPr>
      </w:pPr>
      <w:r>
        <w:rPr>
          <w:lang w:eastAsia="zh-CN"/>
        </w:rPr>
        <w:t>（1）在市级水土流失重点预防区和重点治理区的建设项目，要建立完善的水土流失综合防治体系，做好水土流失预防和治理相关工作。做好渣场和取土场的规划管理工作，实行集中取土、集中弃土方案，既减少破坏又相对易于防治。通过修建挡渣坝、护坡、护脚、护面、排水沟等工程措施，减少水土流失。</w:t>
      </w:r>
    </w:p>
    <w:p>
      <w:pPr>
        <w:ind w:firstLine="640"/>
        <w:jc w:val="both"/>
        <w:rPr>
          <w:lang w:eastAsia="zh-CN"/>
        </w:rPr>
      </w:pPr>
      <w:r>
        <w:rPr>
          <w:lang w:eastAsia="zh-CN"/>
        </w:rPr>
        <w:t>（2）水土保持措施总体布局应遵循“因地制宜，分区防治；统筹兼顾，注重生态；技术可行，经济合理；与主体工程相衔接，与周边环境相协调”的原则。在项目施工中，注重控制地表扰动范围和表土保护，取土料宜取弃结合，弃土（渣）宜优先综合利用，严格按照水土保持方案确定的弃土场弃土。工程扰动区域植被恢复应按照生态要求，采用乡土树种，注重景观协调和自然生态修复。</w:t>
      </w:r>
    </w:p>
    <w:p>
      <w:pPr>
        <w:ind w:firstLine="640"/>
        <w:jc w:val="both"/>
        <w:rPr>
          <w:lang w:eastAsia="zh-CN"/>
        </w:rPr>
      </w:pPr>
      <w:r>
        <w:rPr>
          <w:lang w:eastAsia="zh-CN"/>
        </w:rPr>
        <w:t>（3）在整个建设期（含施工准备期）内进行水土保持监测。监测内容主要包括扰动地表情况，取土（料）、弃土（渣）情况，水土流失程度和水土保持措施实施情况及效果等。监测方法主要采用调查监测、定点观测，并与遥感监测相结合。</w:t>
      </w:r>
    </w:p>
    <w:p>
      <w:pPr>
        <w:pStyle w:val="4"/>
        <w:ind w:firstLine="643"/>
        <w:rPr>
          <w:lang w:eastAsia="zh-CN"/>
        </w:rPr>
      </w:pPr>
      <w:bookmarkStart w:id="85" w:name="_Toc110875195"/>
      <w:bookmarkStart w:id="86" w:name="_Toc20546"/>
      <w:r>
        <w:rPr>
          <w:lang w:eastAsia="zh-CN"/>
        </w:rPr>
        <w:t>6.运行期污染防控对策与措施</w:t>
      </w:r>
      <w:bookmarkEnd w:id="85"/>
      <w:bookmarkEnd w:id="86"/>
    </w:p>
    <w:p>
      <w:pPr>
        <w:ind w:firstLine="640"/>
        <w:jc w:val="both"/>
        <w:rPr>
          <w:lang w:eastAsia="zh-CN"/>
        </w:rPr>
      </w:pPr>
      <w:r>
        <w:rPr>
          <w:lang w:eastAsia="zh-CN"/>
        </w:rPr>
        <w:t>（1）各污水处理厂、再生水厂、污水提升泵站、污泥处置厂要按照法律法规和相关监测标准开展污染物自行监测，制定监测方案，保存完整的原始记录、监测报告，对数据的真实性负责，并按规定公开相关监测信息。</w:t>
      </w:r>
    </w:p>
    <w:p>
      <w:pPr>
        <w:ind w:firstLine="640"/>
        <w:jc w:val="both"/>
        <w:rPr>
          <w:lang w:eastAsia="zh-CN"/>
        </w:rPr>
      </w:pPr>
      <w:r>
        <w:rPr>
          <w:lang w:eastAsia="zh-CN"/>
        </w:rPr>
        <w:t>（2）应当依法安装使用污染源自动监测设备，定期检定或校准，保证设备正常运行。自动监测数据要逐步实现全国联网，同时要求监测数据及时向生态环境部门实时上传。一旦水质不达标，生态环境部门立即作出响应，及时采取应急措施。</w:t>
      </w:r>
    </w:p>
    <w:p>
      <w:pPr>
        <w:ind w:firstLine="640"/>
        <w:jc w:val="both"/>
        <w:rPr>
          <w:lang w:eastAsia="zh-CN"/>
        </w:rPr>
      </w:pPr>
      <w:r>
        <w:rPr>
          <w:lang w:eastAsia="zh-CN"/>
        </w:rPr>
        <w:t>（3）污水处理设施在运行过程中恶臭气体产生量较少，经空气稀释后排放，对周边环境影响较少。如果污水处理厂附近居住小区较多，应对污水处理厂、再生水厂进行改造，增设恶臭气体收集处理设施。</w:t>
      </w:r>
    </w:p>
    <w:p>
      <w:pPr>
        <w:ind w:firstLine="640"/>
        <w:jc w:val="both"/>
        <w:rPr>
          <w:lang w:eastAsia="zh-CN"/>
        </w:rPr>
      </w:pPr>
      <w:r>
        <w:rPr>
          <w:lang w:eastAsia="zh-CN"/>
        </w:rPr>
        <w:t>（4）污水处理设施在运行过程中产生的主要噪声源来自水泵和风机等设备，属中低频稳态噪声。要加强高噪声设备及其隔声降噪设施的运行管理，及时维护，使其经常处于正常运行状态。</w:t>
      </w:r>
    </w:p>
    <w:p>
      <w:pPr>
        <w:ind w:firstLine="640"/>
        <w:jc w:val="both"/>
        <w:rPr>
          <w:lang w:eastAsia="zh-CN"/>
        </w:rPr>
      </w:pPr>
      <w:r>
        <w:rPr>
          <w:lang w:eastAsia="zh-CN"/>
        </w:rPr>
        <w:t>（5）要建设相关配套的污泥处置、存放场所，避免大量污泥跨地区转移带来的环境风险。积极推广污泥处置的新工艺，实现污泥的减量化和无害化的处置，符合条件的生活污泥最终实现污泥的资源化利用。</w:t>
      </w:r>
    </w:p>
    <w:p>
      <w:pPr>
        <w:pStyle w:val="2"/>
        <w:ind w:firstLine="643"/>
        <w:rPr>
          <w:rFonts w:cs="Times New Roman"/>
          <w:lang w:eastAsia="zh-CN"/>
        </w:rPr>
      </w:pPr>
      <w:bookmarkStart w:id="87" w:name="_Toc110875196"/>
      <w:bookmarkStart w:id="88" w:name="_Toc13306"/>
      <w:r>
        <w:rPr>
          <w:rFonts w:cs="Times New Roman"/>
          <w:lang w:eastAsia="zh-CN"/>
        </w:rPr>
        <w:t>（五）评价结论</w:t>
      </w:r>
      <w:bookmarkEnd w:id="87"/>
      <w:bookmarkEnd w:id="88"/>
    </w:p>
    <w:p>
      <w:pPr>
        <w:ind w:firstLine="640"/>
        <w:jc w:val="both"/>
        <w:rPr>
          <w:lang w:eastAsia="zh-CN"/>
        </w:rPr>
      </w:pPr>
      <w:r>
        <w:rPr>
          <w:lang w:eastAsia="zh-CN"/>
        </w:rPr>
        <w:t>污水处理设施建设对周边大气、水、土壤等生态环境产生一定影响，通过采取相应措施后，其影响可以得到预防和减轻。</w:t>
      </w:r>
    </w:p>
    <w:p>
      <w:pPr>
        <w:widowControl w:val="0"/>
        <w:overflowPunct w:val="0"/>
        <w:spacing w:line="588" w:lineRule="exact"/>
        <w:ind w:firstLine="640"/>
        <w:jc w:val="both"/>
        <w:outlineLvl w:val="0"/>
        <w:rPr>
          <w:rFonts w:eastAsia="黑体"/>
          <w:szCs w:val="32"/>
          <w:lang w:eastAsia="zh-CN"/>
        </w:rPr>
      </w:pPr>
      <w:bookmarkStart w:id="89" w:name="_Toc110875197"/>
      <w:bookmarkStart w:id="90" w:name="_Toc1854889942"/>
      <w:bookmarkStart w:id="91" w:name="_Toc5678"/>
      <w:bookmarkStart w:id="92" w:name="_Toc257715916"/>
      <w:r>
        <w:rPr>
          <w:rFonts w:eastAsia="黑体"/>
          <w:szCs w:val="32"/>
          <w:lang w:eastAsia="zh-CN"/>
        </w:rPr>
        <w:t>五、运行与维护</w:t>
      </w:r>
      <w:bookmarkEnd w:id="89"/>
      <w:bookmarkEnd w:id="90"/>
      <w:bookmarkEnd w:id="91"/>
      <w:bookmarkEnd w:id="92"/>
    </w:p>
    <w:p>
      <w:pPr>
        <w:pStyle w:val="2"/>
        <w:keepNext w:val="0"/>
        <w:keepLines w:val="0"/>
        <w:widowControl w:val="0"/>
        <w:overflowPunct w:val="0"/>
        <w:spacing w:line="588" w:lineRule="exact"/>
        <w:ind w:firstLine="643"/>
        <w:jc w:val="both"/>
        <w:rPr>
          <w:rFonts w:cs="Times New Roman"/>
          <w:lang w:eastAsia="zh-CN"/>
        </w:rPr>
      </w:pPr>
      <w:bookmarkStart w:id="93" w:name="_Toc110875198"/>
      <w:bookmarkStart w:id="94" w:name="_Toc1532935760"/>
      <w:bookmarkStart w:id="95" w:name="_Toc21258"/>
      <w:bookmarkStart w:id="96" w:name="_Toc417160481"/>
      <w:bookmarkStart w:id="97" w:name="_Toc1130543688"/>
      <w:bookmarkStart w:id="98" w:name="_Toc480906899"/>
      <w:r>
        <w:rPr>
          <w:rFonts w:cs="Times New Roman"/>
          <w:lang w:eastAsia="zh-CN"/>
        </w:rPr>
        <w:t>（一）健全考核激励机制</w:t>
      </w:r>
      <w:bookmarkEnd w:id="93"/>
      <w:bookmarkEnd w:id="94"/>
      <w:bookmarkEnd w:id="95"/>
      <w:bookmarkEnd w:id="96"/>
    </w:p>
    <w:p>
      <w:pPr>
        <w:widowControl w:val="0"/>
        <w:overflowPunct w:val="0"/>
        <w:spacing w:line="588" w:lineRule="exact"/>
        <w:ind w:firstLine="640"/>
        <w:jc w:val="both"/>
        <w:rPr>
          <w:szCs w:val="32"/>
          <w:lang w:eastAsia="zh-CN"/>
        </w:rPr>
      </w:pPr>
      <w:r>
        <w:rPr>
          <w:szCs w:val="32"/>
          <w:lang w:eastAsia="zh-CN"/>
        </w:rPr>
        <w:t>建立健全城镇污水处理及资源化利用考核体系，坚持以污染物削减绩效为导向原则，明确各级部门</w:t>
      </w:r>
      <w:r>
        <w:rPr>
          <w:lang w:eastAsia="zh-CN"/>
        </w:rPr>
        <w:t>主体责任</w:t>
      </w:r>
      <w:r>
        <w:rPr>
          <w:szCs w:val="32"/>
          <w:lang w:eastAsia="zh-CN"/>
        </w:rPr>
        <w:t>。以</w:t>
      </w:r>
      <w:r>
        <w:rPr>
          <w:lang w:eastAsia="zh-CN"/>
        </w:rPr>
        <w:t xml:space="preserve">监督考核为抓手，在与企业签订项目协议时，将运营能力和水平作为重要指标，纳入项目建设运营企业遴选标准，将污水处理厂进水污染物浓度、污染物削减量和污泥无害化处置率等核心指标纳入考核范围。 </w:t>
      </w:r>
    </w:p>
    <w:p>
      <w:pPr>
        <w:pStyle w:val="2"/>
        <w:keepNext w:val="0"/>
        <w:keepLines w:val="0"/>
        <w:widowControl w:val="0"/>
        <w:overflowPunct w:val="0"/>
        <w:spacing w:line="588" w:lineRule="exact"/>
        <w:ind w:firstLine="643"/>
        <w:jc w:val="both"/>
        <w:rPr>
          <w:rFonts w:cs="Times New Roman"/>
          <w:lang w:eastAsia="zh-CN"/>
        </w:rPr>
      </w:pPr>
      <w:bookmarkStart w:id="99" w:name="_Toc110875199"/>
      <w:bookmarkStart w:id="100" w:name="_Toc24235"/>
      <w:r>
        <w:rPr>
          <w:rFonts w:cs="Times New Roman"/>
          <w:lang w:eastAsia="zh-CN"/>
        </w:rPr>
        <w:t>（二）推行专业化运行维护</w:t>
      </w:r>
      <w:bookmarkEnd w:id="97"/>
      <w:bookmarkEnd w:id="98"/>
      <w:bookmarkEnd w:id="99"/>
      <w:bookmarkEnd w:id="100"/>
    </w:p>
    <w:p>
      <w:pPr>
        <w:widowControl w:val="0"/>
        <w:overflowPunct w:val="0"/>
        <w:spacing w:line="588" w:lineRule="exact"/>
        <w:ind w:firstLine="640"/>
        <w:jc w:val="both"/>
        <w:rPr>
          <w:szCs w:val="32"/>
          <w:highlight w:val="yellow"/>
          <w:lang w:eastAsia="zh-CN"/>
        </w:rPr>
      </w:pPr>
      <w:r>
        <w:rPr>
          <w:szCs w:val="32"/>
          <w:lang w:eastAsia="zh-CN"/>
        </w:rPr>
        <w:t>完善城镇污水处理设施常态化专业化运行维护机制，强化专业技能水平，严格按照标准规范实施运行维护。建立人员稳定的专业化运行管理队伍，根据管网特点、规模、服务范围等因素确定人员配置，建立管网运行费用保障机制。鼓励通过市场化竞争方式选择运行维护主体，充分发挥企业专业化、规模化建设和运营的优势，体现企业社会责任担当。鼓励居住小区、公共建筑及企事业单位将内部管网养护委托市政排水管网运行维护单位，建立政民共担的费用保障机制。</w:t>
      </w:r>
    </w:p>
    <w:p>
      <w:pPr>
        <w:pStyle w:val="2"/>
        <w:keepNext w:val="0"/>
        <w:keepLines w:val="0"/>
        <w:widowControl w:val="0"/>
        <w:overflowPunct w:val="0"/>
        <w:spacing w:line="588" w:lineRule="exact"/>
        <w:ind w:firstLine="643"/>
        <w:jc w:val="both"/>
        <w:rPr>
          <w:rFonts w:cs="Times New Roman"/>
          <w:lang w:eastAsia="zh-CN"/>
        </w:rPr>
      </w:pPr>
      <w:bookmarkStart w:id="101" w:name="_Toc110875200"/>
      <w:bookmarkStart w:id="102" w:name="_Toc1170372606"/>
      <w:bookmarkStart w:id="103" w:name="_Toc31070"/>
      <w:bookmarkStart w:id="104" w:name="_Toc485158680"/>
      <w:r>
        <w:rPr>
          <w:rFonts w:cs="Times New Roman"/>
          <w:lang w:eastAsia="zh-CN"/>
        </w:rPr>
        <w:t>（三）创新建设管理模式</w:t>
      </w:r>
      <w:bookmarkEnd w:id="101"/>
    </w:p>
    <w:p>
      <w:pPr>
        <w:ind w:firstLine="640"/>
        <w:rPr>
          <w:lang w:eastAsia="zh-CN"/>
        </w:rPr>
      </w:pPr>
      <w:r>
        <w:rPr>
          <w:lang w:eastAsia="zh-CN"/>
        </w:rPr>
        <w:t xml:space="preserve">推广整县（区）推进工作机制，统筹污水处理设施建设运营。鼓励将不同规模、不同盈利水平项目综合打包授予特许经营权，有效盘活存量。推行污水“厂—网—河（湖）”一体化运行维护模式。推广环境污染第三方治理。 </w:t>
      </w:r>
    </w:p>
    <w:p>
      <w:pPr>
        <w:pStyle w:val="2"/>
        <w:keepNext w:val="0"/>
        <w:keepLines w:val="0"/>
        <w:widowControl w:val="0"/>
        <w:overflowPunct w:val="0"/>
        <w:spacing w:line="588" w:lineRule="exact"/>
        <w:ind w:firstLine="643"/>
        <w:jc w:val="both"/>
        <w:rPr>
          <w:rFonts w:cs="Times New Roman"/>
          <w:lang w:eastAsia="zh-CN"/>
        </w:rPr>
      </w:pPr>
      <w:bookmarkStart w:id="105" w:name="_Toc110875201"/>
      <w:r>
        <w:rPr>
          <w:rFonts w:cs="Times New Roman"/>
          <w:lang w:eastAsia="zh-CN"/>
        </w:rPr>
        <w:t>（四）推进信息系统建设</w:t>
      </w:r>
      <w:bookmarkEnd w:id="102"/>
      <w:bookmarkEnd w:id="103"/>
      <w:bookmarkEnd w:id="104"/>
      <w:bookmarkEnd w:id="105"/>
    </w:p>
    <w:p>
      <w:pPr>
        <w:widowControl w:val="0"/>
        <w:overflowPunct w:val="0"/>
        <w:spacing w:line="588" w:lineRule="exact"/>
        <w:ind w:firstLine="640"/>
        <w:jc w:val="both"/>
        <w:rPr>
          <w:szCs w:val="32"/>
          <w:lang w:eastAsia="zh-CN"/>
        </w:rPr>
      </w:pPr>
      <w:r>
        <w:rPr>
          <w:szCs w:val="32"/>
          <w:lang w:eastAsia="zh-CN"/>
        </w:rPr>
        <w:t>以地方人民政府作为实施主体，建立城镇污水处理设施地理信息系统并定期更新，或依托宿州数字化信息管理平台建设完善城镇污水处理设施相关功能，实现污水设施信息化管理。推动智慧水务建设，将城市排水户、排水干支管、泵站、污水处理厂、河湖水体等数据纳入城市综合管理服务平台，统一实施常态化监测和评估，保障污水设施安全、稳定运行。</w:t>
      </w:r>
    </w:p>
    <w:p>
      <w:pPr>
        <w:pStyle w:val="3"/>
        <w:ind w:firstLine="643"/>
        <w:rPr>
          <w:lang w:eastAsia="zh-CN"/>
        </w:rPr>
      </w:pPr>
      <w:bookmarkStart w:id="106" w:name="_Toc467089123"/>
      <w:bookmarkStart w:id="107" w:name="_Toc257067590"/>
      <w:bookmarkStart w:id="108" w:name="_Toc110875202"/>
      <w:bookmarkStart w:id="109" w:name="_Toc28192"/>
      <w:bookmarkStart w:id="110" w:name="_Toc9201"/>
      <w:r>
        <w:rPr>
          <w:lang w:eastAsia="zh-CN"/>
        </w:rPr>
        <w:t>六、</w:t>
      </w:r>
      <w:bookmarkEnd w:id="106"/>
      <w:bookmarkEnd w:id="107"/>
      <w:r>
        <w:rPr>
          <w:lang w:eastAsia="zh-CN"/>
        </w:rPr>
        <w:t>资金筹措</w:t>
      </w:r>
      <w:bookmarkEnd w:id="108"/>
      <w:bookmarkEnd w:id="109"/>
    </w:p>
    <w:p>
      <w:pPr>
        <w:widowControl w:val="0"/>
        <w:overflowPunct w:val="0"/>
        <w:spacing w:line="588" w:lineRule="exact"/>
        <w:ind w:firstLine="640"/>
        <w:jc w:val="both"/>
        <w:rPr>
          <w:szCs w:val="32"/>
          <w:lang w:eastAsia="zh-CN"/>
        </w:rPr>
      </w:pPr>
      <w:r>
        <w:rPr>
          <w:szCs w:val="32"/>
          <w:lang w:eastAsia="zh-CN"/>
        </w:rPr>
        <w:t>城镇生活污水处理设施建设的资金投入以地方为主。各级人民政府要落实主体责任，加大财政投入力度，确保完成“十四五”规划确定的各项建设任务。同时，要进一步加强政府和社会资本合作，引导社会资本积极参与城镇污水处理及资源化利用设施建设和运营；积极推进城镇生活污水处理设施建设领域不动产投资信托基金试点；鼓励利用银行贷款、外国政府或金融组织优惠贷款和赠款。县（区）有关部门要根据建设重点，积极争取中央内预算资金、地方政府专项债和各类专项资金的支持。</w:t>
      </w:r>
    </w:p>
    <w:bookmarkEnd w:id="110"/>
    <w:p>
      <w:pPr>
        <w:pStyle w:val="3"/>
        <w:ind w:firstLine="643"/>
        <w:rPr>
          <w:lang w:eastAsia="zh-CN"/>
        </w:rPr>
      </w:pPr>
      <w:bookmarkStart w:id="111" w:name="_Toc110875203"/>
      <w:r>
        <w:rPr>
          <w:lang w:eastAsia="zh-CN"/>
        </w:rPr>
        <w:t>七、保障措施</w:t>
      </w:r>
      <w:bookmarkEnd w:id="60"/>
      <w:bookmarkEnd w:id="61"/>
      <w:bookmarkEnd w:id="62"/>
      <w:bookmarkEnd w:id="63"/>
      <w:bookmarkEnd w:id="111"/>
    </w:p>
    <w:p>
      <w:pPr>
        <w:pStyle w:val="2"/>
        <w:ind w:firstLine="643"/>
        <w:rPr>
          <w:rFonts w:cs="Times New Roman"/>
          <w:lang w:eastAsia="zh-CN"/>
        </w:rPr>
      </w:pPr>
      <w:bookmarkStart w:id="112" w:name="_Toc43275304"/>
      <w:bookmarkStart w:id="113" w:name="_Toc28792"/>
      <w:bookmarkStart w:id="114" w:name="_Toc62633874"/>
      <w:bookmarkStart w:id="115" w:name="_Toc1082858093"/>
      <w:bookmarkStart w:id="116" w:name="_Toc110875204"/>
      <w:r>
        <w:rPr>
          <w:rFonts w:cs="Times New Roman"/>
          <w:lang w:eastAsia="zh-CN"/>
        </w:rPr>
        <w:t>（一）</w:t>
      </w:r>
      <w:bookmarkEnd w:id="112"/>
      <w:bookmarkEnd w:id="113"/>
      <w:bookmarkEnd w:id="114"/>
      <w:bookmarkEnd w:id="115"/>
      <w:r>
        <w:rPr>
          <w:rFonts w:cs="Times New Roman"/>
          <w:lang w:eastAsia="zh-CN"/>
        </w:rPr>
        <w:t>强化地方责任落实</w:t>
      </w:r>
      <w:bookmarkEnd w:id="116"/>
    </w:p>
    <w:p>
      <w:pPr>
        <w:widowControl w:val="0"/>
        <w:overflowPunct w:val="0"/>
        <w:spacing w:line="588" w:lineRule="exact"/>
        <w:ind w:firstLine="640"/>
        <w:jc w:val="both"/>
        <w:rPr>
          <w:szCs w:val="32"/>
          <w:lang w:eastAsia="zh-CN"/>
        </w:rPr>
      </w:pPr>
      <w:r>
        <w:rPr>
          <w:szCs w:val="32"/>
          <w:lang w:eastAsia="zh-CN"/>
        </w:rPr>
        <w:t>城镇生活污水处理及资源化利用工作由项目所在地人民政府负责。各地要结合实际，制定出台“十四五”污水处理和资源化利用设施建设规划（计划），科学确定本地区污水处理设施建设规模、重点任务、建设时序和政府保障措施。因地制宜确定城市生活污水集中收集率目标，原则上应达到70%以上或较2020 年提高5 个百分点以上。各级排水行政主管部门要担负主体责任，做好项目的谋划和储备，制定滚动项目清单和年度计划，有序推进项目建设。</w:t>
      </w:r>
    </w:p>
    <w:p>
      <w:pPr>
        <w:pStyle w:val="2"/>
        <w:ind w:firstLine="643"/>
        <w:rPr>
          <w:rFonts w:cs="Times New Roman"/>
          <w:lang w:eastAsia="zh-CN"/>
        </w:rPr>
      </w:pPr>
      <w:bookmarkStart w:id="117" w:name="_Toc1352898040"/>
      <w:bookmarkStart w:id="118" w:name="_Toc10570"/>
      <w:bookmarkStart w:id="119" w:name="_Toc62633875"/>
      <w:bookmarkStart w:id="120" w:name="_Toc631629768"/>
      <w:bookmarkStart w:id="121" w:name="_Toc110875205"/>
      <w:r>
        <w:rPr>
          <w:rFonts w:cs="Times New Roman"/>
          <w:lang w:eastAsia="zh-CN"/>
        </w:rPr>
        <w:t>（二）</w:t>
      </w:r>
      <w:bookmarkEnd w:id="117"/>
      <w:bookmarkEnd w:id="118"/>
      <w:bookmarkEnd w:id="119"/>
      <w:bookmarkEnd w:id="120"/>
      <w:r>
        <w:rPr>
          <w:rFonts w:cs="Times New Roman"/>
          <w:lang w:eastAsia="zh-CN"/>
        </w:rPr>
        <w:t>强化重点要素保障</w:t>
      </w:r>
      <w:bookmarkEnd w:id="121"/>
    </w:p>
    <w:p>
      <w:pPr>
        <w:widowControl w:val="0"/>
        <w:overflowPunct w:val="0"/>
        <w:spacing w:line="588" w:lineRule="exact"/>
        <w:ind w:firstLine="640"/>
        <w:jc w:val="both"/>
        <w:rPr>
          <w:szCs w:val="32"/>
          <w:lang w:eastAsia="zh-CN"/>
        </w:rPr>
      </w:pPr>
      <w:r>
        <w:rPr>
          <w:szCs w:val="32"/>
          <w:lang w:eastAsia="zh-CN"/>
        </w:rPr>
        <w:t>建立城镇生活污水处理设施用地保障机制，将城镇生活污水处理和合流制溢流污染快速净化设施建设用地应列入城市黄线保护范围，在国土空间总体规划中落实。建立健全城镇生活污水处理设施建设改造项目的联审联批制度，优化审批流程，提高审批效率，确保建设按时保质落地。要按照《关于完善长江经济带污水处理收费机制有关政策的指导意见》要求，确保污水处理收费有关政策落到实处。依法落实环境保护、水资源节约、污水资源化利用等方面税收优惠政策。强化技术支撑，建立污水处理设施精细化综合设计、运行与管理模式，从源头避免设计、建设不匹配问题。</w:t>
      </w:r>
    </w:p>
    <w:p>
      <w:pPr>
        <w:pStyle w:val="2"/>
        <w:ind w:firstLine="643"/>
        <w:rPr>
          <w:rFonts w:cs="Times New Roman"/>
          <w:lang w:eastAsia="zh-CN"/>
        </w:rPr>
      </w:pPr>
      <w:bookmarkStart w:id="122" w:name="_Toc14046"/>
      <w:bookmarkStart w:id="123" w:name="_Toc400967522"/>
      <w:bookmarkStart w:id="124" w:name="_Toc1076617812"/>
      <w:bookmarkStart w:id="125" w:name="_Toc110875206"/>
      <w:r>
        <w:rPr>
          <w:rFonts w:cs="Times New Roman"/>
          <w:lang w:eastAsia="zh-CN"/>
        </w:rPr>
        <w:t>（三）</w:t>
      </w:r>
      <w:bookmarkEnd w:id="122"/>
      <w:bookmarkEnd w:id="123"/>
      <w:bookmarkEnd w:id="124"/>
      <w:r>
        <w:rPr>
          <w:rFonts w:cs="Times New Roman"/>
          <w:lang w:eastAsia="zh-CN"/>
        </w:rPr>
        <w:t>强化日常监督管理</w:t>
      </w:r>
      <w:bookmarkEnd w:id="125"/>
    </w:p>
    <w:p>
      <w:pPr>
        <w:widowControl w:val="0"/>
        <w:overflowPunct w:val="0"/>
        <w:spacing w:line="588" w:lineRule="exact"/>
        <w:ind w:firstLine="640"/>
        <w:jc w:val="both"/>
        <w:rPr>
          <w:szCs w:val="32"/>
          <w:lang w:eastAsia="zh-CN"/>
        </w:rPr>
      </w:pPr>
      <w:bookmarkStart w:id="126" w:name="_Toc62633876"/>
      <w:r>
        <w:rPr>
          <w:szCs w:val="32"/>
          <w:lang w:eastAsia="zh-CN"/>
        </w:rPr>
        <w:t>各地要建立健全监管制度，强化城镇生活污水处理设施建设和运行全过程的监管，确保污水达标排放，污泥规范处置。制定敏感区域污水处理厂主要污染物排放限值，提出差别化的污染物排放要求和管控措施。严格按照《城镇排水与污水处理条例》《排污许可管理条例》，强化施工和基坑排水等临时排入城市污水收集管网的许可管理，加强城市“小散乱”沿街商铺等的整治与治理。完善工业企业、园区污水处理设施建设，提高运营管理水平，确保工业废水达标排放。严格工程监理，强化竣工验收把关，落实追责机制。健全信息公开制度，完善公众参与机制，发挥社会监督作用。</w:t>
      </w:r>
    </w:p>
    <w:p>
      <w:pPr>
        <w:pStyle w:val="2"/>
        <w:ind w:firstLine="643"/>
        <w:rPr>
          <w:rFonts w:cs="Times New Roman"/>
          <w:lang w:eastAsia="zh-CN"/>
        </w:rPr>
      </w:pPr>
      <w:bookmarkStart w:id="127" w:name="_Toc245"/>
      <w:bookmarkStart w:id="128" w:name="_Toc1452056455"/>
      <w:bookmarkStart w:id="129" w:name="_Toc377341875"/>
      <w:bookmarkStart w:id="130" w:name="_Toc110875207"/>
      <w:r>
        <w:rPr>
          <w:rFonts w:cs="Times New Roman"/>
          <w:lang w:eastAsia="zh-CN"/>
        </w:rPr>
        <w:t>（四）</w:t>
      </w:r>
      <w:bookmarkEnd w:id="127"/>
      <w:bookmarkEnd w:id="128"/>
      <w:bookmarkEnd w:id="129"/>
      <w:r>
        <w:rPr>
          <w:rFonts w:cs="Times New Roman"/>
          <w:lang w:eastAsia="zh-CN"/>
        </w:rPr>
        <w:t>强化规划组织实施</w:t>
      </w:r>
      <w:bookmarkEnd w:id="130"/>
    </w:p>
    <w:p>
      <w:pPr>
        <w:widowControl w:val="0"/>
        <w:overflowPunct w:val="0"/>
        <w:spacing w:line="588" w:lineRule="exact"/>
        <w:ind w:firstLine="640"/>
        <w:jc w:val="both"/>
        <w:rPr>
          <w:szCs w:val="32"/>
          <w:lang w:eastAsia="zh-CN"/>
        </w:rPr>
      </w:pPr>
      <w:bookmarkStart w:id="133" w:name="_GoBack"/>
      <w:r>
        <w:rPr>
          <w:color w:val="0000FF"/>
          <w:szCs w:val="32"/>
          <w:lang w:eastAsia="zh-CN"/>
        </w:rPr>
        <w:t>市发展改革委、市住房和城乡建设局、</w:t>
      </w:r>
      <w:r>
        <w:rPr>
          <w:rFonts w:hint="eastAsia"/>
          <w:color w:val="0000FF"/>
          <w:szCs w:val="32"/>
          <w:lang w:eastAsia="zh-CN"/>
        </w:rPr>
        <w:t>市城市管理局、</w:t>
      </w:r>
      <w:r>
        <w:rPr>
          <w:color w:val="0000FF"/>
          <w:szCs w:val="32"/>
          <w:lang w:eastAsia="zh-CN"/>
        </w:rPr>
        <w:t>市生态环境局</w:t>
      </w:r>
      <w:bookmarkEnd w:id="133"/>
      <w:r>
        <w:rPr>
          <w:szCs w:val="32"/>
          <w:lang w:eastAsia="zh-CN"/>
        </w:rPr>
        <w:t>将加强《宿州市“十四五”城镇污水处理及资源化利用发展规划》实施情况的监督检查，适时开展总结评估，推动各项目标任务顺利完成。市发展改革委、市财政局将积极争取中央预算内资金、地方政府专项债支持，积极推动全市城镇生活污水处理设施项目建设。市住房和城乡建设局、市生态环境局要加强对全市城镇生活污水处理设施建设和运营的指导，强化监督考核。</w:t>
      </w:r>
    </w:p>
    <w:bookmarkEnd w:id="126"/>
    <w:p>
      <w:pPr>
        <w:ind w:firstLine="640"/>
        <w:rPr>
          <w:szCs w:val="32"/>
          <w:lang w:eastAsia="zh-CN"/>
        </w:rPr>
      </w:pPr>
      <w:r>
        <w:rPr>
          <w:szCs w:val="32"/>
          <w:lang w:eastAsia="zh-CN"/>
        </w:rPr>
        <w:br w:type="page"/>
      </w:r>
    </w:p>
    <w:p>
      <w:pPr>
        <w:pStyle w:val="2"/>
        <w:ind w:left="0" w:leftChars="0" w:firstLine="0" w:firstLineChars="0"/>
        <w:rPr>
          <w:rFonts w:hint="default" w:ascii="Times New Roman" w:hAnsi="Times New Roman" w:eastAsia="方正黑体_GBK" w:cs="Times New Roman"/>
          <w:b w:val="0"/>
          <w:bCs w:val="0"/>
          <w:lang w:val="en-US" w:eastAsia="zh-CN"/>
        </w:rPr>
      </w:pPr>
      <w:bookmarkStart w:id="131" w:name="_Toc110875208"/>
      <w:r>
        <w:rPr>
          <w:rFonts w:hint="default" w:ascii="Times New Roman" w:hAnsi="Times New Roman" w:eastAsia="方正黑体_GBK" w:cs="Times New Roman"/>
          <w:b w:val="0"/>
          <w:bCs w:val="0"/>
          <w:lang w:eastAsia="zh-CN"/>
        </w:rPr>
        <w:t>附件</w:t>
      </w:r>
      <w:r>
        <w:rPr>
          <w:rFonts w:hint="default" w:ascii="Times New Roman" w:hAnsi="Times New Roman" w:eastAsia="方正黑体_GBK" w:cs="Times New Roman"/>
          <w:b w:val="0"/>
          <w:bCs w:val="0"/>
          <w:lang w:val="en-US" w:eastAsia="zh-CN"/>
        </w:rPr>
        <w:t>1</w:t>
      </w:r>
    </w:p>
    <w:p>
      <w:pPr>
        <w:pStyle w:val="2"/>
        <w:keepNext/>
        <w:keepLines/>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方正小标宋_GBK" w:hAnsi="方正小标宋_GBK" w:eastAsia="方正小标宋_GBK" w:cs="方正小标宋_GBK"/>
          <w:b w:val="0"/>
          <w:bCs w:val="0"/>
          <w:sz w:val="36"/>
          <w:szCs w:val="36"/>
          <w:lang w:eastAsia="zh-CN"/>
        </w:rPr>
      </w:pPr>
    </w:p>
    <w:tbl>
      <w:tblPr>
        <w:tblStyle w:val="27"/>
        <w:tblpPr w:leftFromText="180" w:rightFromText="180" w:vertAnchor="text" w:horzAnchor="page" w:tblpX="1931" w:tblpY="8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1080"/>
        <w:gridCol w:w="1020"/>
        <w:gridCol w:w="1035"/>
        <w:gridCol w:w="1050"/>
        <w:gridCol w:w="110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80" w:type="dxa"/>
            <w:vMerge w:val="restart"/>
            <w:vAlign w:val="center"/>
          </w:tcPr>
          <w:p>
            <w:pPr>
              <w:widowControl w:val="0"/>
              <w:numPr>
                <w:ilvl w:val="0"/>
                <w:numId w:val="0"/>
              </w:numPr>
              <w:spacing w:line="240" w:lineRule="auto"/>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一、城镇新建污水管网规模</w:t>
            </w:r>
          </w:p>
          <w:p>
            <w:pPr>
              <w:widowControl w:val="0"/>
              <w:numPr>
                <w:ilvl w:val="0"/>
                <w:numId w:val="0"/>
              </w:numPr>
              <w:spacing w:line="240" w:lineRule="auto"/>
              <w:jc w:val="center"/>
              <w:rPr>
                <w:sz w:val="28"/>
                <w:szCs w:val="28"/>
                <w:lang w:eastAsia="zh-CN"/>
              </w:rPr>
            </w:pPr>
            <w:r>
              <w:rPr>
                <w:rFonts w:hint="eastAsia" w:ascii="方正黑体_GBK" w:hAnsi="方正黑体_GBK" w:eastAsia="方正黑体_GBK" w:cs="方正黑体_GBK"/>
                <w:sz w:val="18"/>
                <w:szCs w:val="18"/>
                <w:lang w:eastAsia="zh-CN"/>
              </w:rPr>
              <w:t>（公里）</w:t>
            </w:r>
          </w:p>
        </w:tc>
        <w:tc>
          <w:tcPr>
            <w:tcW w:w="3135"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2020 年规模</w:t>
            </w:r>
          </w:p>
        </w:tc>
        <w:tc>
          <w:tcPr>
            <w:tcW w:w="3069"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“十四五”新增规模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80" w:type="dxa"/>
            <w:vMerge w:val="continue"/>
            <w:vAlign w:val="center"/>
          </w:tcPr>
          <w:p>
            <w:pPr>
              <w:widowControl w:val="0"/>
              <w:spacing w:line="240" w:lineRule="auto"/>
              <w:ind w:firstLine="0" w:firstLineChars="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80" w:type="dxa"/>
            <w:vMerge w:val="continue"/>
            <w:vAlign w:val="center"/>
          </w:tcPr>
          <w:p>
            <w:pPr>
              <w:widowControl w:val="0"/>
              <w:spacing w:line="240" w:lineRule="auto"/>
              <w:ind w:firstLine="56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574</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779</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1353</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29</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116</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80" w:type="dxa"/>
            <w:vMerge w:val="restart"/>
            <w:vAlign w:val="center"/>
          </w:tcPr>
          <w:p>
            <w:pPr>
              <w:widowControl w:val="0"/>
              <w:numPr>
                <w:ilvl w:val="0"/>
                <w:numId w:val="0"/>
              </w:numPr>
              <w:spacing w:line="240" w:lineRule="auto"/>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二、镇污水管网改造规模</w:t>
            </w:r>
          </w:p>
          <w:p>
            <w:pPr>
              <w:widowControl w:val="0"/>
              <w:numPr>
                <w:ilvl w:val="0"/>
                <w:numId w:val="0"/>
              </w:numPr>
              <w:spacing w:line="240" w:lineRule="auto"/>
              <w:jc w:val="center"/>
              <w:rPr>
                <w:sz w:val="28"/>
                <w:szCs w:val="28"/>
                <w:lang w:eastAsia="zh-CN"/>
              </w:rPr>
            </w:pPr>
            <w:r>
              <w:rPr>
                <w:rFonts w:hint="eastAsia" w:ascii="方正黑体_GBK" w:hAnsi="方正黑体_GBK" w:eastAsia="方正黑体_GBK" w:cs="方正黑体_GBK"/>
                <w:sz w:val="18"/>
                <w:szCs w:val="18"/>
                <w:lang w:eastAsia="zh-CN"/>
              </w:rPr>
              <w:t>（公里）</w:t>
            </w:r>
          </w:p>
        </w:tc>
        <w:tc>
          <w:tcPr>
            <w:tcW w:w="3135"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老旧管网改造</w:t>
            </w:r>
          </w:p>
        </w:tc>
        <w:tc>
          <w:tcPr>
            <w:tcW w:w="3069"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合流制管网改造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80" w:type="dxa"/>
            <w:vMerge w:val="continue"/>
            <w:vAlign w:val="center"/>
          </w:tcPr>
          <w:p>
            <w:pPr>
              <w:widowControl w:val="0"/>
              <w:spacing w:line="240" w:lineRule="auto"/>
              <w:ind w:firstLine="0" w:firstLineChars="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80" w:type="dxa"/>
            <w:vMerge w:val="continue"/>
            <w:vAlign w:val="center"/>
          </w:tcPr>
          <w:p>
            <w:pPr>
              <w:widowControl w:val="0"/>
              <w:spacing w:line="240" w:lineRule="auto"/>
              <w:ind w:firstLine="0" w:firstLineChars="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30</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35</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65</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0</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26</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80" w:type="dxa"/>
            <w:vMerge w:val="restart"/>
            <w:vAlign w:val="center"/>
          </w:tcPr>
          <w:p>
            <w:pPr>
              <w:widowControl w:val="0"/>
              <w:numPr>
                <w:ilvl w:val="0"/>
                <w:numId w:val="0"/>
              </w:numPr>
              <w:spacing w:line="240" w:lineRule="auto"/>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三、城镇新增污水处理规模</w:t>
            </w:r>
          </w:p>
          <w:p>
            <w:pPr>
              <w:widowControl w:val="0"/>
              <w:numPr>
                <w:ilvl w:val="0"/>
                <w:numId w:val="0"/>
              </w:numPr>
              <w:spacing w:line="240" w:lineRule="auto"/>
              <w:jc w:val="center"/>
              <w:rPr>
                <w:sz w:val="28"/>
                <w:szCs w:val="28"/>
                <w:lang w:eastAsia="zh-CN"/>
              </w:rPr>
            </w:pPr>
            <w:r>
              <w:rPr>
                <w:rFonts w:hint="eastAsia" w:ascii="方正黑体_GBK" w:hAnsi="方正黑体_GBK" w:eastAsia="方正黑体_GBK" w:cs="方正黑体_GBK"/>
                <w:sz w:val="18"/>
                <w:szCs w:val="18"/>
                <w:lang w:eastAsia="zh-CN"/>
              </w:rPr>
              <w:t>（万立方米/日）</w:t>
            </w:r>
          </w:p>
        </w:tc>
        <w:tc>
          <w:tcPr>
            <w:tcW w:w="3135"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2020年规模</w:t>
            </w:r>
          </w:p>
        </w:tc>
        <w:tc>
          <w:tcPr>
            <w:tcW w:w="3069"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“十四五”新增规模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80" w:type="dxa"/>
            <w:vMerge w:val="continue"/>
            <w:vAlign w:val="center"/>
          </w:tcPr>
          <w:p>
            <w:pPr>
              <w:widowControl w:val="0"/>
              <w:spacing w:line="240" w:lineRule="auto"/>
              <w:ind w:firstLine="56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80" w:type="dxa"/>
            <w:vMerge w:val="continue"/>
            <w:vAlign w:val="center"/>
          </w:tcPr>
          <w:p>
            <w:pPr>
              <w:widowControl/>
              <w:spacing w:line="240" w:lineRule="auto"/>
              <w:ind w:firstLine="0" w:firstLineChars="0"/>
              <w:jc w:val="center"/>
              <w:rPr>
                <w:sz w:val="28"/>
                <w:szCs w:val="28"/>
                <w:lang w:eastAsia="zh-CN"/>
              </w:rPr>
            </w:pPr>
          </w:p>
        </w:tc>
        <w:tc>
          <w:tcPr>
            <w:tcW w:w="1080" w:type="dxa"/>
            <w:vAlign w:val="center"/>
          </w:tcPr>
          <w:p>
            <w:pPr>
              <w:pStyle w:val="57"/>
              <w:widowControl/>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27.5</w:t>
            </w:r>
          </w:p>
        </w:tc>
        <w:tc>
          <w:tcPr>
            <w:tcW w:w="1020" w:type="dxa"/>
            <w:vAlign w:val="center"/>
          </w:tcPr>
          <w:p>
            <w:pPr>
              <w:pStyle w:val="57"/>
              <w:widowControl/>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w:t>
            </w:r>
          </w:p>
        </w:tc>
        <w:tc>
          <w:tcPr>
            <w:tcW w:w="1035" w:type="dxa"/>
            <w:vAlign w:val="center"/>
          </w:tcPr>
          <w:p>
            <w:pPr>
              <w:pStyle w:val="57"/>
              <w:widowControl/>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47.5</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0</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7</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080" w:type="dxa"/>
            <w:vMerge w:val="restart"/>
            <w:vAlign w:val="center"/>
          </w:tcPr>
          <w:p>
            <w:pPr>
              <w:widowControl w:val="0"/>
              <w:numPr>
                <w:ilvl w:val="0"/>
                <w:numId w:val="0"/>
              </w:numPr>
              <w:spacing w:line="240" w:lineRule="auto"/>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四、城镇新增再生水利用设施规模</w:t>
            </w:r>
          </w:p>
          <w:p>
            <w:pPr>
              <w:widowControl w:val="0"/>
              <w:numPr>
                <w:ilvl w:val="0"/>
                <w:numId w:val="0"/>
              </w:numPr>
              <w:spacing w:line="240" w:lineRule="auto"/>
              <w:jc w:val="center"/>
              <w:rPr>
                <w:sz w:val="28"/>
                <w:szCs w:val="28"/>
                <w:lang w:eastAsia="zh-CN"/>
              </w:rPr>
            </w:pPr>
            <w:r>
              <w:rPr>
                <w:rFonts w:hint="eastAsia" w:ascii="方正黑体_GBK" w:hAnsi="方正黑体_GBK" w:eastAsia="方正黑体_GBK" w:cs="方正黑体_GBK"/>
                <w:sz w:val="18"/>
                <w:szCs w:val="18"/>
                <w:lang w:eastAsia="zh-CN"/>
              </w:rPr>
              <w:t>（万立方米/日）</w:t>
            </w:r>
          </w:p>
        </w:tc>
        <w:tc>
          <w:tcPr>
            <w:tcW w:w="3135"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2020年规模</w:t>
            </w:r>
          </w:p>
        </w:tc>
        <w:tc>
          <w:tcPr>
            <w:tcW w:w="3069"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“十四五”新增规模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80" w:type="dxa"/>
            <w:vMerge w:val="continue"/>
            <w:vAlign w:val="center"/>
          </w:tcPr>
          <w:p>
            <w:pPr>
              <w:widowControl w:val="0"/>
              <w:spacing w:line="240" w:lineRule="auto"/>
              <w:ind w:firstLine="56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80" w:type="dxa"/>
            <w:vMerge w:val="continue"/>
            <w:vAlign w:val="center"/>
          </w:tcPr>
          <w:p>
            <w:pPr>
              <w:widowControl/>
              <w:spacing w:line="240" w:lineRule="auto"/>
              <w:ind w:firstLine="0" w:firstLineChars="0"/>
              <w:jc w:val="center"/>
              <w:rPr>
                <w:sz w:val="28"/>
                <w:szCs w:val="28"/>
                <w:lang w:eastAsia="zh-CN"/>
              </w:rPr>
            </w:pPr>
          </w:p>
        </w:tc>
        <w:tc>
          <w:tcPr>
            <w:tcW w:w="1080" w:type="dxa"/>
            <w:vAlign w:val="center"/>
          </w:tcPr>
          <w:p>
            <w:pPr>
              <w:pStyle w:val="57"/>
              <w:widowControl/>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16</w:t>
            </w:r>
          </w:p>
        </w:tc>
        <w:tc>
          <w:tcPr>
            <w:tcW w:w="1020" w:type="dxa"/>
            <w:vAlign w:val="center"/>
          </w:tcPr>
          <w:p>
            <w:pPr>
              <w:pStyle w:val="57"/>
              <w:widowControl/>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6.5</w:t>
            </w:r>
          </w:p>
        </w:tc>
        <w:tc>
          <w:tcPr>
            <w:tcW w:w="1035" w:type="dxa"/>
            <w:vAlign w:val="center"/>
          </w:tcPr>
          <w:p>
            <w:pPr>
              <w:pStyle w:val="57"/>
              <w:widowControl/>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22.5</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0</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6</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80" w:type="dxa"/>
            <w:vMerge w:val="restart"/>
            <w:vAlign w:val="center"/>
          </w:tcPr>
          <w:p>
            <w:pPr>
              <w:widowControl w:val="0"/>
              <w:numPr>
                <w:ilvl w:val="0"/>
                <w:numId w:val="0"/>
              </w:numPr>
              <w:spacing w:line="240" w:lineRule="auto"/>
              <w:ind w:leftChars="0"/>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五、城镇新增污泥处理规模</w:t>
            </w:r>
          </w:p>
          <w:p>
            <w:pPr>
              <w:widowControl w:val="0"/>
              <w:numPr>
                <w:ilvl w:val="0"/>
                <w:numId w:val="0"/>
              </w:numPr>
              <w:spacing w:line="240" w:lineRule="auto"/>
              <w:ind w:leftChars="0"/>
              <w:jc w:val="center"/>
              <w:rPr>
                <w:sz w:val="28"/>
                <w:szCs w:val="28"/>
                <w:lang w:eastAsia="zh-CN"/>
              </w:rPr>
            </w:pPr>
            <w:r>
              <w:rPr>
                <w:rFonts w:hint="eastAsia" w:ascii="方正黑体_GBK" w:hAnsi="方正黑体_GBK" w:eastAsia="方正黑体_GBK" w:cs="方正黑体_GBK"/>
                <w:sz w:val="18"/>
                <w:szCs w:val="18"/>
                <w:lang w:eastAsia="zh-CN"/>
              </w:rPr>
              <w:t>（吨/日）</w:t>
            </w:r>
          </w:p>
        </w:tc>
        <w:tc>
          <w:tcPr>
            <w:tcW w:w="3135"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2020 年规模</w:t>
            </w:r>
          </w:p>
        </w:tc>
        <w:tc>
          <w:tcPr>
            <w:tcW w:w="3069" w:type="dxa"/>
            <w:gridSpan w:val="3"/>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“十四五”新增规模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80" w:type="dxa"/>
            <w:vMerge w:val="continue"/>
            <w:vAlign w:val="center"/>
          </w:tcPr>
          <w:p>
            <w:pPr>
              <w:widowControl w:val="0"/>
              <w:spacing w:line="240" w:lineRule="auto"/>
              <w:ind w:firstLine="0" w:firstLineChars="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城市</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rPr>
              <w:t>县城</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80" w:type="dxa"/>
            <w:vMerge w:val="continue"/>
            <w:vAlign w:val="center"/>
          </w:tcPr>
          <w:p>
            <w:pPr>
              <w:widowControl w:val="0"/>
              <w:spacing w:line="240" w:lineRule="auto"/>
              <w:ind w:firstLine="0" w:firstLineChars="0"/>
              <w:jc w:val="center"/>
              <w:rPr>
                <w:sz w:val="28"/>
                <w:szCs w:val="28"/>
                <w:lang w:eastAsia="zh-CN"/>
              </w:rPr>
            </w:pPr>
          </w:p>
        </w:tc>
        <w:tc>
          <w:tcPr>
            <w:tcW w:w="108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150</w:t>
            </w:r>
          </w:p>
        </w:tc>
        <w:tc>
          <w:tcPr>
            <w:tcW w:w="102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195</w:t>
            </w:r>
          </w:p>
        </w:tc>
        <w:tc>
          <w:tcPr>
            <w:tcW w:w="1035"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345</w:t>
            </w:r>
          </w:p>
        </w:tc>
        <w:tc>
          <w:tcPr>
            <w:tcW w:w="1050"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0</w:t>
            </w:r>
          </w:p>
        </w:tc>
        <w:tc>
          <w:tcPr>
            <w:tcW w:w="1106"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0</w:t>
            </w:r>
          </w:p>
        </w:tc>
        <w:tc>
          <w:tcPr>
            <w:tcW w:w="913" w:type="dxa"/>
            <w:vAlign w:val="center"/>
          </w:tcPr>
          <w:p>
            <w:pPr>
              <w:pStyle w:val="57"/>
              <w:widowControl w:val="0"/>
              <w:spacing w:line="240" w:lineRule="auto"/>
              <w:ind w:firstLine="0" w:firstLineChars="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0</w:t>
            </w:r>
          </w:p>
        </w:tc>
      </w:tr>
    </w:tbl>
    <w:p>
      <w:pPr>
        <w:pStyle w:val="2"/>
        <w:ind w:left="0" w:leftChars="0" w:firstLine="0" w:firstLineChars="0"/>
        <w:rPr>
          <w:lang w:eastAsia="zh-CN"/>
        </w:rPr>
      </w:pPr>
      <w:r>
        <w:rPr>
          <w:rFonts w:hint="eastAsia" w:ascii="方正小标宋_GBK" w:hAnsi="方正小标宋_GBK" w:eastAsia="方正小标宋_GBK" w:cs="方正小标宋_GBK"/>
          <w:b w:val="0"/>
          <w:bCs w:val="0"/>
          <w:w w:val="96"/>
          <w:sz w:val="36"/>
          <w:szCs w:val="36"/>
          <w:lang w:eastAsia="zh-CN"/>
        </w:rPr>
        <w:t>宿州市“十四五”城镇污水处理及资源化利用</w:t>
      </w:r>
      <w:bookmarkEnd w:id="131"/>
      <w:r>
        <w:rPr>
          <w:rFonts w:hint="eastAsia" w:ascii="方正小标宋_GBK" w:hAnsi="方正小标宋_GBK" w:eastAsia="方正小标宋_GBK" w:cs="方正小标宋_GBK"/>
          <w:b w:val="0"/>
          <w:bCs w:val="0"/>
          <w:w w:val="96"/>
          <w:sz w:val="36"/>
          <w:szCs w:val="36"/>
          <w:lang w:eastAsia="zh-CN"/>
        </w:rPr>
        <w:t>设施规模</w:t>
      </w:r>
      <w:r>
        <w:rPr>
          <w:lang w:eastAsia="zh-CN"/>
        </w:rPr>
        <w:br w:type="page"/>
      </w:r>
    </w:p>
    <w:p>
      <w:pPr>
        <w:pStyle w:val="2"/>
        <w:ind w:left="0" w:leftChars="0" w:firstLine="0" w:firstLineChars="0"/>
        <w:rPr>
          <w:rFonts w:hint="default" w:ascii="Times New Roman" w:hAnsi="Times New Roman" w:eastAsia="方正黑体_GBK" w:cs="Times New Roman"/>
          <w:b w:val="0"/>
          <w:bCs w:val="0"/>
          <w:lang w:val="en-US" w:eastAsia="zh-CN"/>
        </w:rPr>
      </w:pPr>
      <w:bookmarkStart w:id="132" w:name="_Toc110875209"/>
      <w:r>
        <w:rPr>
          <w:rFonts w:hint="default" w:ascii="Times New Roman" w:hAnsi="Times New Roman" w:eastAsia="方正黑体_GBK" w:cs="Times New Roman"/>
          <w:b w:val="0"/>
          <w:bCs w:val="0"/>
          <w:lang w:eastAsia="zh-CN"/>
        </w:rPr>
        <w:t>附件</w:t>
      </w:r>
      <w:r>
        <w:rPr>
          <w:rFonts w:hint="default" w:ascii="Times New Roman" w:hAnsi="Times New Roman" w:eastAsia="方正黑体_GBK" w:cs="Times New Roman"/>
          <w:b w:val="0"/>
          <w:bCs w:val="0"/>
          <w:lang w:val="en-US" w:eastAsia="zh-CN"/>
        </w:rPr>
        <w:t>2</w:t>
      </w:r>
    </w:p>
    <w:p>
      <w:pPr>
        <w:pStyle w:val="2"/>
        <w:ind w:left="0" w:leftChars="0" w:firstLine="0" w:firstLineChars="0"/>
        <w:jc w:val="center"/>
        <w:rPr>
          <w:rFonts w:hint="eastAsia" w:ascii="方正小标宋_GBK" w:hAnsi="方正小标宋_GBK" w:eastAsia="方正小标宋_GBK" w:cs="方正小标宋_GBK"/>
          <w:b w:val="0"/>
          <w:bCs w:val="0"/>
          <w:sz w:val="36"/>
          <w:szCs w:val="36"/>
          <w:lang w:eastAsia="zh-CN"/>
        </w:rPr>
      </w:pPr>
    </w:p>
    <w:p>
      <w:pPr>
        <w:pStyle w:val="2"/>
        <w:keepNext/>
        <w:keepLines/>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宿州市“十四五”城镇污水处理及资源化利用设施</w:t>
      </w:r>
    </w:p>
    <w:p>
      <w:pPr>
        <w:pStyle w:val="2"/>
        <w:keepNext/>
        <w:keepLines/>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建设项目库</w:t>
      </w:r>
      <w:bookmarkEnd w:id="132"/>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lang w:eastAsia="zh-CN"/>
        </w:rPr>
      </w:pP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2475" w:type="dxa"/>
            <w:vAlign w:val="center"/>
          </w:tcPr>
          <w:p>
            <w:pPr>
              <w:widowControl/>
              <w:spacing w:line="240" w:lineRule="auto"/>
              <w:ind w:firstLine="0" w:firstLineChars="0"/>
              <w:jc w:val="center"/>
              <w:rPr>
                <w:rFonts w:hint="eastAsia" w:ascii="方正黑体_GBK" w:hAnsi="方正黑体_GBK" w:eastAsia="方正黑体_GBK" w:cs="方正黑体_GBK"/>
                <w:b w:val="0"/>
                <w:bCs w:val="0"/>
                <w:sz w:val="28"/>
                <w:szCs w:val="22"/>
                <w:lang w:eastAsia="zh-CN"/>
              </w:rPr>
            </w:pPr>
            <w:r>
              <w:rPr>
                <w:rFonts w:hint="eastAsia" w:ascii="方正黑体_GBK" w:hAnsi="方正黑体_GBK" w:eastAsia="方正黑体_GBK" w:cs="方正黑体_GBK"/>
                <w:b w:val="0"/>
                <w:bCs w:val="0"/>
                <w:sz w:val="28"/>
                <w:szCs w:val="22"/>
                <w:lang w:eastAsia="zh-CN"/>
              </w:rPr>
              <w:t>项目类型</w:t>
            </w:r>
          </w:p>
        </w:tc>
        <w:tc>
          <w:tcPr>
            <w:tcW w:w="6030" w:type="dxa"/>
            <w:vAlign w:val="center"/>
          </w:tcPr>
          <w:p>
            <w:pPr>
              <w:widowControl/>
              <w:spacing w:line="240" w:lineRule="auto"/>
              <w:ind w:firstLine="0" w:firstLineChars="0"/>
              <w:jc w:val="center"/>
              <w:rPr>
                <w:rFonts w:hint="eastAsia" w:ascii="方正黑体_GBK" w:hAnsi="方正黑体_GBK" w:eastAsia="方正黑体_GBK" w:cs="方正黑体_GBK"/>
                <w:b w:val="0"/>
                <w:bCs w:val="0"/>
                <w:sz w:val="28"/>
                <w:szCs w:val="22"/>
                <w:lang w:eastAsia="zh-CN"/>
              </w:rPr>
            </w:pPr>
            <w:r>
              <w:rPr>
                <w:rFonts w:hint="eastAsia" w:ascii="方正黑体_GBK" w:hAnsi="方正黑体_GBK" w:eastAsia="方正黑体_GBK" w:cs="方正黑体_GBK"/>
                <w:b w:val="0"/>
                <w:bCs w:val="0"/>
                <w:sz w:val="28"/>
                <w:szCs w:val="22"/>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6" w:hRule="atLeast"/>
          <w:jc w:val="center"/>
        </w:trPr>
        <w:tc>
          <w:tcPr>
            <w:tcW w:w="2475" w:type="dxa"/>
            <w:vAlign w:val="center"/>
          </w:tcPr>
          <w:p>
            <w:pPr>
              <w:widowControl/>
              <w:spacing w:line="240" w:lineRule="auto"/>
              <w:ind w:firstLine="0" w:firstLineChars="0"/>
              <w:jc w:val="left"/>
              <w:rPr>
                <w:rFonts w:hint="eastAsia" w:ascii="方正黑体_GBK" w:hAnsi="方正黑体_GBK" w:eastAsia="方正黑体_GBK" w:cs="方正黑体_GBK"/>
                <w:sz w:val="28"/>
                <w:szCs w:val="22"/>
                <w:lang w:eastAsia="zh-CN"/>
              </w:rPr>
            </w:pPr>
            <w:r>
              <w:rPr>
                <w:rFonts w:hint="eastAsia" w:ascii="方正黑体_GBK" w:hAnsi="方正黑体_GBK" w:eastAsia="方正黑体_GBK" w:cs="方正黑体_GBK"/>
                <w:sz w:val="28"/>
                <w:szCs w:val="22"/>
                <w:lang w:eastAsia="zh-CN"/>
              </w:rPr>
              <w:t>一、城镇污水管网建设项目</w:t>
            </w:r>
          </w:p>
        </w:tc>
        <w:tc>
          <w:tcPr>
            <w:tcW w:w="6030" w:type="dxa"/>
            <w:vAlign w:val="center"/>
          </w:tcPr>
          <w:p>
            <w:pPr>
              <w:widowControl/>
              <w:spacing w:line="240" w:lineRule="auto"/>
              <w:ind w:firstLine="0" w:firstLineChars="0"/>
              <w:jc w:val="both"/>
              <w:rPr>
                <w:sz w:val="28"/>
                <w:szCs w:val="22"/>
                <w:lang w:eastAsia="zh-CN"/>
              </w:rPr>
            </w:pPr>
            <w:r>
              <w:rPr>
                <w:sz w:val="28"/>
                <w:szCs w:val="22"/>
                <w:lang w:eastAsia="zh-CN"/>
              </w:rPr>
              <w:t>砀山县镇（园区）建成区污水治理提质增效</w:t>
            </w:r>
            <w:r>
              <w:rPr>
                <w:rFonts w:hint="eastAsia"/>
                <w:sz w:val="28"/>
                <w:szCs w:val="22"/>
                <w:lang w:eastAsia="zh-CN"/>
              </w:rPr>
              <w:t>工程</w:t>
            </w:r>
            <w:r>
              <w:rPr>
                <w:sz w:val="28"/>
                <w:szCs w:val="22"/>
                <w:lang w:eastAsia="zh-CN"/>
              </w:rPr>
              <w:t>、灵璧县城区老旧管网改造、泗县城北污水处理厂及配套污水管网、砀山县主城区雨污水管网工程、砀山县经济开发区工业污水处理厂尾水泵站及管网工程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1" w:hRule="atLeast"/>
          <w:jc w:val="center"/>
        </w:trPr>
        <w:tc>
          <w:tcPr>
            <w:tcW w:w="2475" w:type="dxa"/>
            <w:vAlign w:val="center"/>
          </w:tcPr>
          <w:p>
            <w:pPr>
              <w:widowControl/>
              <w:spacing w:line="240" w:lineRule="auto"/>
              <w:ind w:firstLine="0" w:firstLineChars="0"/>
              <w:jc w:val="left"/>
              <w:rPr>
                <w:rFonts w:hint="eastAsia" w:ascii="方正黑体_GBK" w:hAnsi="方正黑体_GBK" w:eastAsia="方正黑体_GBK" w:cs="方正黑体_GBK"/>
                <w:sz w:val="28"/>
                <w:szCs w:val="22"/>
                <w:lang w:eastAsia="zh-CN"/>
              </w:rPr>
            </w:pPr>
            <w:r>
              <w:rPr>
                <w:rFonts w:hint="eastAsia" w:ascii="方正黑体_GBK" w:hAnsi="方正黑体_GBK" w:eastAsia="方正黑体_GBK" w:cs="方正黑体_GBK"/>
                <w:sz w:val="28"/>
                <w:szCs w:val="22"/>
                <w:lang w:eastAsia="zh-CN"/>
              </w:rPr>
              <w:t>二、城镇污水处理设施建设项目</w:t>
            </w:r>
          </w:p>
        </w:tc>
        <w:tc>
          <w:tcPr>
            <w:tcW w:w="6030" w:type="dxa"/>
            <w:vAlign w:val="center"/>
          </w:tcPr>
          <w:p>
            <w:pPr>
              <w:widowControl/>
              <w:spacing w:line="240" w:lineRule="auto"/>
              <w:ind w:firstLine="0" w:firstLineChars="0"/>
              <w:jc w:val="both"/>
              <w:rPr>
                <w:sz w:val="28"/>
                <w:szCs w:val="22"/>
                <w:lang w:eastAsia="zh-CN"/>
              </w:rPr>
            </w:pPr>
            <w:r>
              <w:rPr>
                <w:sz w:val="28"/>
                <w:szCs w:val="22"/>
                <w:lang w:eastAsia="zh-CN"/>
              </w:rPr>
              <w:t>砀山县城西污水处理厂、灵璧县城南污水处理厂提标改造及配套设施工程、宿马园区北部污水处理厂二期、砀山县高铁新区污水处理厂二期扩建工程、市经开区污水厂改扩建二期、砀山县经开区污水处理厂二期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75" w:type="dxa"/>
            <w:vAlign w:val="center"/>
          </w:tcPr>
          <w:p>
            <w:pPr>
              <w:widowControl/>
              <w:spacing w:line="240" w:lineRule="auto"/>
              <w:ind w:firstLine="0" w:firstLineChars="0"/>
              <w:jc w:val="left"/>
              <w:rPr>
                <w:rFonts w:hint="eastAsia" w:ascii="方正黑体_GBK" w:hAnsi="方正黑体_GBK" w:eastAsia="方正黑体_GBK" w:cs="方正黑体_GBK"/>
                <w:sz w:val="28"/>
                <w:szCs w:val="22"/>
                <w:lang w:eastAsia="zh-CN"/>
              </w:rPr>
            </w:pPr>
            <w:r>
              <w:rPr>
                <w:rFonts w:hint="eastAsia" w:ascii="方正黑体_GBK" w:hAnsi="方正黑体_GBK" w:eastAsia="方正黑体_GBK" w:cs="方正黑体_GBK"/>
                <w:sz w:val="28"/>
                <w:szCs w:val="22"/>
                <w:lang w:eastAsia="zh-CN"/>
              </w:rPr>
              <w:t>三、再生水利用设施建设项目</w:t>
            </w:r>
          </w:p>
        </w:tc>
        <w:tc>
          <w:tcPr>
            <w:tcW w:w="6030" w:type="dxa"/>
            <w:vAlign w:val="center"/>
          </w:tcPr>
          <w:p>
            <w:pPr>
              <w:widowControl/>
              <w:spacing w:line="240" w:lineRule="auto"/>
              <w:ind w:firstLine="0" w:firstLineChars="0"/>
              <w:jc w:val="both"/>
              <w:rPr>
                <w:sz w:val="28"/>
                <w:szCs w:val="22"/>
                <w:lang w:eastAsia="zh-CN"/>
              </w:rPr>
            </w:pPr>
            <w:r>
              <w:rPr>
                <w:sz w:val="28"/>
                <w:szCs w:val="22"/>
                <w:lang w:eastAsia="zh-CN"/>
              </w:rPr>
              <w:t>泗县污水处理厂中水回用工程</w:t>
            </w:r>
          </w:p>
        </w:tc>
      </w:tr>
    </w:tbl>
    <w:p>
      <w:pPr>
        <w:pStyle w:val="25"/>
        <w:ind w:left="640" w:firstLine="600"/>
        <w:rPr>
          <w:rFonts w:cs="Times New Roman"/>
        </w:rPr>
      </w:pPr>
    </w:p>
    <w:sectPr>
      <w:footerReference r:id="rId11" w:type="default"/>
      <w:pgSz w:w="11900" w:h="16838"/>
      <w:pgMar w:top="1440" w:right="1803" w:bottom="1440" w:left="1803" w:header="850" w:footer="14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CF2C8F-4CB6-426A-98CC-5FBA218038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CEF10BD-9331-4F77-AE9C-C76EC9FBE965}"/>
  </w:font>
  <w:font w:name="楷体_GB2312">
    <w:altName w:val="楷体"/>
    <w:panose1 w:val="02010609030101010101"/>
    <w:charset w:val="86"/>
    <w:family w:val="modern"/>
    <w:pitch w:val="default"/>
    <w:sig w:usb0="00000000" w:usb1="00000000" w:usb2="00000010" w:usb3="00000000" w:csb0="00040000" w:csb1="00000000"/>
    <w:embedRegular r:id="rId3" w:fontKey="{7EB250D4-8369-4452-87DA-E66029D840D8}"/>
  </w:font>
  <w:font w:name="楷体">
    <w:panose1 w:val="02010609060101010101"/>
    <w:charset w:val="86"/>
    <w:family w:val="auto"/>
    <w:pitch w:val="default"/>
    <w:sig w:usb0="800002BF" w:usb1="38CF7CFA" w:usb2="00000016" w:usb3="00000000" w:csb0="00040001" w:csb1="00000000"/>
    <w:embedRegular r:id="rId4" w:fontKey="{6B65E9D7-FB35-4EE9-99B1-394BD8CBE55E}"/>
  </w:font>
  <w:font w:name="Times New Roman (标题 CS)">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5" w:fontKey="{42D67433-08FC-4C27-A853-9428CF573C2B}"/>
  </w:font>
  <w:font w:name="方正黑体_GBK">
    <w:altName w:val="微软雅黑"/>
    <w:panose1 w:val="02000000000000000000"/>
    <w:charset w:val="86"/>
    <w:family w:val="auto"/>
    <w:pitch w:val="default"/>
    <w:sig w:usb0="00000000" w:usb1="00000000" w:usb2="00000000" w:usb3="00000000" w:csb0="00040000" w:csb1="00000000"/>
    <w:embedRegular r:id="rId6" w:fontKey="{99AA84EC-E9D9-481E-9899-08C5ADBD46DB}"/>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7" w:fontKey="{4A097F90-82F5-441D-9092-98FE87037A44}"/>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752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a:noFill/>
                      </a:ln>
                      <a:effectLst/>
                    </wps:spPr>
                    <wps:txbx>
                      <w:txbxContent>
                        <w:p>
                          <w:pPr>
                            <w:pStyle w:val="14"/>
                            <w:ind w:firstLine="0" w:firstLineChars="0"/>
                            <w:jc w:val="both"/>
                            <w:rPr>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12.05pt;mso-position-horizontal:center;mso-position-horizontal-relative:margin;mso-wrap-style:none;z-index:251659264;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0qNHRAAAAAwEAAA8AAAAAAAAAAQAgAAAAIgAAAGRy&#10;cy9kb3ducmV2LnhtbFBLAQIUABQAAAAIAIdO4kATELS60wEAAKUDAAAOAAAAAAAAAAEAIAAAACAB&#10;AABkcnMvZTJvRG9jLnhtbFBLBQYAAAAABgAGAFkBAABlBQAAAAA=&#10;">
              <v:fill on="f" focussize="0,0"/>
              <v:stroke on="f"/>
              <v:imagedata o:title=""/>
              <o:lock v:ext="edit" aspectratio="f"/>
              <v:textbox inset="0mm,0mm,0mm,0mm" style="mso-fit-shape-to-text:t;">
                <w:txbxContent>
                  <w:p>
                    <w:pPr>
                      <w:pStyle w:val="14"/>
                      <w:ind w:firstLine="0" w:firstLineChars="0"/>
                      <w:jc w:val="both"/>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56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ind w:firstLine="56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lNGFhYzI3YzlmNGIxMmY2MTAxOGFjZjFhMzBkODUifQ=="/>
  </w:docVars>
  <w:rsids>
    <w:rsidRoot w:val="00A77B3E"/>
    <w:rsid w:val="00001D66"/>
    <w:rsid w:val="00011682"/>
    <w:rsid w:val="000116B3"/>
    <w:rsid w:val="000138C7"/>
    <w:rsid w:val="000200A0"/>
    <w:rsid w:val="0002156C"/>
    <w:rsid w:val="000256F1"/>
    <w:rsid w:val="00030053"/>
    <w:rsid w:val="00034ABD"/>
    <w:rsid w:val="00042B2A"/>
    <w:rsid w:val="0004320A"/>
    <w:rsid w:val="00045B4E"/>
    <w:rsid w:val="00046358"/>
    <w:rsid w:val="00046BD9"/>
    <w:rsid w:val="00046DF9"/>
    <w:rsid w:val="00051837"/>
    <w:rsid w:val="00053AAA"/>
    <w:rsid w:val="0005426D"/>
    <w:rsid w:val="00055B13"/>
    <w:rsid w:val="00061C8C"/>
    <w:rsid w:val="00063B8C"/>
    <w:rsid w:val="0006526E"/>
    <w:rsid w:val="0006552C"/>
    <w:rsid w:val="00065BDF"/>
    <w:rsid w:val="0007077B"/>
    <w:rsid w:val="000725A5"/>
    <w:rsid w:val="000808E5"/>
    <w:rsid w:val="00083E0F"/>
    <w:rsid w:val="00083EF7"/>
    <w:rsid w:val="0009572D"/>
    <w:rsid w:val="000B4355"/>
    <w:rsid w:val="000C5C02"/>
    <w:rsid w:val="000D47DE"/>
    <w:rsid w:val="000D5212"/>
    <w:rsid w:val="000E0A8D"/>
    <w:rsid w:val="000E26AE"/>
    <w:rsid w:val="000E27A7"/>
    <w:rsid w:val="000E3FFE"/>
    <w:rsid w:val="000E492C"/>
    <w:rsid w:val="000E554B"/>
    <w:rsid w:val="000F03DA"/>
    <w:rsid w:val="000F2F00"/>
    <w:rsid w:val="000F46D7"/>
    <w:rsid w:val="000F4743"/>
    <w:rsid w:val="000F4A24"/>
    <w:rsid w:val="000F53F4"/>
    <w:rsid w:val="001042D8"/>
    <w:rsid w:val="001066F7"/>
    <w:rsid w:val="00107702"/>
    <w:rsid w:val="00110DF0"/>
    <w:rsid w:val="00115000"/>
    <w:rsid w:val="00116E8E"/>
    <w:rsid w:val="00121BAC"/>
    <w:rsid w:val="001277D5"/>
    <w:rsid w:val="0013376D"/>
    <w:rsid w:val="00135E28"/>
    <w:rsid w:val="0013761E"/>
    <w:rsid w:val="001403B0"/>
    <w:rsid w:val="001404E3"/>
    <w:rsid w:val="00141262"/>
    <w:rsid w:val="00146022"/>
    <w:rsid w:val="00147B9F"/>
    <w:rsid w:val="00150E6D"/>
    <w:rsid w:val="0015138A"/>
    <w:rsid w:val="00152ECD"/>
    <w:rsid w:val="00153AFD"/>
    <w:rsid w:val="00153E0E"/>
    <w:rsid w:val="00161118"/>
    <w:rsid w:val="00161ECD"/>
    <w:rsid w:val="001623CF"/>
    <w:rsid w:val="0016267D"/>
    <w:rsid w:val="001644FC"/>
    <w:rsid w:val="00166F72"/>
    <w:rsid w:val="00170605"/>
    <w:rsid w:val="0017637B"/>
    <w:rsid w:val="001807F4"/>
    <w:rsid w:val="00181A04"/>
    <w:rsid w:val="0018324E"/>
    <w:rsid w:val="00185047"/>
    <w:rsid w:val="0018531A"/>
    <w:rsid w:val="00185410"/>
    <w:rsid w:val="00186AFD"/>
    <w:rsid w:val="00187B1C"/>
    <w:rsid w:val="001934AA"/>
    <w:rsid w:val="001A5E6C"/>
    <w:rsid w:val="001B2541"/>
    <w:rsid w:val="001B38BA"/>
    <w:rsid w:val="001B46C2"/>
    <w:rsid w:val="001B7D02"/>
    <w:rsid w:val="001C263A"/>
    <w:rsid w:val="001C4A64"/>
    <w:rsid w:val="001C50B4"/>
    <w:rsid w:val="001C545E"/>
    <w:rsid w:val="001C6807"/>
    <w:rsid w:val="001D10D5"/>
    <w:rsid w:val="001D1F78"/>
    <w:rsid w:val="001D3DA8"/>
    <w:rsid w:val="001E0B7A"/>
    <w:rsid w:val="001E3223"/>
    <w:rsid w:val="001E32B6"/>
    <w:rsid w:val="001E380F"/>
    <w:rsid w:val="001E53FC"/>
    <w:rsid w:val="001E6A0C"/>
    <w:rsid w:val="001E6BB8"/>
    <w:rsid w:val="001F1A4C"/>
    <w:rsid w:val="001F1F4A"/>
    <w:rsid w:val="001F6524"/>
    <w:rsid w:val="001F7F5B"/>
    <w:rsid w:val="00207A1D"/>
    <w:rsid w:val="00207B2B"/>
    <w:rsid w:val="002118FC"/>
    <w:rsid w:val="00212467"/>
    <w:rsid w:val="002128C4"/>
    <w:rsid w:val="0021392E"/>
    <w:rsid w:val="00213C42"/>
    <w:rsid w:val="0021526A"/>
    <w:rsid w:val="00215C64"/>
    <w:rsid w:val="00215FA7"/>
    <w:rsid w:val="0021626B"/>
    <w:rsid w:val="0022089F"/>
    <w:rsid w:val="00220C63"/>
    <w:rsid w:val="00221394"/>
    <w:rsid w:val="002216BC"/>
    <w:rsid w:val="00224479"/>
    <w:rsid w:val="00227C14"/>
    <w:rsid w:val="0023184C"/>
    <w:rsid w:val="0023388C"/>
    <w:rsid w:val="00235266"/>
    <w:rsid w:val="00237078"/>
    <w:rsid w:val="00246ABA"/>
    <w:rsid w:val="0025665D"/>
    <w:rsid w:val="00263D4E"/>
    <w:rsid w:val="002672B9"/>
    <w:rsid w:val="00267A67"/>
    <w:rsid w:val="00273FFC"/>
    <w:rsid w:val="00274F93"/>
    <w:rsid w:val="00282662"/>
    <w:rsid w:val="00282726"/>
    <w:rsid w:val="0028434E"/>
    <w:rsid w:val="00285432"/>
    <w:rsid w:val="00287B55"/>
    <w:rsid w:val="002964F4"/>
    <w:rsid w:val="002A0496"/>
    <w:rsid w:val="002A27D6"/>
    <w:rsid w:val="002A3BD3"/>
    <w:rsid w:val="002A55D1"/>
    <w:rsid w:val="002B114D"/>
    <w:rsid w:val="002B19D2"/>
    <w:rsid w:val="002B24F5"/>
    <w:rsid w:val="002B45BA"/>
    <w:rsid w:val="002C26BE"/>
    <w:rsid w:val="002C6F64"/>
    <w:rsid w:val="002D0118"/>
    <w:rsid w:val="002D3378"/>
    <w:rsid w:val="002D3A02"/>
    <w:rsid w:val="002D770D"/>
    <w:rsid w:val="002F36C2"/>
    <w:rsid w:val="002F3FD3"/>
    <w:rsid w:val="003001CA"/>
    <w:rsid w:val="00305CA6"/>
    <w:rsid w:val="00306271"/>
    <w:rsid w:val="00306597"/>
    <w:rsid w:val="003077EE"/>
    <w:rsid w:val="0031585B"/>
    <w:rsid w:val="003178D3"/>
    <w:rsid w:val="00322FFE"/>
    <w:rsid w:val="003254F4"/>
    <w:rsid w:val="00327BCE"/>
    <w:rsid w:val="003373A8"/>
    <w:rsid w:val="00337D47"/>
    <w:rsid w:val="00340A0F"/>
    <w:rsid w:val="0034335B"/>
    <w:rsid w:val="003466CF"/>
    <w:rsid w:val="003474FB"/>
    <w:rsid w:val="00347871"/>
    <w:rsid w:val="0035797C"/>
    <w:rsid w:val="0038721D"/>
    <w:rsid w:val="0039438D"/>
    <w:rsid w:val="003958E6"/>
    <w:rsid w:val="003A3624"/>
    <w:rsid w:val="003A39D2"/>
    <w:rsid w:val="003A6152"/>
    <w:rsid w:val="003B0BF1"/>
    <w:rsid w:val="003B1E17"/>
    <w:rsid w:val="003B2587"/>
    <w:rsid w:val="003B4B4B"/>
    <w:rsid w:val="003C0B32"/>
    <w:rsid w:val="003C343D"/>
    <w:rsid w:val="003C6C55"/>
    <w:rsid w:val="003C7528"/>
    <w:rsid w:val="003C776E"/>
    <w:rsid w:val="003D0A57"/>
    <w:rsid w:val="003D1195"/>
    <w:rsid w:val="003D1B71"/>
    <w:rsid w:val="003D364F"/>
    <w:rsid w:val="003D39DD"/>
    <w:rsid w:val="003D5606"/>
    <w:rsid w:val="003D6E61"/>
    <w:rsid w:val="003E0A7A"/>
    <w:rsid w:val="003E1621"/>
    <w:rsid w:val="003E7214"/>
    <w:rsid w:val="0040143A"/>
    <w:rsid w:val="00405E6F"/>
    <w:rsid w:val="00406983"/>
    <w:rsid w:val="00407375"/>
    <w:rsid w:val="00413C76"/>
    <w:rsid w:val="00414B8D"/>
    <w:rsid w:val="004160DC"/>
    <w:rsid w:val="00421870"/>
    <w:rsid w:val="00424659"/>
    <w:rsid w:val="004255C7"/>
    <w:rsid w:val="00425E3A"/>
    <w:rsid w:val="004261A5"/>
    <w:rsid w:val="00430967"/>
    <w:rsid w:val="00433AF1"/>
    <w:rsid w:val="004500EB"/>
    <w:rsid w:val="00451546"/>
    <w:rsid w:val="004531F2"/>
    <w:rsid w:val="00454C75"/>
    <w:rsid w:val="00456231"/>
    <w:rsid w:val="00460A38"/>
    <w:rsid w:val="00461F72"/>
    <w:rsid w:val="00463658"/>
    <w:rsid w:val="004646C3"/>
    <w:rsid w:val="0047028B"/>
    <w:rsid w:val="00470D15"/>
    <w:rsid w:val="0047253B"/>
    <w:rsid w:val="0047467B"/>
    <w:rsid w:val="0048477C"/>
    <w:rsid w:val="00485104"/>
    <w:rsid w:val="00490021"/>
    <w:rsid w:val="00490610"/>
    <w:rsid w:val="00495F07"/>
    <w:rsid w:val="004A1A9D"/>
    <w:rsid w:val="004A62F7"/>
    <w:rsid w:val="004B0A90"/>
    <w:rsid w:val="004B4AE1"/>
    <w:rsid w:val="004D051D"/>
    <w:rsid w:val="004D428D"/>
    <w:rsid w:val="004E35C2"/>
    <w:rsid w:val="004F05EF"/>
    <w:rsid w:val="004F2F21"/>
    <w:rsid w:val="004F52DE"/>
    <w:rsid w:val="00504086"/>
    <w:rsid w:val="0050587F"/>
    <w:rsid w:val="00511E29"/>
    <w:rsid w:val="00512FA9"/>
    <w:rsid w:val="005258D1"/>
    <w:rsid w:val="00532CC5"/>
    <w:rsid w:val="00535437"/>
    <w:rsid w:val="005366CD"/>
    <w:rsid w:val="00536C75"/>
    <w:rsid w:val="00537EA2"/>
    <w:rsid w:val="005413C8"/>
    <w:rsid w:val="00543964"/>
    <w:rsid w:val="00545E6B"/>
    <w:rsid w:val="00550AD8"/>
    <w:rsid w:val="00553F34"/>
    <w:rsid w:val="00557D32"/>
    <w:rsid w:val="00561C5B"/>
    <w:rsid w:val="005677CF"/>
    <w:rsid w:val="00585811"/>
    <w:rsid w:val="00587DC9"/>
    <w:rsid w:val="005960FC"/>
    <w:rsid w:val="00596E6C"/>
    <w:rsid w:val="005A1D26"/>
    <w:rsid w:val="005A6EB4"/>
    <w:rsid w:val="005B00FB"/>
    <w:rsid w:val="005B204D"/>
    <w:rsid w:val="005B5AE2"/>
    <w:rsid w:val="005B69AF"/>
    <w:rsid w:val="005C20D9"/>
    <w:rsid w:val="005C4533"/>
    <w:rsid w:val="005C6008"/>
    <w:rsid w:val="005C7D3C"/>
    <w:rsid w:val="005D4174"/>
    <w:rsid w:val="005D424A"/>
    <w:rsid w:val="005D4ADE"/>
    <w:rsid w:val="005D6057"/>
    <w:rsid w:val="005D6D1B"/>
    <w:rsid w:val="005D734A"/>
    <w:rsid w:val="005D7DE2"/>
    <w:rsid w:val="005E16C7"/>
    <w:rsid w:val="005E3681"/>
    <w:rsid w:val="005E5787"/>
    <w:rsid w:val="005E76D4"/>
    <w:rsid w:val="005F390E"/>
    <w:rsid w:val="006045AA"/>
    <w:rsid w:val="00605155"/>
    <w:rsid w:val="00607027"/>
    <w:rsid w:val="00610D31"/>
    <w:rsid w:val="00612D4F"/>
    <w:rsid w:val="00617A4C"/>
    <w:rsid w:val="006252D8"/>
    <w:rsid w:val="00630A62"/>
    <w:rsid w:val="006343B0"/>
    <w:rsid w:val="00640914"/>
    <w:rsid w:val="006422FF"/>
    <w:rsid w:val="00643837"/>
    <w:rsid w:val="00651524"/>
    <w:rsid w:val="00655286"/>
    <w:rsid w:val="00656E98"/>
    <w:rsid w:val="006575CF"/>
    <w:rsid w:val="00663443"/>
    <w:rsid w:val="00664FF7"/>
    <w:rsid w:val="00666D8A"/>
    <w:rsid w:val="00672272"/>
    <w:rsid w:val="00682B7D"/>
    <w:rsid w:val="00682C03"/>
    <w:rsid w:val="00682F0E"/>
    <w:rsid w:val="00683683"/>
    <w:rsid w:val="00683817"/>
    <w:rsid w:val="00685460"/>
    <w:rsid w:val="006865F9"/>
    <w:rsid w:val="0069067E"/>
    <w:rsid w:val="00691043"/>
    <w:rsid w:val="00692557"/>
    <w:rsid w:val="006927EE"/>
    <w:rsid w:val="00695774"/>
    <w:rsid w:val="00696622"/>
    <w:rsid w:val="00696D3F"/>
    <w:rsid w:val="006A14B2"/>
    <w:rsid w:val="006A3197"/>
    <w:rsid w:val="006A499B"/>
    <w:rsid w:val="006A64EC"/>
    <w:rsid w:val="006B33AE"/>
    <w:rsid w:val="006B3E34"/>
    <w:rsid w:val="006B40B2"/>
    <w:rsid w:val="006B432B"/>
    <w:rsid w:val="006B4B0B"/>
    <w:rsid w:val="006B5F1B"/>
    <w:rsid w:val="006C3C03"/>
    <w:rsid w:val="006D0B41"/>
    <w:rsid w:val="006D327B"/>
    <w:rsid w:val="006D4864"/>
    <w:rsid w:val="006D6951"/>
    <w:rsid w:val="006D7112"/>
    <w:rsid w:val="006E3477"/>
    <w:rsid w:val="006E4251"/>
    <w:rsid w:val="006F4D71"/>
    <w:rsid w:val="006F65FB"/>
    <w:rsid w:val="00705186"/>
    <w:rsid w:val="00706810"/>
    <w:rsid w:val="00707F5A"/>
    <w:rsid w:val="00710511"/>
    <w:rsid w:val="007105AB"/>
    <w:rsid w:val="00713411"/>
    <w:rsid w:val="00715652"/>
    <w:rsid w:val="0071737C"/>
    <w:rsid w:val="00717DEE"/>
    <w:rsid w:val="007212AB"/>
    <w:rsid w:val="00722321"/>
    <w:rsid w:val="007225F4"/>
    <w:rsid w:val="007365E8"/>
    <w:rsid w:val="00736A87"/>
    <w:rsid w:val="00737F2E"/>
    <w:rsid w:val="00740ABA"/>
    <w:rsid w:val="007411C6"/>
    <w:rsid w:val="00741654"/>
    <w:rsid w:val="007426D4"/>
    <w:rsid w:val="0074628D"/>
    <w:rsid w:val="007549C0"/>
    <w:rsid w:val="0075746B"/>
    <w:rsid w:val="007638AC"/>
    <w:rsid w:val="00765202"/>
    <w:rsid w:val="00766392"/>
    <w:rsid w:val="00767D07"/>
    <w:rsid w:val="00767FB7"/>
    <w:rsid w:val="00773B50"/>
    <w:rsid w:val="007773B5"/>
    <w:rsid w:val="00777693"/>
    <w:rsid w:val="0079021E"/>
    <w:rsid w:val="007923D6"/>
    <w:rsid w:val="0079539F"/>
    <w:rsid w:val="007A06A1"/>
    <w:rsid w:val="007A1F4D"/>
    <w:rsid w:val="007A727F"/>
    <w:rsid w:val="007B0E2E"/>
    <w:rsid w:val="007B4430"/>
    <w:rsid w:val="007C0F34"/>
    <w:rsid w:val="007C4564"/>
    <w:rsid w:val="007C4E0C"/>
    <w:rsid w:val="007C5D7F"/>
    <w:rsid w:val="007D27D4"/>
    <w:rsid w:val="007D3347"/>
    <w:rsid w:val="007E0749"/>
    <w:rsid w:val="007E24EB"/>
    <w:rsid w:val="007E5459"/>
    <w:rsid w:val="007F3138"/>
    <w:rsid w:val="007F597F"/>
    <w:rsid w:val="007F6561"/>
    <w:rsid w:val="007F6BCE"/>
    <w:rsid w:val="008075CE"/>
    <w:rsid w:val="0081178F"/>
    <w:rsid w:val="0081251E"/>
    <w:rsid w:val="00813D11"/>
    <w:rsid w:val="0081626B"/>
    <w:rsid w:val="00820D3B"/>
    <w:rsid w:val="00824101"/>
    <w:rsid w:val="008266B7"/>
    <w:rsid w:val="00834A1E"/>
    <w:rsid w:val="00834CB2"/>
    <w:rsid w:val="00840285"/>
    <w:rsid w:val="00843945"/>
    <w:rsid w:val="0084462A"/>
    <w:rsid w:val="008459F5"/>
    <w:rsid w:val="00850E70"/>
    <w:rsid w:val="00852B30"/>
    <w:rsid w:val="00853102"/>
    <w:rsid w:val="008546EE"/>
    <w:rsid w:val="008554DE"/>
    <w:rsid w:val="00855BBB"/>
    <w:rsid w:val="00856258"/>
    <w:rsid w:val="00857D95"/>
    <w:rsid w:val="00862A8C"/>
    <w:rsid w:val="00863623"/>
    <w:rsid w:val="008717C9"/>
    <w:rsid w:val="00871A1D"/>
    <w:rsid w:val="008728D4"/>
    <w:rsid w:val="0087313B"/>
    <w:rsid w:val="0087489B"/>
    <w:rsid w:val="00876CD7"/>
    <w:rsid w:val="0088293E"/>
    <w:rsid w:val="00885284"/>
    <w:rsid w:val="00893990"/>
    <w:rsid w:val="00897E96"/>
    <w:rsid w:val="008A2BB0"/>
    <w:rsid w:val="008A58D3"/>
    <w:rsid w:val="008A6A9D"/>
    <w:rsid w:val="008A7C59"/>
    <w:rsid w:val="008B2C39"/>
    <w:rsid w:val="008B61F1"/>
    <w:rsid w:val="008B6899"/>
    <w:rsid w:val="008C4BF7"/>
    <w:rsid w:val="008C68BE"/>
    <w:rsid w:val="008C7A89"/>
    <w:rsid w:val="008D078B"/>
    <w:rsid w:val="008D1A6F"/>
    <w:rsid w:val="008D36CF"/>
    <w:rsid w:val="008D3F20"/>
    <w:rsid w:val="008E1831"/>
    <w:rsid w:val="008E2514"/>
    <w:rsid w:val="008E4B63"/>
    <w:rsid w:val="008F27CA"/>
    <w:rsid w:val="0090315F"/>
    <w:rsid w:val="009032D8"/>
    <w:rsid w:val="00906310"/>
    <w:rsid w:val="0090763F"/>
    <w:rsid w:val="00910912"/>
    <w:rsid w:val="00914A0F"/>
    <w:rsid w:val="00915895"/>
    <w:rsid w:val="009173A8"/>
    <w:rsid w:val="00920660"/>
    <w:rsid w:val="00921C09"/>
    <w:rsid w:val="00922DE9"/>
    <w:rsid w:val="009270AA"/>
    <w:rsid w:val="00935600"/>
    <w:rsid w:val="00935BD5"/>
    <w:rsid w:val="009361FD"/>
    <w:rsid w:val="0094606C"/>
    <w:rsid w:val="009469F7"/>
    <w:rsid w:val="00951448"/>
    <w:rsid w:val="00951970"/>
    <w:rsid w:val="00952594"/>
    <w:rsid w:val="00957C39"/>
    <w:rsid w:val="00963325"/>
    <w:rsid w:val="00963FC6"/>
    <w:rsid w:val="00964D7F"/>
    <w:rsid w:val="009672EA"/>
    <w:rsid w:val="00970B88"/>
    <w:rsid w:val="00974C99"/>
    <w:rsid w:val="009753C4"/>
    <w:rsid w:val="0098178F"/>
    <w:rsid w:val="0098289D"/>
    <w:rsid w:val="00983950"/>
    <w:rsid w:val="00986B5B"/>
    <w:rsid w:val="00991367"/>
    <w:rsid w:val="00992717"/>
    <w:rsid w:val="009A286A"/>
    <w:rsid w:val="009A4FF4"/>
    <w:rsid w:val="009B2A8F"/>
    <w:rsid w:val="009B306F"/>
    <w:rsid w:val="009B3660"/>
    <w:rsid w:val="009B3CAF"/>
    <w:rsid w:val="009B44D2"/>
    <w:rsid w:val="009B6CF7"/>
    <w:rsid w:val="009B7A9B"/>
    <w:rsid w:val="009C19E6"/>
    <w:rsid w:val="009C6885"/>
    <w:rsid w:val="009D24C3"/>
    <w:rsid w:val="009D300F"/>
    <w:rsid w:val="009D3517"/>
    <w:rsid w:val="009D636F"/>
    <w:rsid w:val="009D6A4F"/>
    <w:rsid w:val="009E0741"/>
    <w:rsid w:val="009E0A06"/>
    <w:rsid w:val="009E1599"/>
    <w:rsid w:val="009E3A3E"/>
    <w:rsid w:val="009E4C9B"/>
    <w:rsid w:val="009F01C3"/>
    <w:rsid w:val="009F7DC7"/>
    <w:rsid w:val="009F7FC4"/>
    <w:rsid w:val="00A05C71"/>
    <w:rsid w:val="00A1153C"/>
    <w:rsid w:val="00A12EB9"/>
    <w:rsid w:val="00A169F6"/>
    <w:rsid w:val="00A24346"/>
    <w:rsid w:val="00A25ABD"/>
    <w:rsid w:val="00A262E1"/>
    <w:rsid w:val="00A31506"/>
    <w:rsid w:val="00A343E7"/>
    <w:rsid w:val="00A4169F"/>
    <w:rsid w:val="00A44BA2"/>
    <w:rsid w:val="00A4713E"/>
    <w:rsid w:val="00A53314"/>
    <w:rsid w:val="00A54801"/>
    <w:rsid w:val="00A60118"/>
    <w:rsid w:val="00A65CA1"/>
    <w:rsid w:val="00A66BC3"/>
    <w:rsid w:val="00A67CB0"/>
    <w:rsid w:val="00A67EC7"/>
    <w:rsid w:val="00A70FC4"/>
    <w:rsid w:val="00A73EC5"/>
    <w:rsid w:val="00A77B3E"/>
    <w:rsid w:val="00A83CC0"/>
    <w:rsid w:val="00A85790"/>
    <w:rsid w:val="00A91A25"/>
    <w:rsid w:val="00AA01F8"/>
    <w:rsid w:val="00AA167A"/>
    <w:rsid w:val="00AA3D70"/>
    <w:rsid w:val="00AA4E18"/>
    <w:rsid w:val="00AA5E74"/>
    <w:rsid w:val="00AA6472"/>
    <w:rsid w:val="00AA6910"/>
    <w:rsid w:val="00AB146E"/>
    <w:rsid w:val="00AB772D"/>
    <w:rsid w:val="00AC0483"/>
    <w:rsid w:val="00AC25B5"/>
    <w:rsid w:val="00AC288D"/>
    <w:rsid w:val="00AC529D"/>
    <w:rsid w:val="00AC5844"/>
    <w:rsid w:val="00AC7E66"/>
    <w:rsid w:val="00AD1129"/>
    <w:rsid w:val="00AD5BE4"/>
    <w:rsid w:val="00AE0FCD"/>
    <w:rsid w:val="00AE1EE9"/>
    <w:rsid w:val="00AE31C8"/>
    <w:rsid w:val="00AE5598"/>
    <w:rsid w:val="00AE665B"/>
    <w:rsid w:val="00AE741B"/>
    <w:rsid w:val="00AF2523"/>
    <w:rsid w:val="00AF5A96"/>
    <w:rsid w:val="00AF5D14"/>
    <w:rsid w:val="00AF644C"/>
    <w:rsid w:val="00AF70FD"/>
    <w:rsid w:val="00AF7E84"/>
    <w:rsid w:val="00B008B7"/>
    <w:rsid w:val="00B018D3"/>
    <w:rsid w:val="00B065D3"/>
    <w:rsid w:val="00B11004"/>
    <w:rsid w:val="00B11876"/>
    <w:rsid w:val="00B21356"/>
    <w:rsid w:val="00B2391A"/>
    <w:rsid w:val="00B31BA7"/>
    <w:rsid w:val="00B32E1A"/>
    <w:rsid w:val="00B33E18"/>
    <w:rsid w:val="00B3665C"/>
    <w:rsid w:val="00B37A6B"/>
    <w:rsid w:val="00B51A2E"/>
    <w:rsid w:val="00B56CC8"/>
    <w:rsid w:val="00B56DCE"/>
    <w:rsid w:val="00B60284"/>
    <w:rsid w:val="00B61F33"/>
    <w:rsid w:val="00B6539B"/>
    <w:rsid w:val="00B662F0"/>
    <w:rsid w:val="00B6642D"/>
    <w:rsid w:val="00B668B4"/>
    <w:rsid w:val="00B67168"/>
    <w:rsid w:val="00B67641"/>
    <w:rsid w:val="00B701D9"/>
    <w:rsid w:val="00B7032D"/>
    <w:rsid w:val="00B71CFD"/>
    <w:rsid w:val="00B725A0"/>
    <w:rsid w:val="00B762BD"/>
    <w:rsid w:val="00B7682E"/>
    <w:rsid w:val="00B84344"/>
    <w:rsid w:val="00B85002"/>
    <w:rsid w:val="00B8512A"/>
    <w:rsid w:val="00B87383"/>
    <w:rsid w:val="00B90786"/>
    <w:rsid w:val="00B94DFA"/>
    <w:rsid w:val="00BA04AC"/>
    <w:rsid w:val="00BA0E26"/>
    <w:rsid w:val="00BA1C6C"/>
    <w:rsid w:val="00BA464F"/>
    <w:rsid w:val="00BA4F86"/>
    <w:rsid w:val="00BA7014"/>
    <w:rsid w:val="00BB1067"/>
    <w:rsid w:val="00BB2709"/>
    <w:rsid w:val="00BB3F7F"/>
    <w:rsid w:val="00BB5CCD"/>
    <w:rsid w:val="00BB6C1D"/>
    <w:rsid w:val="00BC061F"/>
    <w:rsid w:val="00BC3431"/>
    <w:rsid w:val="00BC4D75"/>
    <w:rsid w:val="00BC6223"/>
    <w:rsid w:val="00BC6A4F"/>
    <w:rsid w:val="00BC75F8"/>
    <w:rsid w:val="00BD5105"/>
    <w:rsid w:val="00BD7092"/>
    <w:rsid w:val="00BE0685"/>
    <w:rsid w:val="00BE3240"/>
    <w:rsid w:val="00BE7521"/>
    <w:rsid w:val="00BF24C5"/>
    <w:rsid w:val="00BF3411"/>
    <w:rsid w:val="00BF7E34"/>
    <w:rsid w:val="00C002CC"/>
    <w:rsid w:val="00C017DF"/>
    <w:rsid w:val="00C027B4"/>
    <w:rsid w:val="00C02B63"/>
    <w:rsid w:val="00C03123"/>
    <w:rsid w:val="00C05AB0"/>
    <w:rsid w:val="00C05E7B"/>
    <w:rsid w:val="00C05F0C"/>
    <w:rsid w:val="00C06440"/>
    <w:rsid w:val="00C06908"/>
    <w:rsid w:val="00C0777E"/>
    <w:rsid w:val="00C10167"/>
    <w:rsid w:val="00C102F7"/>
    <w:rsid w:val="00C10500"/>
    <w:rsid w:val="00C23356"/>
    <w:rsid w:val="00C264E3"/>
    <w:rsid w:val="00C27699"/>
    <w:rsid w:val="00C32F2B"/>
    <w:rsid w:val="00C44CE9"/>
    <w:rsid w:val="00C53F29"/>
    <w:rsid w:val="00C54D2D"/>
    <w:rsid w:val="00C57A4D"/>
    <w:rsid w:val="00C57B88"/>
    <w:rsid w:val="00C57E02"/>
    <w:rsid w:val="00C63492"/>
    <w:rsid w:val="00C71255"/>
    <w:rsid w:val="00C770A2"/>
    <w:rsid w:val="00C9596B"/>
    <w:rsid w:val="00C95D3C"/>
    <w:rsid w:val="00C97A1C"/>
    <w:rsid w:val="00CA0347"/>
    <w:rsid w:val="00CA2A55"/>
    <w:rsid w:val="00CA41AD"/>
    <w:rsid w:val="00CA4B59"/>
    <w:rsid w:val="00CA5FC1"/>
    <w:rsid w:val="00CA6341"/>
    <w:rsid w:val="00CA7619"/>
    <w:rsid w:val="00CB3B13"/>
    <w:rsid w:val="00CB56F7"/>
    <w:rsid w:val="00CC049A"/>
    <w:rsid w:val="00CC4CE9"/>
    <w:rsid w:val="00CC671B"/>
    <w:rsid w:val="00CC74E5"/>
    <w:rsid w:val="00CD0DF7"/>
    <w:rsid w:val="00CD164B"/>
    <w:rsid w:val="00CD1E31"/>
    <w:rsid w:val="00CD2890"/>
    <w:rsid w:val="00CD2E61"/>
    <w:rsid w:val="00CD4C64"/>
    <w:rsid w:val="00CD6149"/>
    <w:rsid w:val="00CD784A"/>
    <w:rsid w:val="00CE2B42"/>
    <w:rsid w:val="00CF139E"/>
    <w:rsid w:val="00CF2D63"/>
    <w:rsid w:val="00CF3FCB"/>
    <w:rsid w:val="00CF4D46"/>
    <w:rsid w:val="00D02005"/>
    <w:rsid w:val="00D04857"/>
    <w:rsid w:val="00D05E11"/>
    <w:rsid w:val="00D11FAB"/>
    <w:rsid w:val="00D15120"/>
    <w:rsid w:val="00D21B93"/>
    <w:rsid w:val="00D21C3E"/>
    <w:rsid w:val="00D2436E"/>
    <w:rsid w:val="00D26DDC"/>
    <w:rsid w:val="00D30D48"/>
    <w:rsid w:val="00D33BF3"/>
    <w:rsid w:val="00D36447"/>
    <w:rsid w:val="00D36B5B"/>
    <w:rsid w:val="00D40430"/>
    <w:rsid w:val="00D42F7B"/>
    <w:rsid w:val="00D46C46"/>
    <w:rsid w:val="00D50A89"/>
    <w:rsid w:val="00D53933"/>
    <w:rsid w:val="00D56A13"/>
    <w:rsid w:val="00D649CB"/>
    <w:rsid w:val="00D64E2F"/>
    <w:rsid w:val="00D775BD"/>
    <w:rsid w:val="00D8267F"/>
    <w:rsid w:val="00D87B26"/>
    <w:rsid w:val="00D91578"/>
    <w:rsid w:val="00D93984"/>
    <w:rsid w:val="00D979B9"/>
    <w:rsid w:val="00DA2E91"/>
    <w:rsid w:val="00DB0E4C"/>
    <w:rsid w:val="00DB20AF"/>
    <w:rsid w:val="00DB632B"/>
    <w:rsid w:val="00DC0A5C"/>
    <w:rsid w:val="00DC1318"/>
    <w:rsid w:val="00DC4881"/>
    <w:rsid w:val="00DC7AB9"/>
    <w:rsid w:val="00DD201C"/>
    <w:rsid w:val="00DE5BB8"/>
    <w:rsid w:val="00DE75E7"/>
    <w:rsid w:val="00DF4993"/>
    <w:rsid w:val="00DF7222"/>
    <w:rsid w:val="00E0104E"/>
    <w:rsid w:val="00E02293"/>
    <w:rsid w:val="00E04A48"/>
    <w:rsid w:val="00E04B59"/>
    <w:rsid w:val="00E06193"/>
    <w:rsid w:val="00E11A75"/>
    <w:rsid w:val="00E11FB5"/>
    <w:rsid w:val="00E14161"/>
    <w:rsid w:val="00E1603E"/>
    <w:rsid w:val="00E205CA"/>
    <w:rsid w:val="00E231AD"/>
    <w:rsid w:val="00E245C6"/>
    <w:rsid w:val="00E25977"/>
    <w:rsid w:val="00E27658"/>
    <w:rsid w:val="00E34DB4"/>
    <w:rsid w:val="00E3582D"/>
    <w:rsid w:val="00E407C7"/>
    <w:rsid w:val="00E4565E"/>
    <w:rsid w:val="00E467C1"/>
    <w:rsid w:val="00E47189"/>
    <w:rsid w:val="00E518DD"/>
    <w:rsid w:val="00E525AA"/>
    <w:rsid w:val="00E533D9"/>
    <w:rsid w:val="00E54811"/>
    <w:rsid w:val="00E57368"/>
    <w:rsid w:val="00E64C68"/>
    <w:rsid w:val="00E707E2"/>
    <w:rsid w:val="00E724A2"/>
    <w:rsid w:val="00E727E8"/>
    <w:rsid w:val="00E77023"/>
    <w:rsid w:val="00E80E9C"/>
    <w:rsid w:val="00E84B0F"/>
    <w:rsid w:val="00E85CD3"/>
    <w:rsid w:val="00E865F7"/>
    <w:rsid w:val="00E929DD"/>
    <w:rsid w:val="00EA19D2"/>
    <w:rsid w:val="00EA3DAB"/>
    <w:rsid w:val="00EB2A91"/>
    <w:rsid w:val="00EB37DF"/>
    <w:rsid w:val="00EB646F"/>
    <w:rsid w:val="00EB7B32"/>
    <w:rsid w:val="00EC3883"/>
    <w:rsid w:val="00EC5140"/>
    <w:rsid w:val="00EC76A0"/>
    <w:rsid w:val="00ED3B9C"/>
    <w:rsid w:val="00EE028D"/>
    <w:rsid w:val="00EE15A4"/>
    <w:rsid w:val="00EE16F7"/>
    <w:rsid w:val="00EE1DD8"/>
    <w:rsid w:val="00EF08F4"/>
    <w:rsid w:val="00EF2C5D"/>
    <w:rsid w:val="00F044D3"/>
    <w:rsid w:val="00F05637"/>
    <w:rsid w:val="00F05C4F"/>
    <w:rsid w:val="00F061D8"/>
    <w:rsid w:val="00F0798D"/>
    <w:rsid w:val="00F103B0"/>
    <w:rsid w:val="00F13039"/>
    <w:rsid w:val="00F14A03"/>
    <w:rsid w:val="00F1689B"/>
    <w:rsid w:val="00F16E9E"/>
    <w:rsid w:val="00F21531"/>
    <w:rsid w:val="00F23C20"/>
    <w:rsid w:val="00F260D5"/>
    <w:rsid w:val="00F2783C"/>
    <w:rsid w:val="00F30CAF"/>
    <w:rsid w:val="00F328BD"/>
    <w:rsid w:val="00F36624"/>
    <w:rsid w:val="00F425AE"/>
    <w:rsid w:val="00F440C6"/>
    <w:rsid w:val="00F518C2"/>
    <w:rsid w:val="00F60811"/>
    <w:rsid w:val="00F60F50"/>
    <w:rsid w:val="00F66842"/>
    <w:rsid w:val="00F718E8"/>
    <w:rsid w:val="00F73937"/>
    <w:rsid w:val="00F73F98"/>
    <w:rsid w:val="00F754C0"/>
    <w:rsid w:val="00F769B6"/>
    <w:rsid w:val="00F76AF4"/>
    <w:rsid w:val="00F773E8"/>
    <w:rsid w:val="00F777C4"/>
    <w:rsid w:val="00F83113"/>
    <w:rsid w:val="00F87B1C"/>
    <w:rsid w:val="00F93403"/>
    <w:rsid w:val="00F937AD"/>
    <w:rsid w:val="00F94D4B"/>
    <w:rsid w:val="00F9574E"/>
    <w:rsid w:val="00F9709B"/>
    <w:rsid w:val="00F97325"/>
    <w:rsid w:val="00FA4BCE"/>
    <w:rsid w:val="00FB6EC9"/>
    <w:rsid w:val="00FB72B9"/>
    <w:rsid w:val="00FC005D"/>
    <w:rsid w:val="00FC2642"/>
    <w:rsid w:val="00FC2B4E"/>
    <w:rsid w:val="00FC5030"/>
    <w:rsid w:val="00FC526C"/>
    <w:rsid w:val="00FC54C6"/>
    <w:rsid w:val="00FD2E99"/>
    <w:rsid w:val="00FD3AEB"/>
    <w:rsid w:val="00FE1607"/>
    <w:rsid w:val="00FE4194"/>
    <w:rsid w:val="00FE5CE8"/>
    <w:rsid w:val="00FF767B"/>
    <w:rsid w:val="01A66E72"/>
    <w:rsid w:val="02074EB9"/>
    <w:rsid w:val="03D92678"/>
    <w:rsid w:val="04521EE9"/>
    <w:rsid w:val="06042DD6"/>
    <w:rsid w:val="072518AE"/>
    <w:rsid w:val="078A1B46"/>
    <w:rsid w:val="081420FC"/>
    <w:rsid w:val="08643E06"/>
    <w:rsid w:val="08AC4379"/>
    <w:rsid w:val="090F46CE"/>
    <w:rsid w:val="09263C06"/>
    <w:rsid w:val="095879FE"/>
    <w:rsid w:val="09D26061"/>
    <w:rsid w:val="09FD1008"/>
    <w:rsid w:val="0A336D9F"/>
    <w:rsid w:val="0AD510B5"/>
    <w:rsid w:val="0AE01889"/>
    <w:rsid w:val="0B7409CC"/>
    <w:rsid w:val="0BB504C8"/>
    <w:rsid w:val="0C751ABF"/>
    <w:rsid w:val="0CAD06C0"/>
    <w:rsid w:val="0D5B3CB5"/>
    <w:rsid w:val="0DDE594D"/>
    <w:rsid w:val="0E363138"/>
    <w:rsid w:val="0EA41124"/>
    <w:rsid w:val="0F13542D"/>
    <w:rsid w:val="0FAD75F8"/>
    <w:rsid w:val="0FBD7487"/>
    <w:rsid w:val="10DD0871"/>
    <w:rsid w:val="10E64CED"/>
    <w:rsid w:val="10F15C2C"/>
    <w:rsid w:val="110275B1"/>
    <w:rsid w:val="11926284"/>
    <w:rsid w:val="12365B22"/>
    <w:rsid w:val="12EC3D75"/>
    <w:rsid w:val="12FE149E"/>
    <w:rsid w:val="134C2ED0"/>
    <w:rsid w:val="139822CF"/>
    <w:rsid w:val="14544078"/>
    <w:rsid w:val="14692933"/>
    <w:rsid w:val="14E92543"/>
    <w:rsid w:val="153F497A"/>
    <w:rsid w:val="16B629C4"/>
    <w:rsid w:val="170C6125"/>
    <w:rsid w:val="1778764E"/>
    <w:rsid w:val="17B8CC76"/>
    <w:rsid w:val="17E54886"/>
    <w:rsid w:val="184C3F62"/>
    <w:rsid w:val="18BC570B"/>
    <w:rsid w:val="1A4862EF"/>
    <w:rsid w:val="1AF00BD7"/>
    <w:rsid w:val="1AFA1C76"/>
    <w:rsid w:val="1B8724C6"/>
    <w:rsid w:val="1C682322"/>
    <w:rsid w:val="1C7C3BB7"/>
    <w:rsid w:val="1CB02F53"/>
    <w:rsid w:val="1DC15D79"/>
    <w:rsid w:val="1E8D74DD"/>
    <w:rsid w:val="1EAF02C7"/>
    <w:rsid w:val="1F594C67"/>
    <w:rsid w:val="1FFF9998"/>
    <w:rsid w:val="202C3E3B"/>
    <w:rsid w:val="204E343B"/>
    <w:rsid w:val="20B97CB7"/>
    <w:rsid w:val="2131711D"/>
    <w:rsid w:val="21832CC8"/>
    <w:rsid w:val="21D762A7"/>
    <w:rsid w:val="21DD6B77"/>
    <w:rsid w:val="22C42DED"/>
    <w:rsid w:val="22CB3722"/>
    <w:rsid w:val="23115240"/>
    <w:rsid w:val="24D8309D"/>
    <w:rsid w:val="26072A12"/>
    <w:rsid w:val="26B77DC3"/>
    <w:rsid w:val="26BC0DD5"/>
    <w:rsid w:val="27F954CB"/>
    <w:rsid w:val="28356F79"/>
    <w:rsid w:val="283C7D2D"/>
    <w:rsid w:val="28673BB4"/>
    <w:rsid w:val="28C25F2F"/>
    <w:rsid w:val="29CC4423"/>
    <w:rsid w:val="29E24200"/>
    <w:rsid w:val="2A050ED9"/>
    <w:rsid w:val="2A0FA82C"/>
    <w:rsid w:val="2AAB4F33"/>
    <w:rsid w:val="2B7D4CA4"/>
    <w:rsid w:val="2CBD0551"/>
    <w:rsid w:val="2D0F6B01"/>
    <w:rsid w:val="2DBA669A"/>
    <w:rsid w:val="2EBEE839"/>
    <w:rsid w:val="2EFE1A37"/>
    <w:rsid w:val="2F36435D"/>
    <w:rsid w:val="2F372C43"/>
    <w:rsid w:val="2F6615E8"/>
    <w:rsid w:val="302B57C2"/>
    <w:rsid w:val="30D11051"/>
    <w:rsid w:val="31966C83"/>
    <w:rsid w:val="31B90223"/>
    <w:rsid w:val="31E2060A"/>
    <w:rsid w:val="3277390D"/>
    <w:rsid w:val="32BE56BD"/>
    <w:rsid w:val="330754BE"/>
    <w:rsid w:val="33FA2B79"/>
    <w:rsid w:val="3439295D"/>
    <w:rsid w:val="34825DB1"/>
    <w:rsid w:val="35013155"/>
    <w:rsid w:val="352C35CA"/>
    <w:rsid w:val="35DA3A24"/>
    <w:rsid w:val="35DB42CC"/>
    <w:rsid w:val="36FD6188"/>
    <w:rsid w:val="36FF0792"/>
    <w:rsid w:val="37EC56C3"/>
    <w:rsid w:val="37FE9D3F"/>
    <w:rsid w:val="381A0D78"/>
    <w:rsid w:val="38BDA5D9"/>
    <w:rsid w:val="38DE3ADE"/>
    <w:rsid w:val="395B63C7"/>
    <w:rsid w:val="39FCA7BC"/>
    <w:rsid w:val="3A250DD4"/>
    <w:rsid w:val="3AD81DC1"/>
    <w:rsid w:val="3AEA0BFE"/>
    <w:rsid w:val="3B593679"/>
    <w:rsid w:val="3CB925E5"/>
    <w:rsid w:val="3CC1282B"/>
    <w:rsid w:val="3CCA215C"/>
    <w:rsid w:val="3CF01978"/>
    <w:rsid w:val="3D574FE3"/>
    <w:rsid w:val="3D7368F0"/>
    <w:rsid w:val="3D7E2ECA"/>
    <w:rsid w:val="3D9A41C5"/>
    <w:rsid w:val="3DDEA7E0"/>
    <w:rsid w:val="3DFFB147"/>
    <w:rsid w:val="3E287A22"/>
    <w:rsid w:val="3E3748A0"/>
    <w:rsid w:val="3E5F2DAB"/>
    <w:rsid w:val="3ED1767E"/>
    <w:rsid w:val="3EDC7E5A"/>
    <w:rsid w:val="3EE447E1"/>
    <w:rsid w:val="3EF7C4E2"/>
    <w:rsid w:val="3F407113"/>
    <w:rsid w:val="3F4E1A7C"/>
    <w:rsid w:val="3F6B9366"/>
    <w:rsid w:val="3F6C4F15"/>
    <w:rsid w:val="3F763150"/>
    <w:rsid w:val="3F7CF7FF"/>
    <w:rsid w:val="3FB84DD6"/>
    <w:rsid w:val="3FCFE8C6"/>
    <w:rsid w:val="3FEF0F32"/>
    <w:rsid w:val="410469B8"/>
    <w:rsid w:val="41222782"/>
    <w:rsid w:val="41480059"/>
    <w:rsid w:val="41B40AEB"/>
    <w:rsid w:val="41E039E4"/>
    <w:rsid w:val="41F83C0A"/>
    <w:rsid w:val="427363F4"/>
    <w:rsid w:val="42EF8F6B"/>
    <w:rsid w:val="449B469C"/>
    <w:rsid w:val="44C42E63"/>
    <w:rsid w:val="44C76619"/>
    <w:rsid w:val="457629EE"/>
    <w:rsid w:val="45C90F2E"/>
    <w:rsid w:val="45E87C00"/>
    <w:rsid w:val="468D2F5E"/>
    <w:rsid w:val="47815A8A"/>
    <w:rsid w:val="47C70974"/>
    <w:rsid w:val="481A5D11"/>
    <w:rsid w:val="481F1E81"/>
    <w:rsid w:val="48937604"/>
    <w:rsid w:val="489B0EA1"/>
    <w:rsid w:val="48C85BAF"/>
    <w:rsid w:val="490E5A67"/>
    <w:rsid w:val="4936DA7F"/>
    <w:rsid w:val="4A6D506F"/>
    <w:rsid w:val="4AA229CD"/>
    <w:rsid w:val="4AC8047B"/>
    <w:rsid w:val="4B2A3A4A"/>
    <w:rsid w:val="4B8BB628"/>
    <w:rsid w:val="4BDB54AE"/>
    <w:rsid w:val="4BDD78CB"/>
    <w:rsid w:val="4C1A464A"/>
    <w:rsid w:val="4D2327DC"/>
    <w:rsid w:val="4D4054EA"/>
    <w:rsid w:val="4D445C8A"/>
    <w:rsid w:val="4D7D406E"/>
    <w:rsid w:val="4DC1627D"/>
    <w:rsid w:val="4DD97D0D"/>
    <w:rsid w:val="4DFBA5BF"/>
    <w:rsid w:val="4E5D6DC6"/>
    <w:rsid w:val="4E963179"/>
    <w:rsid w:val="4EA22755"/>
    <w:rsid w:val="4EA4030B"/>
    <w:rsid w:val="4F4721EF"/>
    <w:rsid w:val="4FDFE171"/>
    <w:rsid w:val="4FFAD400"/>
    <w:rsid w:val="4FFF1650"/>
    <w:rsid w:val="502A1562"/>
    <w:rsid w:val="508C477E"/>
    <w:rsid w:val="51516E38"/>
    <w:rsid w:val="51647E65"/>
    <w:rsid w:val="516669D6"/>
    <w:rsid w:val="51925F49"/>
    <w:rsid w:val="51BC3AB7"/>
    <w:rsid w:val="51E77260"/>
    <w:rsid w:val="51EE3EB4"/>
    <w:rsid w:val="520127BC"/>
    <w:rsid w:val="530879CB"/>
    <w:rsid w:val="53356638"/>
    <w:rsid w:val="53805783"/>
    <w:rsid w:val="54210B62"/>
    <w:rsid w:val="5452D985"/>
    <w:rsid w:val="54857172"/>
    <w:rsid w:val="549E6B13"/>
    <w:rsid w:val="54F82CB9"/>
    <w:rsid w:val="55217032"/>
    <w:rsid w:val="5570315B"/>
    <w:rsid w:val="5574304A"/>
    <w:rsid w:val="557C6707"/>
    <w:rsid w:val="559A72A7"/>
    <w:rsid w:val="56516518"/>
    <w:rsid w:val="56634995"/>
    <w:rsid w:val="568F0C76"/>
    <w:rsid w:val="568F7D21"/>
    <w:rsid w:val="56A70864"/>
    <w:rsid w:val="56E96AF0"/>
    <w:rsid w:val="56FA1D3D"/>
    <w:rsid w:val="57EFFF1B"/>
    <w:rsid w:val="57F7FDA0"/>
    <w:rsid w:val="57FF7B79"/>
    <w:rsid w:val="5869662B"/>
    <w:rsid w:val="58B53004"/>
    <w:rsid w:val="599B6EA0"/>
    <w:rsid w:val="59BB4A12"/>
    <w:rsid w:val="59EB2F78"/>
    <w:rsid w:val="5AFF7023"/>
    <w:rsid w:val="5B0F486E"/>
    <w:rsid w:val="5B874E3C"/>
    <w:rsid w:val="5C9EE062"/>
    <w:rsid w:val="5CDEA6ED"/>
    <w:rsid w:val="5CF9435E"/>
    <w:rsid w:val="5DD9CEED"/>
    <w:rsid w:val="5E223CE1"/>
    <w:rsid w:val="5E9508BA"/>
    <w:rsid w:val="5EBF2951"/>
    <w:rsid w:val="5EFFFC02"/>
    <w:rsid w:val="5F0631A5"/>
    <w:rsid w:val="5F6E1F66"/>
    <w:rsid w:val="5F7E529D"/>
    <w:rsid w:val="5FD736E3"/>
    <w:rsid w:val="5FEF7A6D"/>
    <w:rsid w:val="5FFD8420"/>
    <w:rsid w:val="5FFF22E6"/>
    <w:rsid w:val="5FFFFCCA"/>
    <w:rsid w:val="60156FFE"/>
    <w:rsid w:val="61C12C3E"/>
    <w:rsid w:val="6201659F"/>
    <w:rsid w:val="62367FC1"/>
    <w:rsid w:val="635307EE"/>
    <w:rsid w:val="639C1659"/>
    <w:rsid w:val="64A85B4F"/>
    <w:rsid w:val="64B452BD"/>
    <w:rsid w:val="64CE7B09"/>
    <w:rsid w:val="65932B2D"/>
    <w:rsid w:val="65EBBBBD"/>
    <w:rsid w:val="6648195E"/>
    <w:rsid w:val="66811B78"/>
    <w:rsid w:val="669F0859"/>
    <w:rsid w:val="66E57D03"/>
    <w:rsid w:val="66FB78AF"/>
    <w:rsid w:val="6707EE80"/>
    <w:rsid w:val="6737608F"/>
    <w:rsid w:val="677271C2"/>
    <w:rsid w:val="67826BE4"/>
    <w:rsid w:val="67A03242"/>
    <w:rsid w:val="67E614E9"/>
    <w:rsid w:val="68262492"/>
    <w:rsid w:val="682C18AD"/>
    <w:rsid w:val="685D2399"/>
    <w:rsid w:val="68BF1E69"/>
    <w:rsid w:val="699E7F31"/>
    <w:rsid w:val="69F074D8"/>
    <w:rsid w:val="6AF8115F"/>
    <w:rsid w:val="6B52701D"/>
    <w:rsid w:val="6B611940"/>
    <w:rsid w:val="6BC73F71"/>
    <w:rsid w:val="6BCFC6DD"/>
    <w:rsid w:val="6C0F0AF0"/>
    <w:rsid w:val="6C295737"/>
    <w:rsid w:val="6D327362"/>
    <w:rsid w:val="6D551BC9"/>
    <w:rsid w:val="6E6F3E34"/>
    <w:rsid w:val="6E846FB1"/>
    <w:rsid w:val="6EAD3E3B"/>
    <w:rsid w:val="6EEB399A"/>
    <w:rsid w:val="6F3074D3"/>
    <w:rsid w:val="6F4064D3"/>
    <w:rsid w:val="6F662D58"/>
    <w:rsid w:val="6F7D48BD"/>
    <w:rsid w:val="6F7FFF12"/>
    <w:rsid w:val="6FE61CAE"/>
    <w:rsid w:val="6FE6AAEC"/>
    <w:rsid w:val="6FFCE843"/>
    <w:rsid w:val="6FFE8EF4"/>
    <w:rsid w:val="70530C89"/>
    <w:rsid w:val="711D3F79"/>
    <w:rsid w:val="71B0491B"/>
    <w:rsid w:val="71C04A96"/>
    <w:rsid w:val="71C96927"/>
    <w:rsid w:val="71CF5C3A"/>
    <w:rsid w:val="72587925"/>
    <w:rsid w:val="72D52FCE"/>
    <w:rsid w:val="72F16B2A"/>
    <w:rsid w:val="72F40829"/>
    <w:rsid w:val="72F4427C"/>
    <w:rsid w:val="733A2795"/>
    <w:rsid w:val="736103AB"/>
    <w:rsid w:val="73B97473"/>
    <w:rsid w:val="73BD1C19"/>
    <w:rsid w:val="73CA1159"/>
    <w:rsid w:val="73D86FDF"/>
    <w:rsid w:val="73FF8C08"/>
    <w:rsid w:val="74846D80"/>
    <w:rsid w:val="74EB0BD3"/>
    <w:rsid w:val="750D29BE"/>
    <w:rsid w:val="751141D2"/>
    <w:rsid w:val="75B64C25"/>
    <w:rsid w:val="75BFD237"/>
    <w:rsid w:val="75FB3E35"/>
    <w:rsid w:val="764A477B"/>
    <w:rsid w:val="766741C0"/>
    <w:rsid w:val="76ABF64D"/>
    <w:rsid w:val="76CD0540"/>
    <w:rsid w:val="76F53A86"/>
    <w:rsid w:val="76F9F914"/>
    <w:rsid w:val="76FBF304"/>
    <w:rsid w:val="777399E7"/>
    <w:rsid w:val="77BD2BE3"/>
    <w:rsid w:val="77D98E6E"/>
    <w:rsid w:val="77FC5234"/>
    <w:rsid w:val="78202E5D"/>
    <w:rsid w:val="78C6596F"/>
    <w:rsid w:val="78F85005"/>
    <w:rsid w:val="792211E9"/>
    <w:rsid w:val="792D3E4A"/>
    <w:rsid w:val="797331B5"/>
    <w:rsid w:val="797F8216"/>
    <w:rsid w:val="79CEA31A"/>
    <w:rsid w:val="79E85CC1"/>
    <w:rsid w:val="79ED2287"/>
    <w:rsid w:val="79F53DA0"/>
    <w:rsid w:val="79F57188"/>
    <w:rsid w:val="7A1E1D56"/>
    <w:rsid w:val="7A3C7464"/>
    <w:rsid w:val="7A83284A"/>
    <w:rsid w:val="7AEC7106"/>
    <w:rsid w:val="7B0EE21A"/>
    <w:rsid w:val="7B5E622F"/>
    <w:rsid w:val="7B6B9D84"/>
    <w:rsid w:val="7B7F216A"/>
    <w:rsid w:val="7B9E3DFA"/>
    <w:rsid w:val="7BBDA820"/>
    <w:rsid w:val="7BBFAC8F"/>
    <w:rsid w:val="7BDE3701"/>
    <w:rsid w:val="7BF8F9CF"/>
    <w:rsid w:val="7BFBB2EC"/>
    <w:rsid w:val="7BFD1020"/>
    <w:rsid w:val="7BFF186D"/>
    <w:rsid w:val="7C23402E"/>
    <w:rsid w:val="7C2A3F1C"/>
    <w:rsid w:val="7D4F2849"/>
    <w:rsid w:val="7D754A12"/>
    <w:rsid w:val="7DBF773F"/>
    <w:rsid w:val="7DDBDA10"/>
    <w:rsid w:val="7DFFC2C2"/>
    <w:rsid w:val="7E4E00D8"/>
    <w:rsid w:val="7E8ADFAB"/>
    <w:rsid w:val="7E974DF2"/>
    <w:rsid w:val="7EAD7100"/>
    <w:rsid w:val="7EAF0768"/>
    <w:rsid w:val="7ECFFEB4"/>
    <w:rsid w:val="7EE154E9"/>
    <w:rsid w:val="7EEF2B44"/>
    <w:rsid w:val="7EF7FB8E"/>
    <w:rsid w:val="7EFFCAD4"/>
    <w:rsid w:val="7F4D1DA3"/>
    <w:rsid w:val="7F579DEB"/>
    <w:rsid w:val="7F67C39A"/>
    <w:rsid w:val="7F782019"/>
    <w:rsid w:val="7F7B3C04"/>
    <w:rsid w:val="7F7E71C8"/>
    <w:rsid w:val="7F8FA31C"/>
    <w:rsid w:val="7F9B691B"/>
    <w:rsid w:val="7FB2CAB6"/>
    <w:rsid w:val="7FCA53B6"/>
    <w:rsid w:val="7FD347E6"/>
    <w:rsid w:val="7FDB0D51"/>
    <w:rsid w:val="7FDF8380"/>
    <w:rsid w:val="7FE2A50B"/>
    <w:rsid w:val="7FEF4FAD"/>
    <w:rsid w:val="7FF458C3"/>
    <w:rsid w:val="7FF98D6B"/>
    <w:rsid w:val="7FFB8B30"/>
    <w:rsid w:val="7FFBCE30"/>
    <w:rsid w:val="7FFBEFC1"/>
    <w:rsid w:val="7FFE0E08"/>
    <w:rsid w:val="979E7DC1"/>
    <w:rsid w:val="99E242B9"/>
    <w:rsid w:val="9CDD9F3E"/>
    <w:rsid w:val="9EFF3A2C"/>
    <w:rsid w:val="9FBBF04C"/>
    <w:rsid w:val="9FD69E02"/>
    <w:rsid w:val="A0F73ECD"/>
    <w:rsid w:val="A7143821"/>
    <w:rsid w:val="A7CF59AD"/>
    <w:rsid w:val="AF7BF9BE"/>
    <w:rsid w:val="AFE72ECB"/>
    <w:rsid w:val="B26FFD32"/>
    <w:rsid w:val="B76FB792"/>
    <w:rsid w:val="B7BABB70"/>
    <w:rsid w:val="B7EE0418"/>
    <w:rsid w:val="BD7992CA"/>
    <w:rsid w:val="BDBD5379"/>
    <w:rsid w:val="BDBF76AC"/>
    <w:rsid w:val="BDE7C392"/>
    <w:rsid w:val="BE67A77F"/>
    <w:rsid w:val="BEFF415B"/>
    <w:rsid w:val="BF7D5490"/>
    <w:rsid w:val="BF89B263"/>
    <w:rsid w:val="BFCEE0A2"/>
    <w:rsid w:val="BFEFE023"/>
    <w:rsid w:val="BFFD7C40"/>
    <w:rsid w:val="CA779809"/>
    <w:rsid w:val="CBDE5084"/>
    <w:rsid w:val="CDF789EC"/>
    <w:rsid w:val="CF5F48A4"/>
    <w:rsid w:val="CFDFDB67"/>
    <w:rsid w:val="D7ADAF15"/>
    <w:rsid w:val="D7E75B4D"/>
    <w:rsid w:val="DAFEA7E0"/>
    <w:rsid w:val="DCF714F0"/>
    <w:rsid w:val="DDFD6773"/>
    <w:rsid w:val="DDFE8FAB"/>
    <w:rsid w:val="DDFF8F51"/>
    <w:rsid w:val="DEFB8A44"/>
    <w:rsid w:val="DEFD9D6D"/>
    <w:rsid w:val="DF7D9DC8"/>
    <w:rsid w:val="DFD9C7E8"/>
    <w:rsid w:val="DFF7B9A0"/>
    <w:rsid w:val="DFFBBF44"/>
    <w:rsid w:val="DFFF8C98"/>
    <w:rsid w:val="DFFFB68A"/>
    <w:rsid w:val="E2F6FCA0"/>
    <w:rsid w:val="E4DFEA20"/>
    <w:rsid w:val="E6CF1110"/>
    <w:rsid w:val="EA3F0DBF"/>
    <w:rsid w:val="EAEB7D8B"/>
    <w:rsid w:val="EBFF89C7"/>
    <w:rsid w:val="EDDF5B86"/>
    <w:rsid w:val="EDDF5FAF"/>
    <w:rsid w:val="EDE70746"/>
    <w:rsid w:val="EEBB7B0A"/>
    <w:rsid w:val="EEE7004D"/>
    <w:rsid w:val="EF7B171F"/>
    <w:rsid w:val="EF7CC22F"/>
    <w:rsid w:val="EF7FD0C6"/>
    <w:rsid w:val="EF8EEC16"/>
    <w:rsid w:val="EFD5FD73"/>
    <w:rsid w:val="EFFB11BD"/>
    <w:rsid w:val="F17AE5F2"/>
    <w:rsid w:val="F1F7372D"/>
    <w:rsid w:val="F277EFC2"/>
    <w:rsid w:val="F39A8837"/>
    <w:rsid w:val="F3CF0DBD"/>
    <w:rsid w:val="F4CD796B"/>
    <w:rsid w:val="F5FF8907"/>
    <w:rsid w:val="F623E504"/>
    <w:rsid w:val="F6FD2F59"/>
    <w:rsid w:val="F6FE3FF2"/>
    <w:rsid w:val="F77FFDB2"/>
    <w:rsid w:val="F7AF6116"/>
    <w:rsid w:val="F7CBF4AC"/>
    <w:rsid w:val="F7ED4305"/>
    <w:rsid w:val="F7EFE5C8"/>
    <w:rsid w:val="F7F1A27C"/>
    <w:rsid w:val="F7FF1343"/>
    <w:rsid w:val="F7FF191D"/>
    <w:rsid w:val="F97FB8CC"/>
    <w:rsid w:val="F9F2CFE7"/>
    <w:rsid w:val="F9FDAC44"/>
    <w:rsid w:val="FA6F27D5"/>
    <w:rsid w:val="FB6A0D9A"/>
    <w:rsid w:val="FB74B094"/>
    <w:rsid w:val="FC353015"/>
    <w:rsid w:val="FCD68920"/>
    <w:rsid w:val="FD9750E8"/>
    <w:rsid w:val="FDBEC52E"/>
    <w:rsid w:val="FDF9DAF7"/>
    <w:rsid w:val="FDFDF6DB"/>
    <w:rsid w:val="FDFE619D"/>
    <w:rsid w:val="FDFEE48C"/>
    <w:rsid w:val="FE752D2F"/>
    <w:rsid w:val="FE7BB330"/>
    <w:rsid w:val="FE9F6901"/>
    <w:rsid w:val="FEBF2130"/>
    <w:rsid w:val="FEBF91FE"/>
    <w:rsid w:val="FEEF44AB"/>
    <w:rsid w:val="FEF5F093"/>
    <w:rsid w:val="FEFA347F"/>
    <w:rsid w:val="FEFE0393"/>
    <w:rsid w:val="FEFEAD25"/>
    <w:rsid w:val="FEFFD803"/>
    <w:rsid w:val="FF855730"/>
    <w:rsid w:val="FFEDC93B"/>
    <w:rsid w:val="FFEF84C6"/>
    <w:rsid w:val="FFF70DBE"/>
    <w:rsid w:val="FFF75ABC"/>
    <w:rsid w:val="FFF7B493"/>
    <w:rsid w:val="FFFE1B74"/>
    <w:rsid w:val="FFFEC700"/>
    <w:rsid w:val="FFFF7482"/>
    <w:rsid w:val="FFFFA327"/>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qFormat="1"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600" w:firstLineChars="200"/>
    </w:pPr>
    <w:rPr>
      <w:rFonts w:ascii="Times New Roman" w:hAnsi="Times New Roman" w:eastAsia="仿宋_GB2312" w:cs="Times New Roman"/>
      <w:sz w:val="32"/>
      <w:szCs w:val="24"/>
      <w:lang w:val="en-US" w:eastAsia="en-US" w:bidi="ar-SA"/>
    </w:rPr>
  </w:style>
  <w:style w:type="paragraph" w:styleId="3">
    <w:name w:val="heading 1"/>
    <w:basedOn w:val="1"/>
    <w:next w:val="1"/>
    <w:link w:val="43"/>
    <w:qFormat/>
    <w:uiPriority w:val="0"/>
    <w:pPr>
      <w:keepNext/>
      <w:keepLines/>
      <w:ind w:firstLine="640"/>
      <w:outlineLvl w:val="0"/>
    </w:pPr>
    <w:rPr>
      <w:rFonts w:eastAsia="黑体"/>
      <w:b/>
      <w:bCs/>
      <w:kern w:val="44"/>
      <w:szCs w:val="44"/>
    </w:rPr>
  </w:style>
  <w:style w:type="paragraph" w:styleId="2">
    <w:name w:val="heading 2"/>
    <w:basedOn w:val="1"/>
    <w:next w:val="1"/>
    <w:link w:val="32"/>
    <w:qFormat/>
    <w:uiPriority w:val="0"/>
    <w:pPr>
      <w:keepNext/>
      <w:keepLines/>
      <w:ind w:firstLine="640"/>
      <w:outlineLvl w:val="1"/>
    </w:pPr>
    <w:rPr>
      <w:rFonts w:eastAsia="楷体_GB2312" w:cs="Times New Roman (标题 CS)"/>
      <w:b/>
      <w:bCs/>
      <w:szCs w:val="32"/>
    </w:rPr>
  </w:style>
  <w:style w:type="paragraph" w:styleId="4">
    <w:name w:val="heading 3"/>
    <w:basedOn w:val="1"/>
    <w:next w:val="1"/>
    <w:qFormat/>
    <w:uiPriority w:val="0"/>
    <w:pPr>
      <w:keepNext/>
      <w:keepLines/>
      <w:ind w:firstLine="480"/>
      <w:outlineLvl w:val="2"/>
    </w:pPr>
    <w:rPr>
      <w:b/>
    </w:rPr>
  </w:style>
  <w:style w:type="paragraph" w:styleId="5">
    <w:name w:val="heading 4"/>
    <w:basedOn w:val="1"/>
    <w:next w:val="1"/>
    <w:link w:val="39"/>
    <w:qFormat/>
    <w:uiPriority w:val="0"/>
    <w:pPr>
      <w:keepNext/>
      <w:keepLines/>
      <w:spacing w:before="280" w:after="290" w:line="376" w:lineRule="auto"/>
      <w:outlineLvl w:val="3"/>
    </w:pPr>
    <w:rPr>
      <w:rFonts w:ascii="Cambria" w:hAnsi="Cambria" w:eastAsia="宋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0"/>
    <w:pPr>
      <w:ind w:left="1800"/>
    </w:pPr>
    <w:rPr>
      <w:rFonts w:ascii="Calibri" w:hAnsi="Calibri" w:cs="Calibri"/>
      <w:sz w:val="18"/>
      <w:szCs w:val="18"/>
    </w:rPr>
  </w:style>
  <w:style w:type="paragraph" w:styleId="7">
    <w:name w:val="Document Map"/>
    <w:basedOn w:val="1"/>
    <w:link w:val="42"/>
    <w:qFormat/>
    <w:uiPriority w:val="0"/>
    <w:rPr>
      <w:rFonts w:ascii="宋体" w:eastAsia="宋体"/>
      <w:sz w:val="18"/>
      <w:szCs w:val="18"/>
    </w:rPr>
  </w:style>
  <w:style w:type="paragraph" w:styleId="8">
    <w:name w:val="annotation text"/>
    <w:basedOn w:val="1"/>
    <w:link w:val="37"/>
    <w:qFormat/>
    <w:uiPriority w:val="0"/>
  </w:style>
  <w:style w:type="paragraph" w:styleId="9">
    <w:name w:val="Body Text Indent"/>
    <w:basedOn w:val="1"/>
    <w:link w:val="51"/>
    <w:unhideWhenUsed/>
    <w:qFormat/>
    <w:uiPriority w:val="0"/>
    <w:pPr>
      <w:spacing w:after="120"/>
      <w:ind w:left="420" w:leftChars="200"/>
    </w:pPr>
  </w:style>
  <w:style w:type="paragraph" w:styleId="10">
    <w:name w:val="toc 5"/>
    <w:basedOn w:val="1"/>
    <w:next w:val="1"/>
    <w:unhideWhenUsed/>
    <w:qFormat/>
    <w:uiPriority w:val="0"/>
    <w:pPr>
      <w:ind w:left="1200"/>
    </w:pPr>
    <w:rPr>
      <w:rFonts w:ascii="Calibri" w:hAnsi="Calibri" w:cs="Calibri"/>
      <w:sz w:val="18"/>
      <w:szCs w:val="18"/>
    </w:rPr>
  </w:style>
  <w:style w:type="paragraph" w:styleId="11">
    <w:name w:val="toc 3"/>
    <w:basedOn w:val="1"/>
    <w:next w:val="1"/>
    <w:unhideWhenUsed/>
    <w:qFormat/>
    <w:uiPriority w:val="39"/>
    <w:pPr>
      <w:ind w:left="600"/>
    </w:pPr>
    <w:rPr>
      <w:rFonts w:ascii="Calibri" w:hAnsi="Calibri" w:cs="Calibri"/>
      <w:i/>
      <w:iCs/>
      <w:sz w:val="20"/>
      <w:szCs w:val="20"/>
    </w:rPr>
  </w:style>
  <w:style w:type="paragraph" w:styleId="12">
    <w:name w:val="toc 8"/>
    <w:basedOn w:val="1"/>
    <w:next w:val="1"/>
    <w:unhideWhenUsed/>
    <w:qFormat/>
    <w:uiPriority w:val="0"/>
    <w:pPr>
      <w:ind w:left="2100"/>
    </w:pPr>
    <w:rPr>
      <w:rFonts w:ascii="Calibri" w:hAnsi="Calibri" w:cs="Calibri"/>
      <w:sz w:val="18"/>
      <w:szCs w:val="18"/>
    </w:rPr>
  </w:style>
  <w:style w:type="paragraph" w:styleId="13">
    <w:name w:val="Balloon Text"/>
    <w:basedOn w:val="1"/>
    <w:link w:val="34"/>
    <w:qFormat/>
    <w:uiPriority w:val="0"/>
    <w:rPr>
      <w:sz w:val="18"/>
      <w:szCs w:val="18"/>
    </w:rPr>
  </w:style>
  <w:style w:type="paragraph" w:styleId="14">
    <w:name w:val="footer"/>
    <w:basedOn w:val="1"/>
    <w:link w:val="40"/>
    <w:qFormat/>
    <w:uiPriority w:val="99"/>
    <w:pPr>
      <w:tabs>
        <w:tab w:val="center" w:pos="4153"/>
        <w:tab w:val="right" w:pos="8306"/>
      </w:tabs>
      <w:snapToGrid w:val="0"/>
    </w:pPr>
    <w:rPr>
      <w:sz w:val="18"/>
      <w:szCs w:val="18"/>
    </w:rPr>
  </w:style>
  <w:style w:type="paragraph" w:styleId="15">
    <w:name w:val="envelope return"/>
    <w:basedOn w:val="1"/>
    <w:unhideWhenUsed/>
    <w:qFormat/>
    <w:uiPriority w:val="0"/>
    <w:pPr>
      <w:snapToGrid w:val="0"/>
    </w:pPr>
    <w:rPr>
      <w:rFonts w:ascii="Arial" w:hAnsi="Arial" w:eastAsia="宋体"/>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ind w:left="200" w:leftChars="200" w:right="200" w:rightChars="200" w:firstLine="0" w:firstLineChars="0"/>
    </w:pPr>
    <w:rPr>
      <w:rFonts w:ascii="Calibri" w:hAnsi="Calibri" w:cs="Calibri"/>
      <w:b/>
      <w:bCs/>
      <w:caps/>
      <w:sz w:val="20"/>
      <w:szCs w:val="20"/>
    </w:rPr>
  </w:style>
  <w:style w:type="paragraph" w:styleId="18">
    <w:name w:val="toc 4"/>
    <w:basedOn w:val="1"/>
    <w:next w:val="1"/>
    <w:unhideWhenUsed/>
    <w:qFormat/>
    <w:uiPriority w:val="0"/>
    <w:pPr>
      <w:ind w:left="900"/>
    </w:pPr>
    <w:rPr>
      <w:rFonts w:ascii="Calibri" w:hAnsi="Calibri" w:cs="Calibri"/>
      <w:sz w:val="18"/>
      <w:szCs w:val="18"/>
    </w:rPr>
  </w:style>
  <w:style w:type="paragraph" w:styleId="19">
    <w:name w:val="footnote text"/>
    <w:basedOn w:val="1"/>
    <w:link w:val="41"/>
    <w:unhideWhenUsed/>
    <w:qFormat/>
    <w:uiPriority w:val="0"/>
    <w:pPr>
      <w:snapToGrid w:val="0"/>
    </w:pPr>
    <w:rPr>
      <w:sz w:val="18"/>
      <w:szCs w:val="18"/>
    </w:rPr>
  </w:style>
  <w:style w:type="paragraph" w:styleId="20">
    <w:name w:val="toc 6"/>
    <w:basedOn w:val="1"/>
    <w:next w:val="1"/>
    <w:unhideWhenUsed/>
    <w:qFormat/>
    <w:uiPriority w:val="0"/>
    <w:pPr>
      <w:ind w:left="1500"/>
    </w:pPr>
    <w:rPr>
      <w:rFonts w:ascii="Calibri" w:hAnsi="Calibri" w:cs="Calibri"/>
      <w:sz w:val="18"/>
      <w:szCs w:val="18"/>
    </w:rPr>
  </w:style>
  <w:style w:type="paragraph" w:styleId="21">
    <w:name w:val="toc 2"/>
    <w:basedOn w:val="1"/>
    <w:next w:val="1"/>
    <w:unhideWhenUsed/>
    <w:qFormat/>
    <w:uiPriority w:val="39"/>
    <w:pPr>
      <w:spacing w:line="240" w:lineRule="auto"/>
      <w:ind w:left="250" w:right="250" w:firstLine="100" w:firstLineChars="100"/>
    </w:pPr>
    <w:rPr>
      <w:rFonts w:ascii="Calibri" w:hAnsi="Calibri" w:cs="Calibri"/>
      <w:smallCaps/>
      <w:sz w:val="20"/>
      <w:szCs w:val="20"/>
    </w:rPr>
  </w:style>
  <w:style w:type="paragraph" w:styleId="22">
    <w:name w:val="toc 9"/>
    <w:basedOn w:val="1"/>
    <w:next w:val="1"/>
    <w:unhideWhenUsed/>
    <w:qFormat/>
    <w:uiPriority w:val="0"/>
    <w:pPr>
      <w:ind w:left="2400"/>
    </w:pPr>
    <w:rPr>
      <w:rFonts w:ascii="Calibri" w:hAnsi="Calibri" w:cs="Calibri"/>
      <w:sz w:val="18"/>
      <w:szCs w:val="18"/>
    </w:rPr>
  </w:style>
  <w:style w:type="paragraph" w:styleId="23">
    <w:name w:val="Normal (Web)"/>
    <w:basedOn w:val="1"/>
    <w:unhideWhenUsed/>
    <w:qFormat/>
    <w:uiPriority w:val="0"/>
    <w:rPr>
      <w:sz w:val="24"/>
    </w:rPr>
  </w:style>
  <w:style w:type="paragraph" w:styleId="24">
    <w:name w:val="annotation subject"/>
    <w:basedOn w:val="8"/>
    <w:next w:val="8"/>
    <w:link w:val="38"/>
    <w:qFormat/>
    <w:uiPriority w:val="0"/>
    <w:rPr>
      <w:b/>
      <w:bCs/>
    </w:rPr>
  </w:style>
  <w:style w:type="paragraph" w:styleId="25">
    <w:name w:val="Body Text First Indent 2"/>
    <w:basedOn w:val="9"/>
    <w:next w:val="14"/>
    <w:link w:val="52"/>
    <w:qFormat/>
    <w:uiPriority w:val="0"/>
    <w:pPr>
      <w:widowControl w:val="0"/>
      <w:spacing w:line="560" w:lineRule="atLeast"/>
      <w:ind w:firstLine="200"/>
      <w:jc w:val="both"/>
    </w:pPr>
    <w:rPr>
      <w:rFonts w:eastAsia="仿宋" w:cs="Arial"/>
      <w:kern w:val="2"/>
      <w:sz w:val="30"/>
      <w:szCs w:val="22"/>
      <w:lang w:eastAsia="zh-C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character" w:styleId="31">
    <w:name w:val="footnote reference"/>
    <w:unhideWhenUsed/>
    <w:qFormat/>
    <w:uiPriority w:val="0"/>
    <w:rPr>
      <w:vertAlign w:val="superscript"/>
    </w:rPr>
  </w:style>
  <w:style w:type="character" w:customStyle="1" w:styleId="32">
    <w:name w:val="标题 2 字符"/>
    <w:link w:val="2"/>
    <w:qFormat/>
    <w:uiPriority w:val="0"/>
    <w:rPr>
      <w:rFonts w:ascii="Times New Roman" w:hAnsi="Times New Roman" w:eastAsia="楷体_GB2312" w:cs="Times New Roman (标题 CS)"/>
      <w:b/>
      <w:bCs/>
      <w:sz w:val="30"/>
      <w:szCs w:val="32"/>
      <w:lang w:eastAsia="en-US"/>
    </w:rPr>
  </w:style>
  <w:style w:type="character" w:customStyle="1" w:styleId="33">
    <w:name w:val="页眉 字符"/>
    <w:link w:val="16"/>
    <w:qFormat/>
    <w:uiPriority w:val="0"/>
    <w:rPr>
      <w:sz w:val="18"/>
      <w:szCs w:val="18"/>
    </w:rPr>
  </w:style>
  <w:style w:type="character" w:customStyle="1" w:styleId="34">
    <w:name w:val="批注框文本 字符"/>
    <w:link w:val="13"/>
    <w:qFormat/>
    <w:uiPriority w:val="0"/>
    <w:rPr>
      <w:sz w:val="18"/>
      <w:szCs w:val="18"/>
    </w:rPr>
  </w:style>
  <w:style w:type="character" w:customStyle="1" w:styleId="35">
    <w:name w:val="apple-converted-space"/>
    <w:basedOn w:val="28"/>
    <w:qFormat/>
    <w:uiPriority w:val="0"/>
  </w:style>
  <w:style w:type="character" w:customStyle="1" w:styleId="36">
    <w:name w:val="未处理的提及1"/>
    <w:unhideWhenUsed/>
    <w:qFormat/>
    <w:uiPriority w:val="99"/>
    <w:rPr>
      <w:color w:val="605E5C"/>
      <w:shd w:val="clear" w:color="auto" w:fill="E1DFDD"/>
    </w:rPr>
  </w:style>
  <w:style w:type="character" w:customStyle="1" w:styleId="37">
    <w:name w:val="批注文字 字符"/>
    <w:link w:val="8"/>
    <w:qFormat/>
    <w:uiPriority w:val="0"/>
    <w:rPr>
      <w:sz w:val="24"/>
      <w:szCs w:val="24"/>
    </w:rPr>
  </w:style>
  <w:style w:type="character" w:customStyle="1" w:styleId="38">
    <w:name w:val="批注主题 字符"/>
    <w:link w:val="24"/>
    <w:qFormat/>
    <w:uiPriority w:val="0"/>
    <w:rPr>
      <w:b/>
      <w:bCs/>
      <w:sz w:val="24"/>
      <w:szCs w:val="24"/>
    </w:rPr>
  </w:style>
  <w:style w:type="character" w:customStyle="1" w:styleId="39">
    <w:name w:val="标题 4 字符"/>
    <w:link w:val="5"/>
    <w:semiHidden/>
    <w:qFormat/>
    <w:uiPriority w:val="0"/>
    <w:rPr>
      <w:rFonts w:ascii="Cambria" w:hAnsi="Cambria" w:eastAsia="宋体" w:cs="Times New Roman"/>
      <w:b/>
      <w:bCs/>
      <w:sz w:val="28"/>
      <w:szCs w:val="28"/>
      <w:lang w:eastAsia="en-US"/>
    </w:rPr>
  </w:style>
  <w:style w:type="character" w:customStyle="1" w:styleId="40">
    <w:name w:val="页脚 字符"/>
    <w:link w:val="14"/>
    <w:qFormat/>
    <w:uiPriority w:val="99"/>
    <w:rPr>
      <w:sz w:val="18"/>
      <w:szCs w:val="18"/>
    </w:rPr>
  </w:style>
  <w:style w:type="character" w:customStyle="1" w:styleId="41">
    <w:name w:val="脚注文本 字符"/>
    <w:link w:val="19"/>
    <w:semiHidden/>
    <w:qFormat/>
    <w:uiPriority w:val="0"/>
    <w:rPr>
      <w:rFonts w:eastAsia="仿宋_GB2312"/>
      <w:sz w:val="18"/>
      <w:szCs w:val="18"/>
      <w:lang w:eastAsia="en-US"/>
    </w:rPr>
  </w:style>
  <w:style w:type="character" w:customStyle="1" w:styleId="42">
    <w:name w:val="文档结构图 字符"/>
    <w:link w:val="7"/>
    <w:qFormat/>
    <w:uiPriority w:val="0"/>
    <w:rPr>
      <w:rFonts w:ascii="宋体" w:eastAsia="宋体"/>
      <w:sz w:val="18"/>
      <w:szCs w:val="18"/>
    </w:rPr>
  </w:style>
  <w:style w:type="character" w:customStyle="1" w:styleId="43">
    <w:name w:val="标题 1 字符"/>
    <w:link w:val="3"/>
    <w:qFormat/>
    <w:uiPriority w:val="0"/>
    <w:rPr>
      <w:rFonts w:ascii="Times New Roman" w:hAnsi="Times New Roman" w:eastAsia="黑体"/>
      <w:b/>
      <w:bCs/>
      <w:kern w:val="44"/>
      <w:sz w:val="30"/>
      <w:szCs w:val="44"/>
      <w:lang w:eastAsia="en-US"/>
    </w:rPr>
  </w:style>
  <w:style w:type="paragraph" w:customStyle="1" w:styleId="44">
    <w:name w:val="TOC 标题2"/>
    <w:basedOn w:val="3"/>
    <w:next w:val="1"/>
    <w:unhideWhenUsed/>
    <w:qFormat/>
    <w:uiPriority w:val="39"/>
    <w:pPr>
      <w:spacing w:before="480" w:line="276" w:lineRule="auto"/>
      <w:outlineLvl w:val="9"/>
    </w:pPr>
    <w:rPr>
      <w:rFonts w:ascii="Cambria" w:hAnsi="Cambria" w:eastAsia="宋体"/>
      <w:color w:val="366091"/>
      <w:kern w:val="0"/>
      <w:sz w:val="28"/>
      <w:szCs w:val="28"/>
      <w:lang w:eastAsia="zh-CN"/>
    </w:rPr>
  </w:style>
  <w:style w:type="paragraph" w:customStyle="1" w:styleId="45">
    <w:name w:val="table"/>
    <w:basedOn w:val="1"/>
    <w:next w:val="1"/>
    <w:qFormat/>
    <w:uiPriority w:val="0"/>
    <w:pPr>
      <w:spacing w:line="240" w:lineRule="auto"/>
      <w:ind w:firstLine="0" w:firstLineChars="0"/>
      <w:jc w:val="center"/>
    </w:pPr>
    <w:rPr>
      <w:sz w:val="28"/>
    </w:rPr>
  </w:style>
  <w:style w:type="paragraph" w:customStyle="1" w:styleId="46">
    <w:name w:val="正文文本首行缩进 21"/>
    <w:next w:val="14"/>
    <w:qFormat/>
    <w:uiPriority w:val="0"/>
    <w:pPr>
      <w:widowControl w:val="0"/>
      <w:spacing w:line="560" w:lineRule="atLeast"/>
      <w:ind w:firstLine="200" w:firstLineChars="200"/>
      <w:jc w:val="both"/>
    </w:pPr>
    <w:rPr>
      <w:rFonts w:ascii="Times New Roman" w:hAnsi="Times New Roman" w:eastAsia="仿宋" w:cs="Arial"/>
      <w:kern w:val="2"/>
      <w:sz w:val="30"/>
      <w:szCs w:val="22"/>
      <w:lang w:val="en-US" w:eastAsia="zh-CN" w:bidi="ar-SA"/>
    </w:rPr>
  </w:style>
  <w:style w:type="paragraph" w:customStyle="1" w:styleId="47">
    <w:name w:val="TOC 标题1"/>
    <w:basedOn w:val="3"/>
    <w:next w:val="1"/>
    <w:unhideWhenUsed/>
    <w:qFormat/>
    <w:uiPriority w:val="39"/>
    <w:pPr>
      <w:spacing w:before="480" w:line="276" w:lineRule="auto"/>
      <w:outlineLvl w:val="9"/>
    </w:pPr>
    <w:rPr>
      <w:rFonts w:ascii="Cambria" w:hAnsi="Cambria" w:eastAsia="宋体"/>
      <w:color w:val="366091"/>
      <w:kern w:val="0"/>
      <w:sz w:val="28"/>
      <w:szCs w:val="28"/>
      <w:lang w:eastAsia="zh-CN"/>
    </w:rPr>
  </w:style>
  <w:style w:type="paragraph" w:customStyle="1" w:styleId="48">
    <w:name w:val="修订1"/>
    <w:semiHidden/>
    <w:qFormat/>
    <w:uiPriority w:val="99"/>
    <w:rPr>
      <w:rFonts w:ascii="Times New Roman" w:hAnsi="Times New Roman" w:eastAsia="仿宋_GB2312" w:cs="Times New Roman"/>
      <w:sz w:val="30"/>
      <w:szCs w:val="24"/>
      <w:lang w:val="en-US" w:eastAsia="en-US" w:bidi="ar-SA"/>
    </w:rPr>
  </w:style>
  <w:style w:type="paragraph" w:customStyle="1" w:styleId="49">
    <w:name w:val="修订2"/>
    <w:hidden/>
    <w:unhideWhenUsed/>
    <w:qFormat/>
    <w:uiPriority w:val="99"/>
    <w:rPr>
      <w:rFonts w:ascii="Times New Roman" w:hAnsi="Times New Roman" w:eastAsia="仿宋_GB2312" w:cs="Times New Roman"/>
      <w:sz w:val="30"/>
      <w:szCs w:val="24"/>
      <w:lang w:val="en-US" w:eastAsia="en-US" w:bidi="ar-SA"/>
    </w:rPr>
  </w:style>
  <w:style w:type="character" w:customStyle="1" w:styleId="50">
    <w:name w:val="未处理的提及2"/>
    <w:basedOn w:val="28"/>
    <w:unhideWhenUsed/>
    <w:qFormat/>
    <w:uiPriority w:val="99"/>
    <w:rPr>
      <w:color w:val="605E5C"/>
      <w:shd w:val="clear" w:color="auto" w:fill="E1DFDD"/>
    </w:rPr>
  </w:style>
  <w:style w:type="character" w:customStyle="1" w:styleId="51">
    <w:name w:val="正文文本缩进 字符"/>
    <w:basedOn w:val="28"/>
    <w:link w:val="9"/>
    <w:semiHidden/>
    <w:qFormat/>
    <w:uiPriority w:val="0"/>
    <w:rPr>
      <w:rFonts w:eastAsia="仿宋_GB2312"/>
      <w:sz w:val="30"/>
      <w:szCs w:val="24"/>
      <w:lang w:eastAsia="en-US"/>
    </w:rPr>
  </w:style>
  <w:style w:type="character" w:customStyle="1" w:styleId="52">
    <w:name w:val="正文文本首行缩进 2 字符"/>
    <w:basedOn w:val="51"/>
    <w:link w:val="25"/>
    <w:qFormat/>
    <w:uiPriority w:val="0"/>
    <w:rPr>
      <w:rFonts w:eastAsia="仿宋" w:cs="Arial"/>
      <w:kern w:val="2"/>
      <w:sz w:val="30"/>
      <w:szCs w:val="22"/>
      <w:lang w:eastAsia="en-US"/>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5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7">
    <w:name w:val="Table Paragraph"/>
    <w:basedOn w:val="1"/>
    <w:qFormat/>
    <w:uiPriority w:val="1"/>
    <w:pPr>
      <w:autoSpaceDE w:val="0"/>
      <w:autoSpaceDN w:val="0"/>
    </w:pPr>
    <w:rPr>
      <w:rFonts w:ascii="宋体" w:hAnsi="宋体" w:eastAsia="宋体" w:cs="宋体"/>
      <w:sz w:val="22"/>
    </w:rPr>
  </w:style>
  <w:style w:type="paragraph" w:customStyle="1" w:styleId="58">
    <w:name w:val="TOC 标题3"/>
    <w:basedOn w:val="3"/>
    <w:next w:val="1"/>
    <w:unhideWhenUsed/>
    <w:qFormat/>
    <w:uiPriority w:val="39"/>
    <w:pPr>
      <w:spacing w:before="240" w:line="259" w:lineRule="auto"/>
      <w:ind w:firstLine="0" w:firstLineChars="0"/>
      <w:outlineLvl w:val="9"/>
    </w:pPr>
    <w:rPr>
      <w:rFonts w:asciiTheme="majorHAnsi" w:hAnsiTheme="majorHAnsi" w:eastAsiaTheme="majorEastAsia" w:cstheme="majorBidi"/>
      <w:b w:val="0"/>
      <w:bCs w:val="0"/>
      <w:color w:val="2E75B6" w:themeColor="accent1" w:themeShade="BF"/>
      <w:kern w:val="0"/>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中国国际工程咨询有限公司</Company>
  <Pages>29</Pages>
  <Words>11512</Words>
  <Characters>11792</Characters>
  <Lines>99</Lines>
  <Paragraphs>27</Paragraphs>
  <TotalTime>2</TotalTime>
  <ScaleCrop>false</ScaleCrop>
  <LinksUpToDate>false</LinksUpToDate>
  <CharactersWithSpaces>11890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2022-08-09T02:22:00Z</dcterms:created>
  <dc:creator>Lenovo</dc:creator>
  <cp:lastModifiedBy>周一</cp:lastModifiedBy>
  <cp:lastPrinted>2021-03-16T09:30:00Z</cp:lastPrinted>
  <dcterms:modified xsi:type="dcterms:W3CDTF">2022-08-10T02:15:29Z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359D6CD0A2FB466EA12C7D309B3AA127</vt:lpwstr>
  </property>
</Properties>
</file>