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中宋" w:hAnsi="华文中宋" w:eastAsia="华文中宋" w:cs="华文中宋"/>
          <w:b/>
          <w:sz w:val="52"/>
          <w:szCs w:val="84"/>
        </w:rPr>
      </w:pPr>
    </w:p>
    <w:p>
      <w:pPr>
        <w:adjustRightInd w:val="0"/>
        <w:snapToGrid w:val="0"/>
        <w:spacing w:line="360" w:lineRule="auto"/>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宿州市埇桥区东关街道办事处2020年度部门决算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4"/>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2021年8月</w:t>
      </w:r>
    </w:p>
    <w:p>
      <w:pPr>
        <w:spacing w:line="580" w:lineRule="exact"/>
        <w:jc w:val="center"/>
        <w:rPr>
          <w:rFonts w:ascii="黑体" w:hAnsi="宋体" w:eastAsia="黑体"/>
          <w:bCs/>
          <w:sz w:val="48"/>
          <w:szCs w:val="48"/>
        </w:rPr>
      </w:pPr>
      <w:r>
        <w:rPr>
          <w:rFonts w:hint="eastAsia" w:ascii="黑体" w:hAnsi="宋体" w:eastAsia="黑体"/>
          <w:bCs/>
          <w:sz w:val="48"/>
          <w:szCs w:val="48"/>
        </w:rPr>
        <w:t>目  录</w:t>
      </w:r>
    </w:p>
    <w:p>
      <w:pPr>
        <w:spacing w:line="550" w:lineRule="exact"/>
        <w:rPr>
          <w:rFonts w:ascii="宋体" w:hAnsi="宋体"/>
          <w:b/>
          <w:sz w:val="36"/>
          <w:szCs w:val="36"/>
        </w:rPr>
      </w:pPr>
      <w:r>
        <w:rPr>
          <w:rFonts w:hint="eastAsia" w:ascii="宋体" w:hAnsi="宋体"/>
          <w:b/>
          <w:sz w:val="36"/>
          <w:szCs w:val="36"/>
        </w:rPr>
        <w:t>第一部分 宿州市埇桥区东关街道办事处概况</w:t>
      </w:r>
    </w:p>
    <w:p>
      <w:pPr>
        <w:spacing w:line="550" w:lineRule="exact"/>
        <w:rPr>
          <w:rFonts w:ascii="宋体" w:hAnsi="宋体"/>
          <w:bCs/>
          <w:sz w:val="36"/>
          <w:szCs w:val="36"/>
        </w:rPr>
      </w:pPr>
      <w:r>
        <w:rPr>
          <w:rFonts w:hint="eastAsia" w:ascii="宋体" w:hAnsi="宋体"/>
          <w:bCs/>
          <w:sz w:val="36"/>
          <w:szCs w:val="36"/>
        </w:rPr>
        <w:t>一、部门职责</w:t>
      </w:r>
    </w:p>
    <w:p>
      <w:pPr>
        <w:spacing w:line="550" w:lineRule="exact"/>
      </w:pPr>
      <w:r>
        <w:rPr>
          <w:rFonts w:hint="eastAsia" w:ascii="宋体" w:hAnsi="宋体"/>
          <w:bCs/>
          <w:sz w:val="36"/>
          <w:szCs w:val="36"/>
        </w:rPr>
        <w:t>二、机构设置</w:t>
      </w:r>
    </w:p>
    <w:p>
      <w:pPr>
        <w:spacing w:line="550" w:lineRule="exact"/>
        <w:rPr>
          <w:rFonts w:ascii="宋体" w:hAnsi="宋体"/>
          <w:b/>
          <w:sz w:val="36"/>
          <w:szCs w:val="36"/>
        </w:rPr>
      </w:pPr>
      <w:r>
        <w:rPr>
          <w:rFonts w:hint="eastAsia" w:ascii="宋体" w:hAnsi="宋体"/>
          <w:b/>
          <w:sz w:val="36"/>
          <w:szCs w:val="36"/>
        </w:rPr>
        <w:t>第二部分 宿州市埇桥区东关街道办事处2020年度部门决算表</w:t>
      </w:r>
    </w:p>
    <w:p>
      <w:pPr>
        <w:spacing w:line="550" w:lineRule="exact"/>
        <w:rPr>
          <w:rFonts w:ascii="宋体" w:hAnsi="宋体"/>
          <w:bCs/>
          <w:sz w:val="36"/>
          <w:szCs w:val="36"/>
        </w:rPr>
      </w:pPr>
      <w:r>
        <w:rPr>
          <w:rFonts w:hint="eastAsia" w:ascii="宋体" w:hAnsi="宋体"/>
          <w:bCs/>
          <w:sz w:val="36"/>
          <w:szCs w:val="36"/>
        </w:rPr>
        <w:t>一、收入支出决算总表</w:t>
      </w:r>
    </w:p>
    <w:p>
      <w:pPr>
        <w:spacing w:line="550" w:lineRule="exact"/>
        <w:rPr>
          <w:rFonts w:ascii="宋体" w:hAnsi="宋体"/>
          <w:bCs/>
          <w:sz w:val="36"/>
          <w:szCs w:val="36"/>
        </w:rPr>
      </w:pPr>
      <w:r>
        <w:rPr>
          <w:rFonts w:hint="eastAsia" w:ascii="宋体" w:hAnsi="宋体"/>
          <w:bCs/>
          <w:sz w:val="36"/>
          <w:szCs w:val="36"/>
        </w:rPr>
        <w:t>二、收入决算表</w:t>
      </w:r>
    </w:p>
    <w:p>
      <w:pPr>
        <w:spacing w:line="550" w:lineRule="exact"/>
        <w:rPr>
          <w:rFonts w:ascii="宋体" w:hAnsi="宋体"/>
          <w:bCs/>
          <w:sz w:val="36"/>
          <w:szCs w:val="36"/>
        </w:rPr>
      </w:pPr>
      <w:r>
        <w:rPr>
          <w:rFonts w:hint="eastAsia" w:ascii="宋体" w:hAnsi="宋体"/>
          <w:bCs/>
          <w:sz w:val="36"/>
          <w:szCs w:val="36"/>
        </w:rPr>
        <w:t>三、支出决算表</w:t>
      </w:r>
    </w:p>
    <w:p>
      <w:pPr>
        <w:spacing w:line="550" w:lineRule="exact"/>
        <w:rPr>
          <w:rFonts w:ascii="宋体" w:hAnsi="宋体"/>
          <w:bCs/>
          <w:sz w:val="36"/>
          <w:szCs w:val="36"/>
        </w:rPr>
      </w:pPr>
      <w:r>
        <w:rPr>
          <w:rFonts w:hint="eastAsia" w:ascii="宋体" w:hAnsi="宋体"/>
          <w:bCs/>
          <w:sz w:val="36"/>
          <w:szCs w:val="36"/>
        </w:rPr>
        <w:t>四、财政拨款收入支出决算总表</w:t>
      </w:r>
    </w:p>
    <w:p>
      <w:pPr>
        <w:spacing w:line="550" w:lineRule="exact"/>
        <w:rPr>
          <w:rFonts w:ascii="宋体" w:hAnsi="宋体"/>
          <w:bCs/>
          <w:sz w:val="36"/>
          <w:szCs w:val="36"/>
        </w:rPr>
      </w:pPr>
      <w:r>
        <w:rPr>
          <w:rFonts w:hint="eastAsia" w:ascii="宋体" w:hAnsi="宋体"/>
          <w:bCs/>
          <w:sz w:val="36"/>
          <w:szCs w:val="36"/>
        </w:rPr>
        <w:t>五、一般公共预算财政拨款支出决算表</w:t>
      </w:r>
    </w:p>
    <w:p>
      <w:pPr>
        <w:spacing w:line="550" w:lineRule="exact"/>
        <w:rPr>
          <w:rFonts w:ascii="宋体" w:hAnsi="宋体"/>
          <w:bCs/>
          <w:sz w:val="36"/>
          <w:szCs w:val="36"/>
        </w:rPr>
      </w:pPr>
      <w:r>
        <w:rPr>
          <w:rFonts w:hint="eastAsia" w:ascii="宋体" w:hAnsi="宋体"/>
          <w:bCs/>
          <w:sz w:val="36"/>
          <w:szCs w:val="36"/>
        </w:rPr>
        <w:t>六、一般公共预算财政拨款基本支出决算表</w:t>
      </w:r>
    </w:p>
    <w:p>
      <w:pPr>
        <w:spacing w:line="550" w:lineRule="exact"/>
        <w:rPr>
          <w:rFonts w:ascii="宋体" w:hAnsi="宋体"/>
          <w:bCs/>
          <w:sz w:val="36"/>
          <w:szCs w:val="36"/>
        </w:rPr>
      </w:pPr>
      <w:r>
        <w:rPr>
          <w:rFonts w:hint="eastAsia" w:ascii="宋体" w:hAnsi="宋体"/>
          <w:bCs/>
          <w:sz w:val="36"/>
          <w:szCs w:val="36"/>
        </w:rPr>
        <w:t>七、政府性基金预算财政拨款收入支出决算表</w:t>
      </w:r>
    </w:p>
    <w:p>
      <w:pPr>
        <w:spacing w:line="550" w:lineRule="exact"/>
        <w:rPr>
          <w:rFonts w:ascii="宋体" w:hAnsi="宋体"/>
          <w:bCs/>
          <w:sz w:val="36"/>
          <w:szCs w:val="36"/>
        </w:rPr>
      </w:pPr>
      <w:r>
        <w:rPr>
          <w:rFonts w:hint="eastAsia" w:ascii="宋体" w:hAnsi="宋体"/>
          <w:bCs/>
          <w:sz w:val="36"/>
          <w:szCs w:val="36"/>
        </w:rPr>
        <w:t>八、国有资本经营预算财政拨款支出决算表</w:t>
      </w:r>
    </w:p>
    <w:p>
      <w:pPr>
        <w:spacing w:line="550" w:lineRule="exact"/>
        <w:rPr>
          <w:rFonts w:ascii="宋体" w:hAnsi="宋体"/>
          <w:b/>
          <w:sz w:val="36"/>
          <w:szCs w:val="36"/>
        </w:rPr>
      </w:pPr>
      <w:r>
        <w:rPr>
          <w:rFonts w:hint="eastAsia" w:ascii="宋体" w:hAnsi="宋体"/>
          <w:b/>
          <w:sz w:val="36"/>
          <w:szCs w:val="36"/>
        </w:rPr>
        <w:t>第三部分 宿州市埇桥区东关街道办事处2020年度部门决算情况说明</w:t>
      </w:r>
    </w:p>
    <w:p>
      <w:pPr>
        <w:spacing w:line="550" w:lineRule="exact"/>
        <w:rPr>
          <w:rFonts w:ascii="宋体" w:hAnsi="宋体"/>
          <w:bCs/>
          <w:sz w:val="36"/>
          <w:szCs w:val="36"/>
        </w:rPr>
      </w:pPr>
      <w:r>
        <w:rPr>
          <w:rFonts w:hint="eastAsia" w:ascii="宋体" w:hAnsi="宋体"/>
          <w:bCs/>
          <w:sz w:val="36"/>
          <w:szCs w:val="36"/>
        </w:rPr>
        <w:t>一、收入支出决算总体情况说明</w:t>
      </w:r>
    </w:p>
    <w:p>
      <w:pPr>
        <w:spacing w:line="550" w:lineRule="exact"/>
        <w:rPr>
          <w:rFonts w:ascii="宋体" w:hAnsi="宋体"/>
          <w:bCs/>
          <w:sz w:val="36"/>
          <w:szCs w:val="36"/>
        </w:rPr>
      </w:pPr>
      <w:r>
        <w:rPr>
          <w:rFonts w:hint="eastAsia" w:ascii="宋体" w:hAnsi="宋体"/>
          <w:bCs/>
          <w:sz w:val="36"/>
          <w:szCs w:val="36"/>
        </w:rPr>
        <w:t>二、收入决算情况说明</w:t>
      </w:r>
    </w:p>
    <w:p>
      <w:pPr>
        <w:spacing w:line="550" w:lineRule="exact"/>
        <w:rPr>
          <w:rFonts w:ascii="宋体" w:hAnsi="宋体"/>
          <w:bCs/>
          <w:sz w:val="36"/>
          <w:szCs w:val="36"/>
        </w:rPr>
      </w:pPr>
      <w:r>
        <w:rPr>
          <w:rFonts w:hint="eastAsia" w:ascii="宋体" w:hAnsi="宋体"/>
          <w:bCs/>
          <w:sz w:val="36"/>
          <w:szCs w:val="36"/>
        </w:rPr>
        <w:t>三、支出决算情况说明</w:t>
      </w:r>
    </w:p>
    <w:p>
      <w:pPr>
        <w:spacing w:line="550" w:lineRule="exact"/>
        <w:rPr>
          <w:rFonts w:ascii="宋体" w:hAnsi="宋体"/>
          <w:bCs/>
          <w:sz w:val="36"/>
          <w:szCs w:val="36"/>
        </w:rPr>
      </w:pPr>
      <w:r>
        <w:rPr>
          <w:rFonts w:hint="eastAsia" w:ascii="宋体" w:hAnsi="宋体"/>
          <w:bCs/>
          <w:sz w:val="36"/>
          <w:szCs w:val="36"/>
        </w:rPr>
        <w:t>四、财政拨款收入支出决算总体情况说明</w:t>
      </w:r>
    </w:p>
    <w:p>
      <w:pPr>
        <w:spacing w:line="550" w:lineRule="exact"/>
        <w:rPr>
          <w:rFonts w:ascii="宋体" w:hAnsi="宋体"/>
          <w:bCs/>
          <w:sz w:val="36"/>
          <w:szCs w:val="36"/>
        </w:rPr>
      </w:pPr>
      <w:r>
        <w:rPr>
          <w:rFonts w:hint="eastAsia" w:ascii="宋体" w:hAnsi="宋体"/>
          <w:bCs/>
          <w:sz w:val="36"/>
          <w:szCs w:val="36"/>
        </w:rPr>
        <w:t>五、一般公共预算财政拨款支出决算情况说明</w:t>
      </w:r>
    </w:p>
    <w:p>
      <w:pPr>
        <w:spacing w:line="550" w:lineRule="exact"/>
        <w:rPr>
          <w:rFonts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ascii="宋体" w:hAnsi="宋体"/>
          <w:bCs/>
          <w:sz w:val="36"/>
          <w:szCs w:val="36"/>
        </w:rPr>
      </w:pPr>
      <w:r>
        <w:rPr>
          <w:rFonts w:hint="eastAsia" w:ascii="宋体" w:hAnsi="宋体"/>
          <w:bCs/>
          <w:sz w:val="36"/>
          <w:szCs w:val="36"/>
        </w:rPr>
        <w:t>七、政府性基金财政拨款收入支出决算情况说明</w:t>
      </w:r>
    </w:p>
    <w:p>
      <w:pPr>
        <w:spacing w:line="550" w:lineRule="exact"/>
        <w:rPr>
          <w:rFonts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ascii="宋体" w:hAnsi="宋体"/>
          <w:bCs/>
          <w:sz w:val="36"/>
          <w:szCs w:val="36"/>
        </w:rPr>
      </w:pPr>
      <w:r>
        <w:rPr>
          <w:rFonts w:hint="eastAsia" w:ascii="宋体" w:hAnsi="宋体"/>
          <w:bCs/>
          <w:sz w:val="36"/>
          <w:szCs w:val="36"/>
        </w:rPr>
        <w:t>九、其他重要事项情况说明</w:t>
      </w:r>
    </w:p>
    <w:p>
      <w:pPr>
        <w:spacing w:line="550" w:lineRule="exact"/>
        <w:rPr>
          <w:rFonts w:ascii="宋体" w:hAnsi="宋体"/>
          <w:b/>
          <w:sz w:val="36"/>
          <w:szCs w:val="36"/>
        </w:rPr>
      </w:pPr>
      <w:r>
        <w:rPr>
          <w:rFonts w:hint="eastAsia" w:ascii="宋体" w:hAnsi="宋体"/>
          <w:b/>
          <w:sz w:val="36"/>
          <w:szCs w:val="36"/>
        </w:rPr>
        <w:t>第四部分  名词解释</w:t>
      </w:r>
    </w:p>
    <w:p>
      <w:pPr>
        <w:rPr>
          <w:rFonts w:ascii="宋体" w:hAnsi="宋体"/>
          <w:b/>
          <w:sz w:val="36"/>
          <w:szCs w:val="36"/>
        </w:rPr>
      </w:pPr>
    </w:p>
    <w:p>
      <w:pPr>
        <w:jc w:val="center"/>
        <w:rPr>
          <w:rFonts w:ascii="宋体" w:hAnsi="宋体"/>
          <w:b/>
          <w:sz w:val="36"/>
          <w:szCs w:val="36"/>
        </w:rPr>
      </w:pPr>
    </w:p>
    <w:p>
      <w:pPr>
        <w:spacing w:line="550" w:lineRule="exact"/>
        <w:rPr>
          <w:rFonts w:ascii="宋体" w:hAnsi="宋体"/>
          <w:b/>
          <w:sz w:val="36"/>
          <w:szCs w:val="36"/>
        </w:rPr>
      </w:pPr>
      <w:r>
        <w:rPr>
          <w:rFonts w:hint="eastAsia" w:ascii="宋体" w:hAnsi="宋体"/>
          <w:b/>
          <w:sz w:val="36"/>
          <w:szCs w:val="36"/>
        </w:rPr>
        <w:t>宿州市埇桥区东关街道办事处2020年度部门决算情况</w:t>
      </w:r>
    </w:p>
    <w:p>
      <w:pPr>
        <w:ind w:firstLine="640" w:firstLineChars="200"/>
        <w:rPr>
          <w:rFonts w:ascii="楷体_GB2312" w:eastAsia="楷体_GB2312"/>
          <w:szCs w:val="32"/>
        </w:rPr>
      </w:pPr>
    </w:p>
    <w:p>
      <w:pPr>
        <w:ind w:firstLine="640" w:firstLineChars="200"/>
        <w:rPr>
          <w:rFonts w:ascii="黑体" w:hAnsi="黑体" w:eastAsia="黑体"/>
          <w:szCs w:val="32"/>
        </w:rPr>
      </w:pPr>
    </w:p>
    <w:p>
      <w:pPr>
        <w:ind w:firstLine="640" w:firstLineChars="200"/>
        <w:jc w:val="center"/>
        <w:rPr>
          <w:rFonts w:ascii="黑体" w:hAnsi="黑体" w:eastAsia="黑体"/>
          <w:szCs w:val="32"/>
        </w:rPr>
      </w:pPr>
      <w:r>
        <w:rPr>
          <w:rFonts w:hint="eastAsia" w:ascii="黑体" w:hAnsi="黑体" w:eastAsia="黑体"/>
          <w:szCs w:val="32"/>
        </w:rPr>
        <w:t>第一部分 宿州市埇桥区东关街道办事处概况</w:t>
      </w:r>
    </w:p>
    <w:p>
      <w:pPr>
        <w:ind w:firstLine="640" w:firstLineChars="200"/>
        <w:rPr>
          <w:rFonts w:ascii="黑体" w:hAnsi="黑体" w:eastAsia="黑体"/>
          <w:szCs w:val="32"/>
        </w:rPr>
      </w:pPr>
      <w:r>
        <w:rPr>
          <w:rFonts w:hint="eastAsia" w:ascii="黑体" w:hAnsi="黑体" w:eastAsia="黑体"/>
          <w:szCs w:val="32"/>
        </w:rPr>
        <w:t>一、部门职责</w:t>
      </w:r>
    </w:p>
    <w:p>
      <w:pPr>
        <w:ind w:firstLine="480" w:firstLineChars="200"/>
        <w:rPr>
          <w:rFonts w:ascii="仿宋_GB2312" w:hAnsi="仿宋"/>
          <w:szCs w:val="32"/>
        </w:rPr>
      </w:pPr>
      <w:r>
        <w:rPr>
          <w:rFonts w:ascii="宋体" w:hAnsi="宋体" w:eastAsia="宋体" w:cs="宋体"/>
          <w:sz w:val="24"/>
          <w:szCs w:val="24"/>
        </w:rPr>
        <w:t>（一</w:t>
      </w:r>
      <w:r>
        <w:rPr>
          <w:rFonts w:hint="eastAsia" w:ascii="仿宋_GB2312" w:hAnsi="仿宋"/>
          <w:szCs w:val="32"/>
        </w:rPr>
        <w:t>）东关街道办事处：指导帮助社区居委会开展组织建设、制度建设和其他工作；负责本辖区社区建设、管理和服务工作；做好社会救助和其他社会保障工作；执行本辖区内经济和社会发展计划、财政预算，管理本辖区内的社会事务管理、劳动和社会保障、计划生育、环境保护、文化、卫生、安全生产、等行政工作；负责维护本辖区内社会秩序稳定，做好社会治安综合治理和人民调解工作；维护老年人、未成年人、妇女、残疾人等的合法权益；开展拥军优属，做好国防动员和兵役工作；配合做好防灾救灾工作；向区人民政府反映居民的意见和要求，处理群众来信来访事项以及办理区人民政府交办的事项。</w:t>
      </w:r>
    </w:p>
    <w:p>
      <w:pPr>
        <w:ind w:firstLine="320" w:firstLineChars="100"/>
        <w:rPr>
          <w:rFonts w:ascii="仿宋_GB2312" w:hAnsi="仿宋"/>
          <w:color w:val="000000"/>
          <w:szCs w:val="32"/>
        </w:rPr>
      </w:pPr>
      <w:r>
        <w:rPr>
          <w:rFonts w:hint="eastAsia" w:ascii="仿宋_GB2312" w:hAnsi="仿宋"/>
          <w:color w:val="000000"/>
          <w:szCs w:val="32"/>
        </w:rPr>
        <w:t>（二）东关街道办事处财政所：参与制定办事处各项经济政策；编制年度财政预决算草案并组织执行；制定财政收入计划，依法组织各项财政收入，确保财政收入及时足额入库；管理办事处的财政支出等 。</w:t>
      </w:r>
    </w:p>
    <w:p>
      <w:pPr>
        <w:ind w:firstLine="320" w:firstLineChars="100"/>
        <w:rPr>
          <w:rFonts w:ascii="仿宋_GB2312" w:hAnsi="仿宋"/>
          <w:color w:val="000000"/>
          <w:szCs w:val="32"/>
        </w:rPr>
      </w:pPr>
      <w:r>
        <w:rPr>
          <w:rFonts w:hint="eastAsia" w:ascii="仿宋_GB2312" w:hAnsi="仿宋"/>
          <w:color w:val="000000"/>
          <w:szCs w:val="32"/>
        </w:rPr>
        <w:t xml:space="preserve">（三）东关街道办事处社保所：就业再就业工作；企业退休人员管理服务工作；城乡居民就业管理工作职责；社会保障和劳动监察工作职责；宣传、咨询工作职责。 </w:t>
      </w:r>
    </w:p>
    <w:p>
      <w:pPr>
        <w:ind w:firstLine="320" w:firstLineChars="100"/>
        <w:rPr>
          <w:rFonts w:ascii="仿宋_GB2312" w:hAnsi="仿宋"/>
          <w:color w:val="000000"/>
          <w:szCs w:val="32"/>
        </w:rPr>
      </w:pPr>
      <w:r>
        <w:rPr>
          <w:rFonts w:hint="eastAsia" w:ascii="仿宋_GB2312" w:hAnsi="仿宋"/>
          <w:color w:val="000000"/>
          <w:szCs w:val="32"/>
        </w:rPr>
        <w:t>（四）东关街道办事处社区所：宣传国家各项法律法规，维护社区居民的合法权益，爱护社区人文环境，开展形式多样的社会主义精神文明建设活动；组织开展健康向上的文化活动；办好社区公共事务和公益事业；调节民间纠纷，做好疏导工作；协助街道办事处做好与居民、单位利益相关的公共卫生、计划生育、优抚救济等各项惠民政策工作的开展。</w:t>
      </w:r>
    </w:p>
    <w:p>
      <w:pPr>
        <w:ind w:firstLine="640" w:firstLineChars="200"/>
        <w:rPr>
          <w:rFonts w:ascii="黑体" w:hAnsi="黑体" w:eastAsia="黑体"/>
          <w:color w:val="000000"/>
          <w:szCs w:val="32"/>
        </w:rPr>
      </w:pPr>
      <w:r>
        <w:rPr>
          <w:rFonts w:hint="eastAsia" w:ascii="黑体" w:hAnsi="黑体" w:eastAsia="黑体"/>
          <w:color w:val="000000"/>
          <w:szCs w:val="32"/>
        </w:rPr>
        <w:t>二、机构设置</w:t>
      </w:r>
    </w:p>
    <w:p>
      <w:pPr>
        <w:ind w:firstLine="640" w:firstLineChars="200"/>
        <w:rPr>
          <w:rFonts w:ascii="仿宋_GB2312" w:hAnsi="仿宋"/>
          <w:color w:val="000000"/>
          <w:szCs w:val="32"/>
        </w:rPr>
      </w:pPr>
      <w:r>
        <w:rPr>
          <w:rFonts w:hint="eastAsia" w:ascii="仿宋_GB2312" w:hAnsi="仿宋"/>
          <w:color w:val="000000"/>
          <w:szCs w:val="32"/>
        </w:rPr>
        <w:t>从决算单位构成看，宿州市埇桥区东关街道办事处2020年度部门决算包括：单位本级决算和所属事业单位决算，与预算比较，无增减变动。</w:t>
      </w:r>
    </w:p>
    <w:p>
      <w:pPr>
        <w:ind w:firstLine="640" w:firstLineChars="200"/>
        <w:rPr>
          <w:rFonts w:ascii="仿宋_GB2312" w:hAnsi="仿宋"/>
          <w:color w:val="000000"/>
          <w:szCs w:val="32"/>
        </w:rPr>
      </w:pPr>
      <w:r>
        <w:rPr>
          <w:rFonts w:hint="eastAsia" w:ascii="仿宋_GB2312" w:hAnsi="仿宋"/>
          <w:color w:val="000000"/>
          <w:szCs w:val="32"/>
        </w:rPr>
        <w:t>纳入宿州市</w:t>
      </w:r>
      <w:r>
        <w:rPr>
          <w:rFonts w:hint="eastAsia" w:ascii="宋体" w:hAnsi="宋体" w:eastAsia="宋体" w:cs="宋体"/>
          <w:color w:val="000000"/>
          <w:szCs w:val="32"/>
        </w:rPr>
        <w:t>埇</w:t>
      </w:r>
      <w:r>
        <w:rPr>
          <w:rFonts w:hint="eastAsia" w:ascii="仿宋_GB2312" w:hAnsi="仿宋_GB2312" w:cs="仿宋_GB2312"/>
          <w:color w:val="000000"/>
          <w:szCs w:val="32"/>
        </w:rPr>
        <w:t>桥区</w:t>
      </w:r>
      <w:r>
        <w:rPr>
          <w:rFonts w:hint="eastAsia" w:ascii="仿宋_GB2312" w:hAnsi="仿宋"/>
          <w:color w:val="000000"/>
          <w:szCs w:val="32"/>
        </w:rPr>
        <w:t>东关街道办事处2020年度部门决算编制范围的二级单位共4个，详细情况见下表：</w:t>
      </w:r>
    </w:p>
    <w:tbl>
      <w:tblPr>
        <w:tblStyle w:val="5"/>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507" w:hRule="exact"/>
        </w:trPr>
        <w:tc>
          <w:tcPr>
            <w:tcW w:w="13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olor w:val="000000"/>
                <w:sz w:val="30"/>
                <w:szCs w:val="30"/>
              </w:rPr>
            </w:pPr>
            <w:r>
              <w:rPr>
                <w:rFonts w:hint="eastAsia" w:ascii="宋体" w:hAnsi="宋体"/>
                <w:color w:val="000000"/>
                <w:sz w:val="30"/>
                <w:szCs w:val="30"/>
              </w:rPr>
              <w:t>序号</w:t>
            </w:r>
          </w:p>
        </w:tc>
        <w:tc>
          <w:tcPr>
            <w:tcW w:w="58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olor w:val="000000"/>
                <w:sz w:val="30"/>
                <w:szCs w:val="30"/>
              </w:rPr>
            </w:pPr>
            <w:r>
              <w:rPr>
                <w:rFonts w:hint="eastAsia" w:ascii="宋体" w:hAnsi="宋体"/>
                <w:color w:val="000000"/>
                <w:sz w:val="30"/>
                <w:szCs w:val="30"/>
              </w:rPr>
              <w:t>单位名称</w:t>
            </w:r>
          </w:p>
        </w:tc>
      </w:tr>
      <w:tr>
        <w:tblPrEx>
          <w:shd w:val="clear" w:color="auto" w:fill="FFFFFF"/>
          <w:tblCellMar>
            <w:top w:w="0" w:type="dxa"/>
            <w:left w:w="0" w:type="dxa"/>
            <w:bottom w:w="0" w:type="dxa"/>
            <w:right w:w="0" w:type="dxa"/>
          </w:tblCellMar>
        </w:tblPrEx>
        <w:trPr>
          <w:trHeight w:val="467" w:hRule="exac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s="宋体"/>
                <w:color w:val="000000"/>
                <w:sz w:val="30"/>
                <w:szCs w:val="30"/>
              </w:rPr>
            </w:pPr>
            <w:r>
              <w:rPr>
                <w:rFonts w:hint="eastAsia" w:ascii="宋体" w:hAnsi="宋体"/>
                <w:color w:val="000000"/>
                <w:sz w:val="30"/>
                <w:szCs w:val="30"/>
              </w:rPr>
              <w:t>1</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olor w:val="000000"/>
                <w:sz w:val="30"/>
                <w:szCs w:val="30"/>
              </w:rPr>
            </w:pPr>
            <w:r>
              <w:rPr>
                <w:rFonts w:hint="eastAsia" w:ascii="宋体" w:hAnsi="宋体"/>
                <w:color w:val="000000"/>
                <w:sz w:val="30"/>
                <w:szCs w:val="30"/>
              </w:rPr>
              <w:t>埇桥区</w:t>
            </w:r>
            <w:r>
              <w:rPr>
                <w:rFonts w:hint="eastAsia" w:ascii="仿宋" w:hAnsi="仿宋" w:eastAsia="仿宋" w:cs="仿宋"/>
                <w:color w:val="000000"/>
              </w:rPr>
              <w:t>东关街道办事处本级</w:t>
            </w:r>
          </w:p>
        </w:tc>
      </w:tr>
      <w:tr>
        <w:tblPrEx>
          <w:tblCellMar>
            <w:top w:w="0" w:type="dxa"/>
            <w:left w:w="0" w:type="dxa"/>
            <w:bottom w:w="0" w:type="dxa"/>
            <w:right w:w="0" w:type="dxa"/>
          </w:tblCellMar>
        </w:tblPrEx>
        <w:trPr>
          <w:trHeight w:val="482" w:hRule="exac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olor w:val="000000"/>
                <w:sz w:val="30"/>
                <w:szCs w:val="30"/>
              </w:rPr>
            </w:pPr>
            <w:r>
              <w:rPr>
                <w:rFonts w:hint="eastAsia" w:ascii="宋体" w:hAnsi="宋体"/>
                <w:color w:val="000000"/>
                <w:sz w:val="30"/>
                <w:szCs w:val="30"/>
              </w:rPr>
              <w:t>2</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eastAsia="仿宋"/>
                <w:color w:val="000000"/>
                <w:sz w:val="30"/>
                <w:szCs w:val="30"/>
              </w:rPr>
            </w:pPr>
            <w:r>
              <w:rPr>
                <w:rFonts w:hint="eastAsia" w:ascii="宋体" w:hAnsi="宋体"/>
                <w:color w:val="000000"/>
                <w:sz w:val="30"/>
                <w:szCs w:val="30"/>
              </w:rPr>
              <w:t>埇桥区</w:t>
            </w:r>
            <w:r>
              <w:rPr>
                <w:rFonts w:hint="eastAsia" w:ascii="仿宋" w:hAnsi="仿宋" w:eastAsia="仿宋" w:cs="仿宋"/>
                <w:color w:val="000000"/>
              </w:rPr>
              <w:t>东关街道财政所</w:t>
            </w:r>
          </w:p>
        </w:tc>
      </w:tr>
      <w:tr>
        <w:tblPrEx>
          <w:tblCellMar>
            <w:top w:w="0" w:type="dxa"/>
            <w:left w:w="0" w:type="dxa"/>
            <w:bottom w:w="0" w:type="dxa"/>
            <w:right w:w="0" w:type="dxa"/>
          </w:tblCellMar>
        </w:tblPrEx>
        <w:trPr>
          <w:trHeight w:val="527" w:hRule="exac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olor w:val="000000"/>
                <w:sz w:val="30"/>
                <w:szCs w:val="30"/>
              </w:rPr>
            </w:pPr>
            <w:r>
              <w:rPr>
                <w:rFonts w:hint="eastAsia" w:ascii="宋体" w:hAnsi="宋体"/>
                <w:color w:val="000000"/>
                <w:sz w:val="30"/>
                <w:szCs w:val="30"/>
              </w:rPr>
              <w:t>3</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olor w:val="000000"/>
                <w:sz w:val="30"/>
                <w:szCs w:val="30"/>
              </w:rPr>
            </w:pPr>
            <w:r>
              <w:rPr>
                <w:rFonts w:hint="eastAsia" w:ascii="宋体" w:hAnsi="宋体"/>
                <w:color w:val="000000"/>
                <w:sz w:val="30"/>
                <w:szCs w:val="30"/>
              </w:rPr>
              <w:t>埇桥区</w:t>
            </w:r>
            <w:r>
              <w:rPr>
                <w:rFonts w:hint="eastAsia" w:ascii="仿宋" w:hAnsi="仿宋" w:eastAsia="仿宋" w:cs="仿宋"/>
                <w:color w:val="000000"/>
              </w:rPr>
              <w:t>东关街道社区服务所</w:t>
            </w:r>
          </w:p>
        </w:tc>
      </w:tr>
      <w:tr>
        <w:tblPrEx>
          <w:tblCellMar>
            <w:top w:w="0" w:type="dxa"/>
            <w:left w:w="0" w:type="dxa"/>
            <w:bottom w:w="0" w:type="dxa"/>
            <w:right w:w="0" w:type="dxa"/>
          </w:tblCellMar>
        </w:tblPrEx>
        <w:trPr>
          <w:trHeight w:val="652" w:hRule="exac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s="宋体"/>
                <w:color w:val="000000"/>
                <w:sz w:val="30"/>
                <w:szCs w:val="30"/>
              </w:rPr>
            </w:pPr>
            <w:r>
              <w:rPr>
                <w:rFonts w:hint="eastAsia" w:ascii="宋体" w:hAnsi="宋体" w:cs="宋体"/>
                <w:color w:val="000000"/>
                <w:sz w:val="30"/>
                <w:szCs w:val="30"/>
              </w:rPr>
              <w:t>4</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hAnsi="宋体"/>
                <w:color w:val="000000"/>
                <w:sz w:val="30"/>
                <w:szCs w:val="30"/>
              </w:rPr>
            </w:pPr>
            <w:r>
              <w:rPr>
                <w:rFonts w:hint="eastAsia" w:ascii="宋体" w:hAnsi="宋体"/>
                <w:color w:val="000000"/>
                <w:sz w:val="30"/>
                <w:szCs w:val="30"/>
              </w:rPr>
              <w:t>埇桥区</w:t>
            </w:r>
            <w:r>
              <w:rPr>
                <w:rFonts w:hint="eastAsia" w:ascii="仿宋" w:hAnsi="仿宋" w:eastAsia="仿宋" w:cs="仿宋"/>
                <w:color w:val="000000"/>
              </w:rPr>
              <w:t>东关街道社会劳动保障所</w:t>
            </w:r>
          </w:p>
        </w:tc>
      </w:tr>
    </w:tbl>
    <w:p>
      <w:pPr>
        <w:ind w:firstLine="640" w:firstLineChars="200"/>
        <w:rPr>
          <w:rFonts w:ascii="仿宋_GB2312" w:hAnsi="仿宋"/>
          <w:color w:val="000000"/>
          <w:szCs w:val="32"/>
        </w:rPr>
      </w:pPr>
    </w:p>
    <w:p>
      <w:pPr>
        <w:rPr>
          <w:rFonts w:ascii="宋体" w:hAnsi="宋体" w:eastAsia="宋体"/>
          <w:color w:val="000000"/>
          <w:szCs w:val="32"/>
        </w:rPr>
      </w:pPr>
      <w:r>
        <w:rPr>
          <w:rFonts w:hint="eastAsia" w:ascii="黑体" w:hAnsi="黑体" w:eastAsia="黑体"/>
          <w:color w:val="000000"/>
          <w:szCs w:val="32"/>
        </w:rPr>
        <w:t>第二部分 宿州市埇桥区东关街道办事处2020年度部门决算表</w:t>
      </w:r>
    </w:p>
    <w:p>
      <w:pPr>
        <w:ind w:firstLine="640" w:firstLineChars="200"/>
        <w:jc w:val="center"/>
        <w:rPr>
          <w:rFonts w:ascii="黑体" w:hAnsi="黑体" w:eastAsia="黑体"/>
          <w:color w:val="000000"/>
          <w:szCs w:val="32"/>
        </w:rPr>
      </w:pPr>
      <w:r>
        <w:rPr>
          <w:rFonts w:hint="eastAsia" w:ascii="黑体" w:hAnsi="黑体" w:eastAsia="黑体"/>
          <w:color w:val="000000"/>
          <w:szCs w:val="32"/>
        </w:rPr>
        <w:t>收入支出决算总表</w:t>
      </w:r>
    </w:p>
    <w:tbl>
      <w:tblPr>
        <w:tblStyle w:val="5"/>
        <w:tblW w:w="49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793"/>
        <w:gridCol w:w="657"/>
        <w:gridCol w:w="971"/>
        <w:gridCol w:w="2343"/>
        <w:gridCol w:w="543"/>
        <w:gridCol w:w="121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3" w:hRule="atLeast"/>
        </w:trPr>
        <w:tc>
          <w:tcPr>
            <w:tcW w:w="1768" w:type="pct"/>
            <w:tcBorders>
              <w:top w:val="dotted" w:color="auto" w:sz="4" w:space="0"/>
              <w:left w:val="dotted" w:color="auto" w:sz="4"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386" w:type="pct"/>
            <w:tcBorders>
              <w:top w:val="dotted" w:color="auto" w:sz="4"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593" w:type="pct"/>
            <w:tcBorders>
              <w:top w:val="dotted" w:color="auto" w:sz="4"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1183" w:type="pct"/>
            <w:tcBorders>
              <w:top w:val="dotted" w:color="auto" w:sz="4"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310" w:type="pct"/>
            <w:tcBorders>
              <w:top w:val="dotted" w:color="auto" w:sz="4"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757" w:type="pct"/>
            <w:tcBorders>
              <w:top w:val="dotted" w:color="auto" w:sz="4" w:space="0"/>
              <w:left w:val="dotted" w:color="auto" w:sz="0" w:space="0"/>
              <w:bottom w:val="dotted" w:color="auto" w:sz="0" w:space="0"/>
              <w:right w:val="dotted" w:color="auto" w:sz="4" w:space="0"/>
            </w:tcBorders>
            <w:shd w:val="clear" w:color="auto" w:fill="FFFFFF"/>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4" w:hRule="atLeast"/>
        </w:trPr>
        <w:tc>
          <w:tcPr>
            <w:tcW w:w="1768" w:type="pct"/>
            <w:tcBorders>
              <w:top w:val="dotted" w:color="auto" w:sz="0" w:space="0"/>
              <w:left w:val="dotted" w:color="auto" w:sz="4" w:space="0"/>
              <w:bottom w:val="dotted" w:color="auto" w:sz="0" w:space="0"/>
              <w:right w:val="dotted" w:color="auto" w:sz="0" w:space="0"/>
            </w:tcBorders>
            <w:shd w:val="clear" w:color="auto" w:fill="FFFFFF"/>
            <w:noWrap/>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0"/>
              </w:rPr>
              <w:t>部门：宿州市埇桥区东关办事处部门决算汇总</w:t>
            </w:r>
          </w:p>
        </w:tc>
        <w:tc>
          <w:tcPr>
            <w:tcW w:w="386" w:type="pct"/>
            <w:tcBorders>
              <w:top w:val="dotted" w:color="auto" w:sz="0"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593" w:type="pct"/>
            <w:tcBorders>
              <w:top w:val="dotted" w:color="auto" w:sz="0"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1183" w:type="pct"/>
            <w:tcBorders>
              <w:top w:val="dotted" w:color="auto" w:sz="0"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310" w:type="pct"/>
            <w:tcBorders>
              <w:top w:val="dotted" w:color="auto" w:sz="0" w:space="0"/>
              <w:left w:val="dotted" w:color="auto" w:sz="0" w:space="0"/>
              <w:bottom w:val="dotted" w:color="auto" w:sz="0" w:space="0"/>
              <w:right w:val="dotted" w:color="auto" w:sz="0" w:space="0"/>
            </w:tcBorders>
            <w:shd w:val="clear" w:color="auto" w:fill="FFFFFF"/>
            <w:noWrap/>
            <w:vAlign w:val="bottom"/>
          </w:tcPr>
          <w:p>
            <w:pPr>
              <w:rPr>
                <w:rFonts w:ascii="Arial" w:hAnsi="Arial" w:cs="Arial"/>
                <w:color w:val="000000"/>
                <w:sz w:val="20"/>
              </w:rPr>
            </w:pPr>
          </w:p>
        </w:tc>
        <w:tc>
          <w:tcPr>
            <w:tcW w:w="757" w:type="pct"/>
            <w:tcBorders>
              <w:top w:val="dotted" w:color="auto" w:sz="0" w:space="0"/>
              <w:left w:val="dotted" w:color="auto" w:sz="0" w:space="0"/>
              <w:bottom w:val="dotted" w:color="auto" w:sz="0" w:space="0"/>
              <w:right w:val="dotted" w:color="auto" w:sz="4" w:space="0"/>
            </w:tcBorders>
            <w:shd w:val="clear" w:color="auto" w:fill="FFFFFF"/>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2749" w:type="pct"/>
            <w:gridSpan w:val="3"/>
            <w:tcBorders>
              <w:top w:val="dotted" w:color="auto" w:sz="4" w:space="0"/>
              <w:left w:val="dotted" w:color="auto" w:sz="4"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2250" w:type="pct"/>
            <w:gridSpan w:val="3"/>
            <w:tcBorders>
              <w:top w:val="dotted" w:color="auto" w:sz="4"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center"/>
              <w:rPr>
                <w:rFonts w:ascii="宋体" w:hAnsi="宋体" w:eastAsia="宋体" w:cs="宋体"/>
                <w:color w:val="000000"/>
                <w:sz w:val="22"/>
                <w:szCs w:val="22"/>
              </w:rPr>
            </w:pP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center"/>
              <w:rPr>
                <w:rFonts w:ascii="宋体" w:hAnsi="宋体" w:eastAsia="宋体" w:cs="宋体"/>
                <w:color w:val="000000"/>
                <w:sz w:val="22"/>
                <w:szCs w:val="22"/>
              </w:rPr>
            </w:pP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2,945.78</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三、国有资本经营预算财政拨款收入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四、上级补助收入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五、事业收入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六、经营收入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七、附属单位上缴收入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八、其他收入</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1,727.55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十四、资源勘探工业信息等支出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二十一、国有资本经营预算支出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0"/>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二十二、灾害防治及应急管理支出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0"/>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二十三、其他支出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center"/>
              <w:rPr>
                <w:rFonts w:ascii="宋体" w:hAnsi="宋体" w:eastAsia="宋体" w:cs="宋体"/>
                <w:b/>
                <w:bCs/>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二十四、债务还本支出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6"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二十五、债务付息支出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二十六、抗疫特别国债安排的支出</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本年收入合计</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本年支出合计</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使用非财政拨款结余</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结余分配</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86"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59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right"/>
              <w:rPr>
                <w:rFonts w:ascii="宋体" w:hAnsi="宋体" w:eastAsia="宋体" w:cs="宋体"/>
                <w:color w:val="000000"/>
                <w:sz w:val="22"/>
                <w:szCs w:val="22"/>
              </w:rPr>
            </w:pPr>
          </w:p>
        </w:tc>
        <w:tc>
          <w:tcPr>
            <w:tcW w:w="1183"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c>
          <w:tcPr>
            <w:tcW w:w="310" w:type="pct"/>
            <w:tcBorders>
              <w:top w:val="dotted" w:color="auto" w:sz="0" w:space="0"/>
              <w:left w:val="dotted" w:color="auto" w:sz="0" w:space="0"/>
              <w:bottom w:val="dotted" w:color="auto" w:sz="4"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w:t>
            </w:r>
          </w:p>
        </w:tc>
        <w:tc>
          <w:tcPr>
            <w:tcW w:w="757" w:type="pct"/>
            <w:tcBorders>
              <w:top w:val="dotted" w:color="auto" w:sz="0" w:space="0"/>
              <w:left w:val="dotted" w:color="auto" w:sz="0" w:space="0"/>
              <w:bottom w:val="dotted" w:color="auto" w:sz="4" w:space="0"/>
              <w:right w:val="dotted" w:color="auto" w:sz="4" w:space="0"/>
            </w:tcBorders>
            <w:shd w:val="clear" w:color="auto" w:fill="FFFFFF"/>
            <w:noWrap/>
            <w:vAlign w:val="center"/>
          </w:tcPr>
          <w:p>
            <w:pPr>
              <w:jc w:val="left"/>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1768" w:type="pct"/>
            <w:tcBorders>
              <w:top w:val="dotted" w:color="auto" w:sz="0" w:space="0"/>
              <w:left w:val="dotted" w:color="auto" w:sz="4" w:space="0"/>
              <w:bottom w:val="dotted" w:color="auto" w:sz="8" w:space="0"/>
              <w:right w:val="dotted" w:color="auto" w:sz="4" w:space="0"/>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386" w:type="pct"/>
            <w:tcBorders>
              <w:top w:val="dotted" w:color="auto" w:sz="0" w:space="0"/>
              <w:left w:val="dotted" w:color="auto" w:sz="0" w:space="0"/>
              <w:bottom w:val="dotted" w:color="auto" w:sz="8"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593" w:type="pct"/>
            <w:tcBorders>
              <w:top w:val="dotted" w:color="auto" w:sz="0" w:space="0"/>
              <w:left w:val="dotted" w:color="auto" w:sz="0" w:space="0"/>
              <w:bottom w:val="dotted" w:color="auto" w:sz="8"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c>
          <w:tcPr>
            <w:tcW w:w="1183" w:type="pct"/>
            <w:tcBorders>
              <w:top w:val="dotted" w:color="auto" w:sz="0" w:space="0"/>
              <w:left w:val="dotted" w:color="auto" w:sz="0" w:space="0"/>
              <w:bottom w:val="dotted" w:color="auto" w:sz="8" w:space="0"/>
              <w:right w:val="dotted" w:color="auto" w:sz="4" w:space="0"/>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310" w:type="pct"/>
            <w:tcBorders>
              <w:top w:val="dotted" w:color="auto" w:sz="0" w:space="0"/>
              <w:left w:val="dotted" w:color="auto" w:sz="0" w:space="0"/>
              <w:bottom w:val="dotted" w:color="auto" w:sz="8" w:space="0"/>
              <w:right w:val="dotted" w:color="auto"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65</w:t>
            </w:r>
          </w:p>
        </w:tc>
        <w:tc>
          <w:tcPr>
            <w:tcW w:w="757" w:type="pct"/>
            <w:tcBorders>
              <w:top w:val="dotted" w:color="auto" w:sz="0" w:space="0"/>
              <w:left w:val="dotted" w:color="auto" w:sz="0" w:space="0"/>
              <w:bottom w:val="dotted" w:color="auto" w:sz="8" w:space="0"/>
              <w:right w:val="dotted" w:color="auto"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0" w:hRule="atLeast"/>
        </w:trPr>
        <w:tc>
          <w:tcPr>
            <w:tcW w:w="5000" w:type="pct"/>
            <w:gridSpan w:val="6"/>
            <w:tcBorders>
              <w:top w:val="dotted" w:color="auto" w:sz="0" w:space="0"/>
              <w:left w:val="dotted" w:color="auto" w:sz="4" w:space="0"/>
              <w:bottom w:val="dotted" w:color="auto" w:sz="4" w:space="0"/>
              <w:right w:val="dotted" w:color="auto"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注：本表反映部门本年度的总收支和年末结转结余情况；本表金额单位转换成万元时，因四舍五入可能存在尾数误差。</w:t>
            </w:r>
          </w:p>
        </w:tc>
      </w:tr>
    </w:tbl>
    <w:p>
      <w:pPr>
        <w:pStyle w:val="2"/>
        <w:ind w:firstLine="0"/>
      </w:pPr>
    </w:p>
    <w:p>
      <w:pPr>
        <w:pStyle w:val="2"/>
        <w:ind w:firstLine="3410" w:firstLineChars="1100"/>
        <w:rPr>
          <w:rFonts w:ascii="黑体" w:hAnsi="黑体" w:eastAsia="黑体"/>
          <w:szCs w:val="32"/>
        </w:rPr>
      </w:pPr>
      <w:r>
        <w:rPr>
          <w:rFonts w:hint="eastAsia" w:ascii="黑体" w:hAnsi="黑体" w:eastAsia="黑体"/>
          <w:szCs w:val="32"/>
        </w:rPr>
        <w:t xml:space="preserve">  收入决算表</w:t>
      </w:r>
    </w:p>
    <w:tbl>
      <w:tblPr>
        <w:tblStyle w:val="5"/>
        <w:tblW w:w="4996" w:type="pct"/>
        <w:tblInd w:w="0" w:type="dxa"/>
        <w:tblLayout w:type="autofit"/>
        <w:tblCellMar>
          <w:top w:w="0" w:type="dxa"/>
          <w:left w:w="108" w:type="dxa"/>
          <w:bottom w:w="0" w:type="dxa"/>
          <w:right w:w="108" w:type="dxa"/>
        </w:tblCellMar>
      </w:tblPr>
      <w:tblGrid>
        <w:gridCol w:w="354"/>
        <w:gridCol w:w="354"/>
        <w:gridCol w:w="354"/>
        <w:gridCol w:w="2975"/>
        <w:gridCol w:w="772"/>
        <w:gridCol w:w="772"/>
        <w:gridCol w:w="494"/>
        <w:gridCol w:w="469"/>
        <w:gridCol w:w="494"/>
        <w:gridCol w:w="494"/>
        <w:gridCol w:w="495"/>
        <w:gridCol w:w="495"/>
      </w:tblGrid>
      <w:tr>
        <w:tblPrEx>
          <w:tblCellMar>
            <w:top w:w="0" w:type="dxa"/>
            <w:left w:w="108" w:type="dxa"/>
            <w:bottom w:w="0" w:type="dxa"/>
            <w:right w:w="108" w:type="dxa"/>
          </w:tblCellMar>
        </w:tblPrEx>
        <w:trPr>
          <w:trHeight w:val="235" w:hRule="atLeast"/>
        </w:trPr>
        <w:tc>
          <w:tcPr>
            <w:tcW w:w="43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54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364"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本年收入合计</w:t>
            </w:r>
          </w:p>
        </w:tc>
        <w:tc>
          <w:tcPr>
            <w:tcW w:w="364"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财政拨款收入</w:t>
            </w:r>
          </w:p>
        </w:tc>
        <w:tc>
          <w:tcPr>
            <w:tcW w:w="217"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上级补助收入</w:t>
            </w:r>
          </w:p>
        </w:tc>
        <w:tc>
          <w:tcPr>
            <w:tcW w:w="422"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事业收入</w:t>
            </w:r>
          </w:p>
        </w:tc>
        <w:tc>
          <w:tcPr>
            <w:tcW w:w="217"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经营收入</w:t>
            </w:r>
          </w:p>
        </w:tc>
        <w:tc>
          <w:tcPr>
            <w:tcW w:w="217"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附属单位上缴收入</w:t>
            </w:r>
          </w:p>
        </w:tc>
        <w:tc>
          <w:tcPr>
            <w:tcW w:w="217"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43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4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6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04"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21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其中：教育收费</w:t>
            </w: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43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4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6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04"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43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4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6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04"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35" w:hRule="atLeast"/>
        </w:trPr>
        <w:tc>
          <w:tcPr>
            <w:tcW w:w="143"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143"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144"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6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6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17"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0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4</w:t>
            </w:r>
          </w:p>
        </w:tc>
        <w:tc>
          <w:tcPr>
            <w:tcW w:w="217"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17"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17"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17"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r>
      <w:tr>
        <w:tblPrEx>
          <w:tblCellMar>
            <w:top w:w="0" w:type="dxa"/>
            <w:left w:w="108" w:type="dxa"/>
            <w:bottom w:w="0" w:type="dxa"/>
            <w:right w:w="108" w:type="dxa"/>
          </w:tblCellMar>
        </w:tblPrEx>
        <w:trPr>
          <w:trHeight w:val="235" w:hRule="atLeast"/>
        </w:trPr>
        <w:tc>
          <w:tcPr>
            <w:tcW w:w="14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3"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4"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544"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2,965.78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2,965.78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rPr>
            </w:pPr>
            <w:r>
              <w:rPr>
                <w:rFonts w:hint="eastAsia" w:ascii="宋体" w:hAnsi="宋体" w:eastAsia="宋体" w:cs="宋体"/>
                <w:b/>
                <w:bCs/>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人大事务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2010101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政府办公厅（室）及相关机构事务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779.32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779.32</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749.99</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749.99</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2010308</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信访事务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其他政府办公厅（室）及相关机构事务支出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20105</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统计信息事务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2010507</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专项普查活动</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20106</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2010601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党委办公厅（室）及相关机构事务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组织事务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2013202</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其他共产党事务支出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20138</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市场监督管理事务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2013899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其他市场监督管理事务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文化旅游体育与传媒支出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文化和旅游</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2070109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群众文化</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人力资源和社会保障管理事务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2080109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社会保险经办机构</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民政管理事务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其他民政管理事务支出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行政事业单位养老支出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44"/>
                <w:szCs w:val="44"/>
              </w:rPr>
            </w:pPr>
            <w:r>
              <w:rPr>
                <w:rFonts w:hint="eastAsia" w:ascii="宋体" w:hAnsi="宋体" w:eastAsia="宋体" w:cs="宋体"/>
                <w:color w:val="000000"/>
                <w:kern w:val="0"/>
                <w:sz w:val="22"/>
                <w:szCs w:val="22"/>
              </w:rPr>
              <w:t>机关事业单位基本养老保险缴费支出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20807</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就业补助</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2080799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其他就业补助支出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退役安置</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退役士兵安置</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临时救助</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临时救助支出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卫生健康支出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21004</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公共卫生</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2100410</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突发公共卫生事件应急处理</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21007</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计划生育事务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2100716</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bookmarkStart w:id="0" w:name="_GoBack"/>
            <w:bookmarkEnd w:id="0"/>
            <w:r>
              <w:rPr>
                <w:rFonts w:hint="eastAsia" w:ascii="宋体" w:hAnsi="宋体" w:eastAsia="宋体" w:cs="宋体"/>
                <w:color w:val="000000"/>
                <w:kern w:val="0"/>
                <w:sz w:val="22"/>
                <w:szCs w:val="22"/>
              </w:rPr>
              <w:t>计划生育机构</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行政事业单位医疗</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22.92</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行政单位医疗</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11.37</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11.37</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2101102</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事业单位医疗</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2101103</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其他行政事业单位医疗支出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节能环保支出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环境保护管理事务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2110199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其他环境保护管理事务支出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1,727.55</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1,727.55</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城乡社区管理事务</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其他城乡社区管理事务支出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城乡社区公共设施</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其他城乡社区公共设施支出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城乡社区环境卫生</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城乡社区环境卫生</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农林水支出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21303</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水利</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2130399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其他水利支出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住房保障支出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住房改革支出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彩票公益金安排的支出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4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2296002</w:t>
            </w:r>
          </w:p>
        </w:tc>
        <w:tc>
          <w:tcPr>
            <w:tcW w:w="254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用于社会福利的彩票公益金支出</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5000" w:type="pct"/>
            <w:gridSpan w:val="12"/>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注：本表反映部门本年度取得的各项收入情况；本表金额单位转换成万元时，因四舍五入可能存在尾数误差。</w:t>
            </w:r>
          </w:p>
        </w:tc>
      </w:tr>
    </w:tbl>
    <w:p>
      <w:pPr>
        <w:pStyle w:val="2"/>
        <w:ind w:firstLine="3720" w:firstLineChars="1200"/>
        <w:rPr>
          <w:rFonts w:ascii="黑体" w:hAnsi="黑体" w:eastAsia="黑体"/>
          <w:szCs w:val="32"/>
        </w:rPr>
      </w:pPr>
      <w:r>
        <w:rPr>
          <w:rFonts w:hint="eastAsia" w:ascii="黑体" w:hAnsi="黑体" w:eastAsia="黑体"/>
          <w:szCs w:val="32"/>
        </w:rPr>
        <w:t>支出决算表</w:t>
      </w:r>
    </w:p>
    <w:tbl>
      <w:tblPr>
        <w:tblStyle w:val="5"/>
        <w:tblW w:w="8370" w:type="dxa"/>
        <w:tblInd w:w="93" w:type="dxa"/>
        <w:tblLayout w:type="autofit"/>
        <w:tblCellMar>
          <w:top w:w="0" w:type="dxa"/>
          <w:left w:w="108" w:type="dxa"/>
          <w:bottom w:w="0" w:type="dxa"/>
          <w:right w:w="108" w:type="dxa"/>
        </w:tblCellMar>
      </w:tblPr>
      <w:tblGrid>
        <w:gridCol w:w="2054"/>
        <w:gridCol w:w="317"/>
        <w:gridCol w:w="317"/>
        <w:gridCol w:w="2238"/>
        <w:gridCol w:w="624"/>
        <w:gridCol w:w="624"/>
        <w:gridCol w:w="624"/>
        <w:gridCol w:w="551"/>
        <w:gridCol w:w="496"/>
        <w:gridCol w:w="584"/>
      </w:tblGrid>
      <w:tr>
        <w:tblPrEx>
          <w:tblCellMar>
            <w:top w:w="0" w:type="dxa"/>
            <w:left w:w="108" w:type="dxa"/>
            <w:bottom w:w="0" w:type="dxa"/>
            <w:right w:w="108" w:type="dxa"/>
          </w:tblCellMar>
        </w:tblPrEx>
        <w:trPr>
          <w:trHeight w:val="255" w:hRule="atLeast"/>
        </w:trPr>
        <w:tc>
          <w:tcPr>
            <w:tcW w:w="256" w:type="dxa"/>
            <w:tcBorders>
              <w:top w:val="nil"/>
              <w:left w:val="nil"/>
              <w:bottom w:val="nil"/>
              <w:right w:val="nil"/>
            </w:tcBorders>
            <w:shd w:val="clear" w:color="auto" w:fill="auto"/>
            <w:noWrap/>
            <w:vAlign w:val="bottom"/>
          </w:tcPr>
          <w:p>
            <w:pPr>
              <w:rPr>
                <w:rFonts w:ascii="Arial" w:hAnsi="Arial" w:cs="Arial"/>
                <w:color w:val="000000"/>
                <w:sz w:val="20"/>
              </w:rPr>
            </w:pPr>
          </w:p>
        </w:tc>
        <w:tc>
          <w:tcPr>
            <w:tcW w:w="256" w:type="dxa"/>
            <w:tcBorders>
              <w:top w:val="nil"/>
              <w:left w:val="nil"/>
              <w:bottom w:val="nil"/>
              <w:right w:val="nil"/>
            </w:tcBorders>
            <w:shd w:val="clear" w:color="auto" w:fill="auto"/>
            <w:noWrap/>
            <w:vAlign w:val="bottom"/>
          </w:tcPr>
          <w:p>
            <w:pPr>
              <w:rPr>
                <w:rFonts w:ascii="Arial" w:hAnsi="Arial" w:cs="Arial"/>
                <w:color w:val="000000"/>
                <w:sz w:val="20"/>
              </w:rPr>
            </w:pPr>
          </w:p>
        </w:tc>
        <w:tc>
          <w:tcPr>
            <w:tcW w:w="256" w:type="dxa"/>
            <w:tcBorders>
              <w:top w:val="nil"/>
              <w:left w:val="nil"/>
              <w:bottom w:val="nil"/>
              <w:right w:val="nil"/>
            </w:tcBorders>
            <w:shd w:val="clear" w:color="auto" w:fill="auto"/>
            <w:noWrap/>
            <w:vAlign w:val="bottom"/>
          </w:tcPr>
          <w:p>
            <w:pPr>
              <w:rPr>
                <w:rFonts w:ascii="Arial" w:hAnsi="Arial" w:cs="Arial"/>
                <w:color w:val="000000"/>
                <w:sz w:val="20"/>
              </w:rPr>
            </w:pPr>
          </w:p>
        </w:tc>
        <w:tc>
          <w:tcPr>
            <w:tcW w:w="2160" w:type="dxa"/>
            <w:tcBorders>
              <w:top w:val="nil"/>
              <w:left w:val="nil"/>
              <w:bottom w:val="nil"/>
              <w:right w:val="nil"/>
            </w:tcBorders>
            <w:shd w:val="clear" w:color="auto" w:fill="auto"/>
            <w:noWrap/>
            <w:vAlign w:val="bottom"/>
          </w:tcPr>
          <w:p>
            <w:pPr>
              <w:rPr>
                <w:rFonts w:ascii="Arial" w:hAnsi="Arial" w:cs="Arial"/>
                <w:color w:val="000000"/>
                <w:sz w:val="20"/>
              </w:rPr>
            </w:pPr>
          </w:p>
        </w:tc>
        <w:tc>
          <w:tcPr>
            <w:tcW w:w="975" w:type="dxa"/>
            <w:tcBorders>
              <w:top w:val="nil"/>
              <w:left w:val="nil"/>
              <w:bottom w:val="nil"/>
              <w:right w:val="nil"/>
            </w:tcBorders>
            <w:shd w:val="clear" w:color="auto" w:fill="auto"/>
            <w:noWrap/>
            <w:vAlign w:val="bottom"/>
          </w:tcPr>
          <w:p>
            <w:pPr>
              <w:rPr>
                <w:rFonts w:ascii="Arial" w:hAnsi="Arial" w:cs="Arial"/>
                <w:color w:val="000000"/>
                <w:sz w:val="20"/>
              </w:rPr>
            </w:pPr>
          </w:p>
        </w:tc>
        <w:tc>
          <w:tcPr>
            <w:tcW w:w="1050" w:type="dxa"/>
            <w:tcBorders>
              <w:top w:val="nil"/>
              <w:left w:val="nil"/>
              <w:bottom w:val="nil"/>
              <w:right w:val="nil"/>
            </w:tcBorders>
            <w:shd w:val="clear" w:color="auto" w:fill="auto"/>
            <w:noWrap/>
            <w:vAlign w:val="bottom"/>
          </w:tcPr>
          <w:p>
            <w:pPr>
              <w:rPr>
                <w:rFonts w:ascii="Arial" w:hAnsi="Arial" w:cs="Arial"/>
                <w:color w:val="000000"/>
                <w:sz w:val="20"/>
              </w:rPr>
            </w:pPr>
          </w:p>
        </w:tc>
        <w:tc>
          <w:tcPr>
            <w:tcW w:w="900" w:type="dxa"/>
            <w:tcBorders>
              <w:top w:val="nil"/>
              <w:left w:val="nil"/>
              <w:bottom w:val="nil"/>
              <w:right w:val="nil"/>
            </w:tcBorders>
            <w:shd w:val="clear" w:color="auto" w:fill="auto"/>
            <w:noWrap/>
            <w:vAlign w:val="bottom"/>
          </w:tcPr>
          <w:p>
            <w:pPr>
              <w:rPr>
                <w:rFonts w:ascii="Arial" w:hAnsi="Arial" w:cs="Arial"/>
                <w:color w:val="000000"/>
                <w:sz w:val="20"/>
              </w:rPr>
            </w:pPr>
          </w:p>
        </w:tc>
        <w:tc>
          <w:tcPr>
            <w:tcW w:w="945" w:type="dxa"/>
            <w:tcBorders>
              <w:top w:val="nil"/>
              <w:left w:val="nil"/>
              <w:bottom w:val="nil"/>
              <w:right w:val="nil"/>
            </w:tcBorders>
            <w:shd w:val="clear" w:color="auto" w:fill="auto"/>
            <w:noWrap/>
            <w:vAlign w:val="bottom"/>
          </w:tcPr>
          <w:p>
            <w:pPr>
              <w:rPr>
                <w:rFonts w:ascii="Arial" w:hAnsi="Arial" w:cs="Arial"/>
                <w:color w:val="000000"/>
                <w:sz w:val="20"/>
              </w:rPr>
            </w:pPr>
          </w:p>
        </w:tc>
        <w:tc>
          <w:tcPr>
            <w:tcW w:w="825" w:type="dxa"/>
            <w:tcBorders>
              <w:top w:val="nil"/>
              <w:left w:val="nil"/>
              <w:bottom w:val="nil"/>
              <w:right w:val="nil"/>
            </w:tcBorders>
            <w:shd w:val="clear" w:color="auto" w:fill="auto"/>
            <w:noWrap/>
            <w:vAlign w:val="bottom"/>
          </w:tcPr>
          <w:p>
            <w:pPr>
              <w:rPr>
                <w:rFonts w:ascii="Arial" w:hAnsi="Arial" w:cs="Arial"/>
                <w:color w:val="000000"/>
                <w:sz w:val="20"/>
              </w:rPr>
            </w:pPr>
          </w:p>
        </w:tc>
        <w:tc>
          <w:tcPr>
            <w:tcW w:w="750"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0"/>
              </w:rPr>
              <w:t>部门：宿州市埇桥区东关办事处部门决算汇总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9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94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82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75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35"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9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05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8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75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23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2,965.78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1,259.26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人大事务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779.32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779.32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2010601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组织事务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社会保险经办机构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就业补助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2080799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其他就业补助支出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退役安置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临时救助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临时救助支出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公共卫生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2100410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2100716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1,727.55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水利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注：本表反映部门本年度各项支出情况；本表金额单位转换成万元时，因四舍五入可能存在尾数误差。</w:t>
            </w:r>
          </w:p>
        </w:tc>
      </w:tr>
    </w:tbl>
    <w:p>
      <w:pPr>
        <w:pStyle w:val="2"/>
        <w:ind w:firstLine="3410" w:firstLineChars="1100"/>
        <w:rPr>
          <w:rFonts w:ascii="黑体" w:hAnsi="黑体" w:eastAsia="黑体"/>
          <w:szCs w:val="32"/>
        </w:rPr>
      </w:pPr>
    </w:p>
    <w:p>
      <w:pPr>
        <w:jc w:val="center"/>
        <w:rPr>
          <w:rFonts w:ascii="黑体" w:hAnsi="黑体" w:eastAsia="黑体"/>
          <w:color w:val="000000"/>
          <w:szCs w:val="32"/>
        </w:rPr>
      </w:pPr>
    </w:p>
    <w:p>
      <w:pPr>
        <w:jc w:val="center"/>
        <w:rPr>
          <w:rFonts w:ascii="黑体" w:hAnsi="黑体" w:eastAsia="黑体"/>
          <w:color w:val="000000"/>
          <w:szCs w:val="32"/>
        </w:rPr>
      </w:pPr>
      <w:r>
        <w:rPr>
          <w:rFonts w:hint="eastAsia" w:ascii="黑体" w:hAnsi="黑体" w:eastAsia="黑体"/>
          <w:color w:val="000000"/>
          <w:szCs w:val="32"/>
        </w:rPr>
        <w:t>财政拨款收入支出决算总表</w:t>
      </w:r>
    </w:p>
    <w:tbl>
      <w:tblPr>
        <w:tblStyle w:val="5"/>
        <w:tblW w:w="4996" w:type="pct"/>
        <w:tblInd w:w="0" w:type="dxa"/>
        <w:tblLayout w:type="autofit"/>
        <w:tblCellMar>
          <w:top w:w="0" w:type="dxa"/>
          <w:left w:w="108" w:type="dxa"/>
          <w:bottom w:w="0" w:type="dxa"/>
          <w:right w:w="108" w:type="dxa"/>
        </w:tblCellMar>
      </w:tblPr>
      <w:tblGrid>
        <w:gridCol w:w="2459"/>
        <w:gridCol w:w="339"/>
        <w:gridCol w:w="709"/>
        <w:gridCol w:w="2067"/>
        <w:gridCol w:w="339"/>
        <w:gridCol w:w="709"/>
        <w:gridCol w:w="709"/>
        <w:gridCol w:w="525"/>
        <w:gridCol w:w="666"/>
      </w:tblGrid>
      <w:tr>
        <w:tblPrEx>
          <w:tblCellMar>
            <w:top w:w="0" w:type="dxa"/>
            <w:left w:w="108" w:type="dxa"/>
            <w:bottom w:w="0" w:type="dxa"/>
            <w:right w:w="108" w:type="dxa"/>
          </w:tblCellMar>
        </w:tblPrEx>
        <w:trPr>
          <w:trHeight w:val="608" w:hRule="atLeast"/>
        </w:trPr>
        <w:tc>
          <w:tcPr>
            <w:tcW w:w="1338" w:type="pct"/>
            <w:tcBorders>
              <w:top w:val="nil"/>
              <w:left w:val="nil"/>
              <w:bottom w:val="nil"/>
              <w:right w:val="nil"/>
            </w:tcBorders>
            <w:shd w:val="clear" w:color="auto" w:fill="auto"/>
            <w:noWrap/>
            <w:vAlign w:val="bottom"/>
          </w:tcPr>
          <w:p>
            <w:pPr>
              <w:rPr>
                <w:rFonts w:ascii="Arial" w:hAnsi="Arial" w:cs="Arial"/>
                <w:color w:val="000000"/>
                <w:sz w:val="20"/>
              </w:rPr>
            </w:pPr>
          </w:p>
        </w:tc>
        <w:tc>
          <w:tcPr>
            <w:tcW w:w="199" w:type="pct"/>
            <w:tcBorders>
              <w:top w:val="nil"/>
              <w:left w:val="nil"/>
              <w:bottom w:val="nil"/>
              <w:right w:val="nil"/>
            </w:tcBorders>
            <w:shd w:val="clear" w:color="auto" w:fill="auto"/>
            <w:noWrap/>
            <w:vAlign w:val="bottom"/>
          </w:tcPr>
          <w:p>
            <w:pPr>
              <w:rPr>
                <w:rFonts w:ascii="Arial" w:hAnsi="Arial" w:cs="Arial"/>
                <w:color w:val="000000"/>
                <w:sz w:val="20"/>
              </w:rPr>
            </w:pPr>
          </w:p>
        </w:tc>
        <w:tc>
          <w:tcPr>
            <w:tcW w:w="482" w:type="pct"/>
            <w:tcBorders>
              <w:top w:val="nil"/>
              <w:left w:val="nil"/>
              <w:bottom w:val="nil"/>
              <w:right w:val="nil"/>
            </w:tcBorders>
            <w:shd w:val="clear" w:color="auto" w:fill="auto"/>
            <w:noWrap/>
            <w:vAlign w:val="bottom"/>
          </w:tcPr>
          <w:p>
            <w:pPr>
              <w:rPr>
                <w:rFonts w:ascii="Arial" w:hAnsi="Arial" w:cs="Arial"/>
                <w:color w:val="000000"/>
                <w:sz w:val="20"/>
              </w:rPr>
            </w:pPr>
          </w:p>
        </w:tc>
        <w:tc>
          <w:tcPr>
            <w:tcW w:w="1123" w:type="pct"/>
            <w:tcBorders>
              <w:top w:val="nil"/>
              <w:left w:val="nil"/>
              <w:bottom w:val="nil"/>
              <w:right w:val="nil"/>
            </w:tcBorders>
            <w:shd w:val="clear" w:color="auto" w:fill="auto"/>
            <w:noWrap/>
            <w:vAlign w:val="bottom"/>
          </w:tcPr>
          <w:p>
            <w:pPr>
              <w:rPr>
                <w:rFonts w:ascii="Arial" w:hAnsi="Arial" w:cs="Arial"/>
                <w:color w:val="000000"/>
                <w:sz w:val="20"/>
              </w:rPr>
            </w:pPr>
          </w:p>
        </w:tc>
        <w:tc>
          <w:tcPr>
            <w:tcW w:w="199" w:type="pct"/>
            <w:tcBorders>
              <w:top w:val="nil"/>
              <w:left w:val="nil"/>
              <w:bottom w:val="nil"/>
              <w:right w:val="nil"/>
            </w:tcBorders>
            <w:shd w:val="clear" w:color="auto" w:fill="auto"/>
            <w:noWrap/>
            <w:vAlign w:val="bottom"/>
          </w:tcPr>
          <w:p>
            <w:pPr>
              <w:rPr>
                <w:rFonts w:ascii="Arial" w:hAnsi="Arial" w:cs="Arial"/>
                <w:color w:val="000000"/>
                <w:sz w:val="20"/>
              </w:rPr>
            </w:pPr>
          </w:p>
        </w:tc>
        <w:tc>
          <w:tcPr>
            <w:tcW w:w="482" w:type="pct"/>
            <w:tcBorders>
              <w:top w:val="nil"/>
              <w:left w:val="nil"/>
              <w:bottom w:val="nil"/>
              <w:right w:val="nil"/>
            </w:tcBorders>
            <w:shd w:val="clear" w:color="auto" w:fill="auto"/>
            <w:noWrap/>
            <w:vAlign w:val="bottom"/>
          </w:tcPr>
          <w:p>
            <w:pPr>
              <w:rPr>
                <w:rFonts w:ascii="Arial" w:hAnsi="Arial" w:cs="Arial"/>
                <w:color w:val="000000"/>
                <w:sz w:val="20"/>
              </w:rPr>
            </w:pPr>
          </w:p>
        </w:tc>
        <w:tc>
          <w:tcPr>
            <w:tcW w:w="482" w:type="pct"/>
            <w:tcBorders>
              <w:top w:val="nil"/>
              <w:left w:val="nil"/>
              <w:bottom w:val="nil"/>
              <w:right w:val="nil"/>
            </w:tcBorders>
            <w:shd w:val="clear" w:color="auto" w:fill="auto"/>
            <w:noWrap/>
            <w:vAlign w:val="bottom"/>
          </w:tcPr>
          <w:p>
            <w:pPr>
              <w:rPr>
                <w:rFonts w:ascii="Arial" w:hAnsi="Arial" w:cs="Arial"/>
                <w:color w:val="000000"/>
                <w:sz w:val="20"/>
              </w:rPr>
            </w:pPr>
          </w:p>
        </w:tc>
        <w:tc>
          <w:tcPr>
            <w:tcW w:w="341" w:type="pct"/>
            <w:tcBorders>
              <w:top w:val="nil"/>
              <w:left w:val="nil"/>
              <w:bottom w:val="nil"/>
              <w:right w:val="nil"/>
            </w:tcBorders>
            <w:shd w:val="clear" w:color="auto" w:fill="auto"/>
            <w:noWrap/>
            <w:vAlign w:val="bottom"/>
          </w:tcPr>
          <w:p>
            <w:pPr>
              <w:rPr>
                <w:rFonts w:ascii="Arial" w:hAnsi="Arial" w:cs="Arial"/>
                <w:color w:val="000000"/>
                <w:sz w:val="20"/>
              </w:rPr>
            </w:pPr>
          </w:p>
        </w:tc>
        <w:tc>
          <w:tcPr>
            <w:tcW w:w="351"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CellMar>
            <w:top w:w="0" w:type="dxa"/>
            <w:left w:w="108" w:type="dxa"/>
            <w:bottom w:w="0" w:type="dxa"/>
            <w:right w:w="108" w:type="dxa"/>
          </w:tblCellMar>
        </w:tblPrEx>
        <w:trPr>
          <w:trHeight w:val="608" w:hRule="atLeast"/>
        </w:trPr>
        <w:tc>
          <w:tcPr>
            <w:tcW w:w="1338"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0"/>
              </w:rPr>
              <w:t>部门：宿州市埇桥区东关办事处部门决算汇总</w:t>
            </w:r>
          </w:p>
        </w:tc>
        <w:tc>
          <w:tcPr>
            <w:tcW w:w="199" w:type="pct"/>
            <w:tcBorders>
              <w:top w:val="nil"/>
              <w:left w:val="nil"/>
              <w:bottom w:val="nil"/>
              <w:right w:val="nil"/>
            </w:tcBorders>
            <w:shd w:val="clear" w:color="auto" w:fill="auto"/>
            <w:noWrap/>
            <w:vAlign w:val="bottom"/>
          </w:tcPr>
          <w:p>
            <w:pPr>
              <w:rPr>
                <w:rFonts w:ascii="Arial" w:hAnsi="Arial" w:cs="Arial"/>
                <w:color w:val="000000"/>
                <w:sz w:val="20"/>
              </w:rPr>
            </w:pPr>
          </w:p>
        </w:tc>
        <w:tc>
          <w:tcPr>
            <w:tcW w:w="482" w:type="pct"/>
            <w:tcBorders>
              <w:top w:val="nil"/>
              <w:left w:val="nil"/>
              <w:bottom w:val="nil"/>
              <w:right w:val="nil"/>
            </w:tcBorders>
            <w:shd w:val="clear" w:color="auto" w:fill="auto"/>
            <w:noWrap/>
            <w:vAlign w:val="bottom"/>
          </w:tcPr>
          <w:p>
            <w:pPr>
              <w:rPr>
                <w:rFonts w:ascii="Arial" w:hAnsi="Arial" w:cs="Arial"/>
                <w:color w:val="000000"/>
                <w:sz w:val="20"/>
              </w:rPr>
            </w:pPr>
          </w:p>
        </w:tc>
        <w:tc>
          <w:tcPr>
            <w:tcW w:w="1123" w:type="pct"/>
            <w:tcBorders>
              <w:top w:val="nil"/>
              <w:left w:val="nil"/>
              <w:bottom w:val="nil"/>
              <w:right w:val="nil"/>
            </w:tcBorders>
            <w:shd w:val="clear" w:color="auto" w:fill="auto"/>
            <w:noWrap/>
            <w:vAlign w:val="bottom"/>
          </w:tcPr>
          <w:p>
            <w:pPr>
              <w:rPr>
                <w:rFonts w:ascii="Arial" w:hAnsi="Arial" w:cs="Arial"/>
                <w:color w:val="000000"/>
                <w:sz w:val="20"/>
              </w:rPr>
            </w:pPr>
          </w:p>
        </w:tc>
        <w:tc>
          <w:tcPr>
            <w:tcW w:w="199" w:type="pct"/>
            <w:tcBorders>
              <w:top w:val="nil"/>
              <w:left w:val="nil"/>
              <w:bottom w:val="nil"/>
              <w:right w:val="nil"/>
            </w:tcBorders>
            <w:shd w:val="clear" w:color="auto" w:fill="auto"/>
            <w:noWrap/>
            <w:vAlign w:val="bottom"/>
          </w:tcPr>
          <w:p>
            <w:pPr>
              <w:rPr>
                <w:rFonts w:ascii="Arial" w:hAnsi="Arial" w:cs="Arial"/>
                <w:color w:val="000000"/>
                <w:sz w:val="20"/>
              </w:rPr>
            </w:pPr>
          </w:p>
        </w:tc>
        <w:tc>
          <w:tcPr>
            <w:tcW w:w="482" w:type="pct"/>
            <w:tcBorders>
              <w:top w:val="nil"/>
              <w:left w:val="nil"/>
              <w:bottom w:val="nil"/>
              <w:right w:val="nil"/>
            </w:tcBorders>
            <w:shd w:val="clear" w:color="auto" w:fill="auto"/>
            <w:noWrap/>
            <w:vAlign w:val="bottom"/>
          </w:tcPr>
          <w:p>
            <w:pPr>
              <w:rPr>
                <w:rFonts w:ascii="Arial" w:hAnsi="Arial" w:cs="Arial"/>
                <w:color w:val="000000"/>
                <w:sz w:val="20"/>
              </w:rPr>
            </w:pPr>
          </w:p>
        </w:tc>
        <w:tc>
          <w:tcPr>
            <w:tcW w:w="482" w:type="pct"/>
            <w:tcBorders>
              <w:top w:val="nil"/>
              <w:left w:val="nil"/>
              <w:bottom w:val="nil"/>
              <w:right w:val="nil"/>
            </w:tcBorders>
            <w:shd w:val="clear" w:color="auto" w:fill="auto"/>
            <w:noWrap/>
            <w:vAlign w:val="bottom"/>
          </w:tcPr>
          <w:p>
            <w:pPr>
              <w:rPr>
                <w:rFonts w:ascii="Arial" w:hAnsi="Arial" w:cs="Arial"/>
                <w:color w:val="000000"/>
                <w:sz w:val="20"/>
              </w:rPr>
            </w:pPr>
          </w:p>
        </w:tc>
        <w:tc>
          <w:tcPr>
            <w:tcW w:w="341" w:type="pct"/>
            <w:tcBorders>
              <w:top w:val="nil"/>
              <w:left w:val="nil"/>
              <w:bottom w:val="nil"/>
              <w:right w:val="nil"/>
            </w:tcBorders>
            <w:shd w:val="clear" w:color="auto" w:fill="auto"/>
            <w:noWrap/>
            <w:vAlign w:val="bottom"/>
          </w:tcPr>
          <w:p>
            <w:pPr>
              <w:rPr>
                <w:rFonts w:ascii="Arial" w:hAnsi="Arial" w:cs="Arial"/>
                <w:color w:val="000000"/>
                <w:sz w:val="20"/>
              </w:rPr>
            </w:pPr>
          </w:p>
        </w:tc>
        <w:tc>
          <w:tcPr>
            <w:tcW w:w="351"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639" w:hRule="atLeast"/>
        </w:trPr>
        <w:tc>
          <w:tcPr>
            <w:tcW w:w="20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2980" w:type="pct"/>
            <w:gridSpan w:val="6"/>
            <w:tcBorders>
              <w:top w:val="single" w:color="000000" w:sz="4" w:space="0"/>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624" w:hRule="atLeast"/>
        </w:trPr>
        <w:tc>
          <w:tcPr>
            <w:tcW w:w="133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rPr>
              <w:t>项目</w:t>
            </w:r>
          </w:p>
          <w:p>
            <w:pPr>
              <w:pStyle w:val="2"/>
            </w:pPr>
          </w:p>
        </w:tc>
        <w:tc>
          <w:tcPr>
            <w:tcW w:w="19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482"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1123"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9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482"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482"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341"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c>
          <w:tcPr>
            <w:tcW w:w="351" w:type="pct"/>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国有资本经营预算财政拨款</w:t>
            </w:r>
          </w:p>
        </w:tc>
      </w:tr>
      <w:tr>
        <w:tblPrEx>
          <w:tblCellMar>
            <w:top w:w="0" w:type="dxa"/>
            <w:left w:w="108" w:type="dxa"/>
            <w:bottom w:w="0" w:type="dxa"/>
            <w:right w:w="108" w:type="dxa"/>
          </w:tblCellMar>
        </w:tblPrEx>
        <w:trPr>
          <w:trHeight w:val="2900" w:hRule="atLeast"/>
        </w:trPr>
        <w:tc>
          <w:tcPr>
            <w:tcW w:w="133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82"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23"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82"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82"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1"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51" w:type="pct"/>
            <w:vMerge w:val="continue"/>
            <w:tcBorders>
              <w:top w:val="nil"/>
              <w:left w:val="nil"/>
              <w:bottom w:val="single" w:color="000000" w:sz="4"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9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82"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9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82"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5</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2,945.78</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三、国有资本经营预算财政拨款</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1,727.55</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1,727.55</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十四、资源勘探工业信息等支出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二十一、国有资本经营预算支出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二十二、灾害防治及应急管理支出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rPr>
            </w:pP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48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二十三、其他支出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本年收入合计</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二十四、债务还本支出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年初财政拨款结转和结余</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二十五、债务付息支出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一般公共预算财政拨款</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二十六、抗疫特别国债安排的支出</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政府性基金预算财政拨款</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本年支出合计</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2,945.78</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国有资本经营预算财政拨款</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2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年末财政拨款结转和结余</w:t>
            </w:r>
          </w:p>
        </w:tc>
        <w:tc>
          <w:tcPr>
            <w:tcW w:w="19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8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51"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39" w:hRule="atLeast"/>
        </w:trPr>
        <w:tc>
          <w:tcPr>
            <w:tcW w:w="1338" w:type="pct"/>
            <w:tcBorders>
              <w:top w:val="nil"/>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199"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482" w:type="pct"/>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c>
          <w:tcPr>
            <w:tcW w:w="1123"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199"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482" w:type="pct"/>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2,965.78</w:t>
            </w:r>
          </w:p>
        </w:tc>
        <w:tc>
          <w:tcPr>
            <w:tcW w:w="482" w:type="pct"/>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2,945.78</w:t>
            </w:r>
          </w:p>
        </w:tc>
        <w:tc>
          <w:tcPr>
            <w:tcW w:w="341" w:type="pct"/>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351" w:type="pct"/>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1279" w:hRule="atLeast"/>
        </w:trPr>
        <w:tc>
          <w:tcPr>
            <w:tcW w:w="4648" w:type="pct"/>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注：本表反映部门本年度一般公共预算财政拨款、政府性基金预算财政拨款和国有资本经营预算财政拨款的总收支和年末结转结余情况；本表金额单位转换成万元时，因四舍五入可能存在尾数误差。</w:t>
            </w:r>
          </w:p>
        </w:tc>
        <w:tc>
          <w:tcPr>
            <w:tcW w:w="351" w:type="pct"/>
            <w:tcBorders>
              <w:top w:val="nil"/>
              <w:left w:val="nil"/>
              <w:bottom w:val="nil"/>
              <w:right w:val="nil"/>
            </w:tcBorders>
            <w:shd w:val="clear" w:color="auto" w:fill="auto"/>
            <w:vAlign w:val="center"/>
          </w:tcPr>
          <w:p>
            <w:pPr>
              <w:jc w:val="left"/>
              <w:rPr>
                <w:rFonts w:ascii="宋体" w:hAnsi="宋体" w:eastAsia="宋体" w:cs="宋体"/>
                <w:color w:val="000000"/>
                <w:sz w:val="20"/>
              </w:rPr>
            </w:pPr>
          </w:p>
        </w:tc>
      </w:tr>
    </w:tbl>
    <w:p>
      <w:pPr>
        <w:jc w:val="center"/>
        <w:rPr>
          <w:rFonts w:ascii="黑体" w:hAnsi="黑体" w:eastAsia="黑体"/>
          <w:color w:val="000000"/>
          <w:szCs w:val="32"/>
        </w:rPr>
      </w:pPr>
    </w:p>
    <w:p>
      <w:pPr>
        <w:jc w:val="center"/>
        <w:rPr>
          <w:rFonts w:ascii="黑体" w:hAnsi="黑体" w:eastAsia="黑体"/>
          <w:color w:val="000000"/>
          <w:szCs w:val="32"/>
        </w:rPr>
      </w:pPr>
    </w:p>
    <w:p>
      <w:pPr>
        <w:jc w:val="center"/>
        <w:rPr>
          <w:rFonts w:ascii="黑体" w:hAnsi="黑体" w:eastAsia="黑体"/>
          <w:color w:val="000000"/>
          <w:szCs w:val="32"/>
        </w:rPr>
      </w:pPr>
      <w:r>
        <w:rPr>
          <w:rFonts w:hint="eastAsia" w:ascii="黑体" w:hAnsi="黑体" w:eastAsia="黑体"/>
          <w:color w:val="000000"/>
          <w:szCs w:val="32"/>
        </w:rPr>
        <w:t>一般公共预算财政拨款支出决算表</w:t>
      </w:r>
    </w:p>
    <w:tbl>
      <w:tblPr>
        <w:tblStyle w:val="5"/>
        <w:tblW w:w="6885" w:type="dxa"/>
        <w:tblInd w:w="93" w:type="dxa"/>
        <w:tblLayout w:type="autofit"/>
        <w:tblCellMar>
          <w:top w:w="0" w:type="dxa"/>
          <w:left w:w="108" w:type="dxa"/>
          <w:bottom w:w="0" w:type="dxa"/>
          <w:right w:w="108" w:type="dxa"/>
        </w:tblCellMar>
      </w:tblPr>
      <w:tblGrid>
        <w:gridCol w:w="2500"/>
        <w:gridCol w:w="341"/>
        <w:gridCol w:w="342"/>
        <w:gridCol w:w="2729"/>
        <w:gridCol w:w="839"/>
        <w:gridCol w:w="839"/>
        <w:gridCol w:w="839"/>
      </w:tblGrid>
      <w:tr>
        <w:tblPrEx>
          <w:tblCellMar>
            <w:top w:w="0" w:type="dxa"/>
            <w:left w:w="108" w:type="dxa"/>
            <w:bottom w:w="0" w:type="dxa"/>
            <w:right w:w="108" w:type="dxa"/>
          </w:tblCellMar>
        </w:tblPrEx>
        <w:trPr>
          <w:trHeight w:val="255" w:hRule="atLeast"/>
        </w:trPr>
        <w:tc>
          <w:tcPr>
            <w:tcW w:w="256" w:type="dxa"/>
            <w:tcBorders>
              <w:top w:val="nil"/>
              <w:left w:val="nil"/>
              <w:bottom w:val="nil"/>
              <w:right w:val="nil"/>
            </w:tcBorders>
            <w:shd w:val="clear" w:color="auto" w:fill="auto"/>
            <w:noWrap/>
            <w:vAlign w:val="bottom"/>
          </w:tcPr>
          <w:p>
            <w:pPr>
              <w:rPr>
                <w:rFonts w:ascii="Arial" w:hAnsi="Arial" w:cs="Arial"/>
                <w:color w:val="000000"/>
                <w:sz w:val="20"/>
              </w:rPr>
            </w:pPr>
          </w:p>
        </w:tc>
        <w:tc>
          <w:tcPr>
            <w:tcW w:w="256" w:type="dxa"/>
            <w:tcBorders>
              <w:top w:val="nil"/>
              <w:left w:val="nil"/>
              <w:bottom w:val="nil"/>
              <w:right w:val="nil"/>
            </w:tcBorders>
            <w:shd w:val="clear" w:color="auto" w:fill="auto"/>
            <w:noWrap/>
            <w:vAlign w:val="bottom"/>
          </w:tcPr>
          <w:p>
            <w:pPr>
              <w:rPr>
                <w:rFonts w:ascii="Arial" w:hAnsi="Arial" w:cs="Arial"/>
                <w:color w:val="000000"/>
                <w:sz w:val="20"/>
              </w:rPr>
            </w:pPr>
          </w:p>
        </w:tc>
        <w:tc>
          <w:tcPr>
            <w:tcW w:w="256" w:type="dxa"/>
            <w:tcBorders>
              <w:top w:val="nil"/>
              <w:left w:val="nil"/>
              <w:bottom w:val="nil"/>
              <w:right w:val="nil"/>
            </w:tcBorders>
            <w:shd w:val="clear" w:color="auto" w:fill="auto"/>
            <w:noWrap/>
            <w:vAlign w:val="bottom"/>
          </w:tcPr>
          <w:p>
            <w:pPr>
              <w:rPr>
                <w:rFonts w:ascii="Arial" w:hAnsi="Arial" w:cs="Arial"/>
                <w:color w:val="000000"/>
                <w:sz w:val="20"/>
              </w:rPr>
            </w:pPr>
          </w:p>
        </w:tc>
        <w:tc>
          <w:tcPr>
            <w:tcW w:w="2205" w:type="dxa"/>
            <w:tcBorders>
              <w:top w:val="nil"/>
              <w:left w:val="nil"/>
              <w:bottom w:val="nil"/>
              <w:right w:val="nil"/>
            </w:tcBorders>
            <w:shd w:val="clear" w:color="auto" w:fill="auto"/>
            <w:noWrap/>
            <w:vAlign w:val="bottom"/>
          </w:tcPr>
          <w:p>
            <w:pPr>
              <w:rPr>
                <w:rFonts w:ascii="Arial" w:hAnsi="Arial" w:cs="Arial"/>
                <w:color w:val="000000"/>
                <w:sz w:val="20"/>
              </w:rPr>
            </w:pPr>
          </w:p>
        </w:tc>
        <w:tc>
          <w:tcPr>
            <w:tcW w:w="1306" w:type="dxa"/>
            <w:tcBorders>
              <w:top w:val="nil"/>
              <w:left w:val="nil"/>
              <w:bottom w:val="nil"/>
              <w:right w:val="nil"/>
            </w:tcBorders>
            <w:shd w:val="clear" w:color="auto" w:fill="auto"/>
            <w:noWrap/>
            <w:vAlign w:val="bottom"/>
          </w:tcPr>
          <w:p>
            <w:pPr>
              <w:rPr>
                <w:rFonts w:ascii="Arial" w:hAnsi="Arial" w:cs="Arial"/>
                <w:color w:val="000000"/>
                <w:sz w:val="20"/>
              </w:rPr>
            </w:pPr>
          </w:p>
        </w:tc>
        <w:tc>
          <w:tcPr>
            <w:tcW w:w="1306" w:type="dxa"/>
            <w:tcBorders>
              <w:top w:val="nil"/>
              <w:left w:val="nil"/>
              <w:bottom w:val="nil"/>
              <w:right w:val="nil"/>
            </w:tcBorders>
            <w:shd w:val="clear" w:color="auto" w:fill="auto"/>
            <w:noWrap/>
            <w:vAlign w:val="bottom"/>
          </w:tcPr>
          <w:p>
            <w:pPr>
              <w:rPr>
                <w:rFonts w:ascii="Arial" w:hAnsi="Arial" w:cs="Arial"/>
                <w:color w:val="000000"/>
                <w:sz w:val="20"/>
              </w:rPr>
            </w:pPr>
          </w:p>
        </w:tc>
        <w:tc>
          <w:tcPr>
            <w:tcW w:w="1306"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0"/>
              </w:rPr>
              <w:t>部门：宿州市埇桥区东关办事处部门决算汇总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235" w:hRule="atLeast"/>
        </w:trPr>
        <w:tc>
          <w:tcPr>
            <w:tcW w:w="7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20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391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0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30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30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0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0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0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71" w:hRule="atLeast"/>
        </w:trPr>
        <w:tc>
          <w:tcPr>
            <w:tcW w:w="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0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0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0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35" w:hRule="atLeast"/>
        </w:trPr>
        <w:tc>
          <w:tcPr>
            <w:tcW w:w="2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25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25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220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235" w:hRule="atLeast"/>
        </w:trPr>
        <w:tc>
          <w:tcPr>
            <w:tcW w:w="25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0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2,945.78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1,239.26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1,706.52</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951.28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人大事务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779.32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779.32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2010601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组织事务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社会保险经办机构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就业补助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2080799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其他就业补助支出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退役安置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临时救助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临时救助支出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公共卫生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2100410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2100716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1,727.55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1,706.52</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水利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2130399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0" w:type="auto"/>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注：本表反映部门本年度一般公共预算财政拨款支出情况；本表金额单位转换成万元时，因四舍五入可能存在尾数误差。</w:t>
            </w:r>
          </w:p>
        </w:tc>
      </w:tr>
    </w:tbl>
    <w:p>
      <w:pPr>
        <w:jc w:val="center"/>
        <w:rPr>
          <w:rFonts w:ascii="黑体" w:hAnsi="黑体" w:eastAsia="黑体"/>
          <w:color w:val="000000"/>
          <w:szCs w:val="32"/>
        </w:rPr>
      </w:pPr>
    </w:p>
    <w:p>
      <w:pPr>
        <w:jc w:val="center"/>
        <w:rPr>
          <w:rFonts w:ascii="黑体" w:hAnsi="黑体" w:eastAsia="黑体"/>
          <w:color w:val="000000"/>
          <w:szCs w:val="32"/>
        </w:rPr>
      </w:pPr>
      <w:r>
        <w:rPr>
          <w:rFonts w:hint="eastAsia" w:ascii="黑体" w:hAnsi="黑体" w:eastAsia="黑体"/>
          <w:color w:val="000000"/>
          <w:szCs w:val="32"/>
        </w:rPr>
        <w:t>一般公共预算财政拨款基本支出决算表</w:t>
      </w:r>
    </w:p>
    <w:tbl>
      <w:tblPr>
        <w:tblStyle w:val="5"/>
        <w:tblW w:w="5000" w:type="pct"/>
        <w:tblInd w:w="0" w:type="dxa"/>
        <w:tblLayout w:type="autofit"/>
        <w:tblCellMar>
          <w:top w:w="0" w:type="dxa"/>
          <w:left w:w="108" w:type="dxa"/>
          <w:bottom w:w="0" w:type="dxa"/>
          <w:right w:w="108" w:type="dxa"/>
        </w:tblCellMar>
      </w:tblPr>
      <w:tblGrid>
        <w:gridCol w:w="1763"/>
        <w:gridCol w:w="1492"/>
        <w:gridCol w:w="471"/>
        <w:gridCol w:w="429"/>
        <w:gridCol w:w="1067"/>
        <w:gridCol w:w="471"/>
        <w:gridCol w:w="429"/>
        <w:gridCol w:w="1875"/>
        <w:gridCol w:w="525"/>
      </w:tblGrid>
      <w:tr>
        <w:tblPrEx>
          <w:tblCellMar>
            <w:top w:w="0" w:type="dxa"/>
            <w:left w:w="108" w:type="dxa"/>
            <w:bottom w:w="0" w:type="dxa"/>
            <w:right w:w="108" w:type="dxa"/>
          </w:tblCellMar>
        </w:tblPrEx>
        <w:trPr>
          <w:trHeight w:val="255" w:hRule="atLeast"/>
        </w:trPr>
        <w:tc>
          <w:tcPr>
            <w:tcW w:w="1059" w:type="pct"/>
            <w:tcBorders>
              <w:top w:val="nil"/>
              <w:left w:val="nil"/>
              <w:bottom w:val="nil"/>
              <w:right w:val="nil"/>
            </w:tcBorders>
            <w:shd w:val="clear" w:color="auto" w:fill="auto"/>
            <w:noWrap/>
            <w:vAlign w:val="bottom"/>
          </w:tcPr>
          <w:p>
            <w:pPr>
              <w:rPr>
                <w:rFonts w:ascii="Arial" w:hAnsi="Arial" w:cs="Arial"/>
                <w:color w:val="000000"/>
                <w:sz w:val="20"/>
              </w:rPr>
            </w:pPr>
          </w:p>
        </w:tc>
        <w:tc>
          <w:tcPr>
            <w:tcW w:w="892" w:type="pct"/>
            <w:tcBorders>
              <w:top w:val="nil"/>
              <w:left w:val="nil"/>
              <w:bottom w:val="nil"/>
              <w:right w:val="nil"/>
            </w:tcBorders>
            <w:shd w:val="clear" w:color="auto" w:fill="auto"/>
            <w:noWrap/>
            <w:vAlign w:val="bottom"/>
          </w:tcPr>
          <w:p>
            <w:pPr>
              <w:rPr>
                <w:rFonts w:ascii="Arial" w:hAnsi="Arial" w:cs="Arial"/>
                <w:color w:val="000000"/>
                <w:sz w:val="20"/>
              </w:rPr>
            </w:pPr>
          </w:p>
        </w:tc>
        <w:tc>
          <w:tcPr>
            <w:tcW w:w="261" w:type="pct"/>
            <w:tcBorders>
              <w:top w:val="nil"/>
              <w:left w:val="nil"/>
              <w:bottom w:val="nil"/>
              <w:right w:val="nil"/>
            </w:tcBorders>
            <w:shd w:val="clear" w:color="auto" w:fill="auto"/>
            <w:noWrap/>
            <w:vAlign w:val="bottom"/>
          </w:tcPr>
          <w:p>
            <w:pPr>
              <w:rPr>
                <w:rFonts w:ascii="Arial" w:hAnsi="Arial" w:cs="Arial"/>
                <w:color w:val="000000"/>
                <w:sz w:val="20"/>
              </w:rPr>
            </w:pPr>
          </w:p>
        </w:tc>
        <w:tc>
          <w:tcPr>
            <w:tcW w:w="235" w:type="pct"/>
            <w:tcBorders>
              <w:top w:val="nil"/>
              <w:left w:val="nil"/>
              <w:bottom w:val="nil"/>
              <w:right w:val="nil"/>
            </w:tcBorders>
            <w:shd w:val="clear" w:color="auto" w:fill="auto"/>
            <w:noWrap/>
            <w:vAlign w:val="bottom"/>
          </w:tcPr>
          <w:p>
            <w:pPr>
              <w:rPr>
                <w:rFonts w:ascii="Arial" w:hAnsi="Arial" w:cs="Arial"/>
                <w:color w:val="000000"/>
                <w:sz w:val="20"/>
              </w:rPr>
            </w:pPr>
          </w:p>
        </w:tc>
        <w:tc>
          <w:tcPr>
            <w:tcW w:w="629" w:type="pct"/>
            <w:tcBorders>
              <w:top w:val="nil"/>
              <w:left w:val="nil"/>
              <w:bottom w:val="nil"/>
              <w:right w:val="nil"/>
            </w:tcBorders>
            <w:shd w:val="clear" w:color="auto" w:fill="auto"/>
            <w:noWrap/>
            <w:vAlign w:val="bottom"/>
          </w:tcPr>
          <w:p>
            <w:pPr>
              <w:rPr>
                <w:rFonts w:ascii="Arial" w:hAnsi="Arial" w:cs="Arial"/>
                <w:color w:val="000000"/>
                <w:sz w:val="20"/>
              </w:rPr>
            </w:pPr>
          </w:p>
        </w:tc>
        <w:tc>
          <w:tcPr>
            <w:tcW w:w="261" w:type="pct"/>
            <w:tcBorders>
              <w:top w:val="nil"/>
              <w:left w:val="nil"/>
              <w:bottom w:val="nil"/>
              <w:right w:val="nil"/>
            </w:tcBorders>
            <w:shd w:val="clear" w:color="auto" w:fill="auto"/>
            <w:noWrap/>
            <w:vAlign w:val="bottom"/>
          </w:tcPr>
          <w:p>
            <w:pPr>
              <w:rPr>
                <w:rFonts w:ascii="Arial" w:hAnsi="Arial" w:cs="Arial"/>
                <w:color w:val="000000"/>
                <w:sz w:val="20"/>
              </w:rPr>
            </w:pPr>
          </w:p>
        </w:tc>
        <w:tc>
          <w:tcPr>
            <w:tcW w:w="235" w:type="pct"/>
            <w:tcBorders>
              <w:top w:val="nil"/>
              <w:left w:val="nil"/>
              <w:bottom w:val="nil"/>
              <w:right w:val="nil"/>
            </w:tcBorders>
            <w:shd w:val="clear" w:color="auto" w:fill="auto"/>
            <w:noWrap/>
            <w:vAlign w:val="bottom"/>
          </w:tcPr>
          <w:p>
            <w:pPr>
              <w:rPr>
                <w:rFonts w:ascii="Arial" w:hAnsi="Arial" w:cs="Arial"/>
                <w:color w:val="000000"/>
                <w:sz w:val="20"/>
              </w:rPr>
            </w:pPr>
          </w:p>
        </w:tc>
        <w:tc>
          <w:tcPr>
            <w:tcW w:w="1129" w:type="pct"/>
            <w:tcBorders>
              <w:top w:val="nil"/>
              <w:left w:val="nil"/>
              <w:bottom w:val="nil"/>
              <w:right w:val="nil"/>
            </w:tcBorders>
            <w:shd w:val="clear" w:color="auto" w:fill="auto"/>
            <w:noWrap/>
            <w:vAlign w:val="bottom"/>
          </w:tcPr>
          <w:p>
            <w:pPr>
              <w:rPr>
                <w:rFonts w:ascii="Arial" w:hAnsi="Arial" w:cs="Arial"/>
                <w:color w:val="000000"/>
                <w:sz w:val="20"/>
              </w:rPr>
            </w:pPr>
          </w:p>
        </w:tc>
        <w:tc>
          <w:tcPr>
            <w:tcW w:w="294"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CellMar>
            <w:top w:w="0" w:type="dxa"/>
            <w:left w:w="108" w:type="dxa"/>
            <w:bottom w:w="0" w:type="dxa"/>
            <w:right w:w="108" w:type="dxa"/>
          </w:tblCellMar>
        </w:tblPrEx>
        <w:trPr>
          <w:trHeight w:val="255" w:hRule="atLeast"/>
        </w:trPr>
        <w:tc>
          <w:tcPr>
            <w:tcW w:w="1059"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0"/>
              </w:rPr>
              <w:t>部门：宿州市埇桥区东关办事处部门决算汇总</w:t>
            </w:r>
          </w:p>
        </w:tc>
        <w:tc>
          <w:tcPr>
            <w:tcW w:w="892" w:type="pct"/>
            <w:tcBorders>
              <w:top w:val="nil"/>
              <w:left w:val="nil"/>
              <w:bottom w:val="nil"/>
              <w:right w:val="nil"/>
            </w:tcBorders>
            <w:shd w:val="clear" w:color="auto" w:fill="auto"/>
            <w:noWrap/>
            <w:vAlign w:val="bottom"/>
          </w:tcPr>
          <w:p>
            <w:pPr>
              <w:rPr>
                <w:rFonts w:ascii="Arial" w:hAnsi="Arial" w:cs="Arial"/>
                <w:color w:val="000000"/>
                <w:sz w:val="20"/>
              </w:rPr>
            </w:pPr>
          </w:p>
        </w:tc>
        <w:tc>
          <w:tcPr>
            <w:tcW w:w="261" w:type="pct"/>
            <w:tcBorders>
              <w:top w:val="nil"/>
              <w:left w:val="nil"/>
              <w:bottom w:val="nil"/>
              <w:right w:val="nil"/>
            </w:tcBorders>
            <w:shd w:val="clear" w:color="auto" w:fill="auto"/>
            <w:noWrap/>
            <w:vAlign w:val="bottom"/>
          </w:tcPr>
          <w:p>
            <w:pPr>
              <w:rPr>
                <w:rFonts w:ascii="Arial" w:hAnsi="Arial" w:cs="Arial"/>
                <w:color w:val="000000"/>
                <w:sz w:val="20"/>
              </w:rPr>
            </w:pPr>
          </w:p>
        </w:tc>
        <w:tc>
          <w:tcPr>
            <w:tcW w:w="235" w:type="pct"/>
            <w:tcBorders>
              <w:top w:val="nil"/>
              <w:left w:val="nil"/>
              <w:bottom w:val="nil"/>
              <w:right w:val="nil"/>
            </w:tcBorders>
            <w:shd w:val="clear" w:color="auto" w:fill="auto"/>
            <w:noWrap/>
            <w:vAlign w:val="bottom"/>
          </w:tcPr>
          <w:p>
            <w:pPr>
              <w:rPr>
                <w:rFonts w:ascii="Arial" w:hAnsi="Arial" w:cs="Arial"/>
                <w:color w:val="000000"/>
                <w:sz w:val="20"/>
              </w:rPr>
            </w:pPr>
          </w:p>
        </w:tc>
        <w:tc>
          <w:tcPr>
            <w:tcW w:w="629" w:type="pct"/>
            <w:tcBorders>
              <w:top w:val="nil"/>
              <w:left w:val="nil"/>
              <w:bottom w:val="nil"/>
              <w:right w:val="nil"/>
            </w:tcBorders>
            <w:shd w:val="clear" w:color="auto" w:fill="auto"/>
            <w:noWrap/>
            <w:vAlign w:val="bottom"/>
          </w:tcPr>
          <w:p>
            <w:pPr>
              <w:rPr>
                <w:rFonts w:ascii="Arial" w:hAnsi="Arial" w:cs="Arial"/>
                <w:color w:val="000000"/>
                <w:sz w:val="20"/>
              </w:rPr>
            </w:pPr>
          </w:p>
        </w:tc>
        <w:tc>
          <w:tcPr>
            <w:tcW w:w="261" w:type="pct"/>
            <w:tcBorders>
              <w:top w:val="nil"/>
              <w:left w:val="nil"/>
              <w:bottom w:val="nil"/>
              <w:right w:val="nil"/>
            </w:tcBorders>
            <w:shd w:val="clear" w:color="auto" w:fill="auto"/>
            <w:noWrap/>
            <w:vAlign w:val="bottom"/>
          </w:tcPr>
          <w:p>
            <w:pPr>
              <w:rPr>
                <w:rFonts w:ascii="Arial" w:hAnsi="Arial" w:cs="Arial"/>
                <w:color w:val="000000"/>
                <w:sz w:val="20"/>
              </w:rPr>
            </w:pPr>
          </w:p>
        </w:tc>
        <w:tc>
          <w:tcPr>
            <w:tcW w:w="235" w:type="pct"/>
            <w:tcBorders>
              <w:top w:val="nil"/>
              <w:left w:val="nil"/>
              <w:bottom w:val="nil"/>
              <w:right w:val="nil"/>
            </w:tcBorders>
            <w:shd w:val="clear" w:color="auto" w:fill="auto"/>
            <w:noWrap/>
            <w:vAlign w:val="bottom"/>
          </w:tcPr>
          <w:p>
            <w:pPr>
              <w:rPr>
                <w:rFonts w:ascii="Arial" w:hAnsi="Arial" w:cs="Arial"/>
                <w:color w:val="000000"/>
                <w:sz w:val="20"/>
              </w:rPr>
            </w:pPr>
          </w:p>
        </w:tc>
        <w:tc>
          <w:tcPr>
            <w:tcW w:w="1129" w:type="pct"/>
            <w:tcBorders>
              <w:top w:val="nil"/>
              <w:left w:val="nil"/>
              <w:bottom w:val="nil"/>
              <w:right w:val="nil"/>
            </w:tcBorders>
            <w:shd w:val="clear" w:color="auto" w:fill="auto"/>
            <w:noWrap/>
            <w:vAlign w:val="bottom"/>
          </w:tcPr>
          <w:p>
            <w:pPr>
              <w:rPr>
                <w:rFonts w:ascii="Arial" w:hAnsi="Arial" w:cs="Arial"/>
                <w:color w:val="000000"/>
                <w:sz w:val="20"/>
              </w:rPr>
            </w:pPr>
          </w:p>
        </w:tc>
        <w:tc>
          <w:tcPr>
            <w:tcW w:w="294"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235" w:hRule="atLeast"/>
        </w:trPr>
        <w:tc>
          <w:tcPr>
            <w:tcW w:w="22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2786"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424" w:hRule="atLeast"/>
        </w:trPr>
        <w:tc>
          <w:tcPr>
            <w:tcW w:w="105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经济分类科目编码</w:t>
            </w:r>
          </w:p>
        </w:tc>
        <w:tc>
          <w:tcPr>
            <w:tcW w:w="892"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61"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23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经济分类科目编码</w:t>
            </w:r>
          </w:p>
        </w:tc>
        <w:tc>
          <w:tcPr>
            <w:tcW w:w="62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61"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23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经济分类科目编码</w:t>
            </w:r>
          </w:p>
        </w:tc>
        <w:tc>
          <w:tcPr>
            <w:tcW w:w="112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94"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88" w:hRule="atLeast"/>
        </w:trPr>
        <w:tc>
          <w:tcPr>
            <w:tcW w:w="105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92"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61"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2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61"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2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94"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工资福利支出</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477.93</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商品和服务支出</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482.20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债务利息及费用支出</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30101</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基本工资</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166.48</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30201</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163.91</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30701</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国内债务付息</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30102</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津贴补贴</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91.95</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30202</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印刷费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28.46</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30702</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国外债务付息</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30103</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奖金</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109.99</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30203</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咨询费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30703</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国内债务发行费用</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30106</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伙食补助费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30204</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手续费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30704</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国外债务发行费用</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30107</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绩效工资</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12.79</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30205</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水费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0.74</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资本性支出</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19.40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30108</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42.18</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30206</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电费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7.01</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31001</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房屋建筑物购建</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30109</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职业年金缴费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30207</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邮电费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5.17</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31002</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办公设备购置</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19.40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30110</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职工基本医疗保险缴费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30208</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取暖费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31003</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专用设备购置</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30111</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公务员医疗补助缴费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30209</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物业管理费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31005</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基础设施建设</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30112</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其他社会保障缴费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30211</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差旅费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31006</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大型修缮</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30113</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31.63</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30212</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因公出国（境）费用</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31007</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信息网络及软件购置更新</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30114</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30213</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维修(护)费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31008</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物资储备</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30199</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其他工资福利支出</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30214</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租赁费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20.48</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31009</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土地补偿</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对个人和家庭的补助</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259.72</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30215</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会议费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31010</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安置补助</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30301</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离休费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30216</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培训费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31011</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地上附着物和青苗补偿</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30302</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退休费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30217</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公务接待费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31012</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拆迁补偿</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30303</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退职（役）费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30218</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专用材料费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31013</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30304</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抚恤金</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0.80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30224</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被装购置费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31019</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其他交通工具购置</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30305</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生活补助</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113.32</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30225</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专用燃料费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31021</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文物和陈列品购置</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30306</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救济费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30226</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劳务费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146.29</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31022</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无形资产购置</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59"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30307</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医疗费补助</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30227</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委托业务费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1.24</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31099</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其他资本性支出</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30308</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助学金</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30228</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工会经费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22.06</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312</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对企业补助</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30309</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奖励金</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104.75</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30229</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福利费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31201</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资本金注入</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30310</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个人农业生产补贴</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30231</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公务用车运行维护费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31203</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政府投资基金股权投资</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30311</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代缴社会保险费</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30239</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其他交通费用</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28.08</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31204</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费用补贴</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30399</w:t>
            </w:r>
          </w:p>
        </w:tc>
        <w:tc>
          <w:tcPr>
            <w:tcW w:w="89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其他对个人和家庭的补助</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27.67</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30240</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税金及附加费用</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31205</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利息补贴</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12"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892"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30299</w:t>
            </w:r>
          </w:p>
        </w:tc>
        <w:tc>
          <w:tcPr>
            <w:tcW w:w="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其他商品和服务支出</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56.87</w:t>
            </w: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31299 </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其他对企业补助</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892"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2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892"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2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39906</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赠与</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rPr>
            </w:pPr>
          </w:p>
        </w:tc>
        <w:tc>
          <w:tcPr>
            <w:tcW w:w="892"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23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rPr>
            </w:pPr>
          </w:p>
        </w:tc>
        <w:tc>
          <w:tcPr>
            <w:tcW w:w="62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39907</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国家赔偿费用支出</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rPr>
            </w:pPr>
            <w:r>
              <w:rPr>
                <w:rFonts w:hint="eastAsia" w:ascii="宋体" w:hAnsi="宋体" w:eastAsia="宋体" w:cs="宋体"/>
                <w:color w:val="000000"/>
                <w:kern w:val="0"/>
                <w:sz w:val="20"/>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892"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2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39908</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05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892"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2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3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39999</w:t>
            </w:r>
          </w:p>
        </w:tc>
        <w:tc>
          <w:tcPr>
            <w:tcW w:w="11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951"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人员经费合计</w:t>
            </w:r>
          </w:p>
        </w:tc>
        <w:tc>
          <w:tcPr>
            <w:tcW w:w="26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737.66</w:t>
            </w:r>
          </w:p>
        </w:tc>
        <w:tc>
          <w:tcPr>
            <w:tcW w:w="2492" w:type="pct"/>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公用经费合计</w:t>
            </w: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501.61</w:t>
            </w:r>
          </w:p>
        </w:tc>
      </w:tr>
      <w:tr>
        <w:tblPrEx>
          <w:tblCellMar>
            <w:top w:w="0" w:type="dxa"/>
            <w:left w:w="108" w:type="dxa"/>
            <w:bottom w:w="0" w:type="dxa"/>
            <w:right w:w="108" w:type="dxa"/>
          </w:tblCellMar>
        </w:tblPrEx>
        <w:trPr>
          <w:trHeight w:val="235" w:hRule="atLeast"/>
        </w:trPr>
        <w:tc>
          <w:tcPr>
            <w:tcW w:w="5000" w:type="pct"/>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注：本表反映部门本年度一般公共预算财政拨款基本支出明细情况；本表金额单位转换成万元时，因四舍五入可能存在尾数误差。</w:t>
            </w:r>
          </w:p>
        </w:tc>
      </w:tr>
    </w:tbl>
    <w:p>
      <w:pPr>
        <w:pStyle w:val="2"/>
        <w:ind w:firstLine="1260" w:firstLineChars="394"/>
      </w:pPr>
      <w:r>
        <w:rPr>
          <w:rFonts w:hint="eastAsia" w:ascii="黑体" w:hAnsi="黑体" w:eastAsia="黑体"/>
          <w:sz w:val="32"/>
          <w:szCs w:val="32"/>
        </w:rPr>
        <w:t>政府性基金预算财政拨款收入支出决算表</w:t>
      </w:r>
    </w:p>
    <w:tbl>
      <w:tblPr>
        <w:tblStyle w:val="5"/>
        <w:tblW w:w="5000" w:type="pct"/>
        <w:tblInd w:w="0" w:type="dxa"/>
        <w:tblLayout w:type="autofit"/>
        <w:tblCellMar>
          <w:top w:w="0" w:type="dxa"/>
          <w:left w:w="108" w:type="dxa"/>
          <w:bottom w:w="0" w:type="dxa"/>
          <w:right w:w="108" w:type="dxa"/>
        </w:tblCellMar>
      </w:tblPr>
      <w:tblGrid>
        <w:gridCol w:w="1572"/>
        <w:gridCol w:w="291"/>
        <w:gridCol w:w="291"/>
        <w:gridCol w:w="1334"/>
        <w:gridCol w:w="366"/>
        <w:gridCol w:w="366"/>
        <w:gridCol w:w="366"/>
        <w:gridCol w:w="404"/>
        <w:gridCol w:w="404"/>
        <w:gridCol w:w="366"/>
        <w:gridCol w:w="404"/>
        <w:gridCol w:w="404"/>
        <w:gridCol w:w="366"/>
        <w:gridCol w:w="366"/>
        <w:gridCol w:w="367"/>
        <w:gridCol w:w="367"/>
        <w:gridCol w:w="488"/>
      </w:tblGrid>
      <w:tr>
        <w:tblPrEx>
          <w:tblCellMar>
            <w:top w:w="0" w:type="dxa"/>
            <w:left w:w="108" w:type="dxa"/>
            <w:bottom w:w="0" w:type="dxa"/>
            <w:right w:w="108" w:type="dxa"/>
          </w:tblCellMar>
        </w:tblPrEx>
        <w:trPr>
          <w:trHeight w:val="255" w:hRule="atLeast"/>
        </w:trPr>
        <w:tc>
          <w:tcPr>
            <w:tcW w:w="923" w:type="pct"/>
            <w:tcBorders>
              <w:top w:val="nil"/>
              <w:left w:val="nil"/>
              <w:bottom w:val="nil"/>
              <w:right w:val="nil"/>
            </w:tcBorders>
            <w:shd w:val="clear" w:color="auto" w:fill="auto"/>
            <w:noWrap/>
            <w:vAlign w:val="bottom"/>
          </w:tcPr>
          <w:p>
            <w:pPr>
              <w:rPr>
                <w:rFonts w:ascii="Arial" w:hAnsi="Arial" w:cs="Arial"/>
                <w:color w:val="000000"/>
                <w:sz w:val="20"/>
              </w:rPr>
            </w:pPr>
          </w:p>
        </w:tc>
        <w:tc>
          <w:tcPr>
            <w:tcW w:w="171" w:type="pct"/>
            <w:tcBorders>
              <w:top w:val="nil"/>
              <w:left w:val="nil"/>
              <w:bottom w:val="nil"/>
              <w:right w:val="nil"/>
            </w:tcBorders>
            <w:shd w:val="clear" w:color="auto" w:fill="auto"/>
            <w:noWrap/>
            <w:vAlign w:val="bottom"/>
          </w:tcPr>
          <w:p>
            <w:pPr>
              <w:rPr>
                <w:rFonts w:ascii="Arial" w:hAnsi="Arial" w:cs="Arial"/>
                <w:color w:val="000000"/>
                <w:sz w:val="20"/>
              </w:rPr>
            </w:pPr>
          </w:p>
        </w:tc>
        <w:tc>
          <w:tcPr>
            <w:tcW w:w="171" w:type="pct"/>
            <w:tcBorders>
              <w:top w:val="nil"/>
              <w:left w:val="nil"/>
              <w:bottom w:val="nil"/>
              <w:right w:val="nil"/>
            </w:tcBorders>
            <w:shd w:val="clear" w:color="auto" w:fill="auto"/>
            <w:noWrap/>
            <w:vAlign w:val="bottom"/>
          </w:tcPr>
          <w:p>
            <w:pPr>
              <w:rPr>
                <w:rFonts w:ascii="Arial" w:hAnsi="Arial" w:cs="Arial"/>
                <w:color w:val="000000"/>
                <w:sz w:val="20"/>
              </w:rPr>
            </w:pPr>
          </w:p>
        </w:tc>
        <w:tc>
          <w:tcPr>
            <w:tcW w:w="783"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86"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tblPrEx>
          <w:tblCellMar>
            <w:top w:w="0" w:type="dxa"/>
            <w:left w:w="108" w:type="dxa"/>
            <w:bottom w:w="0" w:type="dxa"/>
            <w:right w:w="108" w:type="dxa"/>
          </w:tblCellMar>
        </w:tblPrEx>
        <w:trPr>
          <w:trHeight w:val="255" w:hRule="atLeast"/>
        </w:trPr>
        <w:tc>
          <w:tcPr>
            <w:tcW w:w="923"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0"/>
              </w:rPr>
              <w:t>部门：宿州市埇桥区东关办事处部门决算汇总</w:t>
            </w:r>
          </w:p>
        </w:tc>
        <w:tc>
          <w:tcPr>
            <w:tcW w:w="171" w:type="pct"/>
            <w:tcBorders>
              <w:top w:val="nil"/>
              <w:left w:val="nil"/>
              <w:bottom w:val="nil"/>
              <w:right w:val="nil"/>
            </w:tcBorders>
            <w:shd w:val="clear" w:color="auto" w:fill="auto"/>
            <w:noWrap/>
            <w:vAlign w:val="bottom"/>
          </w:tcPr>
          <w:p>
            <w:pPr>
              <w:rPr>
                <w:rFonts w:ascii="Arial" w:hAnsi="Arial" w:cs="Arial"/>
                <w:color w:val="000000"/>
                <w:sz w:val="20"/>
              </w:rPr>
            </w:pPr>
          </w:p>
        </w:tc>
        <w:tc>
          <w:tcPr>
            <w:tcW w:w="171" w:type="pct"/>
            <w:tcBorders>
              <w:top w:val="nil"/>
              <w:left w:val="nil"/>
              <w:bottom w:val="nil"/>
              <w:right w:val="nil"/>
            </w:tcBorders>
            <w:shd w:val="clear" w:color="auto" w:fill="auto"/>
            <w:noWrap/>
            <w:vAlign w:val="bottom"/>
          </w:tcPr>
          <w:p>
            <w:pPr>
              <w:rPr>
                <w:rFonts w:ascii="Arial" w:hAnsi="Arial" w:cs="Arial"/>
                <w:color w:val="000000"/>
                <w:sz w:val="20"/>
              </w:rPr>
            </w:pPr>
          </w:p>
        </w:tc>
        <w:tc>
          <w:tcPr>
            <w:tcW w:w="783"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86"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235" w:hRule="atLeast"/>
        </w:trPr>
        <w:tc>
          <w:tcPr>
            <w:tcW w:w="126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783"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64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68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68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930"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235" w:hRule="atLeast"/>
        </w:trPr>
        <w:tc>
          <w:tcPr>
            <w:tcW w:w="12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基本支出结转</w:t>
            </w: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项目支出结转和结余</w:t>
            </w:r>
          </w:p>
        </w:tc>
        <w:tc>
          <w:tcPr>
            <w:tcW w:w="23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3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23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3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基本支出结转</w:t>
            </w:r>
          </w:p>
        </w:tc>
        <w:tc>
          <w:tcPr>
            <w:tcW w:w="500" w:type="pct"/>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trPr>
        <w:tc>
          <w:tcPr>
            <w:tcW w:w="12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项目支出结转</w:t>
            </w:r>
          </w:p>
        </w:tc>
        <w:tc>
          <w:tcPr>
            <w:tcW w:w="286"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项目支出结余</w:t>
            </w:r>
          </w:p>
        </w:tc>
      </w:tr>
      <w:tr>
        <w:tblPrEx>
          <w:tblCellMar>
            <w:top w:w="0" w:type="dxa"/>
            <w:left w:w="108" w:type="dxa"/>
            <w:bottom w:w="0" w:type="dxa"/>
            <w:right w:w="108" w:type="dxa"/>
          </w:tblCellMar>
        </w:tblPrEx>
        <w:trPr>
          <w:trHeight w:val="680" w:hRule="atLeast"/>
        </w:trPr>
        <w:tc>
          <w:tcPr>
            <w:tcW w:w="12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86"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35" w:hRule="atLeast"/>
        </w:trPr>
        <w:tc>
          <w:tcPr>
            <w:tcW w:w="92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171"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171"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r>
      <w:tr>
        <w:tblPrEx>
          <w:tblCellMar>
            <w:top w:w="0" w:type="dxa"/>
            <w:left w:w="108" w:type="dxa"/>
            <w:bottom w:w="0" w:type="dxa"/>
            <w:right w:w="108" w:type="dxa"/>
          </w:tblCellMar>
        </w:tblPrEx>
        <w:trPr>
          <w:trHeight w:val="235" w:hRule="atLeast"/>
        </w:trPr>
        <w:tc>
          <w:tcPr>
            <w:tcW w:w="92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71"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71"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r>
      <w:tr>
        <w:tblPrEx>
          <w:tblCellMar>
            <w:top w:w="0" w:type="dxa"/>
            <w:left w:w="108" w:type="dxa"/>
            <w:bottom w:w="0" w:type="dxa"/>
            <w:right w:w="108" w:type="dxa"/>
          </w:tblCellMar>
        </w:tblPrEx>
        <w:trPr>
          <w:trHeight w:val="235"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7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w:t>
            </w:r>
          </w:p>
        </w:tc>
        <w:tc>
          <w:tcPr>
            <w:tcW w:w="7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彩票公益金安排的支出</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35"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2296002</w:t>
            </w:r>
          </w:p>
        </w:tc>
        <w:tc>
          <w:tcPr>
            <w:tcW w:w="7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用于社会福利的彩票公益金支出</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24" w:hRule="atLeast"/>
        </w:trPr>
        <w:tc>
          <w:tcPr>
            <w:tcW w:w="5000" w:type="pct"/>
            <w:gridSpan w:val="1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注：本表反映部门本年度政府性基金预算财政拨款收入、支出及结转和结余情况；本表金额单位转换成万元时，因四舍五入可能存在尾数误差。</w:t>
            </w:r>
          </w:p>
        </w:tc>
      </w:tr>
      <w:tr>
        <w:tblPrEx>
          <w:tblCellMar>
            <w:top w:w="0" w:type="dxa"/>
            <w:left w:w="108" w:type="dxa"/>
            <w:bottom w:w="0" w:type="dxa"/>
            <w:right w:w="108" w:type="dxa"/>
          </w:tblCellMar>
        </w:tblPrEx>
        <w:trPr>
          <w:trHeight w:val="255" w:hRule="atLeast"/>
        </w:trPr>
        <w:tc>
          <w:tcPr>
            <w:tcW w:w="923" w:type="pct"/>
            <w:tcBorders>
              <w:top w:val="nil"/>
              <w:left w:val="nil"/>
              <w:bottom w:val="nil"/>
              <w:right w:val="nil"/>
            </w:tcBorders>
            <w:shd w:val="clear" w:color="auto" w:fill="auto"/>
            <w:noWrap/>
            <w:vAlign w:val="bottom"/>
          </w:tcPr>
          <w:p>
            <w:pPr>
              <w:rPr>
                <w:rFonts w:ascii="Arial" w:hAnsi="Arial" w:cs="Arial"/>
                <w:color w:val="000000"/>
                <w:sz w:val="20"/>
              </w:rPr>
            </w:pPr>
          </w:p>
        </w:tc>
        <w:tc>
          <w:tcPr>
            <w:tcW w:w="171" w:type="pct"/>
            <w:tcBorders>
              <w:top w:val="nil"/>
              <w:left w:val="nil"/>
              <w:bottom w:val="nil"/>
              <w:right w:val="nil"/>
            </w:tcBorders>
            <w:shd w:val="clear" w:color="auto" w:fill="auto"/>
            <w:noWrap/>
            <w:vAlign w:val="bottom"/>
          </w:tcPr>
          <w:p>
            <w:pPr>
              <w:rPr>
                <w:rFonts w:ascii="Arial" w:hAnsi="Arial" w:cs="Arial"/>
                <w:color w:val="000000"/>
                <w:sz w:val="20"/>
              </w:rPr>
            </w:pPr>
          </w:p>
        </w:tc>
        <w:tc>
          <w:tcPr>
            <w:tcW w:w="171" w:type="pct"/>
            <w:tcBorders>
              <w:top w:val="nil"/>
              <w:left w:val="nil"/>
              <w:bottom w:val="nil"/>
              <w:right w:val="nil"/>
            </w:tcBorders>
            <w:shd w:val="clear" w:color="auto" w:fill="auto"/>
            <w:noWrap/>
            <w:vAlign w:val="bottom"/>
          </w:tcPr>
          <w:p>
            <w:pPr>
              <w:rPr>
                <w:rFonts w:ascii="Arial" w:hAnsi="Arial" w:cs="Arial"/>
                <w:color w:val="000000"/>
                <w:sz w:val="20"/>
              </w:rPr>
            </w:pPr>
          </w:p>
        </w:tc>
        <w:tc>
          <w:tcPr>
            <w:tcW w:w="783"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37"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15" w:type="pct"/>
            <w:tcBorders>
              <w:top w:val="nil"/>
              <w:left w:val="nil"/>
              <w:bottom w:val="nil"/>
              <w:right w:val="nil"/>
            </w:tcBorders>
            <w:shd w:val="clear" w:color="auto" w:fill="auto"/>
            <w:noWrap/>
            <w:vAlign w:val="bottom"/>
          </w:tcPr>
          <w:p>
            <w:pPr>
              <w:rPr>
                <w:rFonts w:ascii="Arial" w:hAnsi="Arial" w:cs="Arial"/>
                <w:color w:val="000000"/>
                <w:sz w:val="20"/>
              </w:rPr>
            </w:pPr>
          </w:p>
        </w:tc>
        <w:tc>
          <w:tcPr>
            <w:tcW w:w="286" w:type="pct"/>
            <w:tcBorders>
              <w:top w:val="nil"/>
              <w:left w:val="nil"/>
              <w:bottom w:val="nil"/>
              <w:right w:val="nil"/>
            </w:tcBorders>
            <w:shd w:val="clear" w:color="auto" w:fill="auto"/>
            <w:noWrap/>
            <w:vAlign w:val="bottom"/>
          </w:tcPr>
          <w:p>
            <w:pPr>
              <w:rPr>
                <w:rFonts w:ascii="Arial" w:hAnsi="Arial" w:cs="Arial"/>
                <w:color w:val="000000"/>
                <w:sz w:val="20"/>
              </w:rPr>
            </w:pPr>
          </w:p>
        </w:tc>
      </w:tr>
    </w:tbl>
    <w:p>
      <w:pPr>
        <w:pStyle w:val="2"/>
        <w:ind w:firstLine="1841" w:firstLineChars="594"/>
      </w:pPr>
      <w:r>
        <w:rPr>
          <w:rFonts w:hint="eastAsia"/>
        </w:rPr>
        <w:t>国有资本经营预算财政拨款支出决算表</w:t>
      </w:r>
    </w:p>
    <w:tbl>
      <w:tblPr>
        <w:tblStyle w:val="5"/>
        <w:tblW w:w="5000" w:type="pct"/>
        <w:tblInd w:w="0" w:type="dxa"/>
        <w:tblLayout w:type="autofit"/>
        <w:tblCellMar>
          <w:top w:w="0" w:type="dxa"/>
          <w:left w:w="108" w:type="dxa"/>
          <w:bottom w:w="0" w:type="dxa"/>
          <w:right w:w="108" w:type="dxa"/>
        </w:tblCellMar>
      </w:tblPr>
      <w:tblGrid>
        <w:gridCol w:w="3965"/>
        <w:gridCol w:w="403"/>
        <w:gridCol w:w="403"/>
        <w:gridCol w:w="1041"/>
        <w:gridCol w:w="628"/>
        <w:gridCol w:w="1041"/>
        <w:gridCol w:w="1041"/>
      </w:tblGrid>
      <w:tr>
        <w:tblPrEx>
          <w:tblCellMar>
            <w:top w:w="0" w:type="dxa"/>
            <w:left w:w="108" w:type="dxa"/>
            <w:bottom w:w="0" w:type="dxa"/>
            <w:right w:w="108" w:type="dxa"/>
          </w:tblCellMar>
        </w:tblPrEx>
        <w:trPr>
          <w:trHeight w:val="722" w:hRule="atLeast"/>
        </w:trPr>
        <w:tc>
          <w:tcPr>
            <w:tcW w:w="2207" w:type="pct"/>
            <w:tcBorders>
              <w:top w:val="nil"/>
              <w:left w:val="nil"/>
              <w:bottom w:val="nil"/>
              <w:right w:val="nil"/>
            </w:tcBorders>
            <w:shd w:val="clear" w:color="auto" w:fill="auto"/>
            <w:noWrap/>
            <w:vAlign w:val="bottom"/>
          </w:tcPr>
          <w:p>
            <w:pPr>
              <w:rPr>
                <w:rFonts w:ascii="Arial" w:hAnsi="Arial" w:cs="Arial"/>
                <w:color w:val="000000"/>
                <w:sz w:val="20"/>
              </w:rPr>
            </w:pPr>
          </w:p>
        </w:tc>
        <w:tc>
          <w:tcPr>
            <w:tcW w:w="258" w:type="pct"/>
            <w:tcBorders>
              <w:top w:val="nil"/>
              <w:left w:val="nil"/>
              <w:bottom w:val="nil"/>
              <w:right w:val="nil"/>
            </w:tcBorders>
            <w:shd w:val="clear" w:color="auto" w:fill="auto"/>
            <w:noWrap/>
            <w:vAlign w:val="bottom"/>
          </w:tcPr>
          <w:p>
            <w:pPr>
              <w:rPr>
                <w:rFonts w:ascii="Arial" w:hAnsi="Arial" w:cs="Arial"/>
                <w:color w:val="000000"/>
                <w:sz w:val="20"/>
              </w:rPr>
            </w:pPr>
          </w:p>
        </w:tc>
        <w:tc>
          <w:tcPr>
            <w:tcW w:w="258" w:type="pct"/>
            <w:tcBorders>
              <w:top w:val="nil"/>
              <w:left w:val="nil"/>
              <w:bottom w:val="nil"/>
              <w:right w:val="nil"/>
            </w:tcBorders>
            <w:shd w:val="clear" w:color="auto" w:fill="auto"/>
            <w:noWrap/>
            <w:vAlign w:val="bottom"/>
          </w:tcPr>
          <w:p>
            <w:pPr>
              <w:rPr>
                <w:rFonts w:ascii="Arial" w:hAnsi="Arial" w:cs="Arial"/>
                <w:color w:val="000000"/>
                <w:sz w:val="20"/>
              </w:rPr>
            </w:pPr>
          </w:p>
        </w:tc>
        <w:tc>
          <w:tcPr>
            <w:tcW w:w="630" w:type="pct"/>
            <w:tcBorders>
              <w:top w:val="nil"/>
              <w:left w:val="nil"/>
              <w:bottom w:val="nil"/>
              <w:right w:val="nil"/>
            </w:tcBorders>
            <w:shd w:val="clear" w:color="auto" w:fill="auto"/>
            <w:noWrap/>
            <w:vAlign w:val="bottom"/>
          </w:tcPr>
          <w:p>
            <w:pPr>
              <w:rPr>
                <w:rFonts w:ascii="Arial" w:hAnsi="Arial" w:cs="Arial"/>
                <w:color w:val="000000"/>
                <w:sz w:val="20"/>
              </w:rPr>
            </w:pPr>
          </w:p>
        </w:tc>
        <w:tc>
          <w:tcPr>
            <w:tcW w:w="434" w:type="pct"/>
            <w:tcBorders>
              <w:top w:val="nil"/>
              <w:left w:val="nil"/>
              <w:bottom w:val="nil"/>
              <w:right w:val="nil"/>
            </w:tcBorders>
            <w:shd w:val="clear" w:color="auto" w:fill="auto"/>
            <w:noWrap/>
            <w:vAlign w:val="bottom"/>
          </w:tcPr>
          <w:p>
            <w:pPr>
              <w:rPr>
                <w:rFonts w:ascii="Arial" w:hAnsi="Arial" w:cs="Arial"/>
                <w:color w:val="000000"/>
                <w:sz w:val="20"/>
              </w:rPr>
            </w:pPr>
          </w:p>
        </w:tc>
        <w:tc>
          <w:tcPr>
            <w:tcW w:w="606" w:type="pct"/>
            <w:tcBorders>
              <w:top w:val="nil"/>
              <w:left w:val="nil"/>
              <w:bottom w:val="nil"/>
              <w:right w:val="nil"/>
            </w:tcBorders>
            <w:shd w:val="clear" w:color="auto" w:fill="auto"/>
            <w:noWrap/>
            <w:vAlign w:val="bottom"/>
          </w:tcPr>
          <w:p>
            <w:pPr>
              <w:rPr>
                <w:rFonts w:ascii="Arial" w:hAnsi="Arial" w:cs="Arial"/>
                <w:color w:val="000000"/>
                <w:sz w:val="20"/>
              </w:rPr>
            </w:pPr>
          </w:p>
        </w:tc>
        <w:tc>
          <w:tcPr>
            <w:tcW w:w="608"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CellMar>
            <w:top w:w="0" w:type="dxa"/>
            <w:left w:w="108" w:type="dxa"/>
            <w:bottom w:w="0" w:type="dxa"/>
            <w:right w:w="108" w:type="dxa"/>
          </w:tblCellMar>
        </w:tblPrEx>
        <w:trPr>
          <w:trHeight w:val="722" w:hRule="atLeast"/>
        </w:trPr>
        <w:tc>
          <w:tcPr>
            <w:tcW w:w="2207"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0"/>
              </w:rPr>
              <w:t>部门：宿州市埇桥区东关办事处部门决算汇总</w:t>
            </w:r>
          </w:p>
        </w:tc>
        <w:tc>
          <w:tcPr>
            <w:tcW w:w="258" w:type="pct"/>
            <w:tcBorders>
              <w:top w:val="nil"/>
              <w:left w:val="nil"/>
              <w:bottom w:val="nil"/>
              <w:right w:val="nil"/>
            </w:tcBorders>
            <w:shd w:val="clear" w:color="auto" w:fill="auto"/>
            <w:noWrap/>
            <w:vAlign w:val="bottom"/>
          </w:tcPr>
          <w:p>
            <w:pPr>
              <w:rPr>
                <w:rFonts w:ascii="Arial" w:hAnsi="Arial" w:cs="Arial"/>
                <w:color w:val="000000"/>
                <w:sz w:val="20"/>
              </w:rPr>
            </w:pPr>
          </w:p>
        </w:tc>
        <w:tc>
          <w:tcPr>
            <w:tcW w:w="258" w:type="pct"/>
            <w:tcBorders>
              <w:top w:val="nil"/>
              <w:left w:val="nil"/>
              <w:bottom w:val="nil"/>
              <w:right w:val="nil"/>
            </w:tcBorders>
            <w:shd w:val="clear" w:color="auto" w:fill="auto"/>
            <w:noWrap/>
            <w:vAlign w:val="bottom"/>
          </w:tcPr>
          <w:p>
            <w:pPr>
              <w:rPr>
                <w:rFonts w:ascii="Arial" w:hAnsi="Arial" w:cs="Arial"/>
                <w:color w:val="000000"/>
                <w:sz w:val="20"/>
              </w:rPr>
            </w:pPr>
          </w:p>
        </w:tc>
        <w:tc>
          <w:tcPr>
            <w:tcW w:w="630" w:type="pct"/>
            <w:tcBorders>
              <w:top w:val="nil"/>
              <w:left w:val="nil"/>
              <w:bottom w:val="nil"/>
              <w:right w:val="nil"/>
            </w:tcBorders>
            <w:shd w:val="clear" w:color="auto" w:fill="auto"/>
            <w:noWrap/>
            <w:vAlign w:val="bottom"/>
          </w:tcPr>
          <w:p>
            <w:pPr>
              <w:rPr>
                <w:rFonts w:ascii="Arial" w:hAnsi="Arial" w:cs="Arial"/>
                <w:color w:val="000000"/>
                <w:sz w:val="20"/>
              </w:rPr>
            </w:pPr>
          </w:p>
        </w:tc>
        <w:tc>
          <w:tcPr>
            <w:tcW w:w="434" w:type="pct"/>
            <w:tcBorders>
              <w:top w:val="nil"/>
              <w:left w:val="nil"/>
              <w:bottom w:val="nil"/>
              <w:right w:val="nil"/>
            </w:tcBorders>
            <w:shd w:val="clear" w:color="auto" w:fill="auto"/>
            <w:noWrap/>
            <w:vAlign w:val="bottom"/>
          </w:tcPr>
          <w:p>
            <w:pPr>
              <w:rPr>
                <w:rFonts w:ascii="Arial" w:hAnsi="Arial" w:cs="Arial"/>
                <w:color w:val="000000"/>
                <w:sz w:val="20"/>
              </w:rPr>
            </w:pPr>
          </w:p>
        </w:tc>
        <w:tc>
          <w:tcPr>
            <w:tcW w:w="606" w:type="pct"/>
            <w:tcBorders>
              <w:top w:val="nil"/>
              <w:left w:val="nil"/>
              <w:bottom w:val="nil"/>
              <w:right w:val="nil"/>
            </w:tcBorders>
            <w:shd w:val="clear" w:color="auto" w:fill="auto"/>
            <w:noWrap/>
            <w:vAlign w:val="bottom"/>
          </w:tcPr>
          <w:p>
            <w:pPr>
              <w:rPr>
                <w:rFonts w:ascii="Arial" w:hAnsi="Arial" w:cs="Arial"/>
                <w:color w:val="000000"/>
                <w:sz w:val="20"/>
              </w:rPr>
            </w:pPr>
          </w:p>
        </w:tc>
        <w:tc>
          <w:tcPr>
            <w:tcW w:w="608"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1072" w:hRule="atLeast"/>
        </w:trPr>
        <w:tc>
          <w:tcPr>
            <w:tcW w:w="272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630"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648"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807" w:hRule="atLeast"/>
        </w:trPr>
        <w:tc>
          <w:tcPr>
            <w:tcW w:w="27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30"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34"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606"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608"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807" w:hRule="atLeast"/>
        </w:trPr>
        <w:tc>
          <w:tcPr>
            <w:tcW w:w="27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30"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34"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06"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08"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41" w:hRule="atLeast"/>
        </w:trPr>
        <w:tc>
          <w:tcPr>
            <w:tcW w:w="27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30"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34"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08"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841" w:hRule="atLeast"/>
        </w:trPr>
        <w:tc>
          <w:tcPr>
            <w:tcW w:w="220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258"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款</w:t>
            </w:r>
          </w:p>
        </w:tc>
        <w:tc>
          <w:tcPr>
            <w:tcW w:w="258"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项</w:t>
            </w:r>
          </w:p>
        </w:tc>
        <w:tc>
          <w:tcPr>
            <w:tcW w:w="63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841" w:hRule="atLeast"/>
        </w:trPr>
        <w:tc>
          <w:tcPr>
            <w:tcW w:w="27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3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841" w:hRule="atLeast"/>
        </w:trPr>
        <w:tc>
          <w:tcPr>
            <w:tcW w:w="27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3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841" w:hRule="atLeast"/>
        </w:trPr>
        <w:tc>
          <w:tcPr>
            <w:tcW w:w="27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3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841" w:hRule="atLeast"/>
        </w:trPr>
        <w:tc>
          <w:tcPr>
            <w:tcW w:w="27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3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841" w:hRule="atLeast"/>
        </w:trPr>
        <w:tc>
          <w:tcPr>
            <w:tcW w:w="27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3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841" w:hRule="atLeast"/>
        </w:trPr>
        <w:tc>
          <w:tcPr>
            <w:tcW w:w="27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63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60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722"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说明：本单位没有国有资本经营预算财政拨款安排的支出，故本表无数据。</w:t>
            </w:r>
          </w:p>
        </w:tc>
      </w:tr>
    </w:tbl>
    <w:p>
      <w:pPr>
        <w:pStyle w:val="2"/>
        <w:ind w:firstLine="1841" w:firstLineChars="594"/>
      </w:pPr>
    </w:p>
    <w:p>
      <w:pPr>
        <w:pStyle w:val="2"/>
        <w:ind w:firstLine="1841" w:firstLineChars="594"/>
      </w:pPr>
    </w:p>
    <w:p>
      <w:pPr>
        <w:pStyle w:val="2"/>
        <w:ind w:firstLine="1841" w:firstLineChars="594"/>
      </w:pPr>
    </w:p>
    <w:p>
      <w:pPr>
        <w:pStyle w:val="2"/>
        <w:ind w:firstLine="1841" w:firstLineChars="594"/>
      </w:pPr>
    </w:p>
    <w:p>
      <w:pPr>
        <w:pStyle w:val="2"/>
        <w:ind w:firstLine="1841" w:firstLineChars="594"/>
      </w:pPr>
    </w:p>
    <w:p>
      <w:pPr>
        <w:pStyle w:val="2"/>
        <w:ind w:firstLine="1841" w:firstLineChars="594"/>
      </w:pPr>
    </w:p>
    <w:p>
      <w:pPr>
        <w:jc w:val="center"/>
        <w:rPr>
          <w:rFonts w:ascii="黑体" w:hAnsi="黑体" w:eastAsia="黑体"/>
          <w:color w:val="000000"/>
          <w:szCs w:val="32"/>
        </w:rPr>
      </w:pPr>
      <w:r>
        <w:rPr>
          <w:rFonts w:hint="eastAsia" w:ascii="黑体" w:hAnsi="黑体" w:eastAsia="黑体"/>
          <w:color w:val="000000"/>
          <w:szCs w:val="32"/>
        </w:rPr>
        <w:t>一般公共预算财政拨款“三公”经费支出决算表</w:t>
      </w:r>
    </w:p>
    <w:tbl>
      <w:tblPr>
        <w:tblStyle w:val="5"/>
        <w:tblW w:w="9158" w:type="dxa"/>
        <w:tblInd w:w="93" w:type="dxa"/>
        <w:tblLayout w:type="autofit"/>
        <w:tblCellMar>
          <w:top w:w="0" w:type="dxa"/>
          <w:left w:w="108" w:type="dxa"/>
          <w:bottom w:w="0" w:type="dxa"/>
          <w:right w:w="108" w:type="dxa"/>
        </w:tblCellMar>
      </w:tblPr>
      <w:tblGrid>
        <w:gridCol w:w="5878"/>
        <w:gridCol w:w="1640"/>
        <w:gridCol w:w="1640"/>
      </w:tblGrid>
      <w:tr>
        <w:tblPrEx>
          <w:tblCellMar>
            <w:top w:w="0" w:type="dxa"/>
            <w:left w:w="108" w:type="dxa"/>
            <w:bottom w:w="0" w:type="dxa"/>
            <w:right w:w="108" w:type="dxa"/>
          </w:tblCellMar>
        </w:tblPrEx>
        <w:trPr>
          <w:trHeight w:val="321" w:hRule="atLeast"/>
        </w:trPr>
        <w:tc>
          <w:tcPr>
            <w:tcW w:w="5878" w:type="dxa"/>
            <w:tcBorders>
              <w:top w:val="nil"/>
              <w:left w:val="nil"/>
              <w:bottom w:val="nil"/>
              <w:right w:val="nil"/>
            </w:tcBorders>
            <w:shd w:val="clear" w:color="auto" w:fill="auto"/>
            <w:noWrap/>
            <w:vAlign w:val="bottom"/>
          </w:tcPr>
          <w:p>
            <w:pPr>
              <w:rPr>
                <w:rFonts w:ascii="Arial" w:hAnsi="Arial" w:cs="Arial"/>
                <w:color w:val="000000"/>
                <w:sz w:val="20"/>
              </w:rPr>
            </w:pPr>
          </w:p>
        </w:tc>
        <w:tc>
          <w:tcPr>
            <w:tcW w:w="1640" w:type="dxa"/>
            <w:tcBorders>
              <w:top w:val="nil"/>
              <w:left w:val="nil"/>
              <w:bottom w:val="nil"/>
              <w:right w:val="nil"/>
            </w:tcBorders>
            <w:shd w:val="clear" w:color="auto" w:fill="auto"/>
            <w:noWrap/>
            <w:vAlign w:val="bottom"/>
          </w:tcPr>
          <w:p>
            <w:pPr>
              <w:rPr>
                <w:rFonts w:ascii="Arial" w:hAnsi="Arial" w:cs="Arial"/>
                <w:color w:val="000000"/>
                <w:sz w:val="20"/>
              </w:rPr>
            </w:pPr>
          </w:p>
        </w:tc>
        <w:tc>
          <w:tcPr>
            <w:tcW w:w="1640"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公开09表</w:t>
            </w:r>
          </w:p>
        </w:tc>
      </w:tr>
      <w:tr>
        <w:tblPrEx>
          <w:tblCellMar>
            <w:top w:w="0" w:type="dxa"/>
            <w:left w:w="108" w:type="dxa"/>
            <w:bottom w:w="0" w:type="dxa"/>
            <w:right w:w="108" w:type="dxa"/>
          </w:tblCellMar>
        </w:tblPrEx>
        <w:trPr>
          <w:trHeight w:val="321"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rPr>
              <w:t>部门：宿州市埇桥区东关办事处部门决算汇总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398" w:hRule="atLeast"/>
        </w:trPr>
        <w:tc>
          <w:tcPr>
            <w:tcW w:w="5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6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16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471" w:hRule="atLeast"/>
        </w:trPr>
        <w:tc>
          <w:tcPr>
            <w:tcW w:w="5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71" w:hRule="atLeast"/>
        </w:trPr>
        <w:tc>
          <w:tcPr>
            <w:tcW w:w="587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r>
      <w:tr>
        <w:tblPrEx>
          <w:tblCellMar>
            <w:top w:w="0" w:type="dxa"/>
            <w:left w:w="108" w:type="dxa"/>
            <w:bottom w:w="0" w:type="dxa"/>
            <w:right w:w="108" w:type="dxa"/>
          </w:tblCellMar>
        </w:tblPrEx>
        <w:trPr>
          <w:trHeight w:val="471" w:hRule="atLeast"/>
        </w:trPr>
        <w:tc>
          <w:tcPr>
            <w:tcW w:w="587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r>
      <w:tr>
        <w:tblPrEx>
          <w:tblCellMar>
            <w:top w:w="0" w:type="dxa"/>
            <w:left w:w="108" w:type="dxa"/>
            <w:bottom w:w="0" w:type="dxa"/>
            <w:right w:w="108" w:type="dxa"/>
          </w:tblCellMar>
        </w:tblPrEx>
        <w:trPr>
          <w:trHeight w:val="471" w:hRule="atLeast"/>
        </w:trPr>
        <w:tc>
          <w:tcPr>
            <w:tcW w:w="587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r>
      <w:tr>
        <w:tblPrEx>
          <w:tblCellMar>
            <w:top w:w="0" w:type="dxa"/>
            <w:left w:w="108" w:type="dxa"/>
            <w:bottom w:w="0" w:type="dxa"/>
            <w:right w:w="108" w:type="dxa"/>
          </w:tblCellMar>
        </w:tblPrEx>
        <w:trPr>
          <w:trHeight w:val="471" w:hRule="atLeast"/>
        </w:trPr>
        <w:tc>
          <w:tcPr>
            <w:tcW w:w="587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其中：公务用车运行维护费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r>
      <w:tr>
        <w:tblPrEx>
          <w:tblCellMar>
            <w:top w:w="0" w:type="dxa"/>
            <w:left w:w="108" w:type="dxa"/>
            <w:bottom w:w="0" w:type="dxa"/>
            <w:right w:w="108" w:type="dxa"/>
          </w:tblCellMar>
        </w:tblPrEx>
        <w:trPr>
          <w:trHeight w:val="471" w:hRule="atLeast"/>
        </w:trPr>
        <w:tc>
          <w:tcPr>
            <w:tcW w:w="587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r>
      <w:tr>
        <w:tblPrEx>
          <w:tblCellMar>
            <w:top w:w="0" w:type="dxa"/>
            <w:left w:w="108" w:type="dxa"/>
            <w:bottom w:w="0" w:type="dxa"/>
            <w:right w:w="108" w:type="dxa"/>
          </w:tblCellMar>
        </w:tblPrEx>
        <w:trPr>
          <w:trHeight w:val="471" w:hRule="atLeast"/>
        </w:trPr>
        <w:tc>
          <w:tcPr>
            <w:tcW w:w="587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rPr>
            </w:pPr>
          </w:p>
        </w:tc>
      </w:tr>
      <w:tr>
        <w:tblPrEx>
          <w:tblCellMar>
            <w:top w:w="0" w:type="dxa"/>
            <w:left w:w="108" w:type="dxa"/>
            <w:bottom w:w="0" w:type="dxa"/>
            <w:right w:w="108" w:type="dxa"/>
          </w:tblCellMar>
        </w:tblPrEx>
        <w:trPr>
          <w:trHeight w:val="975" w:hRule="atLeast"/>
        </w:trPr>
        <w:tc>
          <w:tcPr>
            <w:tcW w:w="9158" w:type="dxa"/>
            <w:gridSpan w:val="3"/>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三公”经费支出预决算情况。其中，预算数为“三公”经费年初预算数，决算数是包括当年一般公共预算财政拨款和以前年度结转资金安排的实际支出；本表金额单位转换成万元时，因四舍五入可能存在尾数误差。</w:t>
            </w:r>
          </w:p>
        </w:tc>
      </w:tr>
    </w:tbl>
    <w:p>
      <w:pPr>
        <w:pStyle w:val="2"/>
        <w:rPr>
          <w:rFonts w:ascii="黑体" w:hAnsi="黑体" w:eastAsia="黑体"/>
          <w:szCs w:val="32"/>
        </w:rPr>
      </w:pPr>
    </w:p>
    <w:p>
      <w:pPr>
        <w:rPr>
          <w:rFonts w:ascii="黑体" w:hAnsi="黑体" w:eastAsia="黑体"/>
          <w:color w:val="000000"/>
          <w:szCs w:val="32"/>
        </w:rPr>
      </w:pPr>
      <w:r>
        <w:rPr>
          <w:rFonts w:hint="eastAsia" w:ascii="黑体" w:hAnsi="黑体" w:eastAsia="黑体"/>
          <w:color w:val="000000"/>
          <w:szCs w:val="32"/>
        </w:rPr>
        <w:t>第三部分 宿州市埇桥区东关街道办事</w:t>
      </w:r>
      <w:r>
        <w:rPr>
          <w:rFonts w:hint="eastAsia" w:ascii="宋体" w:hAnsi="宋体" w:eastAsia="宋体" w:cs="宋体"/>
          <w:color w:val="000000"/>
          <w:szCs w:val="32"/>
        </w:rPr>
        <w:t>处</w:t>
      </w:r>
      <w:r>
        <w:rPr>
          <w:rFonts w:hint="eastAsia" w:ascii="黑体" w:hAnsi="黑体" w:eastAsia="黑体"/>
          <w:color w:val="000000"/>
          <w:szCs w:val="32"/>
        </w:rPr>
        <w:t>2020年度部门决算情况说明</w:t>
      </w:r>
    </w:p>
    <w:p>
      <w:pPr>
        <w:ind w:firstLine="640" w:firstLineChars="200"/>
        <w:rPr>
          <w:rFonts w:ascii="黑体" w:hAnsi="黑体" w:eastAsia="黑体"/>
          <w:color w:val="000000"/>
          <w:szCs w:val="32"/>
        </w:rPr>
      </w:pPr>
      <w:r>
        <w:rPr>
          <w:rFonts w:hint="eastAsia" w:ascii="黑体" w:hAnsi="黑体" w:eastAsia="黑体"/>
          <w:color w:val="000000"/>
          <w:szCs w:val="32"/>
        </w:rPr>
        <w:t>一、收入支出决算总体情况说明</w:t>
      </w:r>
    </w:p>
    <w:p>
      <w:pPr>
        <w:ind w:firstLine="640" w:firstLineChars="200"/>
        <w:rPr>
          <w:rFonts w:ascii="仿宋_GB2312" w:hAnsi="仿宋"/>
          <w:color w:val="000000"/>
          <w:szCs w:val="32"/>
        </w:rPr>
      </w:pPr>
      <w:r>
        <w:rPr>
          <w:rFonts w:hint="eastAsia" w:ascii="仿宋_GB2312" w:hAnsi="仿宋"/>
          <w:color w:val="000000"/>
          <w:szCs w:val="32"/>
        </w:rPr>
        <w:t>2020年度收入总计2965.78万元（含使用非财政拨款结转结余和年初结转和结余）、支出总计2965.78万元（含结余分配和年末结转和结余）。与2019年相比，收、支总计各增加1708.41万元，增长135.74%，主要原因：一是棚户区改造；二是2018年-2020年小街小巷道路改造工程资金拨付；三是2018年雨污分流工程款拨付；四是人员工资调整，综合定额增加；五是文明创建、双拥、园林城市奖励；六是疫情防控支出。</w:t>
      </w:r>
    </w:p>
    <w:p>
      <w:pPr>
        <w:ind w:firstLine="640" w:firstLineChars="200"/>
        <w:rPr>
          <w:rFonts w:ascii="黑体" w:hAnsi="仿宋" w:eastAsia="黑体"/>
          <w:color w:val="000000"/>
          <w:szCs w:val="32"/>
        </w:rPr>
      </w:pPr>
      <w:r>
        <w:rPr>
          <w:rFonts w:hint="eastAsia" w:ascii="黑体" w:hAnsi="仿宋" w:eastAsia="黑体"/>
          <w:color w:val="000000"/>
          <w:szCs w:val="32"/>
        </w:rPr>
        <w:t>二、收入决算情况说明</w:t>
      </w:r>
    </w:p>
    <w:p>
      <w:pPr>
        <w:ind w:firstLine="640" w:firstLineChars="200"/>
        <w:rPr>
          <w:rFonts w:ascii="仿宋_GB2312" w:hAnsi="仿宋"/>
          <w:color w:val="000000"/>
          <w:szCs w:val="32"/>
        </w:rPr>
      </w:pPr>
      <w:r>
        <w:rPr>
          <w:rFonts w:hint="eastAsia" w:ascii="仿宋_GB2312" w:hAnsi="仿宋"/>
          <w:color w:val="000000"/>
          <w:szCs w:val="32"/>
        </w:rPr>
        <w:t>2020年度收入合计2965.78万元，其中：财政拨款收入2945.78万元，占99.32%；政府性基金预算收入20万元, 占0.68%；事业收入0万元，占0%；经营收入0万元，占0%；其他收入0万元，占0%。</w:t>
      </w:r>
    </w:p>
    <w:p>
      <w:pPr>
        <w:ind w:firstLine="640" w:firstLineChars="200"/>
        <w:rPr>
          <w:rFonts w:ascii="黑体" w:hAnsi="仿宋" w:eastAsia="黑体"/>
          <w:color w:val="000000"/>
          <w:szCs w:val="32"/>
        </w:rPr>
      </w:pPr>
      <w:r>
        <w:rPr>
          <w:rFonts w:hint="eastAsia" w:ascii="黑体" w:hAnsi="仿宋" w:eastAsia="黑体"/>
          <w:color w:val="000000"/>
          <w:szCs w:val="32"/>
        </w:rPr>
        <w:t>三、支出决算情况说明</w:t>
      </w:r>
    </w:p>
    <w:p>
      <w:pPr>
        <w:ind w:firstLine="640" w:firstLineChars="200"/>
        <w:rPr>
          <w:rFonts w:ascii="仿宋_GB2312" w:hAnsi="仿宋"/>
          <w:color w:val="000000"/>
          <w:szCs w:val="32"/>
        </w:rPr>
      </w:pPr>
      <w:r>
        <w:rPr>
          <w:rFonts w:hint="eastAsia" w:ascii="仿宋_GB2312" w:hAnsi="仿宋"/>
          <w:color w:val="000000"/>
          <w:szCs w:val="32"/>
        </w:rPr>
        <w:t>2020年度支出合计2965.78万元，其中：基本支1259.26万元，占42.46%；项目支出1706.52万元，占57.54%；经营支出0万元，占0%；对附属单位补助支出0万元，占0%。</w:t>
      </w:r>
    </w:p>
    <w:p>
      <w:pPr>
        <w:ind w:firstLine="640" w:firstLineChars="200"/>
        <w:rPr>
          <w:rFonts w:ascii="黑体" w:hAnsi="仿宋" w:eastAsia="黑体"/>
          <w:color w:val="000000"/>
          <w:szCs w:val="32"/>
        </w:rPr>
      </w:pPr>
      <w:r>
        <w:rPr>
          <w:rFonts w:hint="eastAsia" w:ascii="黑体" w:hAnsi="仿宋" w:eastAsia="黑体"/>
          <w:color w:val="000000"/>
          <w:szCs w:val="32"/>
        </w:rPr>
        <w:t>四、</w:t>
      </w:r>
      <w:r>
        <w:rPr>
          <w:rFonts w:hint="eastAsia" w:ascii="黑体" w:eastAsia="黑体"/>
          <w:color w:val="000000"/>
          <w:szCs w:val="32"/>
        </w:rPr>
        <w:t>财政拨款收入支出决算总体情况说明</w:t>
      </w:r>
    </w:p>
    <w:p>
      <w:pPr>
        <w:ind w:firstLine="640" w:firstLineChars="200"/>
        <w:rPr>
          <w:rFonts w:ascii="仿宋_GB2312" w:hAnsi="仿宋"/>
          <w:color w:val="000000"/>
          <w:szCs w:val="32"/>
        </w:rPr>
      </w:pPr>
      <w:r>
        <w:rPr>
          <w:rFonts w:hint="eastAsia" w:ascii="仿宋_GB2312" w:hAnsi="仿宋"/>
          <w:color w:val="000000"/>
          <w:szCs w:val="32"/>
        </w:rPr>
        <w:t>2020年度财政拨款收入总计2965.78万元（含年初财政拨款结转和结余），支出总计2965.78万元（含年末财政拨款结转和结余）。与2019年相比，财政拨款收、支总计各增加1708.41万元，增长135.74%，主要原因：一是棚户区改造；二是2018年-2020年小街小巷道路改造工程资金拨付；三是2018年雨污分流工程款拨付；四是人员工资调整，综合定额增加；五是文明创建、双拥、园林城市奖励；六是疫情防控支出。</w:t>
      </w:r>
    </w:p>
    <w:p>
      <w:pPr>
        <w:ind w:firstLine="640" w:firstLineChars="200"/>
        <w:rPr>
          <w:rFonts w:ascii="黑体" w:hAnsi="仿宋" w:eastAsia="黑体"/>
          <w:color w:val="000000"/>
          <w:szCs w:val="32"/>
        </w:rPr>
      </w:pPr>
      <w:r>
        <w:rPr>
          <w:rFonts w:hint="eastAsia" w:ascii="黑体" w:hAnsi="仿宋" w:eastAsia="黑体"/>
          <w:color w:val="000000"/>
          <w:szCs w:val="32"/>
        </w:rPr>
        <w:t>五、一般公共预算财政拨款支出决算情况说明</w:t>
      </w:r>
    </w:p>
    <w:p>
      <w:pPr>
        <w:ind w:firstLine="643" w:firstLineChars="200"/>
        <w:rPr>
          <w:rFonts w:ascii="仿宋_GB2312" w:hAnsi="仿宋"/>
          <w:b/>
          <w:bCs/>
          <w:color w:val="000000"/>
          <w:szCs w:val="32"/>
        </w:rPr>
      </w:pPr>
      <w:r>
        <w:rPr>
          <w:rFonts w:hint="eastAsia" w:ascii="仿宋_GB2312" w:hAnsi="仿宋"/>
          <w:b/>
          <w:bCs/>
          <w:color w:val="000000"/>
          <w:szCs w:val="32"/>
        </w:rPr>
        <w:t>（一）一般公共预算财政拨款支出决算总体情况。</w:t>
      </w:r>
    </w:p>
    <w:p>
      <w:pPr>
        <w:ind w:firstLine="640" w:firstLineChars="200"/>
        <w:rPr>
          <w:rFonts w:ascii="仿宋_GB2312" w:hAnsi="仿宋"/>
          <w:color w:val="000000"/>
          <w:szCs w:val="32"/>
        </w:rPr>
      </w:pPr>
      <w:r>
        <w:rPr>
          <w:rFonts w:hint="eastAsia" w:ascii="仿宋_GB2312" w:hAnsi="仿宋"/>
          <w:color w:val="000000"/>
          <w:szCs w:val="32"/>
        </w:rPr>
        <w:t>2020年度一般公共预算财政拨款支出2945.78万元，占本年支出的99.33%。与2019年相比，一般公共预算财政拨款支出增加1704.09万元，增长137.24%。主要原因一是棚户区改造；二是2018年-2020年小街小巷道路改造工程资金拨付；三是2018年雨污分流工程款拨付；四是人员工资调整，综合定额增加；五是文明创建、双拥、园林城市奖励；六是疫情防控支出。</w:t>
      </w:r>
    </w:p>
    <w:p>
      <w:pPr>
        <w:ind w:firstLine="482" w:firstLineChars="150"/>
        <w:rPr>
          <w:rFonts w:ascii="仿宋_GB2312" w:hAnsi="仿宋"/>
          <w:b/>
          <w:color w:val="000000"/>
          <w:szCs w:val="32"/>
        </w:rPr>
      </w:pPr>
      <w:r>
        <w:rPr>
          <w:rFonts w:hint="eastAsia" w:ascii="仿宋_GB2312" w:hAnsi="仿宋"/>
          <w:b/>
          <w:color w:val="000000"/>
          <w:szCs w:val="32"/>
        </w:rPr>
        <w:t>（二）一般公共预算财政拨款支出决算结构情况。</w:t>
      </w:r>
    </w:p>
    <w:p>
      <w:pPr>
        <w:ind w:firstLine="640" w:firstLineChars="200"/>
        <w:rPr>
          <w:rFonts w:ascii="仿宋_GB2312" w:hAnsi="仿宋"/>
          <w:color w:val="000000"/>
          <w:szCs w:val="32"/>
        </w:rPr>
      </w:pPr>
      <w:r>
        <w:rPr>
          <w:rFonts w:hint="eastAsia" w:ascii="仿宋_GB2312" w:hAnsi="仿宋"/>
          <w:color w:val="000000"/>
          <w:szCs w:val="32"/>
        </w:rPr>
        <w:t>2020年度一般公共预算财政拨款支出2945.78万元，主要用于以下方面：</w:t>
      </w:r>
      <w:r>
        <w:rPr>
          <w:rFonts w:hint="eastAsia" w:ascii="仿宋_GB2312" w:hAnsi="仿宋"/>
          <w:b/>
          <w:color w:val="000000"/>
          <w:szCs w:val="32"/>
        </w:rPr>
        <w:t>一般公共服务支出（类）</w:t>
      </w:r>
      <w:r>
        <w:rPr>
          <w:rFonts w:hint="eastAsia" w:ascii="仿宋_GB2312" w:hAnsi="仿宋"/>
          <w:color w:val="000000"/>
          <w:szCs w:val="32"/>
        </w:rPr>
        <w:t>951.28万元，占32.29%;</w:t>
      </w:r>
      <w:r>
        <w:rPr>
          <w:rFonts w:hint="eastAsia" w:ascii="仿宋_GB2312" w:hAnsi="仿宋"/>
          <w:b/>
          <w:color w:val="000000"/>
          <w:szCs w:val="32"/>
        </w:rPr>
        <w:t>文化旅游体育与传媒支出（类）</w:t>
      </w:r>
      <w:r>
        <w:rPr>
          <w:rFonts w:hint="eastAsia" w:ascii="仿宋_GB2312" w:hAnsi="仿宋"/>
          <w:color w:val="000000"/>
          <w:szCs w:val="32"/>
        </w:rPr>
        <w:t>6.83万元，占0.23%；</w:t>
      </w:r>
      <w:r>
        <w:rPr>
          <w:rFonts w:hint="eastAsia" w:ascii="仿宋_GB2312" w:hAnsi="仿宋"/>
          <w:b/>
          <w:color w:val="000000"/>
          <w:szCs w:val="32"/>
        </w:rPr>
        <w:t>社会保障和就业支出（类）</w:t>
      </w:r>
      <w:r>
        <w:rPr>
          <w:rFonts w:hint="eastAsia" w:ascii="仿宋_GB2312" w:hAnsi="仿宋"/>
          <w:color w:val="000000"/>
          <w:szCs w:val="32"/>
        </w:rPr>
        <w:t>115.18万元，占3.91%；</w:t>
      </w:r>
      <w:r>
        <w:rPr>
          <w:rFonts w:hint="eastAsia" w:ascii="仿宋_GB2312" w:hAnsi="仿宋"/>
          <w:b/>
          <w:color w:val="000000"/>
          <w:szCs w:val="32"/>
        </w:rPr>
        <w:t>卫生健康支出（类）</w:t>
      </w:r>
      <w:r>
        <w:rPr>
          <w:rFonts w:hint="eastAsia" w:ascii="仿宋_GB2312" w:hAnsi="仿宋"/>
          <w:color w:val="000000"/>
          <w:szCs w:val="32"/>
        </w:rPr>
        <w:t>70.60万元，占2.40%；</w:t>
      </w:r>
      <w:r>
        <w:rPr>
          <w:rFonts w:hint="eastAsia" w:ascii="仿宋_GB2312" w:hAnsi="仿宋"/>
          <w:b/>
          <w:color w:val="000000"/>
          <w:szCs w:val="32"/>
        </w:rPr>
        <w:t>农林水支出（类）</w:t>
      </w:r>
      <w:r>
        <w:rPr>
          <w:rFonts w:hint="eastAsia" w:ascii="仿宋_GB2312" w:hAnsi="仿宋"/>
          <w:color w:val="000000"/>
          <w:szCs w:val="32"/>
        </w:rPr>
        <w:t>13.61万元，占0.46%；</w:t>
      </w:r>
      <w:r>
        <w:rPr>
          <w:rFonts w:hint="eastAsia" w:ascii="仿宋_GB2312" w:hAnsi="仿宋"/>
          <w:b/>
          <w:color w:val="000000"/>
          <w:szCs w:val="32"/>
        </w:rPr>
        <w:t>住房保障支出（类）</w:t>
      </w:r>
      <w:r>
        <w:rPr>
          <w:rFonts w:hint="eastAsia" w:ascii="仿宋_GB2312" w:hAnsi="仿宋"/>
          <w:color w:val="000000"/>
          <w:szCs w:val="32"/>
        </w:rPr>
        <w:t>31.63万元，占1.07%；</w:t>
      </w:r>
      <w:r>
        <w:rPr>
          <w:rFonts w:hint="eastAsia" w:ascii="仿宋_GB2312" w:hAnsi="仿宋"/>
          <w:b/>
          <w:color w:val="000000"/>
          <w:szCs w:val="32"/>
        </w:rPr>
        <w:t>节能环保支出（类）</w:t>
      </w:r>
      <w:r>
        <w:rPr>
          <w:rFonts w:hint="eastAsia" w:ascii="仿宋_GB2312" w:hAnsi="仿宋"/>
          <w:color w:val="000000"/>
          <w:szCs w:val="32"/>
        </w:rPr>
        <w:t>29.10万元，占0.99%；</w:t>
      </w:r>
      <w:r>
        <w:rPr>
          <w:rFonts w:hint="eastAsia" w:ascii="仿宋_GB2312" w:hAnsi="仿宋"/>
          <w:b/>
          <w:color w:val="000000"/>
          <w:szCs w:val="32"/>
        </w:rPr>
        <w:t>城乡社区支出（类）</w:t>
      </w:r>
      <w:r>
        <w:rPr>
          <w:rFonts w:hint="eastAsia" w:ascii="仿宋_GB2312" w:hAnsi="仿宋"/>
          <w:color w:val="000000"/>
          <w:szCs w:val="32"/>
        </w:rPr>
        <w:t>1727.55万元，占58.64%。</w:t>
      </w:r>
    </w:p>
    <w:p>
      <w:pPr>
        <w:ind w:firstLine="643" w:firstLineChars="200"/>
        <w:rPr>
          <w:rFonts w:ascii="仿宋_GB2312" w:hAnsi="仿宋"/>
          <w:b/>
          <w:bCs/>
          <w:color w:val="000000"/>
          <w:szCs w:val="32"/>
        </w:rPr>
      </w:pPr>
      <w:r>
        <w:rPr>
          <w:rFonts w:hint="eastAsia" w:ascii="仿宋_GB2312" w:hAnsi="仿宋"/>
          <w:b/>
          <w:bCs/>
          <w:color w:val="000000"/>
          <w:szCs w:val="32"/>
        </w:rPr>
        <w:t>（三）一般公共预算财政拨款支出决算具体情况。</w:t>
      </w:r>
    </w:p>
    <w:p>
      <w:pPr>
        <w:ind w:firstLine="640" w:firstLineChars="200"/>
        <w:rPr>
          <w:rFonts w:ascii="仿宋_GB2312" w:hAnsi="仿宋"/>
          <w:color w:val="000000"/>
          <w:szCs w:val="32"/>
        </w:rPr>
      </w:pPr>
      <w:r>
        <w:rPr>
          <w:rFonts w:hint="eastAsia" w:ascii="仿宋_GB2312" w:hAnsi="仿宋"/>
          <w:color w:val="000000"/>
          <w:szCs w:val="32"/>
        </w:rPr>
        <w:t>2020年度一般公共预算财政拨款支出年初预算为481.85万元，支出决算为2945.78万元，完成年初预算的61</w:t>
      </w:r>
      <w:r>
        <w:rPr>
          <w:rFonts w:hint="default" w:ascii="仿宋_GB2312" w:hAnsi="仿宋"/>
          <w:color w:val="000000"/>
          <w:szCs w:val="32"/>
          <w:lang w:val="en-US"/>
        </w:rPr>
        <w:t>1.35</w:t>
      </w:r>
      <w:r>
        <w:rPr>
          <w:rFonts w:hint="eastAsia" w:ascii="仿宋_GB2312" w:hAnsi="仿宋"/>
          <w:color w:val="000000"/>
          <w:szCs w:val="32"/>
        </w:rPr>
        <w:t>%。决算数大于预算数的主要原因:一是棚户区改造；二是2018年-2020年小街小巷道路改造工程资金拨付；三是2018年雨污分流工程款拨付；四是人员工资调整，综合定额增加；五是文明创建、双拥、园林城市奖励；六是疫情防控支出。其中:基本支出12</w:t>
      </w:r>
      <w:r>
        <w:rPr>
          <w:rFonts w:hint="default" w:ascii="仿宋_GB2312" w:hAnsi="仿宋"/>
          <w:color w:val="000000"/>
          <w:szCs w:val="32"/>
          <w:lang w:val="en-US"/>
        </w:rPr>
        <w:t>3</w:t>
      </w:r>
      <w:r>
        <w:rPr>
          <w:rFonts w:hint="eastAsia" w:ascii="仿宋_GB2312" w:hAnsi="仿宋"/>
          <w:color w:val="000000"/>
          <w:szCs w:val="32"/>
        </w:rPr>
        <w:t>9.2</w:t>
      </w:r>
      <w:r>
        <w:rPr>
          <w:rFonts w:hint="default" w:ascii="仿宋_GB2312" w:hAnsi="仿宋"/>
          <w:color w:val="000000"/>
          <w:szCs w:val="32"/>
          <w:lang w:val="en-US"/>
        </w:rPr>
        <w:t>7</w:t>
      </w:r>
      <w:r>
        <w:rPr>
          <w:rFonts w:hint="eastAsia" w:ascii="仿宋_GB2312" w:hAnsi="仿宋"/>
          <w:color w:val="000000"/>
          <w:szCs w:val="32"/>
        </w:rPr>
        <w:t>万元，占42.</w:t>
      </w:r>
      <w:r>
        <w:rPr>
          <w:rFonts w:hint="default" w:ascii="仿宋_GB2312" w:hAnsi="仿宋"/>
          <w:color w:val="000000"/>
          <w:szCs w:val="32"/>
          <w:lang w:val="en-US"/>
        </w:rPr>
        <w:t>07</w:t>
      </w:r>
      <w:r>
        <w:rPr>
          <w:rFonts w:hint="eastAsia" w:ascii="仿宋_GB2312" w:hAnsi="仿宋"/>
          <w:color w:val="000000"/>
          <w:szCs w:val="32"/>
        </w:rPr>
        <w:t>%；项目支出1706.5</w:t>
      </w:r>
      <w:r>
        <w:rPr>
          <w:rFonts w:hint="default" w:ascii="仿宋_GB2312" w:hAnsi="仿宋"/>
          <w:color w:val="000000"/>
          <w:szCs w:val="32"/>
          <w:lang w:val="en-US"/>
        </w:rPr>
        <w:t>1</w:t>
      </w:r>
      <w:r>
        <w:rPr>
          <w:rFonts w:hint="eastAsia" w:ascii="仿宋_GB2312" w:hAnsi="仿宋"/>
          <w:color w:val="000000"/>
          <w:szCs w:val="32"/>
        </w:rPr>
        <w:t>万元，占57.</w:t>
      </w:r>
      <w:r>
        <w:rPr>
          <w:rFonts w:hint="default" w:ascii="仿宋_GB2312" w:hAnsi="仿宋"/>
          <w:color w:val="000000"/>
          <w:szCs w:val="32"/>
          <w:lang w:val="en-US"/>
        </w:rPr>
        <w:t>93</w:t>
      </w:r>
      <w:r>
        <w:rPr>
          <w:rFonts w:hint="eastAsia" w:ascii="仿宋_GB2312" w:hAnsi="仿宋"/>
          <w:color w:val="000000"/>
          <w:szCs w:val="32"/>
        </w:rPr>
        <w:t>%。具体情况如下：</w:t>
      </w:r>
    </w:p>
    <w:p>
      <w:pPr>
        <w:pStyle w:val="2"/>
        <w:numPr>
          <w:ilvl w:val="0"/>
          <w:numId w:val="1"/>
        </w:numPr>
        <w:rPr>
          <w:rFonts w:ascii="仿宋_GB2312" w:hAnsi="仿宋"/>
          <w:szCs w:val="32"/>
        </w:rPr>
      </w:pPr>
      <w:r>
        <w:rPr>
          <w:rFonts w:hint="eastAsia" w:ascii="仿宋_GB2312" w:hAnsi="仿宋"/>
          <w:b/>
          <w:szCs w:val="32"/>
        </w:rPr>
        <w:t>一般公共服务支出（类）人大事务（款）行政运行（项）</w:t>
      </w:r>
      <w:r>
        <w:rPr>
          <w:rFonts w:hint="eastAsia" w:ascii="仿宋_GB2312" w:hAnsi="仿宋"/>
          <w:szCs w:val="32"/>
        </w:rPr>
        <w:t>。年初预算为7.90万元，支出决算为14.43万元，完成年初预算的182.66%，决算数大于预算数的主要原因是上级追加人大办公经费，办公设备购置。</w:t>
      </w:r>
    </w:p>
    <w:p>
      <w:pPr>
        <w:numPr>
          <w:ilvl w:val="0"/>
          <w:numId w:val="1"/>
        </w:numPr>
        <w:ind w:firstLine="623"/>
        <w:rPr>
          <w:color w:val="000000"/>
        </w:rPr>
      </w:pPr>
      <w:r>
        <w:rPr>
          <w:rFonts w:hint="eastAsia" w:ascii="仿宋_GB2312" w:hAnsi="仿宋"/>
          <w:b/>
          <w:color w:val="000000"/>
          <w:szCs w:val="32"/>
        </w:rPr>
        <w:t>一般公共服务支出（类）政府办公厅（室）及相关机构事务（款）行政运行（项）</w:t>
      </w:r>
      <w:r>
        <w:rPr>
          <w:rFonts w:hint="eastAsia" w:ascii="仿宋_GB2312" w:hAnsi="仿宋"/>
          <w:color w:val="000000"/>
          <w:szCs w:val="32"/>
        </w:rPr>
        <w:t>。年初预算为151.64万元，支出决算为749.99万元，完成年初预算的494.59%，决算数大于预算数的主要原因是</w:t>
      </w:r>
      <w:r>
        <w:rPr>
          <w:rFonts w:hint="eastAsia" w:ascii="仿宋_GB2312" w:hAnsi="仿宋"/>
          <w:color w:val="000000"/>
          <w:sz w:val="30"/>
          <w:szCs w:val="30"/>
        </w:rPr>
        <w:t>一是人员工资调增；二是拆迁安置、文明创建等业务量增加。</w:t>
      </w:r>
    </w:p>
    <w:p>
      <w:pPr>
        <w:ind w:firstLine="472" w:firstLineChars="147"/>
        <w:rPr>
          <w:color w:val="000000"/>
        </w:rPr>
      </w:pPr>
      <w:r>
        <w:rPr>
          <w:rFonts w:hint="eastAsia" w:ascii="仿宋_GB2312" w:hAnsi="仿宋"/>
          <w:b/>
          <w:color w:val="000000"/>
          <w:szCs w:val="32"/>
        </w:rPr>
        <w:t>3.一般公共服务支出（类）政府办公厅（室）及相关机构事务（款）信访事务（项）</w:t>
      </w:r>
      <w:r>
        <w:rPr>
          <w:rFonts w:hint="eastAsia" w:ascii="仿宋_GB2312" w:hAnsi="仿宋"/>
          <w:color w:val="000000"/>
          <w:szCs w:val="32"/>
        </w:rPr>
        <w:t>。年初预算为0万元，支出决算为16.13万元，决算数大于预算数的主要原因是上级追加接访差旅费，信访补助经费</w:t>
      </w:r>
      <w:r>
        <w:rPr>
          <w:rFonts w:hint="eastAsia" w:ascii="仿宋_GB2312" w:hAnsi="仿宋"/>
          <w:color w:val="000000"/>
          <w:sz w:val="30"/>
          <w:szCs w:val="30"/>
        </w:rPr>
        <w:t>。</w:t>
      </w:r>
    </w:p>
    <w:p>
      <w:pPr>
        <w:pStyle w:val="2"/>
        <w:ind w:firstLine="622" w:firstLineChars="200"/>
      </w:pPr>
      <w:r>
        <w:rPr>
          <w:rFonts w:hint="eastAsia" w:ascii="仿宋_GB2312" w:hAnsi="仿宋"/>
          <w:b/>
          <w:szCs w:val="32"/>
        </w:rPr>
        <w:t>4.一般公共服务支出（类）政府办公厅（室）及相关机构事务（款）其他政府办公厅（室）及相关机构事务（项）</w:t>
      </w:r>
      <w:r>
        <w:rPr>
          <w:rFonts w:hint="eastAsia" w:ascii="仿宋_GB2312" w:hAnsi="仿宋"/>
          <w:szCs w:val="32"/>
        </w:rPr>
        <w:t>。年初预算为0万元，支出决算为13.20万元，决算数大于预算数的主要原因是上级追加政府办公费、劳务费、垃圾清理等经费</w:t>
      </w:r>
      <w:r>
        <w:rPr>
          <w:rFonts w:hint="eastAsia" w:ascii="仿宋_GB2312" w:hAnsi="仿宋"/>
          <w:sz w:val="30"/>
          <w:szCs w:val="30"/>
        </w:rPr>
        <w:t>。</w:t>
      </w:r>
    </w:p>
    <w:p>
      <w:pPr>
        <w:ind w:firstLine="643" w:firstLineChars="200"/>
        <w:rPr>
          <w:rFonts w:ascii="仿宋_GB2312" w:hAnsi="仿宋"/>
          <w:color w:val="000000"/>
          <w:sz w:val="30"/>
          <w:szCs w:val="30"/>
        </w:rPr>
      </w:pPr>
      <w:r>
        <w:rPr>
          <w:rFonts w:hint="eastAsia" w:ascii="仿宋_GB2312" w:hAnsi="仿宋"/>
          <w:b/>
          <w:szCs w:val="32"/>
        </w:rPr>
        <w:t>5.</w:t>
      </w:r>
      <w:r>
        <w:rPr>
          <w:rFonts w:hint="eastAsia" w:ascii="仿宋_GB2312" w:hAnsi="仿宋"/>
          <w:b/>
          <w:color w:val="000000"/>
          <w:szCs w:val="32"/>
        </w:rPr>
        <w:t>一般公共服务支出（类）统计信息事务（款）专项普查活动（项）</w:t>
      </w:r>
      <w:r>
        <w:rPr>
          <w:rFonts w:hint="eastAsia" w:ascii="仿宋_GB2312" w:hAnsi="仿宋"/>
          <w:color w:val="000000"/>
          <w:szCs w:val="32"/>
        </w:rPr>
        <w:t>。年初预算为0万元，支出决算为6.78万元，决算数大于预算数的主要原因是上级追加经济普查和第七次人口普查经费</w:t>
      </w:r>
      <w:r>
        <w:rPr>
          <w:rFonts w:hint="eastAsia" w:ascii="仿宋_GB2312" w:hAnsi="仿宋"/>
          <w:color w:val="000000"/>
          <w:sz w:val="30"/>
          <w:szCs w:val="30"/>
        </w:rPr>
        <w:t>。</w:t>
      </w:r>
    </w:p>
    <w:p>
      <w:pPr>
        <w:ind w:firstLine="643" w:firstLineChars="200"/>
        <w:rPr>
          <w:rFonts w:ascii="仿宋_GB2312" w:hAnsi="仿宋"/>
          <w:color w:val="000000"/>
          <w:szCs w:val="32"/>
        </w:rPr>
      </w:pPr>
      <w:r>
        <w:rPr>
          <w:rFonts w:hint="eastAsia" w:ascii="仿宋_GB2312" w:hAnsi="仿宋"/>
          <w:b/>
          <w:color w:val="000000"/>
          <w:szCs w:val="32"/>
        </w:rPr>
        <w:t>6.一般公共服务支出（类）财政事务（款）行政运行（项）</w:t>
      </w:r>
      <w:r>
        <w:rPr>
          <w:rFonts w:hint="eastAsia" w:ascii="仿宋_GB2312" w:hAnsi="仿宋"/>
          <w:color w:val="000000"/>
          <w:szCs w:val="32"/>
        </w:rPr>
        <w:t>。年初预算为68.02万元，支出决算为104.13万元，完成年初预算的153.09%，决算数大于预算数的主要原因</w:t>
      </w:r>
      <w:r>
        <w:rPr>
          <w:rFonts w:hint="eastAsia" w:ascii="仿宋_GB2312" w:hAnsi="仿宋"/>
          <w:color w:val="000000"/>
          <w:sz w:val="30"/>
          <w:szCs w:val="30"/>
        </w:rPr>
        <w:t>一是人员工资调增，二是预算追加财政事务办公经费。</w:t>
      </w:r>
    </w:p>
    <w:p>
      <w:pPr>
        <w:ind w:firstLine="643" w:firstLineChars="200"/>
        <w:rPr>
          <w:rFonts w:ascii="仿宋_GB2312" w:hAnsi="仿宋"/>
          <w:color w:val="000000"/>
          <w:szCs w:val="32"/>
        </w:rPr>
      </w:pPr>
      <w:r>
        <w:rPr>
          <w:rFonts w:hint="eastAsia" w:ascii="仿宋_GB2312" w:hAnsi="仿宋"/>
          <w:b/>
          <w:color w:val="000000"/>
          <w:szCs w:val="32"/>
        </w:rPr>
        <w:t>7.一般公共服务支出（类）</w:t>
      </w:r>
      <w:r>
        <w:rPr>
          <w:rFonts w:hint="eastAsia" w:ascii="仿宋_GB2312" w:hAnsi="仿宋"/>
          <w:b/>
          <w:szCs w:val="32"/>
        </w:rPr>
        <w:t>党委办公厅（室）及相关机构事务</w:t>
      </w:r>
      <w:r>
        <w:rPr>
          <w:rFonts w:hint="eastAsia" w:ascii="仿宋_GB2312" w:hAnsi="仿宋"/>
          <w:b/>
          <w:color w:val="000000"/>
          <w:szCs w:val="32"/>
        </w:rPr>
        <w:t>（款）行政运行（项）</w:t>
      </w:r>
      <w:r>
        <w:rPr>
          <w:rFonts w:hint="eastAsia" w:ascii="仿宋_GB2312" w:hAnsi="仿宋"/>
          <w:color w:val="000000"/>
          <w:szCs w:val="32"/>
        </w:rPr>
        <w:t>。年初预算为38.01万元，支出决算为40.29万元，完成年初预算的106%，决算数大于预算数的主要原因是</w:t>
      </w:r>
      <w:r>
        <w:rPr>
          <w:rFonts w:hint="eastAsia" w:ascii="仿宋_GB2312" w:hAnsi="仿宋"/>
          <w:color w:val="000000"/>
          <w:sz w:val="30"/>
          <w:szCs w:val="30"/>
        </w:rPr>
        <w:t>一是人员工资调增,二是预算追加办公经费。</w:t>
      </w:r>
    </w:p>
    <w:p>
      <w:pPr>
        <w:ind w:firstLine="643" w:firstLineChars="200"/>
        <w:rPr>
          <w:rFonts w:ascii="仿宋_GB2312" w:hAnsi="仿宋"/>
          <w:color w:val="000000"/>
          <w:sz w:val="30"/>
          <w:szCs w:val="30"/>
        </w:rPr>
      </w:pPr>
      <w:r>
        <w:rPr>
          <w:rFonts w:hint="eastAsia" w:ascii="仿宋_GB2312" w:hAnsi="仿宋"/>
          <w:b/>
          <w:color w:val="000000"/>
          <w:szCs w:val="32"/>
        </w:rPr>
        <w:t>8.一般公共服务支出（类）组织事务（款）一般行政管理事务（项）</w:t>
      </w:r>
      <w:r>
        <w:rPr>
          <w:rFonts w:hint="eastAsia" w:ascii="仿宋_GB2312" w:hAnsi="仿宋"/>
          <w:color w:val="000000"/>
          <w:szCs w:val="32"/>
        </w:rPr>
        <w:t>。年初预算为0万元，支出决算为0.33万元，决算数大于预算数的主要原因</w:t>
      </w:r>
      <w:r>
        <w:rPr>
          <w:rFonts w:hint="eastAsia" w:ascii="仿宋_GB2312" w:hAnsi="仿宋"/>
          <w:color w:val="000000"/>
          <w:sz w:val="30"/>
          <w:szCs w:val="30"/>
        </w:rPr>
        <w:t>是上级追加组织部门报刊费、办公经费。</w:t>
      </w:r>
    </w:p>
    <w:p>
      <w:pPr>
        <w:pStyle w:val="2"/>
        <w:rPr>
          <w:rFonts w:ascii="仿宋_GB2312" w:hAnsi="仿宋"/>
          <w:sz w:val="30"/>
          <w:szCs w:val="30"/>
        </w:rPr>
      </w:pPr>
      <w:r>
        <w:rPr>
          <w:rFonts w:hint="eastAsia" w:ascii="仿宋_GB2312" w:hAnsi="仿宋"/>
          <w:b/>
          <w:szCs w:val="32"/>
        </w:rPr>
        <w:t>9.一般公共服务支出（类）其他共产党事务（款）行政运行（项）</w:t>
      </w:r>
      <w:r>
        <w:rPr>
          <w:rFonts w:hint="eastAsia" w:ascii="仿宋_GB2312" w:hAnsi="仿宋"/>
          <w:szCs w:val="32"/>
        </w:rPr>
        <w:t>。年初预算为0万元，支出决算为2.64万元，决算数大于预算数的主要原因</w:t>
      </w:r>
      <w:r>
        <w:rPr>
          <w:rFonts w:hint="eastAsia" w:ascii="仿宋_GB2312" w:hAnsi="仿宋"/>
          <w:sz w:val="30"/>
          <w:szCs w:val="30"/>
        </w:rPr>
        <w:t>是上级追加其他共产党事务报刊费、设备购置费、宣传等经费。</w:t>
      </w:r>
    </w:p>
    <w:p>
      <w:pPr>
        <w:pStyle w:val="2"/>
        <w:rPr>
          <w:rFonts w:ascii="仿宋_GB2312" w:hAnsi="仿宋"/>
          <w:szCs w:val="32"/>
        </w:rPr>
      </w:pPr>
      <w:r>
        <w:rPr>
          <w:rFonts w:hint="eastAsia" w:ascii="仿宋_GB2312" w:hAnsi="仿宋"/>
          <w:b/>
          <w:szCs w:val="32"/>
        </w:rPr>
        <w:t>10</w:t>
      </w:r>
      <w:r>
        <w:rPr>
          <w:rFonts w:hint="eastAsia" w:ascii="仿宋_GB2312" w:hAnsi="仿宋"/>
          <w:sz w:val="30"/>
          <w:szCs w:val="30"/>
        </w:rPr>
        <w:t>.</w:t>
      </w:r>
      <w:r>
        <w:rPr>
          <w:rFonts w:hint="eastAsia" w:ascii="仿宋_GB2312" w:hAnsi="仿宋"/>
          <w:b/>
          <w:szCs w:val="32"/>
        </w:rPr>
        <w:t>一般公共服务支出（类）市场监督管理事务（款）其他市场监督管理事务（项）</w:t>
      </w:r>
      <w:r>
        <w:rPr>
          <w:rFonts w:hint="eastAsia" w:ascii="仿宋_GB2312" w:hAnsi="仿宋"/>
          <w:szCs w:val="32"/>
        </w:rPr>
        <w:t>。年初预算为0万元，支出决算为3.36万元，决算数大于预算数的主要原因</w:t>
      </w:r>
      <w:r>
        <w:rPr>
          <w:rFonts w:hint="eastAsia" w:ascii="仿宋_GB2312" w:hAnsi="仿宋"/>
          <w:sz w:val="30"/>
          <w:szCs w:val="30"/>
        </w:rPr>
        <w:t>是上级追加劳务费、委托业务费、办公费等经费。</w:t>
      </w:r>
    </w:p>
    <w:p>
      <w:pPr>
        <w:ind w:firstLine="643" w:firstLineChars="200"/>
        <w:rPr>
          <w:rFonts w:ascii="仿宋_GB2312" w:hAnsi="仿宋"/>
          <w:color w:val="000000"/>
          <w:sz w:val="30"/>
          <w:szCs w:val="30"/>
        </w:rPr>
      </w:pPr>
      <w:r>
        <w:rPr>
          <w:rFonts w:hint="eastAsia" w:ascii="仿宋_GB2312" w:hAnsi="仿宋"/>
          <w:b/>
          <w:color w:val="000000"/>
          <w:szCs w:val="32"/>
        </w:rPr>
        <w:t>11.文化旅游体育与传媒支出（类）文化和旅游（款）群众文化（项）</w:t>
      </w:r>
      <w:r>
        <w:rPr>
          <w:rFonts w:hint="eastAsia" w:ascii="仿宋_GB2312" w:hAnsi="仿宋"/>
          <w:color w:val="000000"/>
          <w:szCs w:val="32"/>
        </w:rPr>
        <w:t>。年初预算为6.62万元，支出决算为6.83万元，完成年初预算的103.17%，决算数大于预算数的主要原因</w:t>
      </w:r>
      <w:r>
        <w:rPr>
          <w:rFonts w:hint="eastAsia" w:ascii="仿宋_GB2312" w:hAnsi="仿宋"/>
          <w:color w:val="000000"/>
          <w:sz w:val="30"/>
          <w:szCs w:val="30"/>
        </w:rPr>
        <w:t>是预算追加用于文化与传媒支出</w:t>
      </w:r>
      <w:r>
        <w:rPr>
          <w:rFonts w:hint="eastAsia" w:ascii="仿宋_GB2312" w:hAnsi="仿宋"/>
          <w:sz w:val="30"/>
          <w:szCs w:val="30"/>
        </w:rPr>
        <w:t>。</w:t>
      </w:r>
    </w:p>
    <w:p>
      <w:pPr>
        <w:ind w:firstLine="643" w:firstLineChars="200"/>
        <w:rPr>
          <w:rFonts w:ascii="仿宋_GB2312" w:hAnsi="仿宋"/>
          <w:color w:val="000000"/>
          <w:szCs w:val="32"/>
        </w:rPr>
      </w:pPr>
      <w:r>
        <w:rPr>
          <w:rFonts w:hint="eastAsia" w:ascii="仿宋_GB2312" w:hAnsi="仿宋"/>
          <w:b/>
          <w:color w:val="000000"/>
          <w:szCs w:val="32"/>
        </w:rPr>
        <w:t>12.社会保障和就业支出（类）人力资源和社会保障管理事务（款）社会保险经办机构（项）</w:t>
      </w:r>
      <w:r>
        <w:rPr>
          <w:rFonts w:hint="eastAsia" w:ascii="仿宋_GB2312" w:hAnsi="仿宋"/>
          <w:color w:val="000000"/>
          <w:szCs w:val="32"/>
        </w:rPr>
        <w:t>。年初预算为19.93万元，支出决算为21.66万元，完成年初预算的108.68%，决算数大于预算数的主要原因</w:t>
      </w:r>
      <w:r>
        <w:rPr>
          <w:rFonts w:hint="eastAsia" w:ascii="仿宋_GB2312" w:hAnsi="仿宋"/>
          <w:color w:val="000000"/>
          <w:sz w:val="30"/>
          <w:szCs w:val="30"/>
        </w:rPr>
        <w:t>用于社保机构人员工资和办公费支出。</w:t>
      </w:r>
    </w:p>
    <w:p>
      <w:pPr>
        <w:ind w:firstLine="643" w:firstLineChars="200"/>
        <w:rPr>
          <w:rFonts w:ascii="仿宋_GB2312" w:hAnsi="仿宋"/>
          <w:color w:val="000000"/>
          <w:sz w:val="30"/>
          <w:szCs w:val="30"/>
        </w:rPr>
      </w:pPr>
      <w:r>
        <w:rPr>
          <w:rFonts w:hint="eastAsia" w:ascii="仿宋_GB2312" w:hAnsi="仿宋"/>
          <w:b/>
          <w:color w:val="000000"/>
          <w:szCs w:val="32"/>
        </w:rPr>
        <w:t>13.社会保障和就业支出（类）民政管理事务（款）其他民政管理事务（项）</w:t>
      </w:r>
      <w:r>
        <w:rPr>
          <w:rFonts w:hint="eastAsia" w:ascii="仿宋_GB2312" w:hAnsi="仿宋"/>
          <w:color w:val="000000"/>
          <w:sz w:val="30"/>
          <w:szCs w:val="30"/>
        </w:rPr>
        <w:t>。</w:t>
      </w:r>
      <w:r>
        <w:rPr>
          <w:rFonts w:hint="eastAsia" w:ascii="仿宋_GB2312" w:hAnsi="仿宋"/>
          <w:color w:val="000000"/>
          <w:szCs w:val="32"/>
        </w:rPr>
        <w:t>年初预算为17.43万元，支出决算为17.93万元，完成年初预算的102.87%，决算数大于预算数的主要原因</w:t>
      </w:r>
      <w:r>
        <w:rPr>
          <w:rFonts w:hint="eastAsia" w:ascii="仿宋_GB2312" w:hAnsi="仿宋"/>
          <w:color w:val="000000"/>
          <w:sz w:val="30"/>
          <w:szCs w:val="30"/>
        </w:rPr>
        <w:t>是人员工资调增。</w:t>
      </w:r>
    </w:p>
    <w:p>
      <w:pPr>
        <w:tabs>
          <w:tab w:val="left" w:pos="312"/>
        </w:tabs>
        <w:ind w:firstLine="590" w:firstLineChars="196"/>
        <w:rPr>
          <w:rFonts w:ascii="仿宋_GB2312" w:hAnsi="仿宋"/>
          <w:color w:val="000000"/>
          <w:sz w:val="30"/>
          <w:szCs w:val="30"/>
        </w:rPr>
      </w:pPr>
      <w:r>
        <w:rPr>
          <w:rFonts w:hint="eastAsia" w:ascii="仿宋_GB2312" w:hAnsi="仿宋"/>
          <w:b/>
          <w:bCs/>
          <w:color w:val="000000"/>
          <w:sz w:val="30"/>
          <w:szCs w:val="30"/>
        </w:rPr>
        <w:t>14.社会保障和就业支出</w:t>
      </w:r>
      <w:r>
        <w:rPr>
          <w:rFonts w:hint="eastAsia" w:ascii="仿宋_GB2312" w:hAnsi="仿宋"/>
          <w:b/>
          <w:color w:val="000000"/>
          <w:sz w:val="30"/>
          <w:szCs w:val="30"/>
        </w:rPr>
        <w:t>（类）行政事业单位养老支出（款）机关事业单位基本养老保险缴费支出（项）</w:t>
      </w:r>
      <w:r>
        <w:rPr>
          <w:rFonts w:hint="eastAsia" w:ascii="仿宋_GB2312" w:hAnsi="仿宋"/>
          <w:color w:val="000000"/>
          <w:sz w:val="30"/>
          <w:szCs w:val="30"/>
        </w:rPr>
        <w:t>，年初预算为42.18万元，支出决算为42.18万元，完成预算100%。</w:t>
      </w:r>
    </w:p>
    <w:p>
      <w:pPr>
        <w:tabs>
          <w:tab w:val="left" w:pos="312"/>
        </w:tabs>
        <w:ind w:firstLine="587" w:firstLineChars="195"/>
        <w:rPr>
          <w:rFonts w:ascii="仿宋_GB2312" w:hAnsi="仿宋"/>
          <w:color w:val="000000"/>
          <w:sz w:val="30"/>
          <w:szCs w:val="30"/>
        </w:rPr>
      </w:pPr>
      <w:r>
        <w:rPr>
          <w:rFonts w:hint="eastAsia" w:ascii="仿宋_GB2312" w:hAnsi="仿宋"/>
          <w:b/>
          <w:bCs/>
          <w:color w:val="000000"/>
          <w:sz w:val="30"/>
          <w:szCs w:val="30"/>
        </w:rPr>
        <w:t>15.社会保障和就业支出</w:t>
      </w:r>
      <w:r>
        <w:rPr>
          <w:rFonts w:hint="eastAsia" w:ascii="仿宋_GB2312" w:hAnsi="仿宋"/>
          <w:b/>
          <w:color w:val="000000"/>
          <w:sz w:val="30"/>
          <w:szCs w:val="30"/>
        </w:rPr>
        <w:t>（类）就业补助（款）其他就业补助支出（项）</w:t>
      </w:r>
      <w:r>
        <w:rPr>
          <w:rFonts w:hint="eastAsia" w:ascii="仿宋_GB2312" w:hAnsi="仿宋"/>
          <w:color w:val="000000"/>
          <w:sz w:val="30"/>
          <w:szCs w:val="30"/>
        </w:rPr>
        <w:t>，年初预算为0万元，支出决算为17.36万元，</w:t>
      </w:r>
      <w:r>
        <w:rPr>
          <w:rFonts w:hint="eastAsia" w:ascii="仿宋_GB2312" w:hAnsi="仿宋"/>
          <w:color w:val="000000"/>
          <w:szCs w:val="32"/>
        </w:rPr>
        <w:t>决算数大于预算数的主要原因</w:t>
      </w:r>
      <w:r>
        <w:rPr>
          <w:rFonts w:hint="eastAsia" w:ascii="仿宋_GB2312" w:hAnsi="仿宋"/>
          <w:color w:val="000000"/>
          <w:sz w:val="30"/>
          <w:szCs w:val="30"/>
        </w:rPr>
        <w:t>是上级追加特岗人员生活补助及工作经费。</w:t>
      </w:r>
    </w:p>
    <w:p>
      <w:pPr>
        <w:pStyle w:val="2"/>
        <w:tabs>
          <w:tab w:val="left" w:pos="312"/>
        </w:tabs>
        <w:ind w:firstLine="590" w:firstLineChars="196"/>
        <w:rPr>
          <w:rFonts w:ascii="仿宋_GB2312" w:hAnsi="仿宋"/>
          <w:sz w:val="30"/>
          <w:szCs w:val="30"/>
        </w:rPr>
      </w:pPr>
      <w:r>
        <w:rPr>
          <w:rFonts w:hint="eastAsia" w:ascii="仿宋_GB2312" w:hAnsi="仿宋"/>
          <w:b/>
          <w:bCs/>
          <w:sz w:val="30"/>
          <w:szCs w:val="30"/>
        </w:rPr>
        <w:t>16.社会保障和就业支出</w:t>
      </w:r>
      <w:r>
        <w:rPr>
          <w:rFonts w:hint="eastAsia" w:ascii="仿宋_GB2312" w:hAnsi="仿宋"/>
          <w:b/>
          <w:sz w:val="30"/>
          <w:szCs w:val="30"/>
        </w:rPr>
        <w:t>（类）退役安置（款）退役士兵安置（项）</w:t>
      </w:r>
      <w:r>
        <w:rPr>
          <w:rFonts w:hint="eastAsia" w:ascii="仿宋_GB2312" w:hAnsi="仿宋"/>
          <w:sz w:val="30"/>
          <w:szCs w:val="30"/>
        </w:rPr>
        <w:t>，年初预算为0万元，支出决算为15.67万元，</w:t>
      </w:r>
      <w:r>
        <w:rPr>
          <w:rFonts w:hint="eastAsia" w:ascii="仿宋_GB2312" w:hAnsi="仿宋"/>
          <w:szCs w:val="32"/>
        </w:rPr>
        <w:t>决算数大于预算数的主要原因</w:t>
      </w:r>
      <w:r>
        <w:rPr>
          <w:rFonts w:hint="eastAsia" w:ascii="仿宋_GB2312" w:hAnsi="仿宋"/>
          <w:sz w:val="30"/>
          <w:szCs w:val="30"/>
        </w:rPr>
        <w:t>是上级追加退役士兵安置人员工资和办公费支出。</w:t>
      </w:r>
    </w:p>
    <w:p>
      <w:pPr>
        <w:pStyle w:val="2"/>
        <w:tabs>
          <w:tab w:val="left" w:pos="312"/>
        </w:tabs>
        <w:ind w:firstLine="588" w:firstLineChars="196"/>
      </w:pPr>
      <w:r>
        <w:rPr>
          <w:rFonts w:hint="eastAsia" w:ascii="仿宋_GB2312" w:hAnsi="仿宋"/>
          <w:sz w:val="30"/>
          <w:szCs w:val="30"/>
        </w:rPr>
        <w:t>17.</w:t>
      </w:r>
      <w:r>
        <w:rPr>
          <w:rFonts w:hint="eastAsia" w:ascii="仿宋_GB2312" w:hAnsi="仿宋"/>
          <w:b/>
          <w:bCs/>
          <w:sz w:val="30"/>
          <w:szCs w:val="30"/>
        </w:rPr>
        <w:t>社会保障和就业支出</w:t>
      </w:r>
      <w:r>
        <w:rPr>
          <w:rFonts w:hint="eastAsia" w:ascii="仿宋_GB2312" w:hAnsi="仿宋"/>
          <w:b/>
          <w:sz w:val="30"/>
          <w:szCs w:val="30"/>
        </w:rPr>
        <w:t>（类）临时救助（款）临时救助支出（项）</w:t>
      </w:r>
      <w:r>
        <w:rPr>
          <w:rFonts w:hint="eastAsia" w:ascii="仿宋_GB2312" w:hAnsi="仿宋"/>
          <w:sz w:val="30"/>
          <w:szCs w:val="30"/>
        </w:rPr>
        <w:t>，年初预算为0万元，支出决算为0.38万元，</w:t>
      </w:r>
      <w:r>
        <w:rPr>
          <w:rFonts w:hint="eastAsia" w:ascii="仿宋_GB2312" w:hAnsi="仿宋"/>
          <w:szCs w:val="32"/>
        </w:rPr>
        <w:t>决算数大于预算数的主要原因</w:t>
      </w:r>
      <w:r>
        <w:rPr>
          <w:rFonts w:hint="eastAsia" w:ascii="仿宋_GB2312" w:hAnsi="仿宋"/>
          <w:sz w:val="30"/>
          <w:szCs w:val="30"/>
        </w:rPr>
        <w:t>是上级追加临时救助支出。</w:t>
      </w:r>
    </w:p>
    <w:p>
      <w:pPr>
        <w:pStyle w:val="2"/>
        <w:tabs>
          <w:tab w:val="left" w:pos="312"/>
        </w:tabs>
        <w:ind w:firstLine="602" w:firstLineChars="200"/>
      </w:pPr>
      <w:r>
        <w:rPr>
          <w:rFonts w:hint="eastAsia" w:ascii="仿宋_GB2312" w:hAnsi="仿宋"/>
          <w:b/>
          <w:bCs/>
          <w:sz w:val="30"/>
          <w:szCs w:val="30"/>
        </w:rPr>
        <w:t>18.卫生健康支出</w:t>
      </w:r>
      <w:r>
        <w:rPr>
          <w:rFonts w:hint="eastAsia" w:ascii="仿宋_GB2312" w:hAnsi="仿宋"/>
          <w:b/>
          <w:sz w:val="30"/>
          <w:szCs w:val="30"/>
        </w:rPr>
        <w:t>（类）公共卫生（款）突发公共卫生事件应急处理（项）</w:t>
      </w:r>
      <w:r>
        <w:rPr>
          <w:rFonts w:hint="eastAsia" w:ascii="仿宋_GB2312" w:hAnsi="仿宋"/>
          <w:sz w:val="30"/>
          <w:szCs w:val="30"/>
        </w:rPr>
        <w:t>，年初预算为0万元，支出决算为19.18万元，</w:t>
      </w:r>
      <w:r>
        <w:rPr>
          <w:rFonts w:hint="eastAsia" w:ascii="仿宋_GB2312" w:hAnsi="仿宋"/>
          <w:szCs w:val="32"/>
        </w:rPr>
        <w:t>决算数大于预算数的主要原因</w:t>
      </w:r>
      <w:r>
        <w:rPr>
          <w:rFonts w:hint="eastAsia" w:ascii="仿宋_GB2312" w:hAnsi="仿宋"/>
          <w:sz w:val="30"/>
          <w:szCs w:val="30"/>
        </w:rPr>
        <w:t>是上级追加新冠疫情防控支出经费。</w:t>
      </w:r>
    </w:p>
    <w:p>
      <w:pPr>
        <w:pStyle w:val="2"/>
        <w:tabs>
          <w:tab w:val="left" w:pos="312"/>
        </w:tabs>
        <w:ind w:firstLine="590" w:firstLineChars="196"/>
      </w:pPr>
      <w:r>
        <w:rPr>
          <w:rFonts w:hint="eastAsia" w:ascii="仿宋_GB2312" w:hAnsi="仿宋"/>
          <w:b/>
          <w:bCs/>
          <w:sz w:val="30"/>
          <w:szCs w:val="30"/>
        </w:rPr>
        <w:t>19.卫生健康支出</w:t>
      </w:r>
      <w:r>
        <w:rPr>
          <w:rFonts w:hint="eastAsia" w:ascii="仿宋_GB2312" w:hAnsi="仿宋"/>
          <w:b/>
          <w:sz w:val="30"/>
          <w:szCs w:val="30"/>
        </w:rPr>
        <w:t>（类）计划生育事务（款）计划生育机构（项）</w:t>
      </w:r>
      <w:r>
        <w:rPr>
          <w:rFonts w:hint="eastAsia" w:ascii="仿宋_GB2312" w:hAnsi="仿宋"/>
          <w:sz w:val="30"/>
          <w:szCs w:val="30"/>
        </w:rPr>
        <w:t>，年初预算为28.09万元，支出决算为28.50万元，完成年初预算的101.46%，决算数大于预算数的主要原因是人员工资调增。</w:t>
      </w:r>
    </w:p>
    <w:p>
      <w:pPr>
        <w:ind w:firstLine="602" w:firstLineChars="200"/>
        <w:rPr>
          <w:rFonts w:ascii="仿宋_GB2312" w:hAnsi="仿宋"/>
          <w:color w:val="000000"/>
          <w:sz w:val="30"/>
          <w:szCs w:val="30"/>
        </w:rPr>
      </w:pPr>
      <w:r>
        <w:rPr>
          <w:rFonts w:hint="eastAsia" w:ascii="仿宋_GB2312" w:hAnsi="仿宋"/>
          <w:b/>
          <w:bCs/>
          <w:color w:val="000000"/>
          <w:sz w:val="30"/>
          <w:szCs w:val="30"/>
        </w:rPr>
        <w:t>20.卫生健康支出</w:t>
      </w:r>
      <w:r>
        <w:rPr>
          <w:rFonts w:hint="eastAsia" w:ascii="仿宋_GB2312" w:hAnsi="仿宋"/>
          <w:b/>
          <w:color w:val="000000"/>
          <w:sz w:val="30"/>
          <w:szCs w:val="30"/>
        </w:rPr>
        <w:t>（类）行政事业单位医疗（款）行政单位医疗（项）</w:t>
      </w:r>
      <w:r>
        <w:rPr>
          <w:rFonts w:hint="eastAsia" w:ascii="仿宋_GB2312" w:hAnsi="仿宋"/>
          <w:color w:val="000000"/>
          <w:sz w:val="30"/>
          <w:szCs w:val="30"/>
        </w:rPr>
        <w:t>，年初预算为11.37万元，支出决算为11.37万元，完成预算100%。</w:t>
      </w:r>
    </w:p>
    <w:p>
      <w:pPr>
        <w:ind w:firstLine="602" w:firstLineChars="200"/>
        <w:rPr>
          <w:rFonts w:ascii="仿宋_GB2312" w:hAnsi="仿宋"/>
          <w:color w:val="000000"/>
          <w:sz w:val="30"/>
          <w:szCs w:val="30"/>
        </w:rPr>
      </w:pPr>
      <w:r>
        <w:rPr>
          <w:rFonts w:hint="eastAsia" w:ascii="仿宋_GB2312" w:hAnsi="仿宋"/>
          <w:b/>
          <w:bCs/>
          <w:color w:val="000000"/>
          <w:sz w:val="30"/>
          <w:szCs w:val="30"/>
        </w:rPr>
        <w:t>21.卫生健康支出</w:t>
      </w:r>
      <w:r>
        <w:rPr>
          <w:rFonts w:hint="eastAsia" w:ascii="仿宋_GB2312" w:hAnsi="仿宋"/>
          <w:b/>
          <w:color w:val="000000"/>
          <w:sz w:val="30"/>
          <w:szCs w:val="30"/>
        </w:rPr>
        <w:t>（类）行政事业单位医疗（款）事业单位医疗（项）</w:t>
      </w:r>
      <w:r>
        <w:rPr>
          <w:rFonts w:hint="eastAsia" w:ascii="仿宋_GB2312" w:hAnsi="仿宋"/>
          <w:color w:val="000000"/>
          <w:sz w:val="30"/>
          <w:szCs w:val="30"/>
        </w:rPr>
        <w:t>，年初预算为4.45万元，支出决算为3.63万元，完成预算81.57%,主要用于事业单位医疗支出。</w:t>
      </w:r>
    </w:p>
    <w:p>
      <w:pPr>
        <w:ind w:firstLine="600" w:firstLineChars="200"/>
        <w:rPr>
          <w:rFonts w:ascii="仿宋_GB2312" w:hAnsi="仿宋"/>
          <w:color w:val="000000"/>
          <w:sz w:val="30"/>
          <w:szCs w:val="30"/>
        </w:rPr>
      </w:pPr>
      <w:r>
        <w:rPr>
          <w:rFonts w:hint="eastAsia" w:ascii="仿宋_GB2312" w:hAnsi="仿宋"/>
          <w:color w:val="000000"/>
          <w:sz w:val="30"/>
          <w:szCs w:val="30"/>
        </w:rPr>
        <w:t>22.</w:t>
      </w:r>
      <w:r>
        <w:rPr>
          <w:rFonts w:hint="eastAsia" w:ascii="仿宋_GB2312" w:hAnsi="仿宋"/>
          <w:b/>
          <w:bCs/>
          <w:color w:val="000000"/>
          <w:sz w:val="30"/>
          <w:szCs w:val="30"/>
        </w:rPr>
        <w:t>卫生健康支出</w:t>
      </w:r>
      <w:r>
        <w:rPr>
          <w:rFonts w:hint="eastAsia" w:ascii="仿宋_GB2312" w:hAnsi="仿宋"/>
          <w:b/>
          <w:color w:val="000000"/>
          <w:sz w:val="30"/>
          <w:szCs w:val="30"/>
        </w:rPr>
        <w:t>（类）行政事业单位医疗（款）公务员医疗补助（项）</w:t>
      </w:r>
      <w:r>
        <w:rPr>
          <w:rFonts w:hint="eastAsia" w:ascii="仿宋_GB2312" w:hAnsi="仿宋"/>
          <w:color w:val="000000"/>
          <w:sz w:val="30"/>
          <w:szCs w:val="30"/>
        </w:rPr>
        <w:t>，年初预算为6.28万元，支出决算为6.28万元，完成预算100%。</w:t>
      </w:r>
    </w:p>
    <w:p>
      <w:pPr>
        <w:ind w:firstLine="602" w:firstLineChars="200"/>
        <w:rPr>
          <w:rFonts w:ascii="仿宋_GB2312" w:hAnsi="仿宋"/>
          <w:color w:val="000000"/>
          <w:sz w:val="30"/>
          <w:szCs w:val="30"/>
        </w:rPr>
      </w:pPr>
      <w:r>
        <w:rPr>
          <w:rFonts w:hint="eastAsia" w:ascii="仿宋_GB2312" w:hAnsi="仿宋"/>
          <w:b/>
          <w:bCs/>
          <w:color w:val="000000"/>
          <w:sz w:val="30"/>
          <w:szCs w:val="30"/>
        </w:rPr>
        <w:t>23.卫生健康支出</w:t>
      </w:r>
      <w:r>
        <w:rPr>
          <w:rFonts w:hint="eastAsia" w:ascii="仿宋_GB2312" w:hAnsi="仿宋"/>
          <w:b/>
          <w:color w:val="000000"/>
          <w:sz w:val="30"/>
          <w:szCs w:val="30"/>
        </w:rPr>
        <w:t>（类）行政事业单位医疗（款）其他行政事业单位医疗支出（项）</w:t>
      </w:r>
      <w:r>
        <w:rPr>
          <w:rFonts w:hint="eastAsia" w:ascii="仿宋_GB2312" w:hAnsi="仿宋"/>
          <w:color w:val="000000"/>
          <w:sz w:val="30"/>
          <w:szCs w:val="30"/>
        </w:rPr>
        <w:t>，年初预算为1.65万元，支出决算为1.65万元，完成预算100%。</w:t>
      </w:r>
    </w:p>
    <w:p>
      <w:pPr>
        <w:ind w:firstLine="602" w:firstLineChars="200"/>
        <w:rPr>
          <w:rFonts w:ascii="仿宋_GB2312" w:hAnsi="仿宋"/>
          <w:color w:val="000000"/>
          <w:sz w:val="30"/>
          <w:szCs w:val="30"/>
        </w:rPr>
      </w:pPr>
      <w:r>
        <w:rPr>
          <w:rFonts w:hint="eastAsia" w:ascii="仿宋_GB2312" w:hAnsi="仿宋"/>
          <w:b/>
          <w:bCs/>
          <w:color w:val="000000"/>
          <w:sz w:val="30"/>
          <w:szCs w:val="30"/>
        </w:rPr>
        <w:t>24.节能环保支出</w:t>
      </w:r>
      <w:r>
        <w:rPr>
          <w:rFonts w:hint="eastAsia" w:ascii="仿宋_GB2312" w:hAnsi="仿宋"/>
          <w:b/>
          <w:color w:val="000000"/>
          <w:sz w:val="30"/>
          <w:szCs w:val="30"/>
        </w:rPr>
        <w:t>（类）环境保护管理事务（款）其他环境保护管理事务支出（项）</w:t>
      </w:r>
      <w:r>
        <w:rPr>
          <w:rFonts w:hint="eastAsia" w:ascii="仿宋_GB2312" w:hAnsi="仿宋"/>
          <w:color w:val="000000"/>
          <w:sz w:val="30"/>
          <w:szCs w:val="30"/>
        </w:rPr>
        <w:t>，年初预算为不知万元，支出决算为29.10万元，</w:t>
      </w:r>
      <w:r>
        <w:rPr>
          <w:rFonts w:hint="eastAsia" w:ascii="仿宋_GB2312" w:hAnsi="仿宋"/>
          <w:color w:val="000000"/>
          <w:szCs w:val="32"/>
        </w:rPr>
        <w:t>完成年初预算的%，决算数大于预算数的主要原因一</w:t>
      </w:r>
      <w:r>
        <w:rPr>
          <w:rFonts w:hint="eastAsia" w:ascii="仿宋_GB2312" w:hAnsi="仿宋"/>
          <w:color w:val="000000"/>
          <w:sz w:val="30"/>
          <w:szCs w:val="30"/>
        </w:rPr>
        <w:t>是人员工资调增，二是上级追加环境保护管理事务工作经费。</w:t>
      </w:r>
    </w:p>
    <w:p>
      <w:pPr>
        <w:ind w:firstLine="602" w:firstLineChars="200"/>
        <w:rPr>
          <w:rFonts w:ascii="仿宋_GB2312" w:hAnsi="仿宋"/>
          <w:color w:val="000000"/>
          <w:sz w:val="30"/>
          <w:szCs w:val="30"/>
        </w:rPr>
      </w:pPr>
      <w:r>
        <w:rPr>
          <w:rFonts w:hint="eastAsia" w:ascii="仿宋_GB2312" w:hAnsi="仿宋"/>
          <w:b/>
          <w:bCs/>
          <w:color w:val="000000"/>
          <w:sz w:val="30"/>
          <w:szCs w:val="30"/>
        </w:rPr>
        <w:t>25.城乡社区支出</w:t>
      </w:r>
      <w:r>
        <w:rPr>
          <w:rFonts w:hint="eastAsia" w:ascii="仿宋_GB2312" w:hAnsi="仿宋"/>
          <w:b/>
          <w:color w:val="000000"/>
          <w:sz w:val="30"/>
          <w:szCs w:val="30"/>
        </w:rPr>
        <w:t>（类）城乡社区管理事务（款）其他城乡社区管理事务支出（项）</w:t>
      </w:r>
      <w:r>
        <w:rPr>
          <w:rFonts w:hint="eastAsia" w:ascii="仿宋_GB2312" w:hAnsi="仿宋"/>
          <w:color w:val="000000"/>
          <w:sz w:val="30"/>
          <w:szCs w:val="30"/>
        </w:rPr>
        <w:t>，年初预算为11.49万元，支出决算为13.03万元，完成年初预算的113.40%，决算数大于预算数的主要原因是人员工资调增。</w:t>
      </w:r>
    </w:p>
    <w:p>
      <w:pPr>
        <w:ind w:firstLine="602" w:firstLineChars="200"/>
        <w:rPr>
          <w:rFonts w:ascii="仿宋_GB2312" w:hAnsi="仿宋"/>
          <w:color w:val="000000"/>
          <w:sz w:val="30"/>
          <w:szCs w:val="30"/>
        </w:rPr>
      </w:pPr>
      <w:r>
        <w:rPr>
          <w:rFonts w:hint="eastAsia" w:ascii="仿宋_GB2312" w:hAnsi="仿宋"/>
          <w:b/>
          <w:bCs/>
          <w:color w:val="000000"/>
          <w:sz w:val="30"/>
          <w:szCs w:val="30"/>
        </w:rPr>
        <w:t>26.城乡社区支出</w:t>
      </w:r>
      <w:r>
        <w:rPr>
          <w:rFonts w:hint="eastAsia" w:ascii="仿宋_GB2312" w:hAnsi="仿宋"/>
          <w:b/>
          <w:color w:val="000000"/>
          <w:sz w:val="30"/>
          <w:szCs w:val="30"/>
        </w:rPr>
        <w:t>（类）城乡社区公共设施（款）其他城乡社区公共设施支出（项）</w:t>
      </w:r>
      <w:r>
        <w:rPr>
          <w:rFonts w:hint="eastAsia" w:ascii="仿宋_GB2312" w:hAnsi="仿宋"/>
          <w:color w:val="000000"/>
          <w:sz w:val="30"/>
          <w:szCs w:val="30"/>
        </w:rPr>
        <w:t>，年初预算为0万元，支出决算为1706.52万元，决算数大于预算数的主要原因是预算追加全国文明城市创建经费支出。</w:t>
      </w:r>
    </w:p>
    <w:p>
      <w:pPr>
        <w:ind w:firstLine="602" w:firstLineChars="200"/>
        <w:rPr>
          <w:rFonts w:ascii="仿宋_GB2312" w:hAnsi="仿宋"/>
          <w:color w:val="000000"/>
          <w:sz w:val="30"/>
          <w:szCs w:val="30"/>
        </w:rPr>
      </w:pPr>
      <w:r>
        <w:rPr>
          <w:rFonts w:hint="eastAsia" w:ascii="仿宋_GB2312" w:hAnsi="仿宋"/>
          <w:b/>
          <w:bCs/>
          <w:color w:val="000000"/>
          <w:sz w:val="30"/>
          <w:szCs w:val="30"/>
        </w:rPr>
        <w:t>27.城乡社区支出</w:t>
      </w:r>
      <w:r>
        <w:rPr>
          <w:rFonts w:hint="eastAsia" w:ascii="仿宋_GB2312" w:hAnsi="仿宋"/>
          <w:b/>
          <w:color w:val="000000"/>
          <w:sz w:val="30"/>
          <w:szCs w:val="30"/>
        </w:rPr>
        <w:t>（类）城乡社区环境卫生（款）城乡社区环境卫生（项）</w:t>
      </w:r>
      <w:r>
        <w:rPr>
          <w:rFonts w:hint="eastAsia" w:ascii="仿宋_GB2312" w:hAnsi="仿宋"/>
          <w:color w:val="000000"/>
          <w:sz w:val="30"/>
          <w:szCs w:val="30"/>
        </w:rPr>
        <w:t xml:space="preserve">，年初预算为0万元，支出决算为8万元，决算数大于预算数的主要原因是区城管局拨付街巷修路支出，改善居民出行。 </w:t>
      </w:r>
    </w:p>
    <w:p>
      <w:pPr>
        <w:ind w:firstLine="602" w:firstLineChars="200"/>
        <w:rPr>
          <w:rFonts w:ascii="仿宋_GB2312" w:hAnsi="仿宋"/>
          <w:color w:val="000000"/>
          <w:sz w:val="30"/>
          <w:szCs w:val="30"/>
        </w:rPr>
      </w:pPr>
      <w:r>
        <w:rPr>
          <w:rFonts w:hint="eastAsia" w:ascii="仿宋_GB2312" w:hAnsi="仿宋"/>
          <w:b/>
          <w:bCs/>
          <w:color w:val="000000"/>
          <w:sz w:val="30"/>
          <w:szCs w:val="30"/>
        </w:rPr>
        <w:t>28.农林水支出</w:t>
      </w:r>
      <w:r>
        <w:rPr>
          <w:rFonts w:hint="eastAsia" w:ascii="仿宋_GB2312" w:hAnsi="仿宋"/>
          <w:b/>
          <w:color w:val="000000"/>
          <w:sz w:val="30"/>
          <w:szCs w:val="30"/>
        </w:rPr>
        <w:t>（类）水利（款）其他水利支出（项）</w:t>
      </w:r>
      <w:r>
        <w:rPr>
          <w:rFonts w:hint="eastAsia" w:ascii="仿宋_GB2312" w:hAnsi="仿宋"/>
          <w:color w:val="000000"/>
          <w:sz w:val="30"/>
          <w:szCs w:val="30"/>
        </w:rPr>
        <w:t>，年初预算为0万元，支出决算为13.61万元，决算数大于预算数的主要原因是上级追加河道水利支出。</w:t>
      </w:r>
    </w:p>
    <w:p>
      <w:pPr>
        <w:ind w:firstLine="602" w:firstLineChars="200"/>
        <w:rPr>
          <w:rFonts w:ascii="仿宋_GB2312" w:hAnsi="仿宋"/>
          <w:color w:val="000000"/>
          <w:sz w:val="30"/>
          <w:szCs w:val="30"/>
        </w:rPr>
      </w:pPr>
      <w:r>
        <w:rPr>
          <w:rFonts w:hint="eastAsia" w:ascii="仿宋_GB2312" w:hAnsi="仿宋"/>
          <w:b/>
          <w:bCs/>
          <w:color w:val="000000"/>
          <w:sz w:val="30"/>
          <w:szCs w:val="30"/>
        </w:rPr>
        <w:t>29.住房保障支出</w:t>
      </w:r>
      <w:r>
        <w:rPr>
          <w:rFonts w:hint="eastAsia" w:ascii="仿宋_GB2312" w:hAnsi="仿宋"/>
          <w:b/>
          <w:color w:val="000000"/>
          <w:sz w:val="30"/>
          <w:szCs w:val="30"/>
        </w:rPr>
        <w:t>（类）住房改革支出（款）住房公积金（项）</w:t>
      </w:r>
      <w:r>
        <w:rPr>
          <w:rFonts w:hint="eastAsia" w:ascii="仿宋_GB2312" w:hAnsi="仿宋"/>
          <w:color w:val="000000"/>
          <w:sz w:val="30"/>
          <w:szCs w:val="30"/>
        </w:rPr>
        <w:t>，年初预算为31.63万元，支出决算为31.63万元，完成预算100%。</w:t>
      </w:r>
    </w:p>
    <w:p>
      <w:pPr>
        <w:ind w:firstLine="640" w:firstLineChars="200"/>
        <w:rPr>
          <w:rFonts w:ascii="黑体" w:hAnsi="仿宋" w:eastAsia="黑体"/>
          <w:color w:val="000000"/>
          <w:szCs w:val="32"/>
        </w:rPr>
      </w:pPr>
      <w:r>
        <w:rPr>
          <w:rFonts w:hint="eastAsia" w:ascii="黑体" w:hAnsi="仿宋" w:eastAsia="黑体"/>
          <w:color w:val="000000"/>
          <w:szCs w:val="32"/>
        </w:rPr>
        <w:t>六、一般公共预算财政拨款基本支出决算情况说明</w:t>
      </w:r>
    </w:p>
    <w:p>
      <w:pPr>
        <w:ind w:firstLine="640" w:firstLineChars="200"/>
        <w:rPr>
          <w:rFonts w:ascii="仿宋_GB2312" w:hAnsi="仿宋"/>
          <w:color w:val="000000"/>
          <w:szCs w:val="32"/>
        </w:rPr>
      </w:pPr>
      <w:r>
        <w:rPr>
          <w:rFonts w:hint="eastAsia" w:ascii="仿宋_GB2312" w:hAnsi="仿宋"/>
          <w:color w:val="000000"/>
          <w:szCs w:val="32"/>
        </w:rPr>
        <w:t>2020年度财政拨款基本支出1239.27万元，其中：人员经费737.66万元，主要包括:基本工资、津贴补贴、奖金、绩效工资、机关事业单位基本养老保险缴费、职工基本医疗保险缴费、公务员医疗补助缴费、其他社会保障缴费、住房公积金、对个人和家庭的补助、退休费、抚恤金、生活补助、奖励金、其他对个人和家庭的补助；公用经费501.61万元，主要包括：办公费、印刷费、电费、水费、邮电费、差旅费、租赁费、劳务费、委托业务费、工会经费、其他交通费用、其他商品和服务支出、办公设备购置。</w:t>
      </w:r>
    </w:p>
    <w:p>
      <w:pPr>
        <w:ind w:firstLine="640" w:firstLineChars="200"/>
        <w:rPr>
          <w:rFonts w:ascii="黑体" w:hAnsi="黑体" w:eastAsia="黑体"/>
          <w:color w:val="000000"/>
          <w:szCs w:val="32"/>
        </w:rPr>
      </w:pPr>
      <w:r>
        <w:rPr>
          <w:rFonts w:hint="eastAsia" w:ascii="黑体" w:hAnsi="仿宋" w:eastAsia="黑体"/>
          <w:color w:val="000000"/>
          <w:szCs w:val="32"/>
        </w:rPr>
        <w:t>七、</w:t>
      </w:r>
      <w:r>
        <w:rPr>
          <w:rFonts w:hint="eastAsia" w:ascii="黑体" w:hAnsi="黑体" w:eastAsia="黑体"/>
          <w:color w:val="000000"/>
          <w:szCs w:val="32"/>
        </w:rPr>
        <w:t>政府性基金财政拨款收入支出决算情况说明</w:t>
      </w:r>
    </w:p>
    <w:p>
      <w:pPr>
        <w:ind w:firstLine="640" w:firstLineChars="200"/>
        <w:rPr>
          <w:rFonts w:ascii="仿宋_GB2312" w:hAnsi="仿宋"/>
          <w:color w:val="000000"/>
          <w:szCs w:val="32"/>
        </w:rPr>
      </w:pPr>
      <w:r>
        <w:rPr>
          <w:rFonts w:hint="eastAsia" w:ascii="仿宋_GB2312" w:hAnsi="仿宋"/>
          <w:color w:val="000000"/>
          <w:szCs w:val="32"/>
        </w:rPr>
        <w:t>2020年度政府性基金预算财政拨款年初结转和结余0万元，本年收入20万元，本年支出20万元，年末结转和结余0万元。具体情况说明如下：</w:t>
      </w:r>
    </w:p>
    <w:p>
      <w:pPr>
        <w:ind w:firstLine="640" w:firstLineChars="200"/>
        <w:rPr>
          <w:rFonts w:ascii="仿宋_GB2312" w:hAnsi="仿宋"/>
          <w:color w:val="000000"/>
          <w:szCs w:val="32"/>
        </w:rPr>
      </w:pPr>
      <w:r>
        <w:rPr>
          <w:rFonts w:hint="eastAsia" w:ascii="仿宋_GB2312" w:hAnsi="仿宋"/>
          <w:color w:val="000000"/>
          <w:szCs w:val="32"/>
        </w:rPr>
        <w:t>1.</w:t>
      </w:r>
      <w:r>
        <w:rPr>
          <w:rFonts w:hint="eastAsia" w:ascii="仿宋_GB2312" w:hAnsi="仿宋"/>
          <w:b/>
          <w:color w:val="000000"/>
          <w:sz w:val="30"/>
          <w:szCs w:val="30"/>
        </w:rPr>
        <w:t xml:space="preserve"> 其他支出（类）彩票公益金安排的支出（款）用于社会福利的彩票公益金支出（项）</w:t>
      </w:r>
      <w:r>
        <w:rPr>
          <w:rFonts w:hint="eastAsia" w:ascii="仿宋_GB2312" w:hAnsi="仿宋"/>
          <w:color w:val="000000"/>
          <w:sz w:val="30"/>
          <w:szCs w:val="30"/>
        </w:rPr>
        <w:t>，年初预算为0万元，支出决算为20万元，决算数大于预算数的主要原因是用于社区养老院维修建设经费。</w:t>
      </w:r>
    </w:p>
    <w:p>
      <w:pPr>
        <w:adjustRightInd w:val="0"/>
        <w:snapToGrid w:val="0"/>
        <w:spacing w:line="600" w:lineRule="exact"/>
        <w:ind w:firstLine="640" w:firstLineChars="200"/>
        <w:rPr>
          <w:rFonts w:ascii="黑体" w:hAnsi="黑体" w:eastAsia="黑体"/>
          <w:color w:val="000000"/>
          <w:szCs w:val="32"/>
        </w:rPr>
      </w:pPr>
      <w:r>
        <w:rPr>
          <w:rFonts w:hint="eastAsia" w:ascii="黑体" w:hAnsi="黑体" w:eastAsia="黑体"/>
          <w:color w:val="000000"/>
          <w:szCs w:val="32"/>
        </w:rPr>
        <w:t>八、国有资本经营预算财政拨款支出决算情况说明</w:t>
      </w:r>
    </w:p>
    <w:p>
      <w:pPr>
        <w:ind w:firstLine="640" w:firstLineChars="200"/>
        <w:rPr>
          <w:rFonts w:ascii="仿宋_GB2312" w:hAnsi="仿宋"/>
          <w:color w:val="000000"/>
          <w:szCs w:val="32"/>
        </w:rPr>
      </w:pPr>
      <w:r>
        <w:rPr>
          <w:rFonts w:hint="eastAsia" w:ascii="仿宋_GB2312" w:hAnsi="仿宋"/>
          <w:color w:val="000000"/>
          <w:szCs w:val="32"/>
        </w:rPr>
        <w:t>东关街道办事处没有国有资本经营预算财政拨款收入，也没有使用国有资本经营预算财政拨款安排的支出。</w:t>
      </w:r>
    </w:p>
    <w:p>
      <w:pPr>
        <w:adjustRightInd w:val="0"/>
        <w:snapToGrid w:val="0"/>
        <w:spacing w:line="600" w:lineRule="exact"/>
        <w:ind w:firstLine="640" w:firstLineChars="200"/>
        <w:rPr>
          <w:rFonts w:ascii="黑体" w:hAnsi="黑体" w:eastAsia="黑体"/>
          <w:color w:val="000000"/>
          <w:szCs w:val="32"/>
        </w:rPr>
      </w:pPr>
      <w:r>
        <w:rPr>
          <w:rFonts w:hint="eastAsia" w:ascii="黑体" w:hAnsi="黑体" w:eastAsia="黑体"/>
          <w:color w:val="000000"/>
          <w:szCs w:val="32"/>
        </w:rPr>
        <w:t>九、其他重要事项情况说明</w:t>
      </w:r>
    </w:p>
    <w:p>
      <w:pPr>
        <w:adjustRightInd w:val="0"/>
        <w:snapToGrid w:val="0"/>
        <w:spacing w:line="600" w:lineRule="exact"/>
        <w:ind w:firstLine="643" w:firstLineChars="200"/>
        <w:rPr>
          <w:rFonts w:ascii="仿宋_GB2312" w:hAnsi="楷体"/>
          <w:b/>
          <w:color w:val="000000"/>
          <w:szCs w:val="32"/>
        </w:rPr>
      </w:pPr>
      <w:r>
        <w:rPr>
          <w:rFonts w:hint="eastAsia" w:ascii="仿宋_GB2312" w:hAnsi="楷体"/>
          <w:b/>
          <w:color w:val="000000"/>
          <w:szCs w:val="32"/>
        </w:rPr>
        <w:t>（一）机关运行经费支出情况。</w:t>
      </w:r>
    </w:p>
    <w:p>
      <w:pPr>
        <w:ind w:firstLine="640" w:firstLineChars="200"/>
        <w:rPr>
          <w:rFonts w:ascii="仿宋_GB2312" w:hAnsi="仿宋"/>
          <w:color w:val="000000"/>
          <w:szCs w:val="32"/>
        </w:rPr>
      </w:pPr>
      <w:r>
        <w:rPr>
          <w:rFonts w:hint="eastAsia" w:ascii="仿宋_GB2312" w:hAnsi="仿宋"/>
          <w:color w:val="000000"/>
          <w:szCs w:val="32"/>
        </w:rPr>
        <w:t>2020年度，宿州市</w:t>
      </w:r>
      <w:r>
        <w:rPr>
          <w:rFonts w:hint="eastAsia" w:ascii="宋体" w:hAnsi="宋体" w:eastAsia="宋体" w:cs="宋体"/>
          <w:color w:val="000000"/>
          <w:szCs w:val="32"/>
        </w:rPr>
        <w:t>埇</w:t>
      </w:r>
      <w:r>
        <w:rPr>
          <w:rFonts w:hint="eastAsia" w:ascii="仿宋_GB2312" w:hAnsi="仿宋_GB2312" w:cs="仿宋_GB2312"/>
          <w:color w:val="000000"/>
          <w:szCs w:val="32"/>
        </w:rPr>
        <w:t>桥区</w:t>
      </w:r>
      <w:r>
        <w:rPr>
          <w:rFonts w:hint="eastAsia" w:ascii="仿宋_GB2312" w:hAnsi="仿宋"/>
          <w:color w:val="000000"/>
          <w:szCs w:val="32"/>
        </w:rPr>
        <w:t>东关街道办事处机关运行经费支出501.61万元，比2019年增加285.96万元，增加132.60%，主要原因是一是人员工资调整，综合定额增加；二是文明创建、双拥、园林城市奖励；三是防疫资金支出；四是加大办公设备投入。</w:t>
      </w:r>
    </w:p>
    <w:p>
      <w:pPr>
        <w:adjustRightInd w:val="0"/>
        <w:snapToGrid w:val="0"/>
        <w:spacing w:line="600" w:lineRule="exact"/>
        <w:ind w:firstLine="643" w:firstLineChars="200"/>
        <w:rPr>
          <w:rFonts w:ascii="仿宋_GB2312" w:hAnsi="楷体"/>
          <w:b/>
          <w:color w:val="000000"/>
          <w:szCs w:val="32"/>
        </w:rPr>
      </w:pPr>
      <w:r>
        <w:rPr>
          <w:rFonts w:hint="eastAsia" w:ascii="仿宋_GB2312" w:hAnsi="楷体"/>
          <w:b/>
          <w:color w:val="000000"/>
          <w:szCs w:val="32"/>
        </w:rPr>
        <w:t>（二）政府采购支出情况。</w:t>
      </w:r>
    </w:p>
    <w:p>
      <w:pPr>
        <w:adjustRightInd w:val="0"/>
        <w:snapToGrid w:val="0"/>
        <w:spacing w:line="600" w:lineRule="exact"/>
        <w:ind w:firstLine="640" w:firstLineChars="200"/>
        <w:rPr>
          <w:rFonts w:ascii="仿宋_GB2312" w:hAnsi="楷体"/>
          <w:color w:val="000000"/>
          <w:szCs w:val="32"/>
        </w:rPr>
      </w:pPr>
      <w:r>
        <w:rPr>
          <w:rFonts w:hint="eastAsia" w:ascii="仿宋_GB2312" w:hAnsi="仿宋"/>
          <w:color w:val="000000"/>
          <w:szCs w:val="32"/>
        </w:rPr>
        <w:t>2020年度，宿州市埇桥区东关街道办事处机政府采购支出总额1749.08万元，其中：政府采购货物支出19.40万元、政府采购工程支出1706.52万元、政府采购服务支出23.16万元。授予中小企业合同金额0万元，占政府采购支出总额的0%，其中：授予小微企业合同金额0万元，占政府采购支出总额的0%。</w:t>
      </w:r>
    </w:p>
    <w:p>
      <w:pPr>
        <w:adjustRightInd w:val="0"/>
        <w:snapToGrid w:val="0"/>
        <w:spacing w:line="600" w:lineRule="exact"/>
        <w:ind w:firstLine="643" w:firstLineChars="200"/>
        <w:rPr>
          <w:rFonts w:ascii="仿宋_GB2312" w:hAnsi="楷体"/>
          <w:b/>
          <w:color w:val="000000"/>
          <w:szCs w:val="32"/>
        </w:rPr>
      </w:pPr>
      <w:r>
        <w:rPr>
          <w:rFonts w:hint="eastAsia" w:ascii="仿宋_GB2312" w:hAnsi="楷体"/>
          <w:b/>
          <w:color w:val="000000"/>
          <w:szCs w:val="32"/>
        </w:rPr>
        <w:t>（三）国有资产占有使用情况。</w:t>
      </w:r>
    </w:p>
    <w:p>
      <w:pPr>
        <w:adjustRightInd w:val="0"/>
        <w:snapToGrid w:val="0"/>
        <w:spacing w:line="600" w:lineRule="exact"/>
        <w:ind w:firstLine="640" w:firstLineChars="200"/>
        <w:rPr>
          <w:rFonts w:ascii="仿宋_GB2312" w:hAnsi="仿宋_GB2312" w:cs="仿宋_GB2312"/>
          <w:bCs/>
          <w:color w:val="000000"/>
          <w:szCs w:val="32"/>
        </w:rPr>
      </w:pPr>
      <w:r>
        <w:rPr>
          <w:rFonts w:hint="eastAsia" w:ascii="仿宋_GB2312" w:hAnsi="楷体"/>
          <w:color w:val="000000"/>
          <w:szCs w:val="32"/>
        </w:rPr>
        <w:t>截至2020年12月31日，</w:t>
      </w:r>
      <w:r>
        <w:rPr>
          <w:rFonts w:hint="eastAsia" w:ascii="仿宋_GB2312" w:hAnsi="仿宋"/>
          <w:color w:val="000000"/>
          <w:szCs w:val="32"/>
        </w:rPr>
        <w:t>宿州市</w:t>
      </w:r>
      <w:r>
        <w:rPr>
          <w:rFonts w:hint="eastAsia" w:ascii="宋体" w:hAnsi="宋体" w:eastAsia="宋体" w:cs="宋体"/>
          <w:color w:val="000000"/>
          <w:szCs w:val="32"/>
        </w:rPr>
        <w:t>埇</w:t>
      </w:r>
      <w:r>
        <w:rPr>
          <w:rFonts w:hint="eastAsia" w:ascii="仿宋_GB2312" w:hAnsi="仿宋_GB2312" w:cs="仿宋_GB2312"/>
          <w:color w:val="000000"/>
          <w:szCs w:val="32"/>
        </w:rPr>
        <w:t>桥区</w:t>
      </w:r>
      <w:r>
        <w:rPr>
          <w:rFonts w:hint="eastAsia" w:ascii="宋体" w:hAnsi="宋体" w:eastAsia="宋体" w:cs="宋体"/>
          <w:color w:val="000000"/>
          <w:szCs w:val="32"/>
        </w:rPr>
        <w:t>东关街道办事处</w:t>
      </w:r>
      <w:r>
        <w:rPr>
          <w:rFonts w:hint="eastAsia" w:ascii="仿宋_GB2312" w:hAnsi="仿宋"/>
          <w:color w:val="000000"/>
          <w:szCs w:val="32"/>
        </w:rPr>
        <w:t>共有车辆1辆，其中：副部（省）级及以上领导用车0辆、主要领导干部用车0辆、机要通信用车0辆、应急保障用车0辆，特种专业技术用车0辆，离退休干部用车0辆，其他用车1辆；单价50万元以上的通用设备0台（套），单价100万元以上专用设备0台（套）。</w:t>
      </w:r>
      <w:r>
        <w:rPr>
          <w:rFonts w:ascii="仿宋_GB2312" w:hAnsi="仿宋"/>
          <w:color w:val="000000"/>
          <w:szCs w:val="32"/>
        </w:rPr>
        <w:br w:type="textWrapping"/>
      </w:r>
      <w:r>
        <w:rPr>
          <w:rFonts w:hint="eastAsia" w:ascii="仿宋_GB2312" w:hAnsi="仿宋"/>
          <w:color w:val="000000"/>
          <w:szCs w:val="32"/>
        </w:rPr>
        <w:t xml:space="preserve"> </w:t>
      </w:r>
      <w:r>
        <w:rPr>
          <w:rFonts w:hint="eastAsia" w:ascii="仿宋_GB2312" w:hAnsi="仿宋"/>
          <w:b/>
          <w:bCs/>
          <w:i/>
          <w:iCs/>
          <w:color w:val="000000"/>
          <w:szCs w:val="32"/>
        </w:rPr>
        <w:t xml:space="preserve"> </w:t>
      </w:r>
      <w:r>
        <w:rPr>
          <w:rFonts w:hint="eastAsia" w:ascii="仿宋_GB2312" w:hAnsi="仿宋"/>
          <w:color w:val="000000"/>
          <w:szCs w:val="32"/>
        </w:rPr>
        <w:t xml:space="preserve"> </w:t>
      </w:r>
      <w:r>
        <w:rPr>
          <w:rFonts w:hint="eastAsia" w:ascii="仿宋_GB2312" w:hAnsi="仿宋_GB2312" w:cs="仿宋_GB2312"/>
          <w:bCs/>
          <w:color w:val="000000"/>
          <w:szCs w:val="32"/>
        </w:rPr>
        <w:t>（四）关于2020年度预算绩效情况说明</w:t>
      </w:r>
    </w:p>
    <w:p>
      <w:pPr>
        <w:ind w:firstLine="640"/>
        <w:rPr>
          <w:rFonts w:ascii="仿宋_GB2312" w:hAnsi="仿宋_GB2312" w:cs="仿宋_GB2312"/>
          <w:bCs/>
          <w:color w:val="000000"/>
          <w:szCs w:val="32"/>
        </w:rPr>
      </w:pPr>
      <w:r>
        <w:rPr>
          <w:rFonts w:hint="eastAsia" w:ascii="仿宋_GB2312" w:hAnsi="仿宋_GB2312" w:cs="仿宋_GB2312"/>
          <w:bCs/>
          <w:color w:val="000000"/>
          <w:szCs w:val="32"/>
        </w:rPr>
        <w:t>本部门没有财政批复绩效目标的项目，因此无相关内容。</w:t>
      </w:r>
    </w:p>
    <w:p>
      <w:pPr>
        <w:ind w:firstLine="640"/>
        <w:rPr>
          <w:rFonts w:ascii="仿宋_GB2312" w:hAnsi="仿宋_GB2312" w:cs="仿宋_GB2312"/>
          <w:bCs/>
          <w:color w:val="000000"/>
          <w:szCs w:val="32"/>
        </w:rPr>
      </w:pPr>
    </w:p>
    <w:p>
      <w:pPr>
        <w:adjustRightInd w:val="0"/>
        <w:snapToGrid w:val="0"/>
        <w:spacing w:line="600" w:lineRule="exact"/>
        <w:ind w:firstLine="640" w:firstLineChars="200"/>
        <w:rPr>
          <w:rFonts w:ascii="黑体" w:hAnsi="黑体" w:eastAsia="黑体"/>
          <w:color w:val="000000"/>
          <w:szCs w:val="32"/>
        </w:rPr>
      </w:pPr>
      <w:r>
        <w:rPr>
          <w:rFonts w:hint="eastAsia" w:ascii="黑体" w:hAnsi="黑体" w:eastAsia="黑体"/>
          <w:color w:val="000000"/>
          <w:szCs w:val="32"/>
        </w:rPr>
        <w:t>第四部分 名词解释</w:t>
      </w:r>
    </w:p>
    <w:p>
      <w:pPr>
        <w:adjustRightInd w:val="0"/>
        <w:snapToGrid w:val="0"/>
        <w:spacing w:line="600" w:lineRule="exact"/>
        <w:ind w:left="425" w:firstLine="206" w:firstLineChars="64"/>
        <w:rPr>
          <w:rFonts w:ascii="仿宋_GB2312" w:hAnsi="仿宋"/>
          <w:color w:val="000000"/>
          <w:szCs w:val="32"/>
        </w:rPr>
      </w:pPr>
      <w:r>
        <w:rPr>
          <w:rFonts w:hint="eastAsia" w:ascii="仿宋_GB2312" w:hAnsi="仿宋"/>
          <w:b/>
          <w:color w:val="000000"/>
          <w:szCs w:val="32"/>
        </w:rPr>
        <w:t>一、财政拨款收入：</w:t>
      </w:r>
      <w:r>
        <w:rPr>
          <w:rFonts w:hint="eastAsia" w:ascii="仿宋_GB2312" w:hAnsi="仿宋"/>
          <w:color w:val="000000"/>
          <w:szCs w:val="32"/>
        </w:rPr>
        <w:t>指单位从同级财政部门取得的财政预算资金。</w:t>
      </w:r>
    </w:p>
    <w:p>
      <w:pPr>
        <w:adjustRightInd w:val="0"/>
        <w:snapToGrid w:val="0"/>
        <w:spacing w:line="600" w:lineRule="exact"/>
        <w:ind w:firstLine="643" w:firstLineChars="200"/>
        <w:rPr>
          <w:rFonts w:ascii="仿宋_GB2312" w:hAnsi="仿宋"/>
          <w:color w:val="000000"/>
          <w:szCs w:val="32"/>
        </w:rPr>
      </w:pPr>
      <w:r>
        <w:rPr>
          <w:rFonts w:hint="eastAsia" w:ascii="仿宋_GB2312" w:hAnsi="仿宋"/>
          <w:b/>
          <w:bCs/>
          <w:color w:val="000000"/>
          <w:szCs w:val="32"/>
        </w:rPr>
        <w:t>二、事业收入：</w:t>
      </w:r>
      <w:r>
        <w:rPr>
          <w:rFonts w:hint="eastAsia" w:ascii="仿宋_GB2312" w:hAnsi="仿宋"/>
          <w:color w:val="000000"/>
          <w:szCs w:val="32"/>
        </w:rPr>
        <w:t>指事业单位开展专业业务活动及辅助活动所取得的收入。</w:t>
      </w:r>
    </w:p>
    <w:p>
      <w:pPr>
        <w:adjustRightInd w:val="0"/>
        <w:snapToGrid w:val="0"/>
        <w:spacing w:line="600" w:lineRule="exact"/>
        <w:ind w:firstLine="643" w:firstLineChars="200"/>
        <w:rPr>
          <w:rFonts w:ascii="仿宋_GB2312" w:hAnsi="黑体"/>
          <w:b/>
          <w:bCs/>
          <w:color w:val="000000"/>
          <w:szCs w:val="32"/>
        </w:rPr>
      </w:pPr>
      <w:r>
        <w:rPr>
          <w:rFonts w:hint="eastAsia" w:ascii="仿宋_GB2312" w:hAnsi="黑体"/>
          <w:b/>
          <w:color w:val="000000"/>
          <w:szCs w:val="32"/>
        </w:rPr>
        <w:t>三、</w:t>
      </w:r>
      <w:r>
        <w:rPr>
          <w:rFonts w:hint="eastAsia" w:ascii="仿宋_GB2312" w:hAnsi="黑体"/>
          <w:b/>
          <w:bCs/>
          <w:color w:val="000000"/>
          <w:szCs w:val="32"/>
        </w:rPr>
        <w:t>上级补助收入：</w:t>
      </w:r>
      <w:r>
        <w:rPr>
          <w:rFonts w:hint="eastAsia" w:ascii="仿宋_GB2312" w:hAnsi="黑体"/>
          <w:bCs/>
          <w:color w:val="000000"/>
          <w:szCs w:val="32"/>
        </w:rPr>
        <w:t>指</w:t>
      </w:r>
      <w:r>
        <w:rPr>
          <w:rFonts w:hint="eastAsia" w:ascii="仿宋_GB2312" w:hAnsi="仿宋"/>
          <w:color w:val="000000"/>
          <w:szCs w:val="32"/>
        </w:rPr>
        <w:t>事业单位从主管部门和上级单位取得的非财政补助收入。</w:t>
      </w:r>
    </w:p>
    <w:p>
      <w:pPr>
        <w:pStyle w:val="4"/>
        <w:adjustRightInd w:val="0"/>
        <w:snapToGrid w:val="0"/>
        <w:spacing w:before="0" w:beforeAutospacing="0" w:after="0" w:afterAutospacing="0" w:line="600" w:lineRule="exact"/>
        <w:ind w:firstLine="630" w:firstLineChars="196"/>
        <w:rPr>
          <w:rFonts w:ascii="仿宋_GB2312" w:hAnsi="黑体" w:eastAsia="仿宋_GB2312"/>
          <w:bCs/>
          <w:color w:val="000000"/>
          <w:sz w:val="32"/>
          <w:szCs w:val="32"/>
        </w:rPr>
      </w:pPr>
      <w:r>
        <w:rPr>
          <w:rFonts w:hint="eastAsia" w:ascii="仿宋_GB2312" w:hAnsi="黑体" w:eastAsia="仿宋_GB2312"/>
          <w:b/>
          <w:bCs/>
          <w:color w:val="000000"/>
          <w:sz w:val="32"/>
          <w:szCs w:val="32"/>
        </w:rPr>
        <w:t>四、附属单位上缴收入：</w:t>
      </w:r>
      <w:r>
        <w:rPr>
          <w:rFonts w:hint="eastAsia" w:ascii="仿宋_GB2312" w:hAnsi="黑体" w:eastAsia="仿宋_GB2312"/>
          <w:bCs/>
          <w:color w:val="000000"/>
          <w:sz w:val="32"/>
          <w:szCs w:val="32"/>
        </w:rPr>
        <w:t>指事业单位附属独立核算单位按照有关规定上缴的收入。</w:t>
      </w:r>
    </w:p>
    <w:p>
      <w:pPr>
        <w:pStyle w:val="4"/>
        <w:adjustRightInd w:val="0"/>
        <w:snapToGrid w:val="0"/>
        <w:spacing w:before="0" w:beforeAutospacing="0" w:after="0" w:afterAutospacing="0" w:line="600" w:lineRule="exact"/>
        <w:ind w:firstLine="630" w:firstLineChars="196"/>
        <w:rPr>
          <w:rFonts w:ascii="仿宋_GB2312" w:hAnsi="黑体" w:eastAsia="仿宋_GB2312"/>
          <w:bCs/>
          <w:color w:val="000000"/>
          <w:sz w:val="32"/>
          <w:szCs w:val="32"/>
        </w:rPr>
      </w:pPr>
      <w:r>
        <w:rPr>
          <w:rFonts w:hint="eastAsia" w:ascii="仿宋_GB2312" w:hAnsi="黑体" w:eastAsia="仿宋_GB2312"/>
          <w:b/>
          <w:bCs/>
          <w:color w:val="000000"/>
          <w:sz w:val="32"/>
          <w:szCs w:val="32"/>
        </w:rPr>
        <w:t>五、经营收入</w:t>
      </w:r>
      <w:r>
        <w:rPr>
          <w:rFonts w:hint="eastAsia"/>
          <w:b/>
          <w:bCs/>
          <w:color w:val="000000"/>
        </w:rPr>
        <w:t>：</w:t>
      </w:r>
      <w:r>
        <w:rPr>
          <w:rFonts w:hint="eastAsia" w:ascii="仿宋_GB2312" w:hAnsi="黑体" w:eastAsia="仿宋_GB2312"/>
          <w:bCs/>
          <w:color w:val="000000"/>
          <w:sz w:val="32"/>
          <w:szCs w:val="32"/>
        </w:rPr>
        <w:t>指事业单位在专业业务活动及其辅助活动之外开展非独立核算经营活动取得的收入。</w:t>
      </w:r>
    </w:p>
    <w:p>
      <w:pPr>
        <w:pStyle w:val="4"/>
        <w:adjustRightInd w:val="0"/>
        <w:snapToGrid w:val="0"/>
        <w:spacing w:before="0" w:beforeAutospacing="0" w:after="0" w:afterAutospacing="0" w:line="600" w:lineRule="exact"/>
        <w:ind w:firstLine="630" w:firstLineChars="196"/>
        <w:rPr>
          <w:rFonts w:ascii="仿宋_GB2312" w:hAnsi="黑体"/>
          <w:b/>
          <w:bCs/>
          <w:color w:val="000000"/>
          <w:szCs w:val="32"/>
        </w:rPr>
      </w:pPr>
      <w:r>
        <w:rPr>
          <w:rFonts w:hint="eastAsia" w:ascii="仿宋_GB2312" w:hAnsi="黑体" w:eastAsia="仿宋_GB2312"/>
          <w:b/>
          <w:color w:val="000000"/>
          <w:sz w:val="32"/>
          <w:szCs w:val="32"/>
        </w:rPr>
        <w:t>六、</w:t>
      </w:r>
      <w:r>
        <w:rPr>
          <w:rFonts w:hint="eastAsia" w:ascii="仿宋_GB2312" w:hAnsi="黑体" w:eastAsia="仿宋_GB2312"/>
          <w:b/>
          <w:bCs/>
          <w:color w:val="000000"/>
          <w:sz w:val="32"/>
          <w:szCs w:val="32"/>
        </w:rPr>
        <w:t>其他收入：</w:t>
      </w:r>
      <w:r>
        <w:rPr>
          <w:rFonts w:hint="eastAsia" w:ascii="仿宋_GB2312" w:hAnsi="黑体" w:eastAsia="仿宋_GB2312"/>
          <w:bCs/>
          <w:color w:val="000000"/>
          <w:sz w:val="32"/>
          <w:szCs w:val="32"/>
        </w:rPr>
        <w:t>指除财政拨款收入、事业收入、上级补助收入、附属单位上缴收入、经营收入以外的各项收入。</w:t>
      </w:r>
    </w:p>
    <w:p>
      <w:pPr>
        <w:pStyle w:val="4"/>
        <w:adjustRightInd w:val="0"/>
        <w:snapToGrid w:val="0"/>
        <w:spacing w:before="0" w:beforeAutospacing="0" w:after="0" w:afterAutospacing="0" w:line="600" w:lineRule="exact"/>
        <w:ind w:firstLine="630" w:firstLineChars="196"/>
        <w:rPr>
          <w:rFonts w:ascii="仿宋_GB2312" w:hAnsi="黑体" w:eastAsia="仿宋_GB2312"/>
          <w:bCs/>
          <w:color w:val="000000"/>
          <w:sz w:val="32"/>
          <w:szCs w:val="32"/>
        </w:rPr>
      </w:pPr>
      <w:r>
        <w:rPr>
          <w:rFonts w:hint="eastAsia" w:ascii="仿宋_GB2312" w:hAnsi="黑体" w:eastAsia="仿宋_GB2312"/>
          <w:b/>
          <w:bCs/>
          <w:color w:val="000000"/>
          <w:sz w:val="32"/>
          <w:szCs w:val="32"/>
        </w:rPr>
        <w:t>七、年初结转和结余：</w:t>
      </w:r>
      <w:r>
        <w:rPr>
          <w:rFonts w:hint="eastAsia" w:ascii="仿宋_GB2312" w:hAnsi="黑体" w:eastAsia="仿宋_GB2312"/>
          <w:bCs/>
          <w:color w:val="000000"/>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30" w:firstLineChars="196"/>
        <w:rPr>
          <w:rFonts w:ascii="仿宋_GB2312" w:hAnsi="黑体" w:eastAsia="仿宋_GB2312"/>
          <w:bCs/>
          <w:color w:val="000000"/>
          <w:sz w:val="32"/>
          <w:szCs w:val="32"/>
        </w:rPr>
      </w:pPr>
      <w:r>
        <w:rPr>
          <w:rFonts w:hint="eastAsia" w:ascii="仿宋_GB2312" w:hAnsi="黑体" w:eastAsia="仿宋_GB2312"/>
          <w:b/>
          <w:bCs/>
          <w:color w:val="000000"/>
          <w:sz w:val="32"/>
          <w:szCs w:val="32"/>
        </w:rPr>
        <w:t>八、结余分配：</w:t>
      </w:r>
      <w:r>
        <w:rPr>
          <w:rFonts w:hint="eastAsia" w:ascii="仿宋_GB2312" w:hAnsi="黑体" w:eastAsia="仿宋_GB2312"/>
          <w:bCs/>
          <w:color w:val="000000"/>
          <w:sz w:val="32"/>
          <w:szCs w:val="32"/>
        </w:rPr>
        <w:t>指事业单位按照会计制度规定缴纳的所得税以及从非财政拨款结余中提取的职工福利基金、事业基金等。</w:t>
      </w:r>
    </w:p>
    <w:p>
      <w:pPr>
        <w:pStyle w:val="4"/>
        <w:adjustRightInd w:val="0"/>
        <w:snapToGrid w:val="0"/>
        <w:spacing w:before="0" w:beforeAutospacing="0" w:after="0" w:afterAutospacing="0" w:line="600" w:lineRule="exact"/>
        <w:ind w:firstLine="630" w:firstLineChars="196"/>
        <w:rPr>
          <w:rFonts w:ascii="仿宋_GB2312" w:hAnsi="黑体" w:eastAsia="仿宋_GB2312"/>
          <w:b/>
          <w:color w:val="000000"/>
          <w:sz w:val="32"/>
          <w:szCs w:val="32"/>
        </w:rPr>
      </w:pPr>
      <w:r>
        <w:rPr>
          <w:rFonts w:hint="eastAsia" w:ascii="仿宋_GB2312" w:hAnsi="黑体" w:eastAsia="仿宋_GB2312"/>
          <w:b/>
          <w:bCs/>
          <w:color w:val="000000"/>
          <w:sz w:val="32"/>
          <w:szCs w:val="32"/>
        </w:rPr>
        <w:t>九、年末结转和结余：</w:t>
      </w:r>
      <w:r>
        <w:rPr>
          <w:rFonts w:hint="eastAsia" w:ascii="仿宋_GB2312" w:hAnsi="黑体" w:eastAsia="仿宋_GB2312"/>
          <w:bCs/>
          <w:color w:val="000000"/>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30" w:firstLineChars="196"/>
        <w:rPr>
          <w:rFonts w:ascii="仿宋_GB2312" w:hAnsi="黑体" w:eastAsia="仿宋_GB2312"/>
          <w:color w:val="000000"/>
          <w:sz w:val="32"/>
          <w:szCs w:val="32"/>
        </w:rPr>
      </w:pPr>
      <w:r>
        <w:rPr>
          <w:rFonts w:hint="eastAsia" w:ascii="仿宋_GB2312" w:hAnsi="黑体" w:eastAsia="仿宋_GB2312"/>
          <w:b/>
          <w:color w:val="000000"/>
          <w:sz w:val="32"/>
          <w:szCs w:val="32"/>
        </w:rPr>
        <w:t>十、基本支出：</w:t>
      </w:r>
      <w:r>
        <w:rPr>
          <w:rFonts w:hint="eastAsia" w:ascii="仿宋_GB2312" w:hAnsi="黑体" w:eastAsia="仿宋_GB2312"/>
          <w:color w:val="000000"/>
          <w:sz w:val="32"/>
          <w:szCs w:val="32"/>
        </w:rPr>
        <w:t>指单位为保障其机构正常运转、完成日常工作任务而发生的人员支出和公用支出。</w:t>
      </w:r>
    </w:p>
    <w:p>
      <w:pPr>
        <w:pStyle w:val="4"/>
        <w:spacing w:before="0" w:beforeAutospacing="0" w:after="0" w:afterAutospacing="0" w:line="600" w:lineRule="exact"/>
        <w:ind w:firstLine="630" w:firstLineChars="196"/>
        <w:jc w:val="both"/>
        <w:rPr>
          <w:rFonts w:ascii="仿宋_GB2312" w:hAnsi="黑体" w:eastAsia="仿宋_GB2312"/>
          <w:color w:val="000000"/>
          <w:sz w:val="32"/>
          <w:szCs w:val="32"/>
        </w:rPr>
      </w:pPr>
      <w:r>
        <w:rPr>
          <w:rFonts w:hint="eastAsia" w:ascii="仿宋_GB2312" w:hAnsi="黑体" w:eastAsia="仿宋_GB2312"/>
          <w:b/>
          <w:color w:val="000000"/>
          <w:sz w:val="32"/>
          <w:szCs w:val="32"/>
        </w:rPr>
        <w:t>十一、项目支出：</w:t>
      </w:r>
      <w:r>
        <w:rPr>
          <w:rFonts w:hint="eastAsia" w:ascii="仿宋_GB2312" w:hAnsi="黑体" w:eastAsia="仿宋_GB2312"/>
          <w:color w:val="000000"/>
          <w:sz w:val="32"/>
          <w:szCs w:val="32"/>
        </w:rPr>
        <w:t>指单位为完成特定行政任务和事业发展目标在基本支出之外所发生的支出。</w:t>
      </w:r>
      <w:r>
        <w:rPr>
          <w:rFonts w:hint="eastAsia" w:ascii="仿宋_GB2312" w:hAnsi="黑体" w:eastAsia="仿宋_GB2312"/>
          <w:color w:val="000000"/>
          <w:sz w:val="32"/>
          <w:szCs w:val="32"/>
        </w:rPr>
        <w:br w:type="textWrapping"/>
      </w:r>
      <w:r>
        <w:rPr>
          <w:rFonts w:hint="eastAsia" w:ascii="仿宋_GB2312" w:hAnsi="黑体" w:eastAsia="仿宋_GB2312"/>
          <w:color w:val="000000"/>
          <w:sz w:val="32"/>
          <w:szCs w:val="32"/>
        </w:rPr>
        <w:t xml:space="preserve">    </w:t>
      </w:r>
      <w:r>
        <w:rPr>
          <w:rFonts w:hint="eastAsia" w:ascii="仿宋_GB2312" w:hAnsi="黑体" w:eastAsia="仿宋_GB2312"/>
          <w:b/>
          <w:color w:val="000000"/>
          <w:sz w:val="32"/>
          <w:szCs w:val="32"/>
        </w:rPr>
        <w:t>十二、经营支出：</w:t>
      </w:r>
      <w:r>
        <w:rPr>
          <w:rFonts w:hint="eastAsia" w:ascii="仿宋_GB2312" w:hAnsi="黑体" w:eastAsia="仿宋_GB2312"/>
          <w:color w:val="000000"/>
          <w:sz w:val="32"/>
          <w:szCs w:val="32"/>
        </w:rPr>
        <w:t>指事业单位在专业业务活动及其辅助活动之外开展非独立核算经营活动发生的支出。</w:t>
      </w:r>
    </w:p>
    <w:p>
      <w:pPr>
        <w:pStyle w:val="4"/>
        <w:spacing w:before="0" w:beforeAutospacing="0" w:after="0" w:afterAutospacing="0" w:line="600" w:lineRule="exact"/>
        <w:ind w:firstLine="630" w:firstLineChars="196"/>
        <w:jc w:val="both"/>
        <w:rPr>
          <w:rFonts w:ascii="仿宋_GB2312" w:hAnsi="黑体" w:eastAsia="仿宋_GB2312"/>
          <w:b/>
          <w:color w:val="000000"/>
          <w:sz w:val="32"/>
          <w:szCs w:val="32"/>
        </w:rPr>
      </w:pPr>
      <w:r>
        <w:rPr>
          <w:rFonts w:hint="eastAsia" w:ascii="仿宋_GB2312" w:hAnsi="黑体" w:eastAsia="仿宋_GB2312"/>
          <w:b/>
          <w:color w:val="000000"/>
          <w:sz w:val="32"/>
          <w:szCs w:val="32"/>
        </w:rPr>
        <w:t>十三、“三公”经费：</w:t>
      </w:r>
      <w:r>
        <w:rPr>
          <w:rFonts w:hint="eastAsia" w:ascii="仿宋_GB2312" w:hAnsi="黑体" w:eastAsia="仿宋_GB2312"/>
          <w:color w:val="000000"/>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000000"/>
          <w:sz w:val="32"/>
          <w:szCs w:val="32"/>
        </w:rPr>
        <w:t>）</w:t>
      </w:r>
      <w:r>
        <w:rPr>
          <w:rFonts w:hint="eastAsia" w:ascii="仿宋_GB2312" w:hAnsi="黑体" w:eastAsia="仿宋_GB2312"/>
          <w:color w:val="000000"/>
          <w:sz w:val="32"/>
          <w:szCs w:val="32"/>
        </w:rPr>
        <w:t>支出。</w:t>
      </w:r>
    </w:p>
    <w:p>
      <w:pPr>
        <w:pStyle w:val="4"/>
        <w:spacing w:before="0" w:beforeAutospacing="0" w:after="0" w:afterAutospacing="0" w:line="600" w:lineRule="exact"/>
        <w:ind w:firstLine="630" w:firstLineChars="196"/>
        <w:jc w:val="both"/>
        <w:rPr>
          <w:rFonts w:ascii="仿宋_GB2312" w:hAnsi="黑体" w:eastAsia="仿宋_GB2312"/>
          <w:b/>
          <w:color w:val="000000"/>
          <w:sz w:val="32"/>
          <w:szCs w:val="32"/>
        </w:rPr>
      </w:pPr>
      <w:r>
        <w:rPr>
          <w:rFonts w:hint="eastAsia" w:ascii="仿宋_GB2312" w:hAnsi="黑体" w:eastAsia="仿宋_GB2312"/>
          <w:b/>
          <w:color w:val="000000"/>
          <w:sz w:val="32"/>
          <w:szCs w:val="32"/>
        </w:rPr>
        <w:t>十四、机关运行经费</w:t>
      </w:r>
      <w:r>
        <w:rPr>
          <w:rFonts w:hint="eastAsia" w:ascii="仿宋_GB2312" w:hAnsi="黑体" w:eastAsia="仿宋_GB2312"/>
          <w:color w:val="000000"/>
          <w:sz w:val="32"/>
          <w:szCs w:val="32"/>
        </w:rPr>
        <w:t>：</w:t>
      </w:r>
      <w:r>
        <w:rPr>
          <w:rFonts w:hint="eastAsia" w:ascii="仿宋_GB2312" w:eastAsia="仿宋_GB2312"/>
          <w:color w:val="000000"/>
          <w:sz w:val="32"/>
          <w:szCs w:val="32"/>
        </w:rPr>
        <w:t>指为保障行政单位（含参照公务员法管理的事业单位）运行用于购买货物和服务的各项资金</w:t>
      </w:r>
      <w:r>
        <w:rPr>
          <w:rFonts w:hint="eastAsia" w:ascii="仿宋_GB2312" w:hAnsi="Times New Roman" w:eastAsia="仿宋_GB2312"/>
          <w:color w:val="000000"/>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ind w:left="1700" w:leftChars="250" w:hanging="900" w:hangingChars="249"/>
        <w:jc w:val="center"/>
        <w:rPr>
          <w:rFonts w:ascii="宋体" w:hAnsi="宋体"/>
          <w:b/>
          <w:color w:val="000000"/>
          <w:sz w:val="36"/>
          <w:szCs w:val="36"/>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18</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ascii="仿宋_GB2312"/>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618E"/>
    <w:multiLevelType w:val="singleLevel"/>
    <w:tmpl w:val="043261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QxZDdlN2I4Y2M5NmZjOTUxMzMzMDJjZjFlOWE3MTcifQ=="/>
  </w:docVars>
  <w:rsids>
    <w:rsidRoot w:val="60592C3F"/>
    <w:rsid w:val="0020598A"/>
    <w:rsid w:val="00267A01"/>
    <w:rsid w:val="005440C6"/>
    <w:rsid w:val="00DE7B57"/>
    <w:rsid w:val="00DF7B3C"/>
    <w:rsid w:val="00E84504"/>
    <w:rsid w:val="00EE7A71"/>
    <w:rsid w:val="00FF1177"/>
    <w:rsid w:val="09310160"/>
    <w:rsid w:val="0FB1678A"/>
    <w:rsid w:val="19087F3B"/>
    <w:rsid w:val="25CF6A29"/>
    <w:rsid w:val="2B6A62EF"/>
    <w:rsid w:val="3267170E"/>
    <w:rsid w:val="32B15E40"/>
    <w:rsid w:val="3BA36FDD"/>
    <w:rsid w:val="3DE0558B"/>
    <w:rsid w:val="440F6F5F"/>
    <w:rsid w:val="4B55797D"/>
    <w:rsid w:val="531C3758"/>
    <w:rsid w:val="60592C3F"/>
    <w:rsid w:val="7E8B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12415</Words>
  <Characters>19217</Characters>
  <Lines>87</Lines>
  <Paragraphs>45</Paragraphs>
  <TotalTime>2</TotalTime>
  <ScaleCrop>false</ScaleCrop>
  <LinksUpToDate>false</LinksUpToDate>
  <CharactersWithSpaces>19616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2021-08-27T03:20:00Z</dcterms:created>
  <dc:creator>大雅小雅</dc:creator>
  <cp:lastModifiedBy>大雅小雅</cp:lastModifiedBy>
  <dcterms:modified xsi:type="dcterms:W3CDTF">2022-09-01T06:52:21Z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DB95E8206F214923A1F8452D2424DC96</vt:lpwstr>
  </property>
</Properties>
</file>