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Lines="0" w:afterLines="0" w:line="560" w:lineRule="exact"/>
        <w:ind w:firstLine="0" w:firstLineChars="0"/>
        <w:jc w:val="center"/>
        <w:rPr>
          <w:rFonts w:hint="default" w:ascii="Times New Roman" w:hAnsi="Times New Roman" w:eastAsia="楷体_GB2312" w:cs="Times New Roman"/>
          <w:color w:val="2D2D2D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小标宋简体" w:cs="Times New Roman"/>
          <w:b/>
          <w:bCs/>
          <w:color w:val="2D2D2D"/>
          <w:kern w:val="0"/>
          <w:sz w:val="44"/>
          <w:szCs w:val="44"/>
          <w:highlight w:val="none"/>
          <w:lang w:eastAsia="zh-CN"/>
        </w:rPr>
        <w:t>埇</w:t>
      </w:r>
      <w:r>
        <w:rPr>
          <w:rFonts w:hint="eastAsia" w:ascii="Times New Roman" w:hAnsi="Times New Roman" w:eastAsia="方正小标宋简体" w:cs="Times New Roman"/>
          <w:color w:val="2D2D2D"/>
          <w:kern w:val="0"/>
          <w:sz w:val="44"/>
          <w:szCs w:val="44"/>
          <w:highlight w:val="none"/>
          <w:lang w:eastAsia="zh-CN"/>
        </w:rPr>
        <w:t>桥区</w:t>
      </w:r>
      <w:r>
        <w:rPr>
          <w:rFonts w:hint="default" w:ascii="Times New Roman" w:hAnsi="Times New Roman" w:eastAsia="方正小标宋简体" w:cs="Times New Roman"/>
          <w:color w:val="2D2D2D"/>
          <w:kern w:val="0"/>
          <w:sz w:val="44"/>
          <w:szCs w:val="44"/>
          <w:highlight w:val="none"/>
        </w:rPr>
        <w:t>科技特派团建设工作指引</w:t>
      </w:r>
      <w:r>
        <w:rPr>
          <w:rFonts w:hint="eastAsia" w:eastAsia="方正小标宋简体" w:cs="Times New Roman"/>
          <w:color w:val="2D2D2D"/>
          <w:kern w:val="0"/>
          <w:sz w:val="44"/>
          <w:szCs w:val="44"/>
          <w:highlight w:val="none"/>
          <w:lang w:eastAsia="zh-CN"/>
        </w:rPr>
        <w:t>（试行）</w:t>
      </w: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（征求意见稿）</w:t>
      </w:r>
    </w:p>
    <w:p>
      <w:pPr>
        <w:widowControl/>
        <w:shd w:val="clear" w:color="auto" w:fill="FFFFFF"/>
        <w:spacing w:beforeLines="0" w:afterLines="0" w:line="560" w:lineRule="exact"/>
        <w:jc w:val="left"/>
        <w:rPr>
          <w:rFonts w:ascii="Times New Roman" w:hAnsi="Times New Roman" w:eastAsia="微软雅黑" w:cs="Times New Roman"/>
          <w:color w:val="2D2D2D"/>
          <w:kern w:val="0"/>
          <w:sz w:val="27"/>
          <w:szCs w:val="27"/>
          <w:highlight w:val="none"/>
        </w:rPr>
      </w:pP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加强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埇桥区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科技特派团建设，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依据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《中共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埇桥区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委农村工作领导小组关于印发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  <w:t>&lt;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埇桥区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进一步完善巩固坚持科技特派员制度的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实施方案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&gt;的通知》（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农工组〔2022〕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号）等文件，制定本工作指引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，本指引由埇桥区科技局负责解释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。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一、目的意义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科技特派团是完善巩固坚持科技特派员制度的重要举措，是实现科技特派员从“单兵作战”向“团队作战”转变的重要途径，是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打造科技特派员服务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示范点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的重要抓手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,对推动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三次产业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高质量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协同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发展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促进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域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创新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和乡村振兴具有重要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意义。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建设类型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科技特派团分为复合型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专业型科技特派团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两个类型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（一）复合型科技特派团。</w:t>
      </w:r>
      <w:r>
        <w:rPr>
          <w:rFonts w:hint="default" w:eastAsia="方正仿宋_GBK" w:cs="Times New Roman"/>
          <w:sz w:val="32"/>
          <w:szCs w:val="32"/>
          <w:highlight w:val="none"/>
          <w:lang w:eastAsia="zh-CN"/>
        </w:rPr>
        <w:t>原则上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由高校、科研院所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大型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企业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等牵头组建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围绕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我区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特色产业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全产业链，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lang w:eastAsia="zh-CN"/>
        </w:rPr>
        <w:t>开展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lang w:eastAsia="zh-CN"/>
        </w:rPr>
        <w:t>校（企）战略合作，解决区域产业发展的“一揽子”科技成果转移转化及产业化问题</w:t>
      </w:r>
      <w:r>
        <w:rPr>
          <w:rFonts w:hint="eastAsia" w:eastAsia="方正仿宋_GBK" w:cs="Times New Roman"/>
          <w:bCs/>
          <w:sz w:val="32"/>
          <w:szCs w:val="32"/>
          <w:highlight w:val="none"/>
          <w:lang w:eastAsia="zh-CN"/>
        </w:rPr>
        <w:t>，并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lang w:eastAsia="zh-CN"/>
        </w:rPr>
        <w:t>培育</w:t>
      </w:r>
      <w:r>
        <w:rPr>
          <w:rFonts w:hint="eastAsia" w:eastAsia="方正仿宋_GBK" w:cs="Times New Roman"/>
          <w:bCs/>
          <w:sz w:val="32"/>
          <w:szCs w:val="32"/>
          <w:highlight w:val="none"/>
          <w:lang w:eastAsia="zh-CN"/>
        </w:rPr>
        <w:t>建设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lang w:eastAsia="zh-CN"/>
        </w:rPr>
        <w:t>利益共同体。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（二）专业型科技特派团。</w:t>
      </w:r>
      <w:r>
        <w:rPr>
          <w:rFonts w:hint="default" w:eastAsia="方正仿宋_GBK" w:cs="Times New Roman"/>
          <w:sz w:val="32"/>
          <w:szCs w:val="32"/>
          <w:highlight w:val="none"/>
          <w:lang w:eastAsia="zh-CN"/>
        </w:rPr>
        <w:t>原则上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各类科研单位（机构）、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学会（协会）以及企业等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组建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lang w:eastAsia="zh-CN"/>
        </w:rPr>
        <w:t>围绕镇、村特色产业或经济实体等科技需求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lang w:eastAsia="zh-CN"/>
        </w:rPr>
        <w:t>开展</w:t>
      </w:r>
      <w:r>
        <w:rPr>
          <w:rFonts w:hint="eastAsia" w:eastAsia="方正仿宋_GBK" w:cs="Times New Roman"/>
          <w:bCs/>
          <w:sz w:val="32"/>
          <w:szCs w:val="32"/>
          <w:highlight w:val="none"/>
          <w:lang w:eastAsia="zh-CN"/>
        </w:rPr>
        <w:t>研发、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lang w:eastAsia="zh-CN"/>
        </w:rPr>
        <w:t>生产、加工、检测、仓储、销售等服务。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建设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条件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（一）复合型科技特派团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1.牵头单位明确。</w:t>
      </w:r>
      <w:r>
        <w:rPr>
          <w:rFonts w:hint="default" w:eastAsia="方正仿宋_GBK" w:cs="Times New Roman"/>
          <w:sz w:val="32"/>
          <w:szCs w:val="32"/>
          <w:highlight w:val="none"/>
          <w:lang w:eastAsia="zh-CN"/>
        </w:rPr>
        <w:t>原则上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由高校、科研院所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、大型企业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等单位牵头，单位及负责人社会信誉良好，无征信、环保等问题，且运营良好。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2.团长综合能力突出。实行团长负责制，团长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/>
        </w:rPr>
        <w:t>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具备较强的协调能力，具有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主持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科技计划项目的经历。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3.团队结构合理。人才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结构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多元、熟悉产业、相对稳定，具备解决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lang w:eastAsia="zh-CN"/>
        </w:rPr>
        <w:t>区域产业发展的“一揽子”科技研发转化</w:t>
      </w:r>
      <w:r>
        <w:rPr>
          <w:rFonts w:hint="eastAsia" w:eastAsia="方正仿宋_GBK" w:cs="Times New Roman"/>
          <w:bCs/>
          <w:sz w:val="32"/>
          <w:szCs w:val="32"/>
          <w:highlight w:val="none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lang w:eastAsia="zh-CN"/>
        </w:rPr>
        <w:t>产业化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能力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eastAsia="方正仿宋_GBK" w:cs="Times New Roman"/>
          <w:sz w:val="32"/>
          <w:szCs w:val="32"/>
          <w:highlight w:val="none"/>
          <w:lang w:eastAsia="zh-CN"/>
        </w:rPr>
        <w:t>原则上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每位成员同时参与科技特派团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（包括复合型和专业型）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不超过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个。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4.引领能力较强。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有示范基地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围绕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埇桥区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特色产业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，服务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等经济实体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、帮扶脱贫村或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highlight w:val="none"/>
          <w:shd w:val="clear" w:color="auto" w:fill="auto"/>
        </w:rPr>
        <w:t>集体经济薄弱村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等，均不少于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个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。能够延伸产业链、提升价值链，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培育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利益共同体，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促进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三次产业高质量协同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发展。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5.合作分工清晰。牵头单位须与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区科技局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签订合作协议，约定服务事项、时限及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责任义务等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。科技特派团应与服务对象签订服务协议。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（二）专业型科技特派团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1.牵头单位明确。由科研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、企业等牵头组建，单位及负责人社会信誉良好，无征信、环保等问题，且运营良好。优先支持承担实施科技计划项目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建有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科技创新载体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的单位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牵头组建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2.团长能力较强。实行团长负责制，团长应具备一定的协调能力。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有示范基地。具备一定的办公条件，具有生产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试验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示范基地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研发、检验等服务平台。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长期稳定服务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。服务企业等经济实体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帮扶脱贫村或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highlight w:val="none"/>
          <w:shd w:val="clear" w:color="auto" w:fill="auto"/>
        </w:rPr>
        <w:t>集体经济薄弱村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等，均不少于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个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。能够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解决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生产、加工、仓储、金融、营销、知识产权等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问题，带动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科技型企业、新型经营主体等，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壮大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村集体经济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，促进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农民增收。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5.合作分工清晰。牵头单位须与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区科技局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签订合作协议，约定服务事项、时限及相关要求。科技特派团应与服务对象签订服务协议。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四、组建流程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注册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登记。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区科技局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面向社会广泛进行征集，建立健全科技特派团“需求库”和“备选库”。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（二）形式审查。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区科技局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对登记入库的团队开展形式审查，依据意愿及专长，按地域、行业等进行分类汇总。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（三）审核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认定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区科技局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组织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专家开展认定备案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（四）深化服务。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坚持高效服务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、稳定服务、长期服务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，发挥各类科技特派团引领和示范作用，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注重建设利益共同体，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加快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区域特色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产业发展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（一）强化协同推进。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各有关部门应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动员本部门本系统资源和力量，支持科技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人员和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管理人员等参与科技特派团工作。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（二）鼓励先行先试。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鼓励各地先行先试，大胆创新，凝练一批典型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案例，培育一批利益共同体，打造一批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示范点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（三）加强管理服务。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各镇、有关街道等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要加强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科技特派团工作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指导和服务，强化绩效考核评估，提升服务能力和水平。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（四）</w:t>
      </w:r>
      <w:r>
        <w:rPr>
          <w:rFonts w:hint="eastAsia" w:eastAsia="楷体_GB2312" w:cs="Times New Roman"/>
          <w:sz w:val="32"/>
          <w:szCs w:val="32"/>
          <w:highlight w:val="none"/>
          <w:lang w:eastAsia="zh-CN"/>
        </w:rPr>
        <w:t>注重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宣传</w:t>
      </w:r>
      <w:r>
        <w:rPr>
          <w:rFonts w:hint="eastAsia" w:eastAsia="楷体_GB2312" w:cs="Times New Roman"/>
          <w:sz w:val="32"/>
          <w:szCs w:val="32"/>
          <w:highlight w:val="none"/>
          <w:lang w:eastAsia="zh-CN"/>
        </w:rPr>
        <w:t>引导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各镇、有关街道等单位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要及时总结典型经验，充分利用各类媒体，宣传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创新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创业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典型经验和先进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事迹。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11D3E9-9029-49A2-8451-6DBEC7D3D58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5D82B92-FA83-4D00-A337-F098EA716F1D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B995210-25C3-4F9D-9D7E-CFF3238317C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4FC5340-190E-4FDE-A4BB-4BC0A91B8F9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12900A1-C061-4373-8AF3-FB2C7CE0B32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00179FB3-8DA2-4ACA-B548-2BEB61E01E78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7" w:fontKey="{67CB5ED4-C740-4F6D-9440-C761ACD88B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D2ECC161-C2AC-4354-A2A4-6F995CF254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2IzOGJjZDZmZDhmZGZmMjQzODc2ZjZlODZiYjcifQ=="/>
  </w:docVars>
  <w:rsids>
    <w:rsidRoot w:val="00000000"/>
    <w:rsid w:val="480A6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11</cp:lastModifiedBy>
  <dcterms:modified xsi:type="dcterms:W3CDTF">2022-11-07T03:43:14Z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DE08C4666B734CBBA2BC55858551416F</vt:lpwstr>
  </property>
</Properties>
</file>