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  <w:highlight w:val="red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  <w:highlight w:val="none"/>
        </w:rPr>
      </w:pPr>
    </w:p>
    <w:p>
      <w:pPr>
        <w:spacing w:line="440" w:lineRule="exact"/>
        <w:ind w:firstLine="320" w:firstLineChars="100"/>
        <w:jc w:val="center"/>
        <w:rPr>
          <w:rFonts w:hint="eastAsia" w:ascii="仿宋_GB2312" w:eastAsia="仿宋"/>
          <w:color w:val="FFFF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时村政〔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spacing w:line="440" w:lineRule="exact"/>
        <w:jc w:val="center"/>
        <w:rPr>
          <w:rFonts w:ascii="仿宋_GB2312" w:eastAsia="仿宋_GB2312"/>
          <w:szCs w:val="20"/>
        </w:rPr>
      </w:pPr>
    </w:p>
    <w:p>
      <w:pPr>
        <w:spacing w:line="440" w:lineRule="exact"/>
        <w:jc w:val="center"/>
        <w:rPr>
          <w:rFonts w:ascii="仿宋_GB2312" w:eastAsia="仿宋_GB231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2023年小麦赤霉病绿色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防控工作实施方案</w:t>
      </w:r>
    </w:p>
    <w:p/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小麦赤霉病是我区小麦生产上重大流行性病害,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是一种可防不可治的病害，</w:t>
      </w:r>
      <w:r>
        <w:rPr>
          <w:rFonts w:hint="default" w:ascii="Times New Roman" w:hAnsi="Times New Roman" w:eastAsia="仿宋" w:cs="Times New Roman"/>
          <w:sz w:val="32"/>
          <w:szCs w:val="32"/>
        </w:rPr>
        <w:t>一旦发生流行会导致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小麦</w:t>
      </w:r>
      <w:r>
        <w:rPr>
          <w:rFonts w:hint="default" w:ascii="Times New Roman" w:hAnsi="Times New Roman" w:eastAsia="仿宋" w:cs="Times New Roman"/>
          <w:sz w:val="32"/>
          <w:szCs w:val="32"/>
        </w:rPr>
        <w:t>产量大幅下降和品质严重降低,影响小麦收储和农民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增产</w:t>
      </w:r>
      <w:r>
        <w:rPr>
          <w:rFonts w:hint="default" w:ascii="Times New Roman" w:hAnsi="Times New Roman" w:eastAsia="仿宋" w:cs="Times New Roman"/>
          <w:sz w:val="32"/>
          <w:szCs w:val="32"/>
        </w:rPr>
        <w:t>增收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为深入推进“两强一增”行动，贯彻落实《安徽省农作物重大病虫害防治指挥部关于印发2023年小麦赤霉病防控工作方案的通知》及市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农业农村局相关文件精神，突出抓好小麦赤霉病防控工作，坚决遏制全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小麦赤霉病重发态势，实现夏粮高质量丰产丰收，结合我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防控目标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坚持“预防为主、综合治理、分类指导、科学用药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节本增效”的防控策略,广泛宣传发动,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" w:cs="Times New Roman"/>
          <w:sz w:val="32"/>
          <w:szCs w:val="32"/>
        </w:rPr>
        <w:t>覆盖防控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以实施“两强一增”为引领，落实“虫口夺粮“保丰收行动，突出抓好并扎实推进小麦赤霉病防控工作，落实“主动出击，见花打药”的预防控制技术，提高高效、对路药剂使用占比。实现“一控两保”（控流行，保产量、保品质），确保小麦赤霉病防治处置率100%、赤霉病病粒率低于3%，危害损失控制在5%以下，白粉病、锈病病情指数控制在8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以下，生物毒素控制在安全数量以下，确保我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夏粮生产安全。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抓住小麦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赤霉病防治“窗口期”</w:t>
      </w:r>
      <w:r>
        <w:rPr>
          <w:rFonts w:hint="default" w:ascii="Times New Roman" w:hAnsi="Times New Roman" w:eastAsia="仿宋" w:cs="Times New Roman"/>
          <w:sz w:val="32"/>
          <w:szCs w:val="32"/>
        </w:rPr>
        <w:t>,全面喷施高效对路药剂预防,同时加强肥水管理和降低田间湿度,控制小麦赤霉病发生、降低毒素污染。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坚持适期用药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抢抓小麦齐穗至扬花初期开展第一次防治（见花打药），赤霉病重发频发区5－7天后再防治一次。密切关注天气变化切实做好“窗口期”监测预警，结合小麦生育期和天气变化情况，实行动态监测，多频次发布预警信息，科学指导农户适时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二）</w:t>
      </w:r>
      <w:r>
        <w:rPr>
          <w:rFonts w:hint="default" w:ascii="Times New Roman" w:hAnsi="Times New Roman" w:eastAsia="楷体" w:cs="Times New Roman"/>
          <w:sz w:val="32"/>
          <w:szCs w:val="32"/>
        </w:rPr>
        <w:t>选择高效药剂。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按照区方案要求，</w:t>
      </w:r>
      <w:r>
        <w:rPr>
          <w:rFonts w:hint="default" w:ascii="Times New Roman" w:hAnsi="Times New Roman" w:eastAsia="仿宋" w:cs="Times New Roman"/>
          <w:sz w:val="32"/>
          <w:szCs w:val="32"/>
        </w:rPr>
        <w:t>综合考虑药剂对赤霉病防治效果和真菌毒素控制效果，以及对锈病、白粉病等叶部病害的兼治作用等因素，选择渗透性强、耐雨水冲刷、持效性好的高效对路农药。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第一次使用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丙唑·戊唑醇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全覆盖统一飞防，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第二次交替轮换使用不同作用机制的药剂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飞防。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</w:rPr>
        <w:t>使用高效药械。</w:t>
      </w:r>
      <w:r>
        <w:rPr>
          <w:rFonts w:hint="default" w:ascii="Times New Roman" w:hAnsi="Times New Roman" w:eastAsia="仿宋" w:cs="Times New Roman"/>
          <w:sz w:val="32"/>
          <w:szCs w:val="32"/>
        </w:rPr>
        <w:t>优先选用智能植保无人机、自走式宽幅施药机械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等全覆盖统防统治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sz w:val="32"/>
          <w:szCs w:val="32"/>
        </w:rPr>
        <w:t>科学施药。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第一次预防要按照防治药剂说明书推荐用药上限用足药量、配足水量，均匀喷雾。智能植保无人机施药应添加飞防助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32"/>
        </w:rPr>
        <w:t>)坚持一喷多效。</w:t>
      </w:r>
      <w:r>
        <w:rPr>
          <w:rFonts w:hint="default" w:ascii="Times New Roman" w:hAnsi="Times New Roman" w:eastAsia="仿宋" w:cs="Times New Roman"/>
          <w:sz w:val="32"/>
          <w:szCs w:val="32"/>
        </w:rPr>
        <w:t>以小麦赤霉病防控为重点,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兼顾做好吸浆虫、蚜虫等重大病虫害防控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科学施药，实现一喷多防。</w:t>
      </w:r>
    </w:p>
    <w:p>
      <w:pPr>
        <w:pStyle w:val="2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(六)加强收储管理。</w:t>
      </w:r>
      <w:r>
        <w:rPr>
          <w:rFonts w:hint="default" w:ascii="Times New Roman" w:hAnsi="Times New Roman" w:eastAsia="仿宋" w:cs="Times New Roman"/>
          <w:sz w:val="32"/>
          <w:szCs w:val="32"/>
        </w:rPr>
        <w:t>小麦粒感染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赤</w:t>
      </w:r>
      <w:r>
        <w:rPr>
          <w:rFonts w:hint="default" w:ascii="Times New Roman" w:hAnsi="Times New Roman" w:eastAsia="仿宋" w:cs="Times New Roman"/>
          <w:sz w:val="32"/>
          <w:szCs w:val="32"/>
        </w:rPr>
        <w:t>霉病菌后在潮湿条件下可在麦穗或收获的麦堆中继续侵染,导致真菌毒素进一步增加。因此,要及时收获,晾晒烘干,清选赤霉病粒,在安全水分以下收储。</w:t>
      </w:r>
    </w:p>
    <w:p>
      <w:pPr>
        <w:pStyle w:val="2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（七）农药包装废弃物回收管理。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各村在安排统防人员时，</w:t>
      </w:r>
      <w:r>
        <w:rPr>
          <w:rFonts w:hint="default" w:ascii="Times New Roman" w:hAnsi="Times New Roman" w:eastAsia="仿宋" w:cs="Times New Roman"/>
          <w:sz w:val="32"/>
          <w:szCs w:val="32"/>
        </w:rPr>
        <w:t>要按照《农药管理条例》《农药包装物废弃物回收处理管理办法》等规定做好回收工作，严禁丢弃田间、地头、沟渠等，严防造成农业面源污染。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三、成立组织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成立小麦赤霉病防控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仿宋" w:cs="Times New Roman"/>
          <w:sz w:val="32"/>
          <w:szCs w:val="32"/>
        </w:rPr>
        <w:t>,统一协调指挥全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小麦赤霉病防控工作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；镇</w:t>
      </w:r>
      <w:r>
        <w:rPr>
          <w:rFonts w:hint="default" w:ascii="Times New Roman" w:hAnsi="Times New Roman" w:eastAsia="仿宋" w:cs="Times New Roman"/>
          <w:sz w:val="32"/>
          <w:szCs w:val="32"/>
        </w:rPr>
        <w:t>成立小麦赤霉病技术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" w:cs="Times New Roman"/>
          <w:sz w:val="32"/>
          <w:szCs w:val="32"/>
        </w:rPr>
        <w:t>组,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分片包干，</w:t>
      </w:r>
      <w:r>
        <w:rPr>
          <w:rFonts w:hint="default" w:ascii="Times New Roman" w:hAnsi="Times New Roman" w:eastAsia="仿宋" w:cs="Times New Roman"/>
          <w:sz w:val="32"/>
          <w:szCs w:val="32"/>
        </w:rPr>
        <w:t>解决防控工作中的技术难题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四、宣传发动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充分利用电视、广播、宣传车、手机短信、印发明白纸、科技下乡、悬挂宣传条幅、QQ和微信群以及召开现场会、开展技术讲座等多种形式,广泛宣传普及小麦赤霉病防控知识，</w:t>
      </w:r>
      <w:r>
        <w:rPr>
          <w:rFonts w:hint="default" w:ascii="Times New Roman" w:hAnsi="Times New Roman" w:eastAsia="仿宋" w:cs="Times New Roman"/>
          <w:sz w:val="32"/>
          <w:szCs w:val="32"/>
        </w:rPr>
        <w:t>及时解答群众咨询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。同时,加强信息报送,做到对上有信息、外有声音,促进防控工作顺利开展。防控关键时期要组织技术人员深入生产一线,面对面、手把手指导农户开展统防统治，</w:t>
      </w:r>
      <w:r>
        <w:rPr>
          <w:rFonts w:hint="default" w:ascii="Times New Roman" w:hAnsi="Times New Roman" w:eastAsia="仿宋" w:cs="Times New Roman"/>
          <w:sz w:val="32"/>
          <w:szCs w:val="32"/>
        </w:rPr>
        <w:t>确保各项技术措施落实到村、到户、到田。确保1户1张明白纸，1户1个明白人。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五、防控措施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今年小麦赤霉病防控资金由财政出资，镇政府统一采购药剂，植保无人机统防和发放药剂农户自防两种模式。在充分征求各村意见的基础上，全镇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20个行政村采取统一防控，具体措施如下：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1.采用线上招标有资质、有能力的服务组织来进行统一防控，村级收取农户5元/亩服务费用。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2.对植保机未能飞防到的林下地头，镇政府统筹药剂，发放到村，由村发到具体农户自防或村里组织自走式植保机械统一防治。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为了达到赤霉病防治效果，各村要高度重视，认真组织，积极宣传，</w:t>
      </w:r>
      <w:r>
        <w:rPr>
          <w:rFonts w:hint="default" w:ascii="Times New Roman" w:hAnsi="Times New Roman" w:eastAsia="仿宋" w:cs="Times New Roman"/>
          <w:color w:val="0D0D0D"/>
          <w:sz w:val="32"/>
          <w:szCs w:val="32"/>
          <w:lang w:val="en-US" w:eastAsia="zh-CN"/>
        </w:rPr>
        <w:t>确保今年的夏粮再丰收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时村镇</w:t>
      </w:r>
      <w:r>
        <w:rPr>
          <w:rFonts w:hint="default" w:ascii="Times New Roman" w:hAnsi="Times New Roman" w:eastAsia="仿宋" w:cs="Times New Roman"/>
          <w:sz w:val="32"/>
          <w:szCs w:val="32"/>
        </w:rPr>
        <w:t>小麦赤霉病防控指挥部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2.时村镇</w:t>
      </w:r>
      <w:r>
        <w:rPr>
          <w:rFonts w:hint="default" w:ascii="Times New Roman" w:hAnsi="Times New Roman" w:eastAsia="仿宋" w:cs="Times New Roman"/>
          <w:sz w:val="32"/>
          <w:szCs w:val="32"/>
        </w:rPr>
        <w:t>小麦赤霉病技术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" w:cs="Times New Roman"/>
          <w:sz w:val="32"/>
          <w:szCs w:val="32"/>
        </w:rPr>
        <w:t>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时村镇人民政府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2023年4月3日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小麦赤霉病防控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小组成员名单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56"/>
          <w:szCs w:val="9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长：桂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时村镇党委副书记、镇长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  峰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时村镇党委成员、副书记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财政所所长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丁  磊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市场监督管理所所长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农业综合服务中心主任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专职纪检员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邵理想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时村镇农业综合服务中心副主任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李水源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夏斌业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张佑左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领导小组下设办公室，办公室设在农业综合服务中心，陆军兼任办公室主任，领导小组负责处理协调赤霉病防控期间的各项事务，联系电话：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13470711008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cs="宋体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cs="宋体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cs="宋体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小麦赤霉病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抓好小麦赤霉病的防控工作，及时、有效的对小麦赤霉病防控工作中遇到的各种技术问题，不失时机抓好今年小麦赤霉病防控工作，经研究，时村镇决定成立小麦赤霉病防控技术指导小组，小组成员有陆军、邵理想、李岩、李水源、夏斌业、张佑左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宋体" w:hAnsi="宋体" w:cs="宋体"/>
          <w:sz w:val="32"/>
          <w:szCs w:val="40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EED71"/>
    <w:multiLevelType w:val="singleLevel"/>
    <w:tmpl w:val="B17EED71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jFjODA2ZjQ2ZmUzZTYzNDhkZTk5Yjk2YzIwYzIifQ=="/>
  </w:docVars>
  <w:rsids>
    <w:rsidRoot w:val="72B34881"/>
    <w:rsid w:val="1AF232EE"/>
    <w:rsid w:val="531317B2"/>
    <w:rsid w:val="72B34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2025</Words>
  <Characters>2053</Characters>
  <Lines>0</Lines>
  <Paragraphs>0</Paragraphs>
  <TotalTime>4</TotalTime>
  <ScaleCrop>false</ScaleCrop>
  <LinksUpToDate>false</LinksUpToDate>
  <CharactersWithSpaces>2110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2023-04-11T00:44:00Z</dcterms:created>
  <dc:creator>A~Witch</dc:creator>
  <cp:lastModifiedBy>A~Witch</cp:lastModifiedBy>
  <dcterms:modified xsi:type="dcterms:W3CDTF">2023-04-11T02:29:47Z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9C84470829194C4CB5030BE7B4D5B3E0_11</vt:lpwstr>
  </property>
</Properties>
</file>