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adjustRightInd w:val="0"/>
        <w:snapToGrid w:val="0"/>
        <w:jc w:val="center"/>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36"/>
          <w:szCs w:val="36"/>
        </w:rPr>
        <w:t>工程建设项目并联审批办事指南（1-1）</w:t>
      </w:r>
    </w:p>
    <w:p>
      <w:pPr>
        <w:pStyle w:val="21"/>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策划生成阶段（政府投资房屋建筑类）</w:t>
      </w:r>
    </w:p>
    <w:p>
      <w:pPr>
        <w:widowControl/>
        <w:spacing w:line="560" w:lineRule="atLeast"/>
        <w:ind w:firstLine="640"/>
        <w:rPr>
          <w:rFonts w:hint="default" w:ascii="Times New Roman" w:hAnsi="Times New Roman" w:eastAsia="黑体" w:cs="Times New Roman"/>
          <w:kern w:val="0"/>
          <w:sz w:val="22"/>
          <w:szCs w:val="32"/>
        </w:rPr>
      </w:pP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一、事项名称</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工程建设项目策划生成</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二、适用范围</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级范围内的政府投资房屋建筑类项目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三、受理机构</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牵头部门：宿州市</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自然资源和规划局</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参与部门：</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发改委、</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地震局、</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气象局等</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四、受理窗口</w:t>
      </w:r>
    </w:p>
    <w:p>
      <w:pPr>
        <w:keepNext w:val="0"/>
        <w:keepLines w:val="0"/>
        <w:pageBreakBefore w:val="0"/>
        <w:widowControl/>
        <w:kinsoku/>
        <w:wordWrap/>
        <w:overflowPunct/>
        <w:topLinePunct w:val="0"/>
        <w:bidi w:val="0"/>
        <w:spacing w:line="460" w:lineRule="exact"/>
        <w:ind w:firstLine="641"/>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3馆2楼埇桥区政务服务中心2楼C1区工程建设项目综合服务窗口</w:t>
      </w:r>
    </w:p>
    <w:p>
      <w:pPr>
        <w:keepNext w:val="0"/>
        <w:keepLines w:val="0"/>
        <w:pageBreakBefore w:val="0"/>
        <w:widowControl/>
        <w:kinsoku/>
        <w:wordWrap/>
        <w:overflowPunct/>
        <w:topLinePunct w:val="0"/>
        <w:bidi w:val="0"/>
        <w:spacing w:line="460" w:lineRule="exact"/>
        <w:ind w:firstLine="600" w:firstLineChars="200"/>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地址：</w:t>
      </w: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lang w:eastAsia="zh-CN"/>
        </w:rPr>
        <w:t>五</w:t>
      </w:r>
      <w:r>
        <w:rPr>
          <w:rFonts w:hint="default" w:ascii="Times New Roman" w:hAnsi="Times New Roman" w:eastAsia="方正黑体简体" w:cs="Times New Roman"/>
          <w:kern w:val="0"/>
          <w:sz w:val="30"/>
          <w:szCs w:val="30"/>
        </w:rPr>
        <w:t>、申请条件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1.建设项目用地选址符合土地利用总体规划,建设项目用地需修改土地利用总体规划的，规划修改方案是否符合法律、法规的规定；</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2.建设项目用地是否符合国家供地政策和土地管理法律、法规的条件；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3.建设项目用地规模是否符合有关土地使用标准的规定；</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4.由</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级人民政府及其有关部门批准、核准的建设项目， 且按照国家规定需要申请核发选址意见书的建设项目；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5.由</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及</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以上人民政府及其有关部门批准、核准，且按照 国家规定需要申请核发用地规划许可证的建设项目；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6.《 国务院办公厅关于保留部分非行政许可审批项目的通知》（国办发〔2004〕62 号）；</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7.《国务院关于投资体制改革决定》（国发〔2004〕20 号）；</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8.《政府投资条例》（中华人民共和国国务院令第 712 号）；</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9.《宿州市人民政府办公室关于印发宿州市政府投资项目管理办法的通知》（宿政办发〔2015〕38 号 ）。</w:t>
      </w:r>
    </w:p>
    <w:p>
      <w:pPr>
        <w:keepNext w:val="0"/>
        <w:keepLines w:val="0"/>
        <w:pageBreakBefore w:val="0"/>
        <w:tabs>
          <w:tab w:val="left" w:pos="1825"/>
        </w:tabs>
        <w:kinsoku/>
        <w:wordWrap/>
        <w:overflowPunct/>
        <w:topLinePunct w:val="0"/>
        <w:bidi w:val="0"/>
        <w:spacing w:line="460" w:lineRule="exact"/>
        <w:ind w:firstLine="600" w:firstLineChars="200"/>
        <w:textAlignment w:val="auto"/>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六、申报材料</w:t>
      </w:r>
    </w:p>
    <w:tbl>
      <w:tblPr>
        <w:tblStyle w:val="7"/>
        <w:tblpPr w:leftFromText="180" w:rightFromText="180" w:vertAnchor="text" w:horzAnchor="page" w:tblpX="1842" w:tblpY="393"/>
        <w:tblOverlap w:val="never"/>
        <w:tblW w:w="861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8"/>
        <w:gridCol w:w="2869"/>
        <w:gridCol w:w="992"/>
        <w:gridCol w:w="1276"/>
        <w:gridCol w:w="9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exact"/>
        </w:trPr>
        <w:tc>
          <w:tcPr>
            <w:tcW w:w="251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eastAsiaTheme="majorEastAsia"/>
                <w:b/>
                <w:bCs/>
                <w:kern w:val="0"/>
                <w:sz w:val="30"/>
                <w:szCs w:val="30"/>
              </w:rPr>
            </w:pPr>
            <w:r>
              <w:rPr>
                <w:rFonts w:hint="default" w:ascii="Times New Roman" w:hAnsi="Times New Roman" w:cs="Times New Roman" w:eastAsiaTheme="majorEastAsia"/>
                <w:b/>
                <w:bCs/>
                <w:color w:val="000000"/>
                <w:kern w:val="0"/>
                <w:sz w:val="30"/>
                <w:szCs w:val="30"/>
              </w:rPr>
              <w:t>事项名称</w:t>
            </w:r>
          </w:p>
        </w:tc>
        <w:tc>
          <w:tcPr>
            <w:tcW w:w="28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eastAsiaTheme="majorEastAsia"/>
                <w:b/>
                <w:bCs/>
                <w:kern w:val="0"/>
                <w:sz w:val="30"/>
                <w:szCs w:val="30"/>
              </w:rPr>
            </w:pPr>
            <w:r>
              <w:rPr>
                <w:rFonts w:hint="default" w:ascii="Times New Roman" w:hAnsi="Times New Roman" w:cs="Times New Roman" w:eastAsiaTheme="majorEastAsia"/>
                <w:b/>
                <w:bCs/>
                <w:color w:val="000000"/>
                <w:kern w:val="0"/>
                <w:sz w:val="30"/>
                <w:szCs w:val="30"/>
              </w:rPr>
              <w:t>材料名称</w:t>
            </w:r>
          </w:p>
        </w:tc>
        <w:tc>
          <w:tcPr>
            <w:tcW w:w="226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材料类型及要求</w:t>
            </w:r>
          </w:p>
        </w:tc>
        <w:tc>
          <w:tcPr>
            <w:tcW w:w="958" w:type="dxa"/>
            <w:vMerge w:val="restart"/>
            <w:tcBorders>
              <w:top w:val="single" w:color="auto" w:sz="8" w:space="0"/>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2" w:hRule="exact"/>
        </w:trPr>
        <w:tc>
          <w:tcPr>
            <w:tcW w:w="25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amp;quot" w:cs="Times New Roman"/>
                <w:color w:val="333333"/>
                <w:sz w:val="30"/>
                <w:szCs w:val="30"/>
              </w:rPr>
            </w:pPr>
          </w:p>
        </w:tc>
        <w:tc>
          <w:tcPr>
            <w:tcW w:w="28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amp;quot" w:cs="Times New Roman"/>
                <w:color w:val="333333"/>
                <w:sz w:val="30"/>
                <w:szCs w:val="30"/>
              </w:rPr>
            </w:pPr>
          </w:p>
        </w:tc>
        <w:tc>
          <w:tcPr>
            <w:tcW w:w="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电子件</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eastAsiaTheme="majorEastAsia"/>
                <w:b/>
                <w:bCs/>
                <w:color w:val="000000"/>
                <w:kern w:val="0"/>
                <w:sz w:val="30"/>
                <w:szCs w:val="30"/>
              </w:rPr>
            </w:pPr>
            <w:r>
              <w:rPr>
                <w:rFonts w:hint="default" w:ascii="Times New Roman" w:hAnsi="Times New Roman" w:cs="Times New Roman" w:eastAsiaTheme="majorEastAsia"/>
                <w:b/>
                <w:bCs/>
                <w:color w:val="000000"/>
                <w:kern w:val="0"/>
                <w:sz w:val="30"/>
                <w:szCs w:val="30"/>
              </w:rPr>
              <w:t>纸质件</w:t>
            </w:r>
          </w:p>
        </w:tc>
        <w:tc>
          <w:tcPr>
            <w:tcW w:w="958" w:type="dxa"/>
            <w:vMerge w:val="continue"/>
            <w:tcBorders>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bidi w:val="0"/>
              <w:spacing w:line="460" w:lineRule="exact"/>
              <w:jc w:val="left"/>
              <w:textAlignment w:val="auto"/>
              <w:rPr>
                <w:rFonts w:hint="default" w:ascii="Times New Roman" w:hAnsi="Times New Roman" w:eastAsia="方正黑体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矢量数据</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0"/>
              <w:keepNext w:val="0"/>
              <w:keepLines w:val="0"/>
              <w:pageBreakBefore w:val="0"/>
              <w:tabs>
                <w:tab w:val="left" w:pos="840"/>
                <w:tab w:val="left" w:pos="1929"/>
                <w:tab w:val="left" w:pos="2534"/>
                <w:tab w:val="left" w:pos="3141"/>
                <w:tab w:val="left" w:pos="3746"/>
                <w:tab w:val="left" w:pos="4351"/>
              </w:tabs>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矢量数据（格式为JZD-M.shp；JZD-M.shx；JZD-M.dbf）</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color w:val="000000"/>
                <w:kern w:val="0"/>
                <w:sz w:val="30"/>
                <w:szCs w:val="30"/>
              </w:rPr>
            </w:pPr>
            <w:r>
              <w:rPr>
                <w:rFonts w:hint="default" w:ascii="Times New Roman" w:hAnsi="Times New Roman" w:eastAsia="MS Mincho"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发改部门启动文件</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0"/>
              <w:keepNext w:val="0"/>
              <w:keepLines w:val="0"/>
              <w:pageBreakBefore w:val="0"/>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核准类：项目登记信息单；批准类：项目备案文件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color w:val="000000"/>
                <w:kern w:val="0"/>
                <w:sz w:val="30"/>
                <w:szCs w:val="30"/>
              </w:rPr>
            </w:pPr>
            <w:r>
              <w:rPr>
                <w:rFonts w:hint="default" w:ascii="Times New Roman" w:hAnsi="Times New Roman" w:eastAsia="MS Mincho"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251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地形图</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1:1000或1:2000地形图</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cs="Times New Roman"/>
                <w:color w:val="000000"/>
                <w:kern w:val="0"/>
                <w:sz w:val="30"/>
                <w:szCs w:val="30"/>
              </w:rPr>
            </w:pPr>
            <w:r>
              <w:rPr>
                <w:rFonts w:hint="default" w:ascii="Times New Roman" w:hAnsi="Times New Roman" w:eastAsia="MS Mincho"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cs="Times New Roman"/>
                <w:color w:val="000000"/>
                <w:kern w:val="0"/>
                <w:sz w:val="30"/>
                <w:szCs w:val="30"/>
              </w:rPr>
            </w:pPr>
          </w:p>
        </w:tc>
      </w:tr>
    </w:tbl>
    <w:p>
      <w:pPr>
        <w:keepNext w:val="0"/>
        <w:keepLines w:val="0"/>
        <w:pageBreakBefore w:val="0"/>
        <w:tabs>
          <w:tab w:val="left" w:pos="1825"/>
        </w:tabs>
        <w:kinsoku/>
        <w:wordWrap/>
        <w:overflowPunct/>
        <w:topLinePunct w:val="0"/>
        <w:bidi w:val="0"/>
        <w:spacing w:line="460" w:lineRule="exact"/>
        <w:ind w:firstLine="600" w:firstLineChars="200"/>
        <w:textAlignment w:val="auto"/>
        <w:rPr>
          <w:rFonts w:hint="default" w:ascii="方正黑体简体" w:hAnsi="方正黑体简体" w:eastAsia="方正黑体简体" w:cs="方正黑体简体"/>
          <w:sz w:val="30"/>
          <w:szCs w:val="30"/>
          <w:lang w:eastAsia="zh-CN"/>
        </w:rPr>
      </w:pPr>
      <w:r>
        <w:rPr>
          <w:rFonts w:hint="default" w:ascii="方正黑体简体" w:hAnsi="方正黑体简体" w:eastAsia="方正黑体简体" w:cs="方正黑体简体"/>
          <w:sz w:val="30"/>
          <w:szCs w:val="30"/>
          <w:lang w:eastAsia="zh-CN"/>
        </w:rPr>
        <w:t>七、承诺时间</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策划生成阶段审批时限：阶段审批时限8个工作日；</w:t>
      </w:r>
    </w:p>
    <w:p>
      <w:pPr>
        <w:keepNext w:val="0"/>
        <w:keepLines w:val="0"/>
        <w:pageBreakBefore w:val="0"/>
        <w:tabs>
          <w:tab w:val="left" w:pos="1825"/>
        </w:tabs>
        <w:kinsoku/>
        <w:wordWrap/>
        <w:overflowPunct/>
        <w:topLinePunct w:val="0"/>
        <w:bidi w:val="0"/>
        <w:spacing w:line="460" w:lineRule="exact"/>
        <w:ind w:firstLine="600" w:firstLineChars="200"/>
        <w:textAlignment w:val="auto"/>
        <w:rPr>
          <w:rFonts w:hint="default" w:ascii="方正黑体简体" w:hAnsi="方正黑体简体" w:eastAsia="方正黑体简体" w:cs="方正黑体简体"/>
          <w:sz w:val="30"/>
          <w:szCs w:val="30"/>
          <w:lang w:eastAsia="zh-CN"/>
        </w:rPr>
      </w:pPr>
      <w:r>
        <w:rPr>
          <w:rFonts w:hint="default" w:ascii="方正黑体简体" w:hAnsi="方正黑体简体" w:eastAsia="方正黑体简体" w:cs="方正黑体简体"/>
          <w:sz w:val="30"/>
          <w:szCs w:val="30"/>
          <w:lang w:eastAsia="zh-CN"/>
        </w:rPr>
        <w:t>八、投诉监督</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lang w:val="en-US" w:eastAsia="zh-CN"/>
        </w:rPr>
      </w:pPr>
      <w:r>
        <w:rPr>
          <w:rFonts w:hint="default"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政务服务管理局，电话：0557-</w:t>
      </w:r>
      <w:r>
        <w:rPr>
          <w:rFonts w:hint="eastAsia" w:ascii="Times New Roman" w:hAnsi="Times New Roman" w:eastAsia="方正仿宋简体" w:cs="Times New Roman"/>
          <w:kern w:val="0"/>
          <w:sz w:val="30"/>
          <w:szCs w:val="30"/>
          <w:lang w:val="en-US" w:eastAsia="zh-CN"/>
        </w:rPr>
        <w:t>3045502</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lang w:val="en-US" w:eastAsia="zh-CN"/>
        </w:rPr>
      </w:pPr>
      <w:r>
        <w:rPr>
          <w:rFonts w:hint="default"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自然资源和规划局，电话：0557-</w:t>
      </w:r>
      <w:bookmarkStart w:id="0" w:name="_GoBack"/>
      <w:r>
        <w:rPr>
          <w:rFonts w:hint="eastAsia" w:ascii="Times New Roman" w:hAnsi="Times New Roman" w:eastAsia="方正仿宋简体" w:cs="Times New Roman"/>
          <w:kern w:val="0"/>
          <w:sz w:val="30"/>
          <w:szCs w:val="30"/>
          <w:lang w:val="en-US" w:eastAsia="zh-CN"/>
        </w:rPr>
        <w:t>3099559</w:t>
      </w:r>
      <w:bookmarkEnd w:id="0"/>
    </w:p>
    <w:p>
      <w:pPr>
        <w:keepNext w:val="0"/>
        <w:keepLines w:val="0"/>
        <w:pageBreakBefore w:val="0"/>
        <w:tabs>
          <w:tab w:val="left" w:pos="1825"/>
        </w:tabs>
        <w:kinsoku/>
        <w:wordWrap/>
        <w:overflowPunct/>
        <w:topLinePunct w:val="0"/>
        <w:bidi w:val="0"/>
        <w:spacing w:line="460" w:lineRule="exact"/>
        <w:ind w:firstLine="600" w:firstLineChars="200"/>
        <w:textAlignment w:val="auto"/>
        <w:rPr>
          <w:rFonts w:hint="default" w:ascii="方正黑体简体" w:hAnsi="方正黑体简体" w:eastAsia="方正黑体简体" w:cs="方正黑体简体"/>
          <w:sz w:val="30"/>
          <w:szCs w:val="30"/>
          <w:lang w:eastAsia="zh-CN"/>
        </w:rPr>
      </w:pPr>
      <w:r>
        <w:rPr>
          <w:rFonts w:hint="default" w:ascii="方正黑体简体" w:hAnsi="方正黑体简体" w:eastAsia="方正黑体简体" w:cs="方正黑体简体"/>
          <w:sz w:val="30"/>
          <w:szCs w:val="30"/>
          <w:lang w:eastAsia="zh-CN"/>
        </w:rPr>
        <w:t>九、进度查询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政务服务中心工程建设项目审批综合服务窗口查询；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2.可登陆安徽政务服务网宿州分厅工程建设项目专栏在线查询。</w:t>
      </w:r>
    </w:p>
    <w:p>
      <w:pPr>
        <w:keepNext w:val="0"/>
        <w:keepLines w:val="0"/>
        <w:pageBreakBefore w:val="0"/>
        <w:tabs>
          <w:tab w:val="left" w:pos="1825"/>
        </w:tabs>
        <w:kinsoku/>
        <w:wordWrap/>
        <w:overflowPunct/>
        <w:topLinePunct w:val="0"/>
        <w:bidi w:val="0"/>
        <w:spacing w:line="460" w:lineRule="exact"/>
        <w:ind w:firstLine="600" w:firstLineChars="200"/>
        <w:textAlignment w:val="auto"/>
        <w:rPr>
          <w:rFonts w:hint="default" w:ascii="方正黑体简体" w:hAnsi="方正黑体简体" w:eastAsia="方正黑体简体" w:cs="方正黑体简体"/>
          <w:sz w:val="30"/>
          <w:szCs w:val="30"/>
          <w:lang w:eastAsia="zh-CN"/>
        </w:rPr>
      </w:pPr>
      <w:r>
        <w:rPr>
          <w:rFonts w:hint="default" w:ascii="方正黑体简体" w:hAnsi="方正黑体简体" w:eastAsia="方正黑体简体" w:cs="方正黑体简体"/>
          <w:sz w:val="30"/>
          <w:szCs w:val="30"/>
          <w:lang w:eastAsia="zh-CN"/>
        </w:rPr>
        <w:t>十、收费及标准</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不收费</w:t>
      </w:r>
    </w:p>
    <w:p>
      <w:pPr>
        <w:keepNext w:val="0"/>
        <w:keepLines w:val="0"/>
        <w:pageBreakBefore w:val="0"/>
        <w:tabs>
          <w:tab w:val="left" w:pos="1825"/>
        </w:tabs>
        <w:kinsoku/>
        <w:wordWrap/>
        <w:overflowPunct/>
        <w:topLinePunct w:val="0"/>
        <w:bidi w:val="0"/>
        <w:spacing w:line="460" w:lineRule="exact"/>
        <w:ind w:firstLine="600" w:firstLineChars="200"/>
        <w:textAlignment w:val="auto"/>
        <w:rPr>
          <w:rFonts w:hint="default" w:ascii="方正黑体简体" w:hAnsi="方正黑体简体" w:eastAsia="方正黑体简体" w:cs="方正黑体简体"/>
          <w:sz w:val="30"/>
          <w:szCs w:val="30"/>
          <w:lang w:eastAsia="zh-CN"/>
        </w:rPr>
      </w:pPr>
      <w:r>
        <w:rPr>
          <w:rFonts w:hint="default" w:ascii="方正黑体简体" w:hAnsi="方正黑体简体" w:eastAsia="方正黑体简体" w:cs="方正黑体简体"/>
          <w:sz w:val="30"/>
          <w:szCs w:val="30"/>
          <w:lang w:eastAsia="zh-CN"/>
        </w:rPr>
        <w:t>十一、办理结果送达方式</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宿州市工程建设项目审批管理系统推送。</w:t>
      </w:r>
    </w:p>
    <w:p>
      <w:pPr>
        <w:keepNext w:val="0"/>
        <w:keepLines w:val="0"/>
        <w:pageBreakBefore w:val="0"/>
        <w:tabs>
          <w:tab w:val="left" w:pos="1825"/>
        </w:tabs>
        <w:kinsoku/>
        <w:wordWrap/>
        <w:overflowPunct/>
        <w:topLinePunct w:val="0"/>
        <w:bidi w:val="0"/>
        <w:spacing w:line="460" w:lineRule="exact"/>
        <w:ind w:firstLine="600" w:firstLineChars="200"/>
        <w:textAlignment w:val="auto"/>
        <w:rPr>
          <w:rFonts w:hint="default"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十</w:t>
      </w:r>
      <w:r>
        <w:rPr>
          <w:rFonts w:hint="eastAsia" w:ascii="方正黑体简体" w:hAnsi="方正黑体简体" w:eastAsia="方正黑体简体" w:cs="方正黑体简体"/>
          <w:sz w:val="30"/>
          <w:szCs w:val="30"/>
          <w:lang w:val="en-US" w:eastAsia="zh-CN"/>
        </w:rPr>
        <w:t>二</w:t>
      </w:r>
      <w:r>
        <w:rPr>
          <w:rFonts w:hint="eastAsia" w:ascii="方正黑体简体" w:hAnsi="方正黑体简体" w:eastAsia="方正黑体简体" w:cs="方正黑体简体"/>
          <w:sz w:val="30"/>
          <w:szCs w:val="30"/>
          <w:lang w:eastAsia="zh-CN"/>
        </w:rPr>
        <w:t>、办理流程</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（一）提交申请。</w:t>
      </w:r>
      <w:r>
        <w:rPr>
          <w:rFonts w:hint="eastAsia" w:ascii="Times New Roman" w:hAnsi="Times New Roman" w:eastAsia="方正仿宋简体" w:cs="Times New Roman"/>
          <w:kern w:val="0"/>
          <w:sz w:val="30"/>
          <w:szCs w:val="30"/>
        </w:rPr>
        <w:t>由项目单位组织开展初步研究，提出初步建议方案后在宿州市工程建设项目审批管理平台上提交项目策划生成申请。初步建议方案应明确项目选址意向、初步建设内容、建设规模、主要技术方案、初估投资等指标，并需按“一张图项目策划生成”数据格式模板要求，制作项目策划生成上传数据文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（二）项目启动。</w:t>
      </w:r>
      <w:r>
        <w:rPr>
          <w:rFonts w:hint="eastAsia" w:ascii="Times New Roman" w:hAnsi="Times New Roman" w:eastAsia="方正仿宋简体" w:cs="Times New Roman"/>
          <w:kern w:val="0"/>
          <w:sz w:val="30"/>
          <w:szCs w:val="30"/>
        </w:rPr>
        <w:t>综合窗口在收件后将初步建议方案流转至发展改革部门，发展改革部门在1个工作日内，对项目是否符合产业政策提出明确初步审查意见，通过平台告知申请单位并推送至自然资源规划部门。申请单位在收到发展改革部门初步审查意见后，应及时启动可行性研究报告的编制工作，完成编制后将可研报告通过平台推送至发展改革部门进行审核。</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（三）规划预选址。</w:t>
      </w:r>
      <w:r>
        <w:rPr>
          <w:rFonts w:hint="eastAsia" w:ascii="Times New Roman" w:hAnsi="Times New Roman" w:eastAsia="方正仿宋简体" w:cs="Times New Roman"/>
          <w:kern w:val="0"/>
          <w:sz w:val="30"/>
          <w:szCs w:val="30"/>
        </w:rPr>
        <w:t>自然资源规划部门收到发展改革部门初步审查意见后，在5个工作日内依据国土空间规划相关成果，结合初步建议方案明确项目预选址意见。预选址意见包括：是否符合国土空间规划及相关专项规划、产业用地政策、节约集约用地等要求，并核查是否符合划拨用地目录。自然资源规划部门根据需要同步启动控制性详细规划的编制或修编工作。</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（四）建设条件核实。</w:t>
      </w:r>
      <w:r>
        <w:rPr>
          <w:rFonts w:hint="eastAsia" w:ascii="Times New Roman" w:hAnsi="Times New Roman" w:eastAsia="方正仿宋简体" w:cs="Times New Roman"/>
          <w:kern w:val="0"/>
          <w:sz w:val="30"/>
          <w:szCs w:val="30"/>
        </w:rPr>
        <w:t>自然资源规划部门根据项目启动实际需要，同步将初步建议方案流转至同级发展改革、生态环境、水利、住建、人防、文物等相关部门及项目所在地县级以上人民政府（省、市级项目），核实建设条件，相关部门可通过全省工程建设项目审批“一张图”系统进行核验。各部门应在5个工作日内通过策划生成平台反馈核查意见，规定时限内未反馈的视同对项目建设无异议。各部门核实意见由综合窗口汇总后，连同预选址意见（含边界图）提交发改部门并推送至申请单位。满足策划生成要求的，同步纳入策划生成项目库，作为立项用地许可阶段“容缺审查”的依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（五）可行性研究。</w:t>
      </w:r>
      <w:r>
        <w:rPr>
          <w:rFonts w:hint="eastAsia" w:ascii="Times New Roman" w:hAnsi="Times New Roman" w:eastAsia="方正仿宋简体" w:cs="Times New Roman"/>
          <w:kern w:val="0"/>
          <w:sz w:val="30"/>
          <w:szCs w:val="30"/>
        </w:rPr>
        <w:t>经核查具备建设条件且申请单位已完成可行性研究报告编制上报的项目，发展改革部门应在20个工作日内按程序审查项目可行性研究报告，按程序进行决策，并将审查意见及时反馈项目申请单位。</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MS Mincho">
    <w:altName w:val="Meiryo UI"/>
    <w:panose1 w:val="02020609040205080304"/>
    <w:charset w:val="80"/>
    <w:family w:val="modern"/>
    <w:pitch w:val="default"/>
    <w:sig w:usb0="00000000" w:usb1="00000000" w:usb2="00000012" w:usb3="00000000" w:csb0="4002009F" w:csb1="DFD7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2I1NGQwZjk0MTI5ZTRlYjJiYzVjNmNhZmVhNWUifQ=="/>
  </w:docVars>
  <w:rsids>
    <w:rsidRoot w:val="31C71D00"/>
    <w:rsid w:val="00040EFC"/>
    <w:rsid w:val="000D3288"/>
    <w:rsid w:val="001648E0"/>
    <w:rsid w:val="001F32AB"/>
    <w:rsid w:val="003331F1"/>
    <w:rsid w:val="003A3B89"/>
    <w:rsid w:val="003C151B"/>
    <w:rsid w:val="004B1827"/>
    <w:rsid w:val="004D6F7F"/>
    <w:rsid w:val="00530CCC"/>
    <w:rsid w:val="005E2C0D"/>
    <w:rsid w:val="005F0F4F"/>
    <w:rsid w:val="006E5555"/>
    <w:rsid w:val="007778DF"/>
    <w:rsid w:val="007E6BA5"/>
    <w:rsid w:val="008F1BBE"/>
    <w:rsid w:val="00940D18"/>
    <w:rsid w:val="00951995"/>
    <w:rsid w:val="009A4720"/>
    <w:rsid w:val="00A217F1"/>
    <w:rsid w:val="00C846E1"/>
    <w:rsid w:val="00CA795C"/>
    <w:rsid w:val="00CF267B"/>
    <w:rsid w:val="00D54C0E"/>
    <w:rsid w:val="00E11E93"/>
    <w:rsid w:val="00EE52EB"/>
    <w:rsid w:val="00F42B52"/>
    <w:rsid w:val="00F61ECD"/>
    <w:rsid w:val="00FF4CAD"/>
    <w:rsid w:val="02AC078B"/>
    <w:rsid w:val="02F269EC"/>
    <w:rsid w:val="04ED5436"/>
    <w:rsid w:val="09D93670"/>
    <w:rsid w:val="0B816511"/>
    <w:rsid w:val="10632ACA"/>
    <w:rsid w:val="17D4175B"/>
    <w:rsid w:val="18283B2F"/>
    <w:rsid w:val="1C3C0A9E"/>
    <w:rsid w:val="294E33A0"/>
    <w:rsid w:val="304D2996"/>
    <w:rsid w:val="31C71D00"/>
    <w:rsid w:val="31F257AA"/>
    <w:rsid w:val="44FD47FF"/>
    <w:rsid w:val="49AC13F7"/>
    <w:rsid w:val="4A1A0EBA"/>
    <w:rsid w:val="4CE4331C"/>
    <w:rsid w:val="61D45192"/>
    <w:rsid w:val="68437D15"/>
    <w:rsid w:val="6CEA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paragraph" w:styleId="3">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qFormat/>
    <w:uiPriority w:val="1"/>
    <w:pPr>
      <w:autoSpaceDE w:val="0"/>
      <w:autoSpaceDN w:val="0"/>
      <w:ind w:left="1647"/>
      <w:jc w:val="left"/>
    </w:pPr>
    <w:rPr>
      <w:rFonts w:ascii="宋体" w:hAnsi="宋体" w:eastAsia="宋体" w:cs="宋体"/>
      <w:kern w:val="0"/>
      <w:sz w:val="32"/>
      <w:szCs w:val="32"/>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rPr>
      <w:sz w:val="24"/>
    </w:r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Normal_0_36"/>
    <w:qFormat/>
    <w:uiPriority w:val="0"/>
    <w:rPr>
      <w:rFonts w:ascii="Times New Roman" w:hAnsi="Times New Roman" w:cs="Times New Roman" w:eastAsiaTheme="minorEastAsia"/>
      <w:sz w:val="24"/>
      <w:szCs w:val="24"/>
      <w:lang w:val="en-US" w:eastAsia="zh-CN" w:bidi="ar-SA"/>
    </w:rPr>
  </w:style>
  <w:style w:type="character" w:customStyle="1" w:styleId="22">
    <w:name w:val="before3"/>
    <w:basedOn w:val="8"/>
    <w:qFormat/>
    <w:uiPriority w:val="0"/>
  </w:style>
  <w:style w:type="character" w:customStyle="1" w:styleId="23">
    <w:name w:val="first-child"/>
    <w:basedOn w:val="8"/>
    <w:qFormat/>
    <w:uiPriority w:val="0"/>
  </w:style>
  <w:style w:type="character" w:customStyle="1" w:styleId="24">
    <w:name w:val="layui-layer-tabnow"/>
    <w:basedOn w:val="8"/>
    <w:qFormat/>
    <w:uiPriority w:val="0"/>
    <w:rPr>
      <w:bdr w:val="single" w:color="CCCCCC" w:sz="6" w:space="0"/>
      <w:shd w:val="clear" w:color="auto" w:fill="FFFFFF"/>
    </w:rPr>
  </w:style>
  <w:style w:type="character" w:customStyle="1" w:styleId="25">
    <w:name w:val="active"/>
    <w:basedOn w:val="8"/>
    <w:qFormat/>
    <w:uiPriority w:val="0"/>
  </w:style>
  <w:style w:type="character" w:customStyle="1" w:styleId="26">
    <w:name w:val="正文文本 Char"/>
    <w:basedOn w:val="8"/>
    <w:link w:val="4"/>
    <w:qFormat/>
    <w:uiPriority w:val="1"/>
    <w:rPr>
      <w:rFonts w:ascii="宋体" w:hAnsi="宋体" w:cs="宋体"/>
      <w:sz w:val="32"/>
      <w:szCs w:val="32"/>
      <w:lang w:val="zh-CN" w:bidi="zh-CN"/>
    </w:rPr>
  </w:style>
  <w:style w:type="paragraph" w:styleId="27">
    <w:name w:val="List Paragraph"/>
    <w:basedOn w:val="1"/>
    <w:qFormat/>
    <w:uiPriority w:val="1"/>
    <w:pPr>
      <w:autoSpaceDE w:val="0"/>
      <w:autoSpaceDN w:val="0"/>
      <w:spacing w:before="192"/>
      <w:ind w:left="1949" w:hanging="305"/>
      <w:jc w:val="left"/>
    </w:pPr>
    <w:rPr>
      <w:rFonts w:ascii="宋体" w:hAnsi="宋体" w:eastAsia="宋体" w:cs="宋体"/>
      <w:kern w:val="0"/>
      <w:sz w:val="22"/>
      <w:szCs w:val="22"/>
      <w:lang w:val="zh-CN" w:bidi="zh-CN"/>
    </w:rPr>
  </w:style>
  <w:style w:type="character" w:customStyle="1" w:styleId="28">
    <w:name w:val="标题 2 Char"/>
    <w:basedOn w:val="8"/>
    <w:link w:val="3"/>
    <w:semiHidden/>
    <w:qFormat/>
    <w:uiPriority w:val="0"/>
    <w:rPr>
      <w:rFonts w:asciiTheme="majorHAnsi" w:hAnsiTheme="majorHAnsi" w:eastAsiaTheme="majorEastAsia" w:cstheme="majorBidi"/>
      <w:b/>
      <w:bCs/>
      <w:kern w:val="2"/>
      <w:sz w:val="32"/>
      <w:szCs w:val="32"/>
    </w:rPr>
  </w:style>
  <w:style w:type="table" w:customStyle="1" w:styleId="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0">
    <w:name w:val="Table Paragraph"/>
    <w:basedOn w:val="1"/>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1620</Words>
  <Characters>1707</Characters>
  <Lines>15</Lines>
  <Paragraphs>4</Paragraphs>
  <TotalTime>7</TotalTime>
  <ScaleCrop>false</ScaleCrop>
  <LinksUpToDate>false</LinksUpToDate>
  <CharactersWithSpaces>1716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2021-04-23T03:12:00Z</dcterms:created>
  <dc:creator>落寞惊梦</dc:creator>
  <cp:lastModifiedBy>37.5℃</cp:lastModifiedBy>
  <dcterms:modified xsi:type="dcterms:W3CDTF">2023-03-17T02:01:33Z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A43DAD775E5444C9AA0631B14FB8F6F2</vt:lpwstr>
  </property>
  <property fmtid="{D5CDD505-2E9C-101B-9397-08002B2CF9AE}" pid="4" name="KSOSaveFontToCloudKey">
    <vt:lpwstr>207388848_btnclosed</vt:lpwstr>
  </property>
</Properties>
</file>