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工程建设项目并联审批办事指南（2-3）</w:t>
      </w:r>
    </w:p>
    <w:p>
      <w:pPr>
        <w:pStyle w:val="21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工程建设许可（政府投资线性工程类）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0"/>
        <w:textAlignment w:val="auto"/>
        <w:rPr>
          <w:rFonts w:ascii="黑体" w:hAnsi="黑体" w:eastAsia="黑体" w:cs="黑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一、事项名称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1.建设工程规划类许可证核发；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2.设计方案审查（建设项目规划方案审查、变更审批）；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.可并行或并联办理的事项：政府投资项目初步设计审批，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建设项目环境影响评价文件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审批等。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申请办理工程建设许可阶段相关事项的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范围内的政府投资线性工程类工程建设项目。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埇桥区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参与部门：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发改委、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生态环境局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br w:type="textWrapping"/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五、申请条件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依照《中华人民共和国城乡规划法》和《安徽省城乡规划 条例》规定需要申请核发建设工程规划许可证的项目。按规定需要建设单位编制修建性详细规划的，由建设单位编制，报城市、 县人民政府城乡规划主管部门审定。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六</w:t>
      </w: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、申报材料</w:t>
      </w:r>
    </w:p>
    <w:tbl>
      <w:tblPr>
        <w:tblStyle w:val="7"/>
        <w:tblpPr w:leftFromText="180" w:rightFromText="180" w:vertAnchor="text" w:horzAnchor="page" w:tblpX="1842" w:tblpY="39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869"/>
        <w:gridCol w:w="992"/>
        <w:gridCol w:w="1100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5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8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09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1134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5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&amp;quot" w:hAnsi="&amp;quot" w:eastAsia="&amp;quot" w:cs="&amp;quot"/>
                <w:color w:val="333333"/>
                <w:sz w:val="30"/>
                <w:szCs w:val="30"/>
              </w:rPr>
            </w:pPr>
          </w:p>
        </w:tc>
        <w:tc>
          <w:tcPr>
            <w:tcW w:w="28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&amp;quot" w:hAnsi="&amp;quot" w:eastAsia="&amp;quot" w:cs="&amp;quot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113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ascii="方正黑体简体" w:hAnsi="方正黑体简体" w:eastAsia="方正黑体简体" w:cs="方正黑体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设计方案审查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日照分析报告及附图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仿宋_GBK" w:eastAsia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总平图、建筑效果图纸、现场航拍图、土地权属证明、设计条件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left"/>
              <w:textAlignment w:val="auto"/>
              <w:rPr>
                <w:rFonts w:hint="eastAsia" w:ascii="方正仿宋_GBK" w:eastAsia="方正仿宋_GBK" w:hAnsiTheme="minorHAnsi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eastAsia="zh-CN"/>
              </w:rPr>
              <w:t>规划电子报批材料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MS Mincho" w:hAnsi="MS Mincho" w:eastAsia="MS Mincho" w:cs="MS Mincho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ascii="方正仿宋_GBK" w:eastAsia="方正仿宋_GBK" w:hAnsiTheme="minorEastAsia" w:cstheme="minor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_GBK" w:eastAsia="方正仿宋_GBK" w:hAnsiTheme="minorEastAsia" w:cstheme="minorEastAsia"/>
                <w:color w:val="000000"/>
                <w:kern w:val="0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建设工程规划类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许可证核发</w:t>
            </w:r>
          </w:p>
        </w:tc>
        <w:tc>
          <w:tcPr>
            <w:tcW w:w="28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工程建设许可阶段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报建图纸（共享）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方正仿宋_GBK" w:eastAsia="方正仿宋_GBK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ascii="方正仿宋_GBK" w:eastAsia="方正仿宋_GBK" w:hAnsiTheme="minorEastAsia" w:cstheme="minorEastAsi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ascii="方正仿宋_GBK" w:eastAsia="方正仿宋_GBK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 w:hAnsiTheme="minorEastAsia" w:cstheme="minorEastAsia"/>
                <w:color w:val="000000"/>
                <w:kern w:val="0"/>
                <w:sz w:val="30"/>
                <w:szCs w:val="30"/>
              </w:rPr>
              <w:t>共享材料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8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ascii="方正仿宋_GBK" w:eastAsia="方正仿宋_GBK" w:hAnsiTheme="minorEastAsia" w:cstheme="minorEastAsia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eastAsia="方正仿宋_GBK" w:hAnsiTheme="minorEastAsia" w:cstheme="minorEastAsia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ascii="方正黑体_GBK" w:hAnsi="黑体" w:eastAsia="方正黑体_GBK" w:cs="黑体"/>
          <w:kern w:val="0"/>
          <w:sz w:val="30"/>
          <w:szCs w:val="30"/>
        </w:rPr>
      </w:pPr>
      <w:r>
        <w:rPr>
          <w:rFonts w:hint="eastAsia" w:ascii="方正黑体_GBK" w:hAnsi="黑体" w:eastAsia="方正黑体_GBK" w:cs="黑体"/>
          <w:kern w:val="0"/>
          <w:sz w:val="30"/>
          <w:szCs w:val="30"/>
          <w:lang w:eastAsia="zh-CN"/>
        </w:rPr>
        <w:t>七</w:t>
      </w:r>
      <w:r>
        <w:rPr>
          <w:rFonts w:hint="eastAsia" w:ascii="方正黑体_GBK" w:hAnsi="黑体" w:eastAsia="方正黑体_GBK" w:cs="黑体"/>
          <w:kern w:val="0"/>
          <w:sz w:val="30"/>
          <w:szCs w:val="30"/>
        </w:rPr>
        <w:t>、承诺时间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工程建设许可阶段审批时限：阶段审批时限20个工作日；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ascii="方正黑体_GBK" w:hAnsi="仿宋" w:eastAsia="方正黑体_GBK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黑体_GBK" w:hAnsi="黑体" w:eastAsia="方正黑体_GBK" w:cs="黑体"/>
          <w:kern w:val="0"/>
          <w:sz w:val="30"/>
          <w:szCs w:val="30"/>
          <w:lang w:eastAsia="zh-CN"/>
        </w:rPr>
        <w:t>八</w:t>
      </w:r>
      <w:r>
        <w:rPr>
          <w:rFonts w:hint="eastAsia" w:ascii="方正黑体_GBK" w:hAnsi="黑体" w:eastAsia="方正黑体_GBK" w:cs="黑体"/>
          <w:kern w:val="0"/>
          <w:sz w:val="30"/>
          <w:szCs w:val="30"/>
        </w:rPr>
        <w:t>、投诉监督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1.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政务服务管理局，电话：0557-3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045502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</w:rPr>
        <w:t>2.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sz w:val="30"/>
          <w:szCs w:val="30"/>
        </w:rPr>
        <w:t>自然资源和规划局，电话：0557-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val="en-US" w:eastAsia="zh-CN"/>
        </w:rPr>
        <w:t>3030500</w:t>
      </w:r>
      <w:r>
        <w:rPr>
          <w:rFonts w:hint="eastAsia" w:ascii="方正仿宋简体" w:hAnsi="方正仿宋简体" w:eastAsia="方正仿宋简体" w:cs="方正仿宋简体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ascii="方正黑体_GBK" w:hAnsi="仿宋" w:eastAsia="方正黑体_GBK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黑体_GBK" w:hAnsi="黑体" w:eastAsia="方正黑体_GBK" w:cs="黑体"/>
          <w:color w:val="333333"/>
          <w:kern w:val="0"/>
          <w:sz w:val="30"/>
          <w:szCs w:val="30"/>
          <w:lang w:eastAsia="zh-CN"/>
        </w:rPr>
        <w:t>九</w:t>
      </w:r>
      <w:r>
        <w:rPr>
          <w:rFonts w:hint="eastAsia" w:ascii="方正黑体_GBK" w:hAnsi="黑体" w:eastAsia="方正黑体_GBK" w:cs="黑体"/>
          <w:color w:val="000000"/>
          <w:kern w:val="0"/>
          <w:sz w:val="30"/>
          <w:szCs w:val="30"/>
        </w:rPr>
        <w:t>、进度查询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政务服务中心工程建设项目审批综合服务窗口查询；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ascii="方正黑体_GBK" w:hAnsi="黑体" w:eastAsia="方正黑体_GBK" w:cs="黑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黑体_GBK" w:hAnsi="黑体" w:eastAsia="方正黑体_GBK" w:cs="黑体"/>
          <w:color w:val="333333"/>
          <w:kern w:val="0"/>
          <w:sz w:val="30"/>
          <w:szCs w:val="30"/>
          <w:shd w:val="clear" w:color="auto" w:fill="FFFFFF"/>
        </w:rPr>
        <w:t>十</w:t>
      </w:r>
      <w:r>
        <w:rPr>
          <w:rFonts w:hint="eastAsia" w:ascii="方正黑体_GBK" w:hAnsi="黑体" w:eastAsia="方正黑体_GBK" w:cs="黑体"/>
          <w:color w:val="333333"/>
          <w:kern w:val="0"/>
          <w:sz w:val="30"/>
          <w:szCs w:val="30"/>
        </w:rPr>
        <w:t>、</w:t>
      </w:r>
      <w:r>
        <w:rPr>
          <w:rFonts w:hint="eastAsia" w:ascii="方正黑体_GBK" w:hAnsi="黑体" w:eastAsia="方正黑体_GBK" w:cs="黑体"/>
          <w:color w:val="333333"/>
          <w:kern w:val="0"/>
          <w:sz w:val="30"/>
          <w:szCs w:val="30"/>
          <w:shd w:val="clear" w:color="auto" w:fill="FFFFFF"/>
        </w:rPr>
        <w:t>收费及标准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不收费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ascii="方正黑体_GBK" w:hAnsi="黑体" w:eastAsia="方正黑体_GBK" w:cs="黑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黑体_GBK" w:hAnsi="黑体" w:eastAsia="方正黑体_GBK" w:cs="黑体"/>
          <w:color w:val="333333"/>
          <w:kern w:val="0"/>
          <w:sz w:val="30"/>
          <w:szCs w:val="30"/>
          <w:shd w:val="clear" w:color="auto" w:fill="FFFFFF"/>
        </w:rPr>
        <w:t>十</w:t>
      </w:r>
      <w:r>
        <w:rPr>
          <w:rFonts w:hint="eastAsia" w:ascii="方正黑体_GBK" w:hAnsi="黑体" w:eastAsia="方正黑体_GBK" w:cs="黑体"/>
          <w:color w:val="333333"/>
          <w:kern w:val="0"/>
          <w:sz w:val="30"/>
          <w:szCs w:val="30"/>
          <w:shd w:val="clear" w:color="auto" w:fill="FFFFFF"/>
          <w:lang w:eastAsia="zh-CN"/>
        </w:rPr>
        <w:t>一</w:t>
      </w:r>
      <w:r>
        <w:rPr>
          <w:rFonts w:hint="eastAsia" w:ascii="方正黑体_GBK" w:hAnsi="黑体" w:eastAsia="方正黑体_GBK" w:cs="黑体"/>
          <w:color w:val="333333"/>
          <w:kern w:val="0"/>
          <w:sz w:val="30"/>
          <w:szCs w:val="30"/>
          <w:shd w:val="clear" w:color="auto" w:fill="FFFFFF"/>
        </w:rPr>
        <w:t>、结果文书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建设工程规划许可证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ascii="方正仿宋_GBK" w:hAnsi="仿宋" w:eastAsia="方正仿宋_GBK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kern w:val="0"/>
          <w:sz w:val="30"/>
          <w:szCs w:val="30"/>
          <w:shd w:val="clear" w:color="auto" w:fill="FFFFFF"/>
        </w:rPr>
        <w:t>十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color w:val="333333"/>
          <w:kern w:val="0"/>
          <w:sz w:val="30"/>
          <w:szCs w:val="30"/>
          <w:shd w:val="clear" w:color="auto" w:fill="FFFFFF"/>
        </w:rPr>
        <w:t>、办理结果送达方式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工程建设项目审批综合服务窗口领取、邮件送达、宿州市工程建设项目审批管理系统推送。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jc w:val="left"/>
        <w:textAlignment w:val="auto"/>
        <w:rPr>
          <w:rFonts w:ascii="方正仿宋_GBK" w:hAnsi="仿宋" w:eastAsia="方正仿宋_GBK" w:cs="仿宋"/>
          <w:color w:val="333333"/>
          <w:kern w:val="0"/>
          <w:sz w:val="30"/>
          <w:szCs w:val="30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altName w:val="Meiryo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4007C"/>
    <w:rsid w:val="00040EFC"/>
    <w:rsid w:val="000770CA"/>
    <w:rsid w:val="0014002C"/>
    <w:rsid w:val="00171391"/>
    <w:rsid w:val="001856B6"/>
    <w:rsid w:val="002558DE"/>
    <w:rsid w:val="002868AD"/>
    <w:rsid w:val="003331F1"/>
    <w:rsid w:val="004B1827"/>
    <w:rsid w:val="004D6F7F"/>
    <w:rsid w:val="00565675"/>
    <w:rsid w:val="005E2C0D"/>
    <w:rsid w:val="005E6676"/>
    <w:rsid w:val="005F0F4F"/>
    <w:rsid w:val="006E5555"/>
    <w:rsid w:val="007778DF"/>
    <w:rsid w:val="007E6BA5"/>
    <w:rsid w:val="00896BBF"/>
    <w:rsid w:val="00951995"/>
    <w:rsid w:val="00B21748"/>
    <w:rsid w:val="00BC3402"/>
    <w:rsid w:val="00C04996"/>
    <w:rsid w:val="00CA795C"/>
    <w:rsid w:val="00CB64B0"/>
    <w:rsid w:val="00CD5244"/>
    <w:rsid w:val="00CF267B"/>
    <w:rsid w:val="00D36240"/>
    <w:rsid w:val="00E83C0E"/>
    <w:rsid w:val="00F61ECD"/>
    <w:rsid w:val="00FD0597"/>
    <w:rsid w:val="00FF4CAD"/>
    <w:rsid w:val="02F269EC"/>
    <w:rsid w:val="04ED5436"/>
    <w:rsid w:val="0B816511"/>
    <w:rsid w:val="10632ACA"/>
    <w:rsid w:val="17D4175B"/>
    <w:rsid w:val="180704F1"/>
    <w:rsid w:val="1C3C0A9E"/>
    <w:rsid w:val="22B63754"/>
    <w:rsid w:val="2DF65B65"/>
    <w:rsid w:val="304D2996"/>
    <w:rsid w:val="31C71D00"/>
    <w:rsid w:val="31F257AA"/>
    <w:rsid w:val="3E8F5C30"/>
    <w:rsid w:val="3E9E054C"/>
    <w:rsid w:val="49AC13F7"/>
    <w:rsid w:val="4A1A0EBA"/>
    <w:rsid w:val="4CE4331C"/>
    <w:rsid w:val="699343B4"/>
    <w:rsid w:val="6CEA254B"/>
    <w:rsid w:val="7E4A34C4"/>
    <w:rsid w:val="7E5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764</Characters>
  <Lines>9</Lines>
  <Paragraphs>2</Paragraphs>
  <TotalTime>0</TotalTime>
  <ScaleCrop>false</ScaleCrop>
  <LinksUpToDate>false</LinksUpToDate>
  <CharactersWithSpaces>770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2023-03-17T03:13:30Z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A43DAD775E5444C9AA0631B14FB8F6F2</vt:lpwstr>
  </property>
  <property fmtid="{D5CDD505-2E9C-101B-9397-08002B2CF9AE}" pid="4" name="KSOSaveFontToCloudKey">
    <vt:lpwstr>207388848_btnclosed</vt:lpwstr>
  </property>
</Properties>
</file>