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kern w:val="2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2"/>
          <w:sz w:val="36"/>
          <w:szCs w:val="36"/>
        </w:rPr>
        <w:t>工程建设项目并联审批办事指南（5-2）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工程建设许可和施工许可阶段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（带方案出让土地类）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rPr>
          <w:rFonts w:hint="default" w:ascii="Times New Roman" w:hAnsi="Times New Roman" w:eastAsia="黑体" w:cs="Times New Roman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rPr>
          <w:rFonts w:hint="default" w:ascii="Times New Roman" w:hAnsi="Times New Roman" w:eastAsia="方正黑体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</w:rPr>
        <w:t> 一、事项名称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460" w:lineRule="exact"/>
        <w:ind w:firstLine="640"/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1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建设工程规划类许可证核发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460" w:lineRule="exact"/>
        <w:ind w:firstLine="640"/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2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建筑工程施工许可证核发（合并“建设工程质量和安全监督手续办理”）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460" w:lineRule="exact"/>
        <w:ind w:firstLine="640"/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3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施工图设计文件审查（含人防、消防、技防等技术审查）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460" w:lineRule="exact"/>
        <w:ind w:firstLine="640"/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4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人防工程质量监督手续办理（如涉及）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460" w:lineRule="exact"/>
        <w:ind w:firstLine="640"/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5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可并行或并联办理的事项：市政公用设施报装、危险化学品建设项目安全条件审查，应建防空地下室的民用建筑项目报建审批，雷电防护装置设计审查（特定项目），建设工程验线、市政设施建设类审批事项，工程建设涉及城市绿地、树木审批事项，因工程建设需要拆除、改动、迁移供水、排水与污水处理设施审核事项,建筑垃圾处置核准、建设项目安全设施设计审查等事项在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val="en-US" w:eastAsia="zh-CN"/>
        </w:rPr>
        <w:t>工程建设和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施工许可阶段并联或并行办理。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rPr>
          <w:rFonts w:hint="default" w:ascii="Times New Roman" w:hAnsi="Times New Roman" w:eastAsia="方正黑体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</w:rPr>
        <w:t>二、适用范围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460" w:lineRule="exact"/>
        <w:ind w:firstLine="640"/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工程建设许可和施工许可阶段申请办理《建设工程规划许可证》、《建设工程施工许可证》的</w:t>
      </w:r>
      <w:r>
        <w:rPr>
          <w:rFonts w:hint="eastAsia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埇桥区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范围内带方案出让土地类工程建设项目。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rPr>
          <w:rFonts w:hint="default" w:ascii="Times New Roman" w:hAnsi="Times New Roman" w:eastAsia="方正黑体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</w:rPr>
        <w:t>三、受理机构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460" w:lineRule="exact"/>
        <w:ind w:firstLine="640"/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牵头部门：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宿州市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埇桥区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自然资源和规划局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、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宿州市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埇桥区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住房和城乡建设局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460" w:lineRule="exact"/>
        <w:ind w:firstLine="640"/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参与部门：</w:t>
      </w:r>
      <w:r>
        <w:rPr>
          <w:rFonts w:hint="eastAsia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区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发改委、</w:t>
      </w:r>
      <w:r>
        <w:rPr>
          <w:rFonts w:hint="eastAsia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区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人防办、</w:t>
      </w:r>
      <w:r>
        <w:rPr>
          <w:rFonts w:hint="eastAsia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区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城管局、</w:t>
      </w:r>
      <w:r>
        <w:rPr>
          <w:rFonts w:hint="eastAsia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区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气象局、</w:t>
      </w:r>
      <w:r>
        <w:rPr>
          <w:rFonts w:hint="eastAsia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区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应急局等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rPr>
          <w:rFonts w:hint="default" w:ascii="Times New Roman" w:hAnsi="Times New Roman" w:eastAsia="方正黑体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</w:rPr>
        <w:t>四、受理窗口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宿州市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义乌商贸城展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3馆2楼埇桥区政务服务中心2楼C1区工程建设项目综合服务窗口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地址：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宿州市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义乌商贸城展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3馆2楼埇桥区政务服务中心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rPr>
          <w:rFonts w:hint="default" w:ascii="Times New Roman" w:hAnsi="Times New Roman" w:eastAsia="方正黑体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五、</w:t>
      </w:r>
      <w:r>
        <w:rPr>
          <w:rFonts w:hint="default" w:ascii="Times New Roman" w:hAnsi="Times New Roman" w:eastAsia="方正黑体简体" w:cs="Times New Roman"/>
          <w:kern w:val="0"/>
          <w:sz w:val="30"/>
          <w:szCs w:val="30"/>
        </w:rPr>
        <w:t>申请条件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460" w:lineRule="exact"/>
        <w:ind w:firstLine="640"/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（一）建设工程规划许可证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460" w:lineRule="exact"/>
        <w:ind w:firstLine="640"/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依照《中华人民共和国城乡规划法》和《安徽省城乡规划条例》规定需要申请核发建设工程规划许可证的项目。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460" w:lineRule="exact"/>
        <w:ind w:firstLine="640"/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（二）施工图设计文件审查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460" w:lineRule="exact"/>
        <w:ind w:firstLine="640"/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编制完成全套施工图设计文件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460" w:lineRule="exact"/>
        <w:ind w:firstLine="640"/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（三）建筑工程施工许可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460" w:lineRule="exact"/>
        <w:ind w:firstLine="640"/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1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依法应当办理工程规划许可证的，已经取得工程规划许可证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460" w:lineRule="exact"/>
        <w:ind w:firstLine="640"/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2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需要拆迁的，拆迁进度符合施工要求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460" w:lineRule="exact"/>
        <w:ind w:firstLine="640"/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3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已经确定建筑施工企业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460" w:lineRule="exact"/>
        <w:ind w:firstLine="640"/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4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有满足施工需要的资金安排、施工图纸及技术资料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460" w:lineRule="exact"/>
        <w:ind w:firstLine="640"/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5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有保证工程质量和安全的具体措施，现场具备开工条件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val="en-US" w:eastAsia="zh-CN"/>
        </w:rPr>
        <w:t>六、</w:t>
      </w: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申报材料</w:t>
      </w:r>
    </w:p>
    <w:tbl>
      <w:tblPr>
        <w:tblStyle w:val="2"/>
        <w:tblpPr w:leftFromText="180" w:rightFromText="180" w:vertAnchor="text" w:horzAnchor="page" w:tblpX="975" w:tblpY="443"/>
        <w:tblOverlap w:val="never"/>
        <w:tblW w:w="1023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2"/>
        <w:gridCol w:w="5233"/>
        <w:gridCol w:w="1025"/>
        <w:gridCol w:w="1050"/>
        <w:gridCol w:w="15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13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事项名称</w:t>
            </w:r>
          </w:p>
        </w:tc>
        <w:tc>
          <w:tcPr>
            <w:tcW w:w="523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材料名称</w:t>
            </w:r>
          </w:p>
        </w:tc>
        <w:tc>
          <w:tcPr>
            <w:tcW w:w="207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材料类型及要求</w:t>
            </w:r>
          </w:p>
        </w:tc>
        <w:tc>
          <w:tcPr>
            <w:tcW w:w="153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13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z w:val="30"/>
                <w:szCs w:val="30"/>
              </w:rPr>
            </w:pPr>
          </w:p>
        </w:tc>
        <w:tc>
          <w:tcPr>
            <w:tcW w:w="52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z w:val="30"/>
                <w:szCs w:val="30"/>
              </w:rPr>
            </w:pP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电子件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纸质件</w:t>
            </w:r>
          </w:p>
        </w:tc>
        <w:tc>
          <w:tcPr>
            <w:tcW w:w="153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建设工程规划类许可证核发</w:t>
            </w:r>
          </w:p>
        </w:tc>
        <w:tc>
          <w:tcPr>
            <w:tcW w:w="523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工程建设许可阶段报建图纸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✓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共享材料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人防工程建设质量监督</w:t>
            </w:r>
          </w:p>
        </w:tc>
        <w:tc>
          <w:tcPr>
            <w:tcW w:w="523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勘察、设计、监理的委托合同以及施工承包合同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✓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非必要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23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参建各方从业人员的资格证书、岗位证书和任命文件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✓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23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工程项目质量人员从业资格审查表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✓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施工图设计文件审查（含人防、消防、技防等）</w:t>
            </w:r>
          </w:p>
        </w:tc>
        <w:tc>
          <w:tcPr>
            <w:tcW w:w="523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建设工程施工图纸设计文件（含消防、人防）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✓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23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建设工程规划许可证或规划主管部门批准的临时性建筑证明文件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✓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共享材料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23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建设工程消防设计审核申报表（非必要，特殊工程消防审查需要）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  <w:t>✓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非必要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23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建筑工程用地批准手续（获取）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✓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共享材料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23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建设工程规划许可证（共享）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✓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共享材料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23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施工图设计文件审查合格书 （共享）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✓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共享材料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23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US" w:eastAsia="zh-CN"/>
              </w:rPr>
              <w:t>施工许可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承诺书                                           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✓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23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lang w:eastAsia="zh-CN"/>
              </w:rPr>
              <w:t>质量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安全监督手续材料                             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✓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23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已确定施工企业的有效材料（招标发包的工程项目还需提供中标通知书） 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✓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</w:tbl>
    <w:tbl>
      <w:tblPr>
        <w:tblStyle w:val="3"/>
        <w:tblpPr w:leftFromText="180" w:rightFromText="180" w:vertAnchor="text" w:tblpX="11609" w:tblpY="-12912"/>
        <w:tblOverlap w:val="never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黑体" w:cs="Times New Roman"/>
                <w:kern w:val="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rPr>
          <w:rFonts w:hint="default" w:ascii="Times New Roman" w:hAnsi="Times New Roman" w:eastAsia="黑体" w:cs="Times New Roman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七、承诺时间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460" w:lineRule="exact"/>
        <w:ind w:firstLine="640"/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1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工程建设许可和施工许可阶段审批总时限1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个工作日。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460" w:lineRule="exact"/>
        <w:ind w:firstLine="640"/>
        <w:rPr>
          <w:rFonts w:hint="default"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2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审批事项时限：建设工程规划许可证核发5个工作日，施工图设计文件审查1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个工作日（一般工程不超过7个工作日），施工许可证核发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个工作日；其他审批事项在工程建设许可和施工许可阶段并行或并联办理。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八、投诉监督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460" w:lineRule="exact"/>
        <w:ind w:firstLine="640"/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1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.</w:t>
      </w:r>
      <w:r>
        <w:rPr>
          <w:rFonts w:hint="eastAsia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埇桥区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政务服务管理局，电话：0557-</w:t>
      </w:r>
      <w:r>
        <w:rPr>
          <w:rFonts w:hint="eastAsia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val="en-US" w:eastAsia="zh-CN"/>
        </w:rPr>
        <w:t>3045502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460" w:lineRule="exact"/>
        <w:ind w:firstLine="640"/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2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.</w:t>
      </w:r>
      <w:r>
        <w:rPr>
          <w:rFonts w:hint="eastAsia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埇桥区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自然资源和规划局，电话：0557-</w:t>
      </w:r>
      <w:r>
        <w:rPr>
          <w:rFonts w:hint="eastAsia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val="en-US" w:eastAsia="zh-CN"/>
        </w:rPr>
        <w:t>3030500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460" w:lineRule="exact"/>
        <w:ind w:firstLine="640"/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3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.</w:t>
      </w:r>
      <w:r>
        <w:rPr>
          <w:rFonts w:hint="eastAsia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埇桥区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住房和城乡建设局，电话：0557-</w:t>
      </w:r>
      <w:r>
        <w:rPr>
          <w:rFonts w:hint="eastAsia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val="en-US" w:eastAsia="zh-CN"/>
        </w:rPr>
        <w:t>3025750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九、进度查询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460" w:lineRule="exact"/>
        <w:ind w:firstLine="640"/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1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.</w:t>
      </w:r>
      <w:r>
        <w:rPr>
          <w:rFonts w:hint="eastAsia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埇桥区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行政服务中心工程建设项目审批综合服务窗口查询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460" w:lineRule="exact"/>
        <w:ind w:firstLine="640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2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 xml:space="preserve">可登陆安徽政务服务网宿州分厅工程建设项目专栏在线查询  </w:t>
      </w:r>
      <w:r>
        <w:rPr>
          <w:rFonts w:hint="default" w:ascii="Times New Roman" w:hAnsi="Times New Roman" w:eastAsia="仿宋" w:cs="Times New Roman"/>
          <w:color w:val="333333"/>
          <w:kern w:val="0"/>
          <w:sz w:val="30"/>
          <w:szCs w:val="30"/>
          <w:shd w:val="clear" w:color="auto" w:fill="FFFFFF"/>
        </w:rPr>
        <w:t xml:space="preserve">          </w:t>
      </w: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</w:rPr>
        <w:t xml:space="preserve">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十、收费及标准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460" w:lineRule="exact"/>
        <w:ind w:firstLine="640"/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1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城市基础建设配套费:住宅 50 元/㎡；非住宅 70 元/㎡（不 包括工业厂房、仓储用房）；工业厂房、仓储用房均按住宅收 费标准 56%征收；地下建筑 40 元/㎡。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减免政策：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工业厂房、仓储用房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具体按属地减免政策进行减免。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460" w:lineRule="exact"/>
        <w:ind w:firstLine="640"/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 xml:space="preserve"> 收费依据：宿政发【2011】24 号、皖价房【2005】293 号 文件、2015 年宿州市人民政府专题会议纪要（第 71 号）。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460" w:lineRule="exact"/>
        <w:ind w:firstLine="640"/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2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施工图设计文件审查：市场自主调节价格（参照皖价服[2012]201号文）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十一、结果文书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460" w:lineRule="exact"/>
        <w:ind w:firstLine="640"/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1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建设工程规划许可证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460" w:lineRule="exact"/>
        <w:ind w:firstLine="640"/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2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施工图审查合格书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460" w:lineRule="exact"/>
        <w:ind w:firstLine="640"/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3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建筑工程施工许可证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460" w:lineRule="exact"/>
        <w:ind w:firstLine="640"/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4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建设工程质量监督申请备案表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460" w:lineRule="exact"/>
        <w:ind w:firstLine="640"/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5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建设工程安全监督备案表等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十二、办理结果送达方式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460" w:lineRule="exact"/>
        <w:ind w:firstLine="640"/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埇桥区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工程建设项目审批综合服务窗口领取、邮件送达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、宿州市工程建设项目审批管理系统推送。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Y2I1NGQwZjk0MTI5ZTRlYjJiYzVjNmNhZmVhNWUifQ=="/>
  </w:docVars>
  <w:rsids>
    <w:rsidRoot w:val="36461C5E"/>
    <w:rsid w:val="003B6EFC"/>
    <w:rsid w:val="00936DC9"/>
    <w:rsid w:val="00BF0AC5"/>
    <w:rsid w:val="065044CC"/>
    <w:rsid w:val="1155263E"/>
    <w:rsid w:val="11D6698E"/>
    <w:rsid w:val="268C624C"/>
    <w:rsid w:val="36461C5E"/>
    <w:rsid w:val="377C55D5"/>
    <w:rsid w:val="3E944D6A"/>
    <w:rsid w:val="431C6C08"/>
    <w:rsid w:val="53D55AB7"/>
    <w:rsid w:val="5CD54F09"/>
    <w:rsid w:val="670061F2"/>
    <w:rsid w:val="7117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ormal_0_36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1619</Words>
  <Characters>1707</Characters>
  <Lines>23</Lines>
  <Paragraphs>6</Paragraphs>
  <TotalTime>0</TotalTime>
  <ScaleCrop>false</ScaleCrop>
  <LinksUpToDate>false</LinksUpToDate>
  <CharactersWithSpaces>1907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2021-04-25T01:47:00Z</dcterms:created>
  <dc:creator>落寞惊梦</dc:creator>
  <cp:lastModifiedBy>37.5℃</cp:lastModifiedBy>
  <dcterms:modified xsi:type="dcterms:W3CDTF">2023-03-17T03:12:44Z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558B1B2ABC9E499AB6EEA2A3FCC77A2E</vt:lpwstr>
  </property>
  <property fmtid="{D5CDD505-2E9C-101B-9397-08002B2CF9AE}" pid="4" name="KSOSaveFontToCloudKey">
    <vt:lpwstr>207388848_cloud</vt:lpwstr>
  </property>
</Properties>
</file>