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工程建设项目并联审批办事指南（7-1）</w:t>
      </w:r>
    </w:p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立项用地规划许可阶段</w:t>
      </w:r>
    </w:p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（小型社会投资低风险类）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1.企业投资项目备案；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2.建设用地规划许可；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申请办理立项用地许可阶段相关事项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宿州市区范围内小型低风险工程建设项目（总建筑面积不大于5000平方，建筑高度不大于24米，功能单一、技术要求简单的普通仓库和厂房，生产、储存和使用易燃、易爆、有毒、有害物品或危险品的仓库、厂房等项目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参与部门：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发改委等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五</w:t>
      </w: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5.由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及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属于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建设用地规划许可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项目备案表(共享）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项目备案申请文件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pacing w:val="-10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立项用地许可阶段审批时限：</w:t>
      </w:r>
      <w:r>
        <w:rPr>
          <w:rFonts w:hint="eastAsia" w:ascii="方正仿宋简体" w:hAnsi="方正仿宋简体" w:eastAsia="方正仿宋简体" w:cs="方正仿宋简体"/>
          <w:spacing w:val="-10"/>
          <w:kern w:val="0"/>
          <w:sz w:val="30"/>
          <w:szCs w:val="30"/>
        </w:rPr>
        <w:t>阶段审批时限</w:t>
      </w:r>
      <w:r>
        <w:rPr>
          <w:rFonts w:hint="eastAsia" w:ascii="方正仿宋简体" w:hAnsi="方正仿宋简体" w:eastAsia="方正仿宋简体" w:cs="方正仿宋简体"/>
          <w:spacing w:val="-1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333333"/>
          <w:spacing w:val="-10"/>
          <w:kern w:val="0"/>
          <w:sz w:val="30"/>
          <w:szCs w:val="30"/>
          <w:shd w:val="clear" w:color="auto" w:fill="FFFFFF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政务服务管理局，电话：0557-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自然资源和规划局，电话：0557-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3099559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 xml:space="preserve">1.项目备案文件；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2.建设用地规划许可证。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048FD"/>
    <w:rsid w:val="001F32AB"/>
    <w:rsid w:val="001F5F08"/>
    <w:rsid w:val="003331F1"/>
    <w:rsid w:val="003D46C1"/>
    <w:rsid w:val="004758F0"/>
    <w:rsid w:val="004B1827"/>
    <w:rsid w:val="004D6F7F"/>
    <w:rsid w:val="005D4987"/>
    <w:rsid w:val="005E2C0D"/>
    <w:rsid w:val="005F0F4F"/>
    <w:rsid w:val="00681500"/>
    <w:rsid w:val="006E5555"/>
    <w:rsid w:val="0073088A"/>
    <w:rsid w:val="007778DF"/>
    <w:rsid w:val="007E6BA5"/>
    <w:rsid w:val="007F53D3"/>
    <w:rsid w:val="008C520F"/>
    <w:rsid w:val="008E442F"/>
    <w:rsid w:val="00951995"/>
    <w:rsid w:val="009A4720"/>
    <w:rsid w:val="009A5255"/>
    <w:rsid w:val="00A1575B"/>
    <w:rsid w:val="00A92B16"/>
    <w:rsid w:val="00A92DD3"/>
    <w:rsid w:val="00BD2D02"/>
    <w:rsid w:val="00CA795C"/>
    <w:rsid w:val="00CF267B"/>
    <w:rsid w:val="00DD27FA"/>
    <w:rsid w:val="00DF13A0"/>
    <w:rsid w:val="00E82274"/>
    <w:rsid w:val="00F61ECD"/>
    <w:rsid w:val="00F8412C"/>
    <w:rsid w:val="00FB2CA6"/>
    <w:rsid w:val="00FF4CAD"/>
    <w:rsid w:val="02F269EC"/>
    <w:rsid w:val="04ED5436"/>
    <w:rsid w:val="0B816511"/>
    <w:rsid w:val="0F5511D0"/>
    <w:rsid w:val="10632ACA"/>
    <w:rsid w:val="16945B38"/>
    <w:rsid w:val="17D4175B"/>
    <w:rsid w:val="1C3C0A9E"/>
    <w:rsid w:val="304D2996"/>
    <w:rsid w:val="31C71D00"/>
    <w:rsid w:val="31F257AA"/>
    <w:rsid w:val="3B114311"/>
    <w:rsid w:val="3BF00DAE"/>
    <w:rsid w:val="49AC13F7"/>
    <w:rsid w:val="4A1A0EBA"/>
    <w:rsid w:val="4CE4331C"/>
    <w:rsid w:val="6CEA254B"/>
    <w:rsid w:val="720A0AC5"/>
    <w:rsid w:val="76DE4A41"/>
    <w:rsid w:val="7C6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969</Characters>
  <Lines>15</Lines>
  <Paragraphs>4</Paragraphs>
  <TotalTime>0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