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219" w:lineRule="auto"/>
        <w:ind w:left="1362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3.行政处罚类流程图</w:t>
      </w:r>
    </w:p>
    <w:p>
      <w:pPr>
        <w:spacing w:before="256" w:line="220" w:lineRule="auto"/>
        <w:ind w:left="49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发现违法行为线索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5" w:line="219" w:lineRule="auto"/>
        <w:ind w:left="53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初步核查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0" w:lineRule="auto"/>
        <w:ind w:left="7080"/>
        <w:rPr>
          <w:rFonts w:ascii="宋体" w:hAnsi="宋体" w:eastAsia="宋体" w:cs="宋体"/>
          <w:sz w:val="20"/>
          <w:szCs w:val="20"/>
        </w:rPr>
      </w:pPr>
      <w:r>
        <w:pict>
          <v:shape id="_x0000_s1026" o:spid="_x0000_s1026" o:spt="202" type="#_x0000_t202" style="position:absolute;left:0pt;margin-left:232.5pt;margin-top:1.75pt;height:13.95pt;width:21.6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立案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20"/>
          <w:szCs w:val="20"/>
        </w:rPr>
        <w:t>不予立案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5" w:line="221" w:lineRule="auto"/>
        <w:ind w:left="53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调查取证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218" w:lineRule="auto"/>
        <w:ind w:left="4509"/>
        <w:rPr>
          <w:rFonts w:ascii="宋体" w:hAnsi="宋体" w:eastAsia="宋体" w:cs="宋体"/>
          <w:spacing w:val="8"/>
          <w:position w:val="7"/>
          <w:sz w:val="20"/>
          <w:szCs w:val="20"/>
        </w:rPr>
      </w:pPr>
      <w:r>
        <w:pict>
          <v:shape id="_x0000_s1027" o:spid="_x0000_s1027" o:spt="202" type="#_x0000_t202" style="position:absolute;left:0pt;margin-left:136.45pt;margin-top:4.3pt;height:13.9pt;width:62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中止案件调查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74.95pt;margin-top:5.45pt;height:14pt;width:43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终止调查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position w:val="7"/>
          <w:sz w:val="20"/>
          <w:szCs w:val="20"/>
        </w:rPr>
        <w:t>制作案件调查终结报告</w:t>
      </w:r>
    </w:p>
    <w:p>
      <w:pPr>
        <w:spacing w:line="218" w:lineRule="auto"/>
        <w:ind w:left="4509"/>
        <w:rPr>
          <w:rFonts w:ascii="宋体" w:hAnsi="宋体" w:eastAsia="宋体" w:cs="宋体"/>
          <w:spacing w:val="8"/>
          <w:position w:val="7"/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6" w:line="219" w:lineRule="auto"/>
        <w:ind w:left="12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中止调查的原因消除后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66" w:line="219" w:lineRule="auto"/>
        <w:ind w:left="1060"/>
        <w:rPr>
          <w:rFonts w:ascii="宋体" w:hAnsi="宋体" w:eastAsia="宋体" w:cs="宋体"/>
          <w:sz w:val="20"/>
          <w:szCs w:val="20"/>
        </w:rPr>
      </w:pPr>
      <w:r>
        <w:pict>
          <v:shape id="_x0000_s1029" o:spid="_x0000_s1029" o:spt="202" type="#_x0000_t202" style="position:absolute;left:0pt;margin-left:324.5pt;margin-top:3.8pt;height:13.9pt;width:217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建议给予其他行政处理的，部门负责人审查决定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20"/>
          <w:szCs w:val="20"/>
        </w:rPr>
        <w:t>拟给予行政处罚的部门负责人批准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66" w:line="222" w:lineRule="auto"/>
        <w:ind w:left="1060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o:spt="202" type="#_x0000_t202" style="position:absolute;left:0pt;margin-left:370.5pt;margin-top:19.75pt;height:13.85pt;width:135.9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属于听证范围的，告知听证权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20"/>
          <w:szCs w:val="20"/>
        </w:rPr>
        <w:t>告知当事人拟作出行政处罚的事实、理由及依据，</w:t>
      </w:r>
    </w:p>
    <w:p>
      <w:pPr>
        <w:spacing w:line="218" w:lineRule="auto"/>
        <w:ind w:left="10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以及享有陈述、申辩权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5" w:line="219" w:lineRule="auto"/>
        <w:ind w:left="1060"/>
        <w:rPr>
          <w:rFonts w:ascii="宋体" w:hAnsi="宋体" w:eastAsia="宋体" w:cs="宋体"/>
          <w:sz w:val="20"/>
          <w:szCs w:val="20"/>
        </w:rPr>
      </w:pPr>
      <w:r>
        <w:pict>
          <v:shape id="_x0000_s1031" o:spid="_x0000_s1031" o:spt="202" type="#_x0000_t202" style="position:absolute;left:0pt;margin-left:292pt;margin-top:9.2pt;height:13.85pt;width:257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当事人要求听证的，依照行政处罚法规定的程序举行听证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20"/>
          <w:szCs w:val="20"/>
        </w:rPr>
        <w:t>对当事人提出的事实、理由和证据进行复核</w:t>
      </w:r>
    </w:p>
    <w:p>
      <w:pPr>
        <w:spacing w:before="65" w:line="301" w:lineRule="exact"/>
        <w:rPr>
          <w:rFonts w:ascii="宋体" w:hAnsi="宋体" w:eastAsia="宋体" w:cs="宋体"/>
          <w:sz w:val="20"/>
          <w:szCs w:val="20"/>
        </w:rPr>
      </w:pPr>
    </w:p>
    <w:p>
      <w:pPr>
        <w:spacing w:before="66" w:line="219" w:lineRule="auto"/>
        <w:ind w:firstLine="3604" w:firstLineChars="1700"/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连</w:t>
      </w:r>
      <w:r>
        <w:rPr>
          <w:rFonts w:ascii="宋体" w:hAnsi="宋体" w:eastAsia="宋体" w:cs="宋体"/>
          <w:spacing w:val="6"/>
          <w:sz w:val="20"/>
          <w:szCs w:val="20"/>
        </w:rPr>
        <w:t>同案件材料交审核机构审核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；</w:t>
      </w:r>
    </w:p>
    <w:p>
      <w:pPr>
        <w:spacing w:before="66" w:line="219" w:lineRule="auto"/>
        <w:ind w:firstLine="2964" w:firstLineChars="1300"/>
        <w:rPr>
          <w:rFonts w:ascii="宋体" w:hAnsi="宋体" w:eastAsia="宋体" w:cs="宋体"/>
          <w:spacing w:val="14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部门负责人审查(重大、复杂案件，集体讨论决定)</w:t>
      </w:r>
    </w:p>
    <w:p>
      <w:pPr>
        <w:spacing w:before="66" w:line="219" w:lineRule="auto"/>
        <w:ind w:firstLine="2964" w:firstLineChars="1300"/>
        <w:rPr>
          <w:rFonts w:ascii="宋体" w:hAnsi="宋体" w:eastAsia="宋体" w:cs="宋体"/>
          <w:spacing w:val="14"/>
          <w:sz w:val="20"/>
          <w:szCs w:val="20"/>
        </w:rPr>
      </w:pPr>
    </w:p>
    <w:p>
      <w:pPr>
        <w:spacing w:before="65" w:line="219" w:lineRule="auto"/>
        <w:ind w:left="5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责令当事人限期退还骗取的医疗保障基金</w:t>
      </w:r>
    </w:p>
    <w:p/>
    <w:p/>
    <w:p/>
    <w:p>
      <w:pPr>
        <w:spacing w:line="26" w:lineRule="exact"/>
      </w:pPr>
    </w:p>
    <w:p>
      <w:pPr>
        <w:sectPr>
          <w:headerReference r:id="rId5" w:type="default"/>
          <w:footerReference r:id="rId6" w:type="default"/>
          <w:pgSz w:w="11900" w:h="16840"/>
          <w:pgMar w:top="590" w:right="89" w:bottom="1610" w:left="29" w:header="579" w:footer="1411" w:gutter="0"/>
          <w:cols w:equalWidth="0" w:num="1">
            <w:col w:w="11781"/>
          </w:cols>
        </w:sectPr>
      </w:pPr>
    </w:p>
    <w:p>
      <w:pPr>
        <w:spacing w:before="63" w:line="229" w:lineRule="auto"/>
        <w:ind w:left="60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不得给予行政处罚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不予行政处罚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3" w:line="227" w:lineRule="auto"/>
        <w:ind w:right="326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2"/>
          <w:sz w:val="20"/>
          <w:szCs w:val="20"/>
        </w:rPr>
        <w:t>作出行政处罚决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定，制作处罚决定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2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移送其他行政管理部门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移送司法机关</w:t>
      </w:r>
    </w:p>
    <w:p>
      <w:pPr>
        <w:sectPr>
          <w:type w:val="continuous"/>
          <w:pgSz w:w="11900" w:h="16840"/>
          <w:pgMar w:top="590" w:right="89" w:bottom="1610" w:left="29" w:header="579" w:footer="1411" w:gutter="0"/>
          <w:cols w:equalWidth="0" w:num="4">
            <w:col w:w="4571" w:space="100"/>
            <w:col w:w="2030" w:space="100"/>
            <w:col w:w="2420" w:space="100"/>
            <w:col w:w="2461"/>
          </w:cols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66" w:line="219" w:lineRule="auto"/>
        <w:ind w:left="50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处罚决定书送达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66" w:line="219" w:lineRule="auto"/>
        <w:ind w:left="56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执行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7" w:lineRule="auto"/>
        <w:ind w:left="53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结案，归档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position w:val="-1"/>
          <w:sz w:val="20"/>
          <w:szCs w:val="20"/>
        </w:rPr>
        <w:t>依法公开</w:t>
      </w:r>
    </w:p>
    <w:p>
      <w:pPr>
        <w:spacing w:before="23" w:line="219" w:lineRule="auto"/>
        <w:ind w:left="136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8"/>
          <w:sz w:val="20"/>
          <w:szCs w:val="20"/>
        </w:rPr>
        <w:t>承办机构：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区医保基金安全监管中心</w:t>
      </w:r>
    </w:p>
    <w:p>
      <w:pPr>
        <w:spacing w:before="204" w:line="219" w:lineRule="auto"/>
        <w:ind w:left="13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服务电话：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39</w:t>
      </w:r>
      <w:r>
        <w:rPr>
          <w:rFonts w:hint="eastAsia" w:ascii="宋体" w:hAnsi="宋体" w:eastAsia="宋体" w:cs="宋体"/>
          <w:spacing w:val="-10"/>
          <w:sz w:val="20"/>
          <w:szCs w:val="20"/>
          <w:lang w:val="en-US" w:eastAsia="zh-CN"/>
        </w:rPr>
        <w:t>20</w:t>
      </w:r>
      <w:r>
        <w:rPr>
          <w:rFonts w:ascii="宋体" w:hAnsi="宋体" w:eastAsia="宋体" w:cs="宋体"/>
          <w:spacing w:val="-10"/>
          <w:sz w:val="20"/>
          <w:szCs w:val="20"/>
        </w:rPr>
        <w:t>110</w:t>
      </w:r>
    </w:p>
    <w:p>
      <w:pPr>
        <w:spacing w:before="204" w:line="184" w:lineRule="auto"/>
        <w:ind w:left="136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6"/>
          <w:sz w:val="20"/>
          <w:szCs w:val="20"/>
        </w:rPr>
        <w:t>监督电话：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3969076</w:t>
      </w:r>
      <w:bookmarkStart w:id="0" w:name="_GoBack"/>
      <w:bookmarkEnd w:id="0"/>
    </w:p>
    <w:sectPr>
      <w:type w:val="continuous"/>
      <w:pgSz w:w="11900" w:h="16840"/>
      <w:pgMar w:top="590" w:right="89" w:bottom="1610" w:left="29" w:header="579" w:footer="1411" w:gutter="0"/>
      <w:cols w:equalWidth="0" w:num="1">
        <w:col w:w="117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13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6"/>
        <w:w w:val="98"/>
        <w:sz w:val="20"/>
        <w:szCs w:val="20"/>
      </w:rPr>
      <w:t>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5" w:lineRule="auto"/>
      <w:rPr>
        <w:rFonts w:ascii="Arial"/>
        <w:sz w:val="2"/>
      </w:rPr>
    </w:pPr>
    <w:r>
      <w:pict>
        <v:rect id="_x0000_s2049" o:spid="_x0000_s2049" o:spt="1" style="position:absolute;left:0pt;margin-left:1.45pt;margin-top:28.95pt;height:0.55pt;width:589.05pt;mso-position-horizontal-relative:page;mso-position-vertical-relative:page;z-index:251659264;mso-width-relative:page;mso-height-relative:page;" fillcolor="#008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202565</wp:posOffset>
          </wp:positionH>
          <wp:positionV relativeFrom="page">
            <wp:posOffset>469265</wp:posOffset>
          </wp:positionV>
          <wp:extent cx="7016750" cy="837565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39" cy="8375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wZGFmMTE4MmZhYWE1NmQ5NmY1NGZjMzIyODI1OGIifQ=="/>
  </w:docVars>
  <w:rsids>
    <w:rsidRoot w:val="00000000"/>
    <w:rsid w:val="199B633F"/>
    <w:rsid w:val="69E53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275</Characters>
  <TotalTime>16</TotalTime>
  <ScaleCrop>false</ScaleCrop>
  <LinksUpToDate>false</LinksUpToDate>
  <CharactersWithSpaces>309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2022-12-29T11:20:00Z</dcterms:created>
  <dc:creator>Kingsoft-PDF</dc:creator>
  <cp:lastModifiedBy>你好特别</cp:lastModifiedBy>
  <dcterms:modified xsi:type="dcterms:W3CDTF">2023-07-26T03:29:14Z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2022-12-29T11:20:10Z</vt:filetime>
  </property>
  <property fmtid="{D5CDD505-2E9C-101B-9397-08002B2CF9AE}" pid="4" name="UsrData">
    <vt:lpwstr>63ad075f0c8b2900158fe0e0</vt:lpwstr>
  </property>
  <property fmtid="{D5CDD505-2E9C-101B-9397-08002B2CF9AE}" pid="5" name="KSOProductBuildVer">
    <vt:lpwstr>2052-12.1.0.15120</vt:lpwstr>
  </property>
  <property fmtid="{D5CDD505-2E9C-101B-9397-08002B2CF9AE}" pid="6" name="ICV">
    <vt:lpwstr>A4EDFFA24CC04C098D467798E6F71747_13</vt:lpwstr>
  </property>
</Properties>
</file>