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/>
          <w:sz w:val="36"/>
          <w:szCs w:val="36"/>
        </w:rPr>
      </w:pPr>
    </w:p>
    <w:p>
      <w:pPr>
        <w:spacing w:line="500" w:lineRule="exact"/>
        <w:jc w:val="center"/>
        <w:rPr>
          <w:rFonts w:hint="eastAsia" w:ascii="宋体" w:hAnsi="宋体"/>
          <w:sz w:val="36"/>
          <w:szCs w:val="36"/>
        </w:rPr>
      </w:pPr>
    </w:p>
    <w:p>
      <w:pPr>
        <w:spacing w:line="500" w:lineRule="exact"/>
        <w:jc w:val="center"/>
        <w:rPr>
          <w:rFonts w:hint="eastAsia" w:ascii="宋体" w:hAnsi="宋体"/>
          <w:sz w:val="36"/>
          <w:szCs w:val="36"/>
        </w:rPr>
      </w:pPr>
      <w:bookmarkStart w:id="0" w:name="_GoBack"/>
      <w:bookmarkEnd w:id="0"/>
    </w:p>
    <w:p>
      <w:pPr>
        <w:spacing w:line="500" w:lineRule="exact"/>
        <w:jc w:val="center"/>
        <w:rPr>
          <w:rFonts w:hint="eastAsia" w:ascii="宋体" w:hAnsi="宋体"/>
          <w:sz w:val="36"/>
          <w:szCs w:val="36"/>
        </w:rPr>
      </w:pPr>
    </w:p>
    <w:p>
      <w:pPr>
        <w:spacing w:line="500" w:lineRule="exact"/>
        <w:jc w:val="both"/>
        <w:rPr>
          <w:rFonts w:hint="eastAsia" w:ascii="宋体" w:hAnsi="宋体"/>
          <w:sz w:val="36"/>
          <w:szCs w:val="36"/>
        </w:rPr>
      </w:pPr>
    </w:p>
    <w:p>
      <w:pPr>
        <w:spacing w:line="500" w:lineRule="exact"/>
        <w:jc w:val="center"/>
        <w:rPr>
          <w:rFonts w:hint="eastAsia"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</w:rPr>
        <w:t>栏杆政〔20</w:t>
      </w:r>
      <w:r>
        <w:rPr>
          <w:rFonts w:hint="eastAsia" w:ascii="仿宋_GB2312" w:hAnsi="宋体" w:eastAsia="仿宋_GB2312"/>
          <w:sz w:val="36"/>
          <w:szCs w:val="36"/>
          <w:lang w:val="en-US" w:eastAsia="zh-CN"/>
        </w:rPr>
        <w:t>23</w:t>
      </w:r>
      <w:r>
        <w:rPr>
          <w:rFonts w:hint="eastAsia" w:ascii="仿宋_GB2312" w:hAnsi="宋体" w:eastAsia="仿宋_GB2312"/>
          <w:sz w:val="36"/>
          <w:szCs w:val="36"/>
        </w:rPr>
        <w:t>〕</w:t>
      </w:r>
      <w:r>
        <w:rPr>
          <w:rFonts w:hint="eastAsia" w:ascii="仿宋_GB2312" w:hAnsi="宋体"/>
          <w:sz w:val="36"/>
          <w:szCs w:val="36"/>
          <w:lang w:val="en-US" w:eastAsia="zh-CN"/>
        </w:rPr>
        <w:t>10</w:t>
      </w:r>
      <w:r>
        <w:rPr>
          <w:rFonts w:hint="eastAsia" w:ascii="仿宋_GB2312" w:hAnsi="宋体" w:eastAsia="仿宋_GB2312"/>
          <w:sz w:val="36"/>
          <w:szCs w:val="36"/>
        </w:rPr>
        <w:t>号</w:t>
      </w:r>
    </w:p>
    <w:p>
      <w:pPr>
        <w:pStyle w:val="10"/>
        <w:ind w:left="0" w:leftChars="0" w:firstLine="0" w:firstLineChars="0"/>
        <w:rPr>
          <w:rFonts w:hint="eastAsia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关于印发《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栏杆镇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五经普工作包保督导方案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》的通知</w:t>
      </w:r>
    </w:p>
    <w:p>
      <w:pPr>
        <w:rPr>
          <w:rFonts w:hint="eastAsia" w:ascii="方正仿宋简体" w:hAnsi="方正仿宋简体" w:eastAsia="方正仿宋简体" w:cs="方正仿宋简体"/>
          <w:lang w:eastAsia="zh-CN"/>
        </w:rPr>
      </w:pPr>
    </w:p>
    <w:p>
      <w:pPr>
        <w:bidi w:val="0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各</w:t>
      </w:r>
      <w:r>
        <w:rPr>
          <w:rFonts w:hint="eastAsia"/>
          <w:lang w:val="en-US" w:eastAsia="zh-CN"/>
        </w:rPr>
        <w:t>村、镇直部门</w:t>
      </w:r>
      <w:r>
        <w:rPr>
          <w:rFonts w:hint="eastAsia"/>
          <w:lang w:eastAsia="zh-CN"/>
        </w:rPr>
        <w:t>：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现将《</w:t>
      </w:r>
      <w:r>
        <w:rPr>
          <w:rFonts w:hint="eastAsia"/>
          <w:lang w:val="en-US" w:eastAsia="zh-CN"/>
        </w:rPr>
        <w:t>栏杆镇</w:t>
      </w:r>
      <w:r>
        <w:rPr>
          <w:rFonts w:hint="eastAsia"/>
          <w:lang w:eastAsia="zh-CN"/>
        </w:rPr>
        <w:t>五经普工作包保督导方案》印发给你们，请结合工作实际，认真贯彻执行，并参照</w:t>
      </w:r>
      <w:r>
        <w:rPr>
          <w:rFonts w:hint="eastAsia"/>
          <w:lang w:val="en-US" w:eastAsia="zh-CN"/>
        </w:rPr>
        <w:t>镇级</w:t>
      </w:r>
      <w:r>
        <w:rPr>
          <w:rFonts w:hint="eastAsia"/>
          <w:lang w:eastAsia="zh-CN"/>
        </w:rPr>
        <w:t>包保督导方案，制定各村包保督导方案，实现包保督导全覆盖。</w:t>
      </w:r>
    </w:p>
    <w:p>
      <w:pPr>
        <w:bidi w:val="0"/>
        <w:rPr>
          <w:rFonts w:hint="eastAsia"/>
          <w:lang w:eastAsia="zh-CN"/>
        </w:rPr>
      </w:pPr>
    </w:p>
    <w:p>
      <w:pPr>
        <w:bidi w:val="0"/>
        <w:ind w:left="0" w:leftChars="0" w:firstLine="0" w:firstLineChars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宿州市</w:t>
      </w:r>
      <w:r>
        <w:rPr>
          <w:rFonts w:hint="eastAsia"/>
          <w:lang w:val="en-US" w:eastAsia="zh-CN"/>
        </w:rPr>
        <w:t>埇桥区栏杆镇</w:t>
      </w:r>
      <w:r>
        <w:rPr>
          <w:rFonts w:hint="eastAsia"/>
          <w:lang w:eastAsia="zh-CN"/>
        </w:rPr>
        <w:t>人民政府</w:t>
      </w: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 w:eastAsia="楷体_GB2312" w:cs="Times New Roman"/>
          <w:color w:val="auto"/>
          <w:kern w:val="2"/>
          <w:sz w:val="32"/>
          <w:szCs w:val="24"/>
          <w:lang w:val="en-US" w:eastAsia="zh-CN" w:bidi="ar-SA"/>
        </w:rPr>
        <w:t xml:space="preserve">                              </w:t>
      </w: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24"/>
          <w:lang w:val="en-US" w:eastAsia="zh-CN" w:bidi="ar-SA"/>
        </w:rPr>
        <w:t>2023</w:t>
      </w:r>
      <w:r>
        <w:rPr>
          <w:rFonts w:hint="eastAsia"/>
          <w:lang w:val="en-US" w:eastAsia="zh-CN"/>
        </w:rPr>
        <w:t>年</w:t>
      </w:r>
      <w:r>
        <w:rPr>
          <w:rFonts w:hint="eastAsia" w:eastAsia="楷体_GB2312" w:cs="Times New Roman"/>
          <w:color w:val="auto"/>
          <w:kern w:val="2"/>
          <w:sz w:val="32"/>
          <w:szCs w:val="24"/>
          <w:lang w:val="en-US" w:eastAsia="zh-CN" w:bidi="ar-SA"/>
        </w:rPr>
        <w:t>7</w:t>
      </w:r>
      <w:r>
        <w:rPr>
          <w:rFonts w:hint="eastAsia"/>
          <w:lang w:val="en-US" w:eastAsia="zh-CN"/>
        </w:rPr>
        <w:t>月</w:t>
      </w:r>
      <w:r>
        <w:rPr>
          <w:rFonts w:hint="eastAsia" w:eastAsia="楷体_GB2312" w:cs="Times New Roman"/>
          <w:color w:val="auto"/>
          <w:kern w:val="2"/>
          <w:sz w:val="32"/>
          <w:szCs w:val="24"/>
          <w:lang w:val="en-US" w:eastAsia="zh-CN" w:bidi="ar-SA"/>
        </w:rPr>
        <w:t>6</w:t>
      </w:r>
      <w:r>
        <w:rPr>
          <w:rFonts w:hint="eastAsia"/>
          <w:lang w:val="en-US" w:eastAsia="zh-CN"/>
        </w:rPr>
        <w:t>日</w:t>
      </w:r>
    </w:p>
    <w:p>
      <w:pPr>
        <w:pStyle w:val="1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1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10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栏杆镇党政办公室  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20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年</w:t>
      </w:r>
      <w:r>
        <w:rPr>
          <w:rFonts w:hint="eastAsia" w:ascii="仿宋_GB2312" w:hAnsi="仿宋_GB2312" w:cs="仿宋_GB2312"/>
          <w:sz w:val="30"/>
          <w:szCs w:val="30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日印发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</w:t>
      </w:r>
    </w:p>
    <w:p>
      <w:pPr>
        <w:pStyle w:val="10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footerReference r:id="rId5" w:type="default"/>
          <w:pgSz w:w="11906" w:h="16838"/>
          <w:pgMar w:top="1928" w:right="1531" w:bottom="1871" w:left="1531" w:header="851" w:footer="1587" w:gutter="0"/>
          <w:pgNumType w:fmt="decimal"/>
          <w:cols w:space="0" w:num="1"/>
          <w:rtlGutter w:val="0"/>
          <w:docGrid w:type="linesAndChars" w:linePitch="592" w:charSpace="-849"/>
        </w:sectPr>
      </w:pPr>
    </w:p>
    <w:p>
      <w:pPr>
        <w:pStyle w:val="1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栏杆镇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五经普工作包保督导方案</w:t>
      </w:r>
    </w:p>
    <w:p>
      <w:pPr>
        <w:pStyle w:val="1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为扎实有效推进五经普各项重点工作有序开展，经</w:t>
      </w:r>
      <w:r>
        <w:rPr>
          <w:rFonts w:hint="eastAsia"/>
          <w:lang w:eastAsia="zh-CN"/>
        </w:rPr>
        <w:t>镇政府研究</w:t>
      </w:r>
      <w:r>
        <w:rPr>
          <w:rFonts w:hint="eastAsia"/>
        </w:rPr>
        <w:t>决定，现就五经普工作包保督导制定本方案。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一、督导职责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镇</w:t>
      </w:r>
      <w:r>
        <w:rPr>
          <w:rFonts w:hint="eastAsia"/>
        </w:rPr>
        <w:t>领导及联系的相关</w:t>
      </w:r>
      <w:r>
        <w:rPr>
          <w:rFonts w:hint="eastAsia"/>
          <w:lang w:eastAsia="zh-CN"/>
        </w:rPr>
        <w:t>工作组</w:t>
      </w:r>
      <w:r>
        <w:rPr>
          <w:rFonts w:hint="eastAsia"/>
        </w:rPr>
        <w:t>负责人对包</w:t>
      </w:r>
      <w:r>
        <w:rPr>
          <w:rFonts w:hint="eastAsia"/>
          <w:lang w:eastAsia="zh-CN"/>
        </w:rPr>
        <w:t>村地区</w:t>
      </w:r>
      <w:r>
        <w:rPr>
          <w:rFonts w:hint="eastAsia"/>
        </w:rPr>
        <w:t>（详见附表）进行督导，主要职责包括：及时掌握包保地区普查工作进度和数据质量，对普查工作进行指导，协调解决普查工作过程中遇到的困难和问题，推动普查关键阶段和重点环节工作落实落细、执行到位、取得成效，并对工作经验进行总结和推广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二、督导内容</w:t>
      </w:r>
    </w:p>
    <w:p>
      <w:pPr>
        <w:pStyle w:val="5"/>
        <w:bidi w:val="0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（一）普查准备阶段（2023年6月底前）</w:t>
      </w:r>
    </w:p>
    <w:p>
      <w:pPr>
        <w:bidi w:val="0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1.</w:t>
      </w:r>
      <w:r>
        <w:rPr>
          <w:rFonts w:hint="eastAsia"/>
          <w:b w:val="0"/>
          <w:bCs/>
          <w:lang w:eastAsia="zh-CN"/>
        </w:rPr>
        <w:t>镇领导</w:t>
      </w:r>
      <w:r>
        <w:rPr>
          <w:rFonts w:hint="eastAsia"/>
          <w:b w:val="0"/>
          <w:bCs/>
        </w:rPr>
        <w:t>带队调研督导包保</w:t>
      </w:r>
      <w:r>
        <w:rPr>
          <w:rFonts w:hint="eastAsia"/>
          <w:b w:val="0"/>
          <w:bCs/>
          <w:lang w:eastAsia="zh-CN"/>
        </w:rPr>
        <w:t>地区</w:t>
      </w:r>
      <w:r>
        <w:rPr>
          <w:rFonts w:hint="eastAsia"/>
          <w:b w:val="0"/>
          <w:bCs/>
        </w:rPr>
        <w:t>普查机构、人员及经费落实，帮助解决问题，督促推动工作开展。</w:t>
      </w:r>
    </w:p>
    <w:p>
      <w:pPr>
        <w:bidi w:val="0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2.相关</w:t>
      </w:r>
      <w:r>
        <w:rPr>
          <w:rFonts w:hint="eastAsia"/>
          <w:b w:val="0"/>
          <w:bCs/>
          <w:lang w:eastAsia="zh-CN"/>
        </w:rPr>
        <w:t>工作组</w:t>
      </w:r>
      <w:r>
        <w:rPr>
          <w:rFonts w:hint="eastAsia"/>
          <w:b w:val="0"/>
          <w:bCs/>
        </w:rPr>
        <w:t>检查督导包保地区五经普工作情况，推动普查机构、人员及经费落实；核实“两员”选聘，以及其他五经普相关准备工作落实情况。</w:t>
      </w:r>
    </w:p>
    <w:p>
      <w:pPr>
        <w:pStyle w:val="5"/>
        <w:bidi w:val="0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（二）单位清查阶段（2023年7月至12月）</w:t>
      </w:r>
    </w:p>
    <w:p>
      <w:pPr>
        <w:bidi w:val="0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1.</w:t>
      </w:r>
      <w:r>
        <w:rPr>
          <w:rFonts w:hint="eastAsia"/>
          <w:b w:val="0"/>
          <w:bCs/>
          <w:lang w:eastAsia="zh-CN"/>
        </w:rPr>
        <w:t>镇</w:t>
      </w:r>
      <w:r>
        <w:rPr>
          <w:rFonts w:hint="eastAsia"/>
          <w:b w:val="0"/>
          <w:bCs/>
        </w:rPr>
        <w:t>领导带队调研督导包保地区单位清查工作，帮助解决问题，督促推动工作开展。</w:t>
      </w:r>
    </w:p>
    <w:p>
      <w:pPr>
        <w:bidi w:val="0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2.相关</w:t>
      </w:r>
      <w:r>
        <w:rPr>
          <w:rFonts w:hint="eastAsia"/>
          <w:b w:val="0"/>
          <w:bCs/>
          <w:lang w:eastAsia="zh-CN"/>
        </w:rPr>
        <w:t>工作组</w:t>
      </w:r>
      <w:r>
        <w:rPr>
          <w:rFonts w:hint="eastAsia"/>
          <w:b w:val="0"/>
          <w:bCs/>
        </w:rPr>
        <w:t>检查督导包保地区组织开展普查区划分及电子地图绘制、普查宣传动员、单位清查业务培训、“地毯式”单位清查及查疑补漏、单位清查数据质量评估等工作推进及完成情况。</w:t>
      </w:r>
    </w:p>
    <w:p>
      <w:pPr>
        <w:bidi w:val="0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3.相关</w:t>
      </w:r>
      <w:r>
        <w:rPr>
          <w:rFonts w:hint="eastAsia"/>
          <w:b w:val="0"/>
          <w:bCs/>
          <w:lang w:eastAsia="zh-CN"/>
        </w:rPr>
        <w:t>部门</w:t>
      </w:r>
      <w:r>
        <w:rPr>
          <w:rFonts w:hint="eastAsia"/>
          <w:b w:val="0"/>
          <w:bCs/>
        </w:rPr>
        <w:t>审核评估本专业单位清查数据质量。</w:t>
      </w:r>
    </w:p>
    <w:p>
      <w:pPr>
        <w:pStyle w:val="5"/>
        <w:bidi w:val="0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（三）普查登记阶段（2023年11月至2024年6月）</w:t>
      </w:r>
    </w:p>
    <w:p>
      <w:pPr>
        <w:bidi w:val="0"/>
        <w:rPr>
          <w:rFonts w:hint="eastAsia"/>
        </w:rPr>
      </w:pPr>
      <w:r>
        <w:rPr>
          <w:rFonts w:hint="eastAsia"/>
          <w:b w:val="0"/>
          <w:bCs/>
        </w:rPr>
        <w:t>1.</w:t>
      </w:r>
      <w:r>
        <w:rPr>
          <w:rFonts w:hint="eastAsia"/>
          <w:b w:val="0"/>
          <w:bCs/>
          <w:lang w:eastAsia="zh-CN"/>
        </w:rPr>
        <w:t>镇</w:t>
      </w:r>
      <w:r>
        <w:rPr>
          <w:rFonts w:hint="eastAsia"/>
          <w:b w:val="0"/>
          <w:bCs/>
        </w:rPr>
        <w:t>领导带队调研督导包保地</w:t>
      </w:r>
      <w:r>
        <w:rPr>
          <w:rFonts w:hint="eastAsia"/>
        </w:rPr>
        <w:t>区普查登记工作，帮助解决问题，督促推动工作开展。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</w:rPr>
        <w:t>2.相关</w:t>
      </w:r>
      <w:r>
        <w:rPr>
          <w:rFonts w:hint="eastAsia"/>
          <w:lang w:eastAsia="zh-CN"/>
        </w:rPr>
        <w:t>工作组</w:t>
      </w:r>
      <w:r>
        <w:rPr>
          <w:rFonts w:hint="eastAsia"/>
        </w:rPr>
        <w:t>检查督导包保地区普查登记工作业务培训和数据处理软件培训效果</w:t>
      </w:r>
      <w:r>
        <w:rPr>
          <w:rFonts w:hint="eastAsia"/>
          <w:lang w:eastAsia="zh-CN"/>
        </w:rPr>
        <w:t>。</w:t>
      </w:r>
    </w:p>
    <w:p>
      <w:pPr>
        <w:bidi w:val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  <w:lang w:eastAsia="zh-CN"/>
        </w:rPr>
        <w:t>镇普查领导小组要</w:t>
      </w:r>
      <w:r>
        <w:rPr>
          <w:rFonts w:hint="eastAsia"/>
        </w:rPr>
        <w:t>及时对普查数据进行跟踪审核，即审即查，发现疑似问题立即查询核实，对</w:t>
      </w:r>
      <w:r>
        <w:rPr>
          <w:rFonts w:hint="eastAsia"/>
          <w:lang w:eastAsia="zh-CN"/>
        </w:rPr>
        <w:t>全镇</w:t>
      </w:r>
      <w:r>
        <w:rPr>
          <w:rFonts w:hint="eastAsia"/>
        </w:rPr>
        <w:t>专业普查数据质量负责。</w:t>
      </w:r>
    </w:p>
    <w:p>
      <w:pPr>
        <w:bidi w:val="0"/>
        <w:rPr>
          <w:rFonts w:hint="eastAsia"/>
        </w:rPr>
      </w:pPr>
      <w:r>
        <w:rPr>
          <w:rFonts w:hint="eastAsia"/>
        </w:rPr>
        <w:t>为充分发挥</w:t>
      </w:r>
      <w:r>
        <w:rPr>
          <w:rFonts w:hint="eastAsia"/>
          <w:lang w:val="en-US" w:eastAsia="zh-CN"/>
        </w:rPr>
        <w:t>镇</w:t>
      </w:r>
      <w:r>
        <w:rPr>
          <w:rFonts w:hint="eastAsia"/>
        </w:rPr>
        <w:t>经普领导小组成员单位作用，在普查准备、单位清查、普查登记阶段，适时组建督查组，由</w:t>
      </w:r>
      <w:r>
        <w:rPr>
          <w:rFonts w:hint="eastAsia"/>
          <w:lang w:val="en-US" w:eastAsia="zh-CN"/>
        </w:rPr>
        <w:t>镇</w:t>
      </w:r>
      <w:r>
        <w:rPr>
          <w:rFonts w:hint="eastAsia"/>
        </w:rPr>
        <w:t>经普领导小组成员单位负责同志带队，对各地普查工作进展情况进行督查。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三、督导要求</w:t>
      </w:r>
    </w:p>
    <w:p>
      <w:pPr>
        <w:bidi w:val="0"/>
        <w:rPr>
          <w:rFonts w:hint="eastAsia"/>
          <w:b w:val="0"/>
          <w:bCs/>
        </w:rPr>
      </w:pPr>
      <w:r>
        <w:rPr>
          <w:rFonts w:hint="eastAsia" w:ascii="Times New Roman" w:hAnsi="Times New Roman" w:eastAsia="楷体_GB2312" w:cstheme="minorBidi"/>
          <w:b w:val="0"/>
          <w:bCs/>
          <w:kern w:val="2"/>
          <w:sz w:val="32"/>
          <w:szCs w:val="32"/>
          <w:lang w:val="en-US" w:eastAsia="zh-CN" w:bidi="ar-SA"/>
        </w:rPr>
        <w:t>（一）“四不两直”明查暗访。</w:t>
      </w:r>
      <w:r>
        <w:rPr>
          <w:rFonts w:hint="eastAsia"/>
          <w:b w:val="0"/>
          <w:bCs/>
          <w:lang w:eastAsia="zh-CN"/>
        </w:rPr>
        <w:t>镇纪委、镇经普督察</w:t>
      </w:r>
      <w:r>
        <w:rPr>
          <w:rFonts w:hint="eastAsia" w:eastAsia="楷体_GB2312"/>
          <w:b w:val="0"/>
          <w:bCs/>
          <w:lang w:eastAsia="zh-CN"/>
        </w:rPr>
        <w:t>组</w:t>
      </w:r>
      <w:r>
        <w:rPr>
          <w:rFonts w:hint="eastAsia"/>
          <w:b w:val="0"/>
          <w:bCs/>
        </w:rPr>
        <w:t>赴包保地区开展检查、督查等，均不发通知、不打招呼、不听汇报、不用陪同接待，直奔基层、直插现场，坚持问题导向，发现问题、解决问题。</w:t>
      </w:r>
    </w:p>
    <w:p>
      <w:pPr>
        <w:bidi w:val="0"/>
        <w:rPr>
          <w:rFonts w:hint="eastAsia"/>
          <w:b w:val="0"/>
          <w:bCs/>
        </w:rPr>
      </w:pPr>
      <w:r>
        <w:rPr>
          <w:rFonts w:hint="eastAsia" w:ascii="Times New Roman" w:hAnsi="Times New Roman" w:eastAsia="楷体_GB2312" w:cstheme="minorBidi"/>
          <w:b w:val="0"/>
          <w:bCs/>
          <w:kern w:val="2"/>
          <w:sz w:val="32"/>
          <w:szCs w:val="32"/>
          <w:lang w:val="en-US" w:eastAsia="zh-CN" w:bidi="ar-SA"/>
        </w:rPr>
        <w:t>（二）定期召开例会。</w:t>
      </w:r>
      <w:r>
        <w:rPr>
          <w:rFonts w:hint="eastAsia"/>
          <w:b w:val="0"/>
          <w:bCs/>
        </w:rPr>
        <w:t>普查登记期间，</w:t>
      </w:r>
      <w:r>
        <w:rPr>
          <w:rFonts w:hint="eastAsia"/>
          <w:b w:val="0"/>
          <w:bCs/>
          <w:lang w:val="en-US" w:eastAsia="zh-CN"/>
        </w:rPr>
        <w:t>栏杆镇经普办</w:t>
      </w:r>
      <w:r>
        <w:rPr>
          <w:rFonts w:hint="eastAsia"/>
          <w:b w:val="0"/>
          <w:bCs/>
          <w:lang w:eastAsia="zh-CN"/>
        </w:rPr>
        <w:t>不定期</w:t>
      </w:r>
      <w:r>
        <w:rPr>
          <w:rFonts w:hint="eastAsia"/>
          <w:b w:val="0"/>
          <w:bCs/>
        </w:rPr>
        <w:t>召开例会，相关</w:t>
      </w:r>
      <w:r>
        <w:rPr>
          <w:rFonts w:hint="eastAsia"/>
          <w:b w:val="0"/>
          <w:bCs/>
          <w:lang w:eastAsia="zh-CN"/>
        </w:rPr>
        <w:t>工作组</w:t>
      </w:r>
      <w:r>
        <w:rPr>
          <w:rFonts w:hint="eastAsia"/>
          <w:b w:val="0"/>
          <w:bCs/>
        </w:rPr>
        <w:t>及经普办业务人员参加，对查询纠错情况进行分析研究，并针对问题提出解决方案。根据需要，</w:t>
      </w:r>
      <w:r>
        <w:rPr>
          <w:rFonts w:hint="eastAsia"/>
          <w:b w:val="0"/>
          <w:bCs/>
          <w:lang w:eastAsia="zh-CN"/>
        </w:rPr>
        <w:t>镇</w:t>
      </w:r>
      <w:r>
        <w:rPr>
          <w:rFonts w:hint="eastAsia"/>
          <w:b w:val="0"/>
          <w:bCs/>
        </w:rPr>
        <w:t>领导参加相关会议。</w:t>
      </w:r>
    </w:p>
    <w:p>
      <w:pPr>
        <w:bidi w:val="0"/>
        <w:rPr>
          <w:rFonts w:hint="eastAsia"/>
          <w:b w:val="0"/>
          <w:bCs/>
        </w:rPr>
      </w:pPr>
      <w:r>
        <w:rPr>
          <w:rFonts w:hint="eastAsia" w:ascii="Times New Roman" w:hAnsi="Times New Roman" w:eastAsia="楷体_GB2312" w:cstheme="minorBidi"/>
          <w:b w:val="0"/>
          <w:bCs/>
          <w:kern w:val="2"/>
          <w:sz w:val="32"/>
          <w:szCs w:val="32"/>
          <w:lang w:val="en-US" w:eastAsia="zh-CN" w:bidi="ar-SA"/>
        </w:rPr>
        <w:t>（三）定期通报情况。</w:t>
      </w:r>
      <w:r>
        <w:rPr>
          <w:rFonts w:hint="eastAsia"/>
          <w:b w:val="0"/>
          <w:bCs/>
        </w:rPr>
        <w:t>在普查工作的关键节点，对各</w:t>
      </w:r>
      <w:r>
        <w:rPr>
          <w:rFonts w:hint="eastAsia"/>
          <w:b w:val="0"/>
          <w:bCs/>
          <w:lang w:val="en-US" w:eastAsia="zh-CN"/>
        </w:rPr>
        <w:t>村</w:t>
      </w:r>
      <w:r>
        <w:rPr>
          <w:rFonts w:hint="eastAsia"/>
          <w:b w:val="0"/>
          <w:bCs/>
        </w:rPr>
        <w:t>每日上报的工作完成情况、进展情况，</w:t>
      </w:r>
      <w:r>
        <w:rPr>
          <w:rFonts w:hint="eastAsia"/>
          <w:b w:val="0"/>
          <w:bCs/>
          <w:lang w:eastAsia="zh-CN"/>
        </w:rPr>
        <w:t>镇</w:t>
      </w:r>
      <w:r>
        <w:rPr>
          <w:rFonts w:hint="eastAsia"/>
          <w:b w:val="0"/>
          <w:bCs/>
        </w:rPr>
        <w:t>经普办汇总后进行通报，对进度缓慢、存在问题的地区加强督导。</w:t>
      </w:r>
    </w:p>
    <w:p>
      <w:pPr>
        <w:bidi w:val="0"/>
        <w:rPr>
          <w:rFonts w:hint="eastAsia"/>
          <w:b w:val="0"/>
          <w:bCs/>
        </w:rPr>
      </w:pPr>
      <w:r>
        <w:rPr>
          <w:rFonts w:hint="eastAsia" w:ascii="Times New Roman" w:hAnsi="Times New Roman" w:eastAsia="楷体_GB2312" w:cstheme="minorBidi"/>
          <w:b w:val="0"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eastAsia="楷体_GB2312" w:cstheme="minorBidi"/>
          <w:b w:val="0"/>
          <w:bCs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ascii="Times New Roman" w:hAnsi="Times New Roman" w:eastAsia="楷体_GB2312" w:cstheme="minorBidi"/>
          <w:b w:val="0"/>
          <w:bCs/>
          <w:kern w:val="2"/>
          <w:sz w:val="32"/>
          <w:szCs w:val="32"/>
          <w:lang w:val="en-US" w:eastAsia="zh-CN" w:bidi="ar-SA"/>
        </w:rPr>
        <w:t>）及时跟踪督查。</w:t>
      </w:r>
      <w:r>
        <w:rPr>
          <w:rFonts w:hint="eastAsia"/>
          <w:b w:val="0"/>
          <w:bCs/>
        </w:rPr>
        <w:t>各</w:t>
      </w:r>
      <w:r>
        <w:rPr>
          <w:rFonts w:hint="eastAsia"/>
          <w:b w:val="0"/>
          <w:bCs/>
          <w:lang w:eastAsia="zh-CN"/>
        </w:rPr>
        <w:t>工作组</w:t>
      </w:r>
      <w:r>
        <w:rPr>
          <w:rFonts w:hint="eastAsia"/>
          <w:b w:val="0"/>
          <w:bCs/>
        </w:rPr>
        <w:t>要实时监控</w:t>
      </w:r>
      <w:r>
        <w:rPr>
          <w:rFonts w:hint="eastAsia"/>
          <w:b w:val="0"/>
          <w:bCs/>
          <w:lang w:eastAsia="zh-CN"/>
        </w:rPr>
        <w:t>包保</w:t>
      </w:r>
      <w:r>
        <w:rPr>
          <w:rFonts w:hint="eastAsia"/>
          <w:b w:val="0"/>
          <w:bCs/>
        </w:rPr>
        <w:t>地区普查工作进展和数据质量，</w:t>
      </w:r>
      <w:r>
        <w:rPr>
          <w:rFonts w:hint="eastAsia"/>
          <w:b w:val="0"/>
          <w:bCs/>
          <w:lang w:eastAsia="zh-CN"/>
        </w:rPr>
        <w:t>镇统计站</w:t>
      </w:r>
      <w:r>
        <w:rPr>
          <w:rFonts w:hint="eastAsia"/>
          <w:b w:val="0"/>
          <w:bCs/>
        </w:rPr>
        <w:t>要实时监控本专业普查工作进展和数据质量，发现工作进度缓慢、查询纠错不力、数据质量不高等问题，及时向</w:t>
      </w:r>
      <w:r>
        <w:rPr>
          <w:rFonts w:hint="eastAsia"/>
          <w:b w:val="0"/>
          <w:bCs/>
          <w:lang w:eastAsia="zh-CN"/>
        </w:rPr>
        <w:t>镇</w:t>
      </w:r>
      <w:r>
        <w:rPr>
          <w:rFonts w:hint="eastAsia"/>
          <w:b w:val="0"/>
          <w:bCs/>
        </w:rPr>
        <w:t>领导、</w:t>
      </w:r>
      <w:r>
        <w:rPr>
          <w:rFonts w:hint="eastAsia"/>
          <w:b w:val="0"/>
          <w:bCs/>
          <w:lang w:val="en-US" w:eastAsia="zh-CN"/>
        </w:rPr>
        <w:t>镇</w:t>
      </w:r>
      <w:r>
        <w:rPr>
          <w:rFonts w:hint="eastAsia"/>
          <w:b w:val="0"/>
          <w:bCs/>
        </w:rPr>
        <w:t>经普办汇报，并向</w:t>
      </w:r>
      <w:r>
        <w:rPr>
          <w:rFonts w:hint="eastAsia"/>
          <w:b w:val="0"/>
          <w:bCs/>
          <w:lang w:eastAsia="zh-CN"/>
        </w:rPr>
        <w:t>村主要负责人</w:t>
      </w:r>
      <w:r>
        <w:rPr>
          <w:rFonts w:hint="eastAsia"/>
          <w:b w:val="0"/>
          <w:bCs/>
        </w:rPr>
        <w:t>通报，</w:t>
      </w:r>
      <w:r>
        <w:rPr>
          <w:rFonts w:hint="eastAsia"/>
          <w:b w:val="0"/>
          <w:bCs/>
          <w:lang w:val="en-US" w:eastAsia="zh-CN"/>
        </w:rPr>
        <w:t>镇</w:t>
      </w:r>
      <w:r>
        <w:rPr>
          <w:rFonts w:hint="eastAsia"/>
          <w:b w:val="0"/>
          <w:bCs/>
        </w:rPr>
        <w:t>经普办组织人员进行督查督办。同时，做好经济普查的统计法治保障，重点查处普查中的拒报、虚报、瞒报和不完整上报等统计违法行为。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附表：</w:t>
      </w:r>
      <w:r>
        <w:rPr>
          <w:rFonts w:hint="eastAsia"/>
          <w:lang w:eastAsia="zh-CN"/>
        </w:rPr>
        <w:t>栏杆</w:t>
      </w:r>
      <w:r>
        <w:rPr>
          <w:rFonts w:hint="eastAsia"/>
          <w:b w:val="0"/>
          <w:bCs/>
          <w:lang w:val="en-US" w:eastAsia="zh-CN"/>
        </w:rPr>
        <w:t>镇</w:t>
      </w:r>
      <w:r>
        <w:rPr>
          <w:rFonts w:hint="eastAsia" w:ascii="Times New Roman" w:hAnsi="Times New Roman"/>
          <w:b w:val="0"/>
          <w:bCs/>
          <w:lang w:val="en-US" w:eastAsia="zh-CN"/>
        </w:rPr>
        <w:t>班子成员包保督导责任一览表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10"/>
        <w:ind w:left="0" w:leftChars="0" w:firstLine="0" w:firstLineChars="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栏杆镇班子成员包保督导责任一览表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12"/>
        <w:tblW w:w="10166" w:type="dxa"/>
        <w:tblInd w:w="-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3850"/>
        <w:gridCol w:w="4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1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班子成员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包保区域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成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61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  <w:t>史超波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  <w:t>石相村、大旺村、新庄村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  <w:t>韩峰、王沙沙、刘荣荣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61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  <w:t>刘毛飞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  <w:t>化楼村、小集村、段楼村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  <w:t>吴常军、白兴磊、张仲夏、张亚飞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61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  <w:t>李 永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  <w:t>柏山村、张疃村、王庄村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  <w:t>张伟、卜加庆、刘晓天、李胜男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61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  <w:t>王凯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  <w:t>路疃村、栏西村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  <w:t>杨超、刘军、张桂红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61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  <w:t>郑健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  <w:t>丁李村、阚疃村、韩村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  <w:t>张己先、张帅、苗俊彦、王涛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61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  <w:t>张硕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  <w:t>安水村、孙楼村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  <w:t>秦怀轩、孙贺、王淑云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61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  <w:t>刘亮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  <w:t>栏东村、石河村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  <w:t>刘亮、于红旗、陈梦佳</w:t>
            </w:r>
          </w:p>
        </w:tc>
      </w:tr>
    </w:tbl>
    <w:p>
      <w:pPr>
        <w:pStyle w:val="10"/>
        <w:ind w:left="0" w:leftChars="0" w:firstLine="0" w:firstLineChars="0"/>
        <w:rPr>
          <w:rFonts w:hint="eastAsia" w:ascii="方正仿宋简体" w:hAnsi="方正仿宋简体" w:eastAsia="方正仿宋简体" w:cs="方正仿宋简体"/>
          <w:b/>
          <w:bCs/>
          <w:sz w:val="44"/>
          <w:szCs w:val="44"/>
          <w:lang w:val="en-US" w:eastAsia="zh-CN"/>
        </w:rPr>
      </w:pPr>
    </w:p>
    <w:sectPr>
      <w:footerReference r:id="rId6" w:type="default"/>
      <w:pgSz w:w="11906" w:h="16838"/>
      <w:pgMar w:top="1928" w:right="1531" w:bottom="1871" w:left="1531" w:header="851" w:footer="1587" w:gutter="0"/>
      <w:pgNumType w:fmt="decimal" w:start="2"/>
      <w:cols w:space="0" w:num="1"/>
      <w:rtlGutter w:val="0"/>
      <w:docGrid w:type="linesAndChars" w:linePitch="592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ZmRhMTcyMzY0NTU3YzhkNDJmM2MzM2JlNTdjNTkifQ=="/>
  </w:docVars>
  <w:rsids>
    <w:rsidRoot w:val="28442BF2"/>
    <w:rsid w:val="0A725B5C"/>
    <w:rsid w:val="0B5D7FCE"/>
    <w:rsid w:val="0B6342DC"/>
    <w:rsid w:val="1F97C9B4"/>
    <w:rsid w:val="21EB1616"/>
    <w:rsid w:val="28442BF2"/>
    <w:rsid w:val="2CB2483B"/>
    <w:rsid w:val="31A01ADD"/>
    <w:rsid w:val="3B2D580A"/>
    <w:rsid w:val="46AE0626"/>
    <w:rsid w:val="47076DBA"/>
    <w:rsid w:val="482E3D4E"/>
    <w:rsid w:val="4936107E"/>
    <w:rsid w:val="4D9D67D8"/>
    <w:rsid w:val="4ECB5167"/>
    <w:rsid w:val="4F5A132F"/>
    <w:rsid w:val="549459BA"/>
    <w:rsid w:val="5F3DB6EF"/>
    <w:rsid w:val="5F6717B5"/>
    <w:rsid w:val="6D5D3D49"/>
    <w:rsid w:val="757E4674"/>
    <w:rsid w:val="7AFF73F1"/>
    <w:rsid w:val="7D622A8A"/>
    <w:rsid w:val="7DF70DF7"/>
    <w:rsid w:val="7EA1AF4C"/>
    <w:rsid w:val="7EA5419C"/>
    <w:rsid w:val="9DFE6026"/>
    <w:rsid w:val="AF5EC70F"/>
    <w:rsid w:val="B2FE9A5B"/>
    <w:rsid w:val="BE3F5F7B"/>
    <w:rsid w:val="BF795D38"/>
    <w:rsid w:val="BFEF702E"/>
    <w:rsid w:val="C6D4DECF"/>
    <w:rsid w:val="D6FFCE27"/>
    <w:rsid w:val="D7FBF055"/>
    <w:rsid w:val="EFBB02E1"/>
    <w:rsid w:val="F2B83656"/>
    <w:rsid w:val="F7FD3F0C"/>
    <w:rsid w:val="FCC751B7"/>
    <w:rsid w:val="FFDD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0" w:lineRule="exact"/>
      <w:ind w:firstLine="632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0"/>
    <w:pPr>
      <w:keepNext/>
      <w:keepLines/>
      <w:spacing w:beforeLines="0" w:beforeAutospacing="0" w:afterLines="0" w:afterAutospacing="0" w:line="590" w:lineRule="exact"/>
      <w:ind w:firstLine="880" w:firstLineChars="200"/>
      <w:outlineLvl w:val="0"/>
    </w:pPr>
    <w:rPr>
      <w:rFonts w:ascii="Times New Roman" w:hAnsi="Times New Roman" w:eastAsia="黑体"/>
      <w:kern w:val="44"/>
      <w:sz w:val="32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ind w:firstLine="880" w:firstLineChars="200"/>
      <w:outlineLvl w:val="1"/>
    </w:pPr>
    <w:rPr>
      <w:rFonts w:ascii="Times New Roman" w:hAnsi="Times New Roman" w:eastAsia="楷体_GB2312"/>
      <w:b/>
      <w:sz w:val="32"/>
    </w:rPr>
  </w:style>
  <w:style w:type="paragraph" w:styleId="6">
    <w:name w:val="heading 3"/>
    <w:basedOn w:val="1"/>
    <w:next w:val="1"/>
    <w:link w:val="16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outlineLvl w:val="2"/>
    </w:pPr>
    <w:rPr>
      <w:rFonts w:ascii="Times New Roman" w:hAnsi="Times New Roman" w:cs="Times New Roman"/>
      <w:b/>
      <w:szCs w:val="2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next w:val="3"/>
    <w:qFormat/>
    <w:uiPriority w:val="99"/>
    <w:pPr>
      <w:spacing w:line="351" w:lineRule="atLeast"/>
      <w:ind w:firstLine="623"/>
      <w:textAlignment w:val="baseline"/>
    </w:pPr>
    <w:rPr>
      <w:rFonts w:eastAsia="仿宋_GB2312"/>
      <w:color w:val="000000"/>
      <w:sz w:val="31"/>
      <w:szCs w:val="31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Body Text"/>
    <w:basedOn w:val="1"/>
    <w:qFormat/>
    <w:uiPriority w:val="0"/>
    <w:pPr>
      <w:spacing w:after="120" w:afterLines="0" w:afterAutospacing="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Body Text First Indent"/>
    <w:basedOn w:val="8"/>
    <w:qFormat/>
    <w:uiPriority w:val="0"/>
    <w:pPr>
      <w:ind w:firstLine="420" w:firstLineChars="1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标题 1 Char"/>
    <w:link w:val="4"/>
    <w:qFormat/>
    <w:uiPriority w:val="0"/>
    <w:rPr>
      <w:rFonts w:ascii="Times New Roman" w:hAnsi="Times New Roman" w:eastAsia="黑体"/>
      <w:kern w:val="44"/>
      <w:sz w:val="32"/>
    </w:rPr>
  </w:style>
  <w:style w:type="character" w:customStyle="1" w:styleId="16">
    <w:name w:val="标题 3 Char"/>
    <w:link w:val="6"/>
    <w:qFormat/>
    <w:uiPriority w:val="0"/>
    <w:rPr>
      <w:rFonts w:ascii="Times New Roman" w:hAnsi="Times New Roman" w:eastAsia="仿宋_GB2312" w:cs="Times New Roman"/>
      <w:b/>
      <w:sz w:val="32"/>
      <w:szCs w:val="22"/>
    </w:rPr>
  </w:style>
  <w:style w:type="character" w:customStyle="1" w:styleId="17">
    <w:name w:val="font3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41"/>
    <w:basedOn w:val="13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51"/>
    <w:basedOn w:val="13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1471</Words>
  <Characters>1496</Characters>
  <Lines>0</Lines>
  <Paragraphs>0</Paragraphs>
  <TotalTime>11</TotalTime>
  <ScaleCrop>false</ScaleCrop>
  <LinksUpToDate>false</LinksUpToDate>
  <CharactersWithSpaces>1528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2023-06-01T22:42:00Z</dcterms:created>
  <dc:creator>pczx</dc:creator>
  <cp:lastModifiedBy>崔爱民</cp:lastModifiedBy>
  <cp:lastPrinted>2023-07-05T07:30:21Z</cp:lastPrinted>
  <dcterms:modified xsi:type="dcterms:W3CDTF">2023-07-05T07:32:06Z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4A1813BDC8A14A1DB270F04E0A7C2AB8_13</vt:lpwstr>
  </property>
</Properties>
</file>